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theme/themeOverride3.xml" ContentType="application/vnd.openxmlformats-officedocument.themeOverride+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5FF" w:rsidRDefault="003E4EF4" w:rsidP="003E4EF4">
      <w:pPr>
        <w:pStyle w:val="Pagedecouverture"/>
        <w:rPr>
          <w:rFonts w:eastAsiaTheme="minorHAnsi"/>
          <w:noProof/>
        </w:rPr>
      </w:pPr>
      <w:bookmarkStart w:id="0" w:name="_Toc481484475"/>
      <w:bookmarkStart w:id="1" w:name="LW_BM_COVERPAGE"/>
      <w:bookmarkStart w:id="2" w:name="_GoBack"/>
      <w:r>
        <w:rPr>
          <w:rFonts w:eastAsia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F25CBA50-F216-4569-AAEF-3239FECF27E0" style="width:450.6pt;height:418.35pt">
            <v:imagedata r:id="rId12" o:title=""/>
          </v:shape>
        </w:pict>
      </w:r>
      <w:bookmarkEnd w:id="2"/>
    </w:p>
    <w:bookmarkEnd w:id="1"/>
    <w:p w:rsidR="001B65FF" w:rsidRDefault="001B65FF">
      <w:pPr>
        <w:rPr>
          <w:rFonts w:eastAsiaTheme="minorHAnsi"/>
          <w:noProof/>
        </w:rPr>
        <w:sectPr w:rsidR="001B65FF" w:rsidSect="003E4EF4">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sdt>
      <w:sdtPr>
        <w:rPr>
          <w:rFonts w:ascii="Times New Roman" w:eastAsiaTheme="minorEastAsia" w:hAnsi="Times New Roman" w:cs="Times New Roman"/>
          <w:b w:val="0"/>
          <w:bCs w:val="0"/>
          <w:caps/>
          <w:noProof/>
          <w:sz w:val="24"/>
          <w:szCs w:val="24"/>
          <w:lang w:bidi="ar-SA"/>
        </w:rPr>
        <w:id w:val="366339645"/>
        <w:docPartObj>
          <w:docPartGallery w:val="Table of Contents"/>
          <w:docPartUnique/>
        </w:docPartObj>
      </w:sdtPr>
      <w:sdtEndPr>
        <w:rPr>
          <w:rFonts w:eastAsia="Times New Roman"/>
        </w:rPr>
      </w:sdtEndPr>
      <w:sdtContent>
        <w:p w:rsidR="001B65FF" w:rsidRDefault="003E4EF4">
          <w:pPr>
            <w:pStyle w:val="TOCHeading"/>
            <w:spacing w:line="240" w:lineRule="auto"/>
            <w:jc w:val="center"/>
            <w:rPr>
              <w:rFonts w:ascii="Times New Roman" w:hAnsi="Times New Roman" w:cs="Times New Roman"/>
              <w:b w:val="0"/>
              <w:noProof/>
              <w:sz w:val="22"/>
              <w:szCs w:val="22"/>
            </w:rPr>
          </w:pPr>
          <w:r>
            <w:rPr>
              <w:rFonts w:ascii="Times New Roman" w:hAnsi="Times New Roman" w:cs="Times New Roman"/>
              <w:noProof/>
              <w:sz w:val="24"/>
              <w:szCs w:val="24"/>
            </w:rPr>
            <w:t>Table of Contents</w:t>
          </w:r>
        </w:p>
        <w:p w:rsidR="001B65FF" w:rsidRDefault="003E4EF4">
          <w:pPr>
            <w:pStyle w:val="TOC1"/>
            <w:rPr>
              <w:rFonts w:eastAsiaTheme="minorEastAsia"/>
              <w:caps w:val="0"/>
              <w:noProof/>
              <w:sz w:val="22"/>
              <w:szCs w:val="22"/>
              <w:lang w:eastAsia="en-GB"/>
            </w:rPr>
          </w:pPr>
          <w:r>
            <w:rPr>
              <w:noProof/>
              <w:sz w:val="22"/>
              <w:szCs w:val="22"/>
            </w:rPr>
            <w:fldChar w:fldCharType="begin"/>
          </w:r>
          <w:r>
            <w:rPr>
              <w:noProof/>
              <w:sz w:val="22"/>
              <w:szCs w:val="22"/>
            </w:rPr>
            <w:instrText xml:space="preserve"> TOC \o "1-3" \h \z \u </w:instrText>
          </w:r>
          <w:r>
            <w:rPr>
              <w:noProof/>
              <w:sz w:val="22"/>
              <w:szCs w:val="22"/>
            </w:rPr>
            <w:fldChar w:fldCharType="separate"/>
          </w:r>
          <w:hyperlink w:anchor="_Toc510952843" w:history="1">
            <w:r>
              <w:rPr>
                <w:rStyle w:val="Hyperlink"/>
                <w:smallCaps/>
                <w:noProof/>
                <w:sz w:val="22"/>
                <w:szCs w:val="22"/>
              </w:rPr>
              <w:t>1.</w:t>
            </w:r>
            <w:r>
              <w:rPr>
                <w:rFonts w:eastAsiaTheme="minorEastAsia"/>
                <w:caps w:val="0"/>
                <w:noProof/>
                <w:sz w:val="22"/>
                <w:szCs w:val="22"/>
                <w:lang w:eastAsia="en-GB"/>
              </w:rPr>
              <w:tab/>
            </w:r>
            <w:r>
              <w:rPr>
                <w:rStyle w:val="Hyperlink"/>
                <w:smallCaps/>
                <w:noProof/>
                <w:sz w:val="22"/>
                <w:szCs w:val="22"/>
              </w:rPr>
              <w:t>Introduction: Political and legal context</w:t>
            </w:r>
            <w:r>
              <w:rPr>
                <w:noProof/>
                <w:webHidden/>
                <w:sz w:val="22"/>
                <w:szCs w:val="22"/>
              </w:rPr>
              <w:tab/>
            </w:r>
            <w:r>
              <w:rPr>
                <w:noProof/>
                <w:webHidden/>
                <w:sz w:val="22"/>
                <w:szCs w:val="22"/>
              </w:rPr>
              <w:fldChar w:fldCharType="begin"/>
            </w:r>
            <w:r>
              <w:rPr>
                <w:noProof/>
                <w:webHidden/>
                <w:sz w:val="22"/>
                <w:szCs w:val="22"/>
              </w:rPr>
              <w:instrText xml:space="preserve"> PAGEREF _Toc510952843 \h </w:instrText>
            </w:r>
            <w:r>
              <w:rPr>
                <w:noProof/>
                <w:webHidden/>
                <w:sz w:val="22"/>
                <w:szCs w:val="22"/>
              </w:rPr>
            </w:r>
            <w:r>
              <w:rPr>
                <w:noProof/>
                <w:webHidden/>
                <w:sz w:val="22"/>
                <w:szCs w:val="22"/>
              </w:rPr>
              <w:fldChar w:fldCharType="separate"/>
            </w:r>
            <w:r>
              <w:rPr>
                <w:noProof/>
                <w:webHidden/>
                <w:sz w:val="22"/>
                <w:szCs w:val="22"/>
              </w:rPr>
              <w:t>5</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44" w:history="1">
            <w:r>
              <w:rPr>
                <w:rStyle w:val="Hyperlink"/>
                <w:noProof/>
                <w:sz w:val="22"/>
                <w:szCs w:val="22"/>
              </w:rPr>
              <w:t>1.1.</w:t>
            </w:r>
            <w:r>
              <w:rPr>
                <w:rFonts w:eastAsiaTheme="minorEastAsia"/>
                <w:noProof/>
                <w:sz w:val="22"/>
                <w:szCs w:val="22"/>
                <w:lang w:eastAsia="en-GB"/>
              </w:rPr>
              <w:tab/>
            </w:r>
            <w:r>
              <w:rPr>
                <w:rStyle w:val="Hyperlink"/>
                <w:noProof/>
                <w:sz w:val="22"/>
                <w:szCs w:val="22"/>
              </w:rPr>
              <w:t>Introduction</w:t>
            </w:r>
            <w:r>
              <w:rPr>
                <w:noProof/>
                <w:webHidden/>
                <w:sz w:val="22"/>
                <w:szCs w:val="22"/>
              </w:rPr>
              <w:tab/>
            </w:r>
            <w:r>
              <w:rPr>
                <w:noProof/>
                <w:webHidden/>
                <w:sz w:val="22"/>
                <w:szCs w:val="22"/>
              </w:rPr>
              <w:fldChar w:fldCharType="begin"/>
            </w:r>
            <w:r>
              <w:rPr>
                <w:noProof/>
                <w:webHidden/>
                <w:sz w:val="22"/>
                <w:szCs w:val="22"/>
              </w:rPr>
              <w:instrText xml:space="preserve"> PAGEREF _Toc510952844 \h </w:instrText>
            </w:r>
            <w:r>
              <w:rPr>
                <w:noProof/>
                <w:webHidden/>
                <w:sz w:val="22"/>
                <w:szCs w:val="22"/>
              </w:rPr>
            </w:r>
            <w:r>
              <w:rPr>
                <w:noProof/>
                <w:webHidden/>
                <w:sz w:val="22"/>
                <w:szCs w:val="22"/>
              </w:rPr>
              <w:fldChar w:fldCharType="separate"/>
            </w:r>
            <w:r>
              <w:rPr>
                <w:noProof/>
                <w:webHidden/>
                <w:sz w:val="22"/>
                <w:szCs w:val="22"/>
              </w:rPr>
              <w:t>5</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45" w:history="1">
            <w:r>
              <w:rPr>
                <w:rStyle w:val="Hyperlink"/>
                <w:noProof/>
                <w:sz w:val="22"/>
                <w:szCs w:val="22"/>
              </w:rPr>
              <w:t>1.2.</w:t>
            </w:r>
            <w:r>
              <w:rPr>
                <w:rFonts w:eastAsiaTheme="minorEastAsia"/>
                <w:noProof/>
                <w:sz w:val="22"/>
                <w:szCs w:val="22"/>
                <w:lang w:eastAsia="en-GB"/>
              </w:rPr>
              <w:tab/>
            </w:r>
            <w:r>
              <w:rPr>
                <w:rStyle w:val="Hyperlink"/>
                <w:noProof/>
                <w:sz w:val="22"/>
                <w:szCs w:val="22"/>
              </w:rPr>
              <w:t>Political and legal context</w:t>
            </w:r>
            <w:r>
              <w:rPr>
                <w:noProof/>
                <w:webHidden/>
                <w:sz w:val="22"/>
                <w:szCs w:val="22"/>
              </w:rPr>
              <w:tab/>
            </w:r>
            <w:r>
              <w:rPr>
                <w:noProof/>
                <w:webHidden/>
                <w:sz w:val="22"/>
                <w:szCs w:val="22"/>
              </w:rPr>
              <w:fldChar w:fldCharType="begin"/>
            </w:r>
            <w:r>
              <w:rPr>
                <w:noProof/>
                <w:webHidden/>
                <w:sz w:val="22"/>
                <w:szCs w:val="22"/>
              </w:rPr>
              <w:instrText xml:space="preserve"> PAGEREF _Toc510952845 \h </w:instrText>
            </w:r>
            <w:r>
              <w:rPr>
                <w:noProof/>
                <w:webHidden/>
                <w:sz w:val="22"/>
                <w:szCs w:val="22"/>
              </w:rPr>
            </w:r>
            <w:r>
              <w:rPr>
                <w:noProof/>
                <w:webHidden/>
                <w:sz w:val="22"/>
                <w:szCs w:val="22"/>
              </w:rPr>
              <w:fldChar w:fldCharType="separate"/>
            </w:r>
            <w:r>
              <w:rPr>
                <w:noProof/>
                <w:webHidden/>
                <w:sz w:val="22"/>
                <w:szCs w:val="22"/>
              </w:rPr>
              <w:t>6</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46" w:history="1">
            <w:r>
              <w:rPr>
                <w:rStyle w:val="Hyperlink"/>
                <w:smallCaps/>
                <w:noProof/>
                <w:sz w:val="22"/>
                <w:szCs w:val="22"/>
              </w:rPr>
              <w:t>2.</w:t>
            </w:r>
            <w:r>
              <w:rPr>
                <w:rFonts w:eastAsiaTheme="minorEastAsia"/>
                <w:caps w:val="0"/>
                <w:noProof/>
                <w:sz w:val="22"/>
                <w:szCs w:val="22"/>
                <w:lang w:eastAsia="en-GB"/>
              </w:rPr>
              <w:tab/>
            </w:r>
            <w:r>
              <w:rPr>
                <w:rStyle w:val="Hyperlink"/>
                <w:smallCaps/>
                <w:noProof/>
                <w:sz w:val="22"/>
                <w:szCs w:val="22"/>
              </w:rPr>
              <w:t>Problem definition</w:t>
            </w:r>
            <w:r>
              <w:rPr>
                <w:noProof/>
                <w:webHidden/>
                <w:sz w:val="22"/>
                <w:szCs w:val="22"/>
              </w:rPr>
              <w:tab/>
            </w:r>
            <w:r>
              <w:rPr>
                <w:noProof/>
                <w:webHidden/>
                <w:sz w:val="22"/>
                <w:szCs w:val="22"/>
              </w:rPr>
              <w:fldChar w:fldCharType="begin"/>
            </w:r>
            <w:r>
              <w:rPr>
                <w:noProof/>
                <w:webHidden/>
                <w:sz w:val="22"/>
                <w:szCs w:val="22"/>
              </w:rPr>
              <w:instrText xml:space="preserve"> PAGEREF _Toc510952846 \h </w:instrText>
            </w:r>
            <w:r>
              <w:rPr>
                <w:noProof/>
                <w:webHidden/>
                <w:sz w:val="22"/>
                <w:szCs w:val="22"/>
              </w:rPr>
            </w:r>
            <w:r>
              <w:rPr>
                <w:noProof/>
                <w:webHidden/>
                <w:sz w:val="22"/>
                <w:szCs w:val="22"/>
              </w:rPr>
              <w:fldChar w:fldCharType="separate"/>
            </w:r>
            <w:r>
              <w:rPr>
                <w:noProof/>
                <w:webHidden/>
                <w:sz w:val="22"/>
                <w:szCs w:val="22"/>
              </w:rPr>
              <w:t>7</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47" w:history="1">
            <w:r>
              <w:rPr>
                <w:rStyle w:val="Hyperlink"/>
                <w:noProof/>
                <w:sz w:val="22"/>
                <w:szCs w:val="22"/>
              </w:rPr>
              <w:t>2.1.</w:t>
            </w:r>
            <w:r>
              <w:rPr>
                <w:rFonts w:eastAsiaTheme="minorEastAsia"/>
                <w:noProof/>
                <w:sz w:val="22"/>
                <w:szCs w:val="22"/>
                <w:lang w:eastAsia="en-GB"/>
              </w:rPr>
              <w:tab/>
            </w:r>
            <w:r>
              <w:rPr>
                <w:rStyle w:val="Hyperlink"/>
                <w:noProof/>
                <w:sz w:val="22"/>
                <w:szCs w:val="22"/>
              </w:rPr>
              <w:t>What is the problem?</w:t>
            </w:r>
            <w:r>
              <w:rPr>
                <w:noProof/>
                <w:webHidden/>
                <w:sz w:val="22"/>
                <w:szCs w:val="22"/>
              </w:rPr>
              <w:tab/>
            </w:r>
            <w:r>
              <w:rPr>
                <w:noProof/>
                <w:webHidden/>
                <w:sz w:val="22"/>
                <w:szCs w:val="22"/>
              </w:rPr>
              <w:fldChar w:fldCharType="begin"/>
            </w:r>
            <w:r>
              <w:rPr>
                <w:noProof/>
                <w:webHidden/>
                <w:sz w:val="22"/>
                <w:szCs w:val="22"/>
              </w:rPr>
              <w:instrText xml:space="preserve"> PAGEREF _Toc510952847 \h </w:instrText>
            </w:r>
            <w:r>
              <w:rPr>
                <w:noProof/>
                <w:webHidden/>
                <w:sz w:val="22"/>
                <w:szCs w:val="22"/>
              </w:rPr>
            </w:r>
            <w:r>
              <w:rPr>
                <w:noProof/>
                <w:webHidden/>
                <w:sz w:val="22"/>
                <w:szCs w:val="22"/>
              </w:rPr>
              <w:fldChar w:fldCharType="separate"/>
            </w:r>
            <w:r>
              <w:rPr>
                <w:noProof/>
                <w:webHidden/>
                <w:sz w:val="22"/>
                <w:szCs w:val="22"/>
              </w:rPr>
              <w:t>9</w:t>
            </w:r>
            <w:r>
              <w:rPr>
                <w:noProof/>
                <w:webHidden/>
                <w:sz w:val="22"/>
                <w:szCs w:val="22"/>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48" w:history="1">
            <w:r>
              <w:rPr>
                <w:rStyle w:val="Hyperlink"/>
                <w:rFonts w:ascii="Times New Roman" w:eastAsia="Times New Roman" w:hAnsi="Times New Roman" w:cs="Times New Roman"/>
                <w:noProof/>
              </w:rPr>
              <w:t>2.1.1.</w:t>
            </w:r>
            <w:r>
              <w:rPr>
                <w:rFonts w:ascii="Times New Roman" w:hAnsi="Times New Roman" w:cs="Times New Roman"/>
                <w:noProof/>
                <w:lang w:eastAsia="en-GB"/>
              </w:rPr>
              <w:tab/>
            </w:r>
            <w:r>
              <w:rPr>
                <w:rStyle w:val="Hyperlink"/>
                <w:rFonts w:ascii="Times New Roman" w:eastAsia="Times New Roman" w:hAnsi="Times New Roman" w:cs="Times New Roman"/>
                <w:noProof/>
              </w:rPr>
              <w:t>Definition and magnitude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_Toc510952848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49" w:history="1">
            <w:r>
              <w:rPr>
                <w:rStyle w:val="Hyperlink"/>
                <w:rFonts w:ascii="Times New Roman" w:eastAsia="Times New Roman" w:hAnsi="Times New Roman" w:cs="Times New Roman"/>
                <w:noProof/>
              </w:rPr>
              <w:t>2.1.2.</w:t>
            </w:r>
            <w:r>
              <w:rPr>
                <w:rFonts w:ascii="Times New Roman" w:hAnsi="Times New Roman" w:cs="Times New Roman"/>
                <w:noProof/>
                <w:lang w:eastAsia="en-GB"/>
              </w:rPr>
              <w:tab/>
            </w:r>
            <w:r>
              <w:rPr>
                <w:rStyle w:val="Hyperlink"/>
                <w:rFonts w:ascii="Times New Roman" w:eastAsia="Times New Roman" w:hAnsi="Times New Roman" w:cs="Times New Roman"/>
                <w:noProof/>
              </w:rPr>
              <w:t>Cross-border dimension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_Toc510952849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50" w:history="1">
            <w:r>
              <w:rPr>
                <w:rStyle w:val="Hyperlink"/>
                <w:rFonts w:ascii="Times New Roman" w:eastAsia="Times New Roman" w:hAnsi="Times New Roman" w:cs="Times New Roman"/>
                <w:noProof/>
              </w:rPr>
              <w:t>2.1.3.</w:t>
            </w:r>
            <w:r>
              <w:rPr>
                <w:rFonts w:ascii="Times New Roman" w:hAnsi="Times New Roman" w:cs="Times New Roman"/>
                <w:noProof/>
                <w:lang w:eastAsia="en-GB"/>
              </w:rPr>
              <w:tab/>
            </w:r>
            <w:r>
              <w:rPr>
                <w:rStyle w:val="Hyperlink"/>
                <w:rFonts w:ascii="Times New Roman" w:eastAsia="Times New Roman" w:hAnsi="Times New Roman" w:cs="Times New Roman"/>
                <w:noProof/>
              </w:rPr>
              <w:t>Why is it a problem</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_Toc510952850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20</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51" w:history="1">
            <w:r>
              <w:rPr>
                <w:rStyle w:val="Hyperlink"/>
                <w:rFonts w:ascii="Times New Roman" w:eastAsia="Times New Roman" w:hAnsi="Times New Roman" w:cs="Times New Roman"/>
                <w:noProof/>
              </w:rPr>
              <w:t>2.1.4.</w:t>
            </w:r>
            <w:r>
              <w:rPr>
                <w:rFonts w:ascii="Times New Roman" w:hAnsi="Times New Roman" w:cs="Times New Roman"/>
                <w:noProof/>
                <w:lang w:eastAsia="en-GB"/>
              </w:rPr>
              <w:tab/>
            </w:r>
            <w:r>
              <w:rPr>
                <w:rStyle w:val="Hyperlink"/>
                <w:rFonts w:ascii="Times New Roman" w:eastAsia="Times New Roman" w:hAnsi="Times New Roman" w:cs="Times New Roman"/>
                <w:noProof/>
              </w:rPr>
              <w:t>Who is affected and how</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_Toc510952851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21</w:t>
            </w:r>
            <w:r>
              <w:rPr>
                <w:rFonts w:ascii="Times New Roman" w:hAnsi="Times New Roman" w:cs="Times New Roman"/>
                <w:noProof/>
                <w:webHidden/>
              </w:rPr>
              <w:fldChar w:fldCharType="end"/>
            </w:r>
          </w:hyperlink>
        </w:p>
        <w:p w:rsidR="001B65FF" w:rsidRDefault="003E4EF4">
          <w:pPr>
            <w:pStyle w:val="TOC2"/>
            <w:tabs>
              <w:tab w:val="left" w:pos="1077"/>
            </w:tabs>
            <w:rPr>
              <w:rFonts w:eastAsiaTheme="minorEastAsia"/>
              <w:noProof/>
              <w:sz w:val="22"/>
              <w:szCs w:val="22"/>
              <w:lang w:eastAsia="en-GB"/>
            </w:rPr>
          </w:pPr>
          <w:hyperlink w:anchor="_Toc510952852" w:history="1">
            <w:r>
              <w:rPr>
                <w:rStyle w:val="Hyperlink"/>
                <w:noProof/>
                <w:sz w:val="22"/>
                <w:szCs w:val="22"/>
              </w:rPr>
              <w:t>2.2.</w:t>
            </w:r>
            <w:r>
              <w:rPr>
                <w:rFonts w:eastAsiaTheme="minorEastAsia"/>
                <w:noProof/>
                <w:sz w:val="22"/>
                <w:szCs w:val="22"/>
                <w:lang w:eastAsia="en-GB"/>
              </w:rPr>
              <w:tab/>
            </w:r>
            <w:r>
              <w:rPr>
                <w:rStyle w:val="Hyperlink"/>
                <w:noProof/>
                <w:sz w:val="22"/>
                <w:szCs w:val="22"/>
              </w:rPr>
              <w:t>What are the problem drivers?</w:t>
            </w:r>
            <w:r>
              <w:rPr>
                <w:noProof/>
                <w:webHidden/>
                <w:sz w:val="22"/>
                <w:szCs w:val="22"/>
              </w:rPr>
              <w:tab/>
            </w:r>
            <w:r>
              <w:rPr>
                <w:noProof/>
                <w:webHidden/>
                <w:sz w:val="22"/>
                <w:szCs w:val="22"/>
              </w:rPr>
              <w:fldChar w:fldCharType="begin"/>
            </w:r>
            <w:r>
              <w:rPr>
                <w:noProof/>
                <w:webHidden/>
                <w:sz w:val="22"/>
                <w:szCs w:val="22"/>
              </w:rPr>
              <w:instrText xml:space="preserve"> PAGEREF _Toc510952852 \h </w:instrText>
            </w:r>
            <w:r>
              <w:rPr>
                <w:noProof/>
                <w:webHidden/>
                <w:sz w:val="22"/>
                <w:szCs w:val="22"/>
              </w:rPr>
            </w:r>
            <w:r>
              <w:rPr>
                <w:noProof/>
                <w:webHidden/>
                <w:sz w:val="22"/>
                <w:szCs w:val="22"/>
              </w:rPr>
              <w:fldChar w:fldCharType="separate"/>
            </w:r>
            <w:r>
              <w:rPr>
                <w:noProof/>
                <w:webHidden/>
                <w:sz w:val="22"/>
                <w:szCs w:val="22"/>
              </w:rPr>
              <w:t>22</w:t>
            </w:r>
            <w:r>
              <w:rPr>
                <w:noProof/>
                <w:webHidden/>
                <w:sz w:val="22"/>
                <w:szCs w:val="22"/>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53" w:history="1">
            <w:r>
              <w:rPr>
                <w:rStyle w:val="Hyperlink"/>
                <w:rFonts w:ascii="Times New Roman" w:eastAsia="Times New Roman" w:hAnsi="Times New Roman" w:cs="Times New Roman"/>
                <w:noProof/>
              </w:rPr>
              <w:t>2.2.1.</w:t>
            </w:r>
            <w:r>
              <w:rPr>
                <w:rFonts w:ascii="Times New Roman" w:hAnsi="Times New Roman" w:cs="Times New Roman"/>
                <w:noProof/>
                <w:lang w:eastAsia="en-GB"/>
              </w:rPr>
              <w:tab/>
            </w:r>
            <w:r>
              <w:rPr>
                <w:rStyle w:val="Hyperlink"/>
                <w:rFonts w:ascii="Times New Roman" w:eastAsia="Times New Roman" w:hAnsi="Times New Roman" w:cs="Times New Roman"/>
                <w:noProof/>
              </w:rPr>
              <w:t>It takes too long to access e-evidence across borders under the current judicial cooperation procedures, rendering investigations and prosecutions less effective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_Toc510952853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22</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54" w:history="1">
            <w:r>
              <w:rPr>
                <w:rStyle w:val="Hyperlink"/>
                <w:rFonts w:ascii="Times New Roman" w:eastAsia="Times New Roman" w:hAnsi="Times New Roman" w:cs="Times New Roman"/>
                <w:noProof/>
              </w:rPr>
              <w:t>2.2.2.</w:t>
            </w:r>
            <w:r>
              <w:rPr>
                <w:rFonts w:ascii="Times New Roman" w:hAnsi="Times New Roman" w:cs="Times New Roman"/>
                <w:noProof/>
                <w:lang w:eastAsia="en-GB"/>
              </w:rPr>
              <w:tab/>
            </w:r>
            <w:r>
              <w:rPr>
                <w:rStyle w:val="Hyperlink"/>
                <w:rFonts w:ascii="Times New Roman" w:eastAsia="Times New Roman" w:hAnsi="Times New Roman" w:cs="Times New Roman"/>
                <w:noProof/>
              </w:rPr>
              <w:t>Inefficiencies in public-private cooperation between service providers and public authorities hamper effective investigations and prosecutions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w:instrText>
            </w:r>
            <w:r>
              <w:rPr>
                <w:rFonts w:ascii="Times New Roman" w:hAnsi="Times New Roman" w:cs="Times New Roman"/>
                <w:noProof/>
                <w:webHidden/>
              </w:rPr>
              <w:instrText xml:space="preserve"> _Toc510952854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55" w:history="1">
            <w:r>
              <w:rPr>
                <w:rStyle w:val="Hyperlink"/>
                <w:rFonts w:ascii="Times New Roman" w:eastAsia="Times New Roman" w:hAnsi="Times New Roman" w:cs="Times New Roman"/>
                <w:noProof/>
              </w:rPr>
              <w:t>2.2.3.</w:t>
            </w:r>
            <w:r>
              <w:rPr>
                <w:rFonts w:ascii="Times New Roman" w:hAnsi="Times New Roman" w:cs="Times New Roman"/>
                <w:noProof/>
                <w:lang w:eastAsia="en-GB"/>
              </w:rPr>
              <w:tab/>
            </w:r>
            <w:r>
              <w:rPr>
                <w:rStyle w:val="Hyperlink"/>
                <w:rFonts w:ascii="Times New Roman" w:eastAsia="Times New Roman" w:hAnsi="Times New Roman" w:cs="Times New Roman"/>
                <w:noProof/>
              </w:rPr>
              <w:t>Shortcomings in defining jurisdiction can hinder effective cross-border investigation and prosecution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_Toc510952855 \h</w:instrText>
            </w:r>
            <w:r>
              <w:rPr>
                <w:rFonts w:ascii="Times New Roman" w:hAnsi="Times New Roman" w:cs="Times New Roman"/>
                <w:noProof/>
                <w:webHidden/>
              </w:rPr>
              <w:instrText xml:space="preserve">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28</w:t>
            </w:r>
            <w:r>
              <w:rPr>
                <w:rFonts w:ascii="Times New Roman" w:hAnsi="Times New Roman" w:cs="Times New Roman"/>
                <w:noProof/>
                <w:webHidden/>
              </w:rPr>
              <w:fldChar w:fldCharType="end"/>
            </w:r>
          </w:hyperlink>
        </w:p>
        <w:p w:rsidR="001B65FF" w:rsidRDefault="003E4EF4">
          <w:pPr>
            <w:pStyle w:val="TOC2"/>
            <w:tabs>
              <w:tab w:val="left" w:pos="1077"/>
            </w:tabs>
            <w:rPr>
              <w:rFonts w:eastAsiaTheme="minorEastAsia"/>
              <w:noProof/>
              <w:sz w:val="22"/>
              <w:szCs w:val="22"/>
              <w:lang w:eastAsia="en-GB"/>
            </w:rPr>
          </w:pPr>
          <w:hyperlink w:anchor="_Toc510952856" w:history="1">
            <w:r>
              <w:rPr>
                <w:rStyle w:val="Hyperlink"/>
                <w:noProof/>
                <w:sz w:val="22"/>
                <w:szCs w:val="22"/>
              </w:rPr>
              <w:t>2.3.</w:t>
            </w:r>
            <w:r>
              <w:rPr>
                <w:rFonts w:eastAsiaTheme="minorEastAsia"/>
                <w:noProof/>
                <w:sz w:val="22"/>
                <w:szCs w:val="22"/>
                <w:lang w:eastAsia="en-GB"/>
              </w:rPr>
              <w:tab/>
            </w:r>
            <w:r>
              <w:rPr>
                <w:rStyle w:val="Hyperlink"/>
                <w:noProof/>
                <w:sz w:val="22"/>
                <w:szCs w:val="22"/>
              </w:rPr>
              <w:t>How will the problem evolve?</w:t>
            </w:r>
            <w:r>
              <w:rPr>
                <w:noProof/>
                <w:webHidden/>
                <w:sz w:val="22"/>
                <w:szCs w:val="22"/>
              </w:rPr>
              <w:tab/>
            </w:r>
            <w:r>
              <w:rPr>
                <w:noProof/>
                <w:webHidden/>
                <w:sz w:val="22"/>
                <w:szCs w:val="22"/>
              </w:rPr>
              <w:fldChar w:fldCharType="begin"/>
            </w:r>
            <w:r>
              <w:rPr>
                <w:noProof/>
                <w:webHidden/>
                <w:sz w:val="22"/>
                <w:szCs w:val="22"/>
              </w:rPr>
              <w:instrText xml:space="preserve"> PAGEREF _Toc510952856 \h </w:instrText>
            </w:r>
            <w:r>
              <w:rPr>
                <w:noProof/>
                <w:webHidden/>
                <w:sz w:val="22"/>
                <w:szCs w:val="22"/>
              </w:rPr>
            </w:r>
            <w:r>
              <w:rPr>
                <w:noProof/>
                <w:webHidden/>
                <w:sz w:val="22"/>
                <w:szCs w:val="22"/>
              </w:rPr>
              <w:fldChar w:fldCharType="separate"/>
            </w:r>
            <w:r>
              <w:rPr>
                <w:noProof/>
                <w:webHidden/>
                <w:sz w:val="22"/>
                <w:szCs w:val="22"/>
              </w:rPr>
              <w:t>34</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57" w:history="1">
            <w:r>
              <w:rPr>
                <w:rStyle w:val="Hyperlink"/>
                <w:smallCaps/>
                <w:noProof/>
                <w:sz w:val="22"/>
                <w:szCs w:val="22"/>
              </w:rPr>
              <w:t>3.</w:t>
            </w:r>
            <w:r>
              <w:rPr>
                <w:rFonts w:eastAsiaTheme="minorEastAsia"/>
                <w:caps w:val="0"/>
                <w:noProof/>
                <w:sz w:val="22"/>
                <w:szCs w:val="22"/>
                <w:lang w:eastAsia="en-GB"/>
              </w:rPr>
              <w:tab/>
            </w:r>
            <w:r>
              <w:rPr>
                <w:rStyle w:val="Hyperlink"/>
                <w:smallCaps/>
                <w:noProof/>
                <w:sz w:val="22"/>
                <w:szCs w:val="22"/>
              </w:rPr>
              <w:t>Why should the EU act?</w:t>
            </w:r>
            <w:r>
              <w:rPr>
                <w:noProof/>
                <w:webHidden/>
                <w:sz w:val="22"/>
                <w:szCs w:val="22"/>
              </w:rPr>
              <w:tab/>
            </w:r>
            <w:r>
              <w:rPr>
                <w:noProof/>
                <w:webHidden/>
                <w:sz w:val="22"/>
                <w:szCs w:val="22"/>
              </w:rPr>
              <w:fldChar w:fldCharType="begin"/>
            </w:r>
            <w:r>
              <w:rPr>
                <w:noProof/>
                <w:webHidden/>
                <w:sz w:val="22"/>
                <w:szCs w:val="22"/>
              </w:rPr>
              <w:instrText xml:space="preserve"> PAGEREF _Toc510952857 \h </w:instrText>
            </w:r>
            <w:r>
              <w:rPr>
                <w:noProof/>
                <w:webHidden/>
                <w:sz w:val="22"/>
                <w:szCs w:val="22"/>
              </w:rPr>
            </w:r>
            <w:r>
              <w:rPr>
                <w:noProof/>
                <w:webHidden/>
                <w:sz w:val="22"/>
                <w:szCs w:val="22"/>
              </w:rPr>
              <w:fldChar w:fldCharType="separate"/>
            </w:r>
            <w:r>
              <w:rPr>
                <w:noProof/>
                <w:webHidden/>
                <w:sz w:val="22"/>
                <w:szCs w:val="22"/>
              </w:rPr>
              <w:t>37</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58" w:history="1">
            <w:r>
              <w:rPr>
                <w:rStyle w:val="Hyperlink"/>
                <w:noProof/>
                <w:sz w:val="22"/>
                <w:szCs w:val="22"/>
              </w:rPr>
              <w:t>3.</w:t>
            </w:r>
            <w:r>
              <w:rPr>
                <w:rStyle w:val="Hyperlink"/>
                <w:noProof/>
                <w:sz w:val="22"/>
                <w:szCs w:val="22"/>
              </w:rPr>
              <w:t>1.</w:t>
            </w:r>
            <w:r>
              <w:rPr>
                <w:rFonts w:eastAsiaTheme="minorEastAsia"/>
                <w:noProof/>
                <w:sz w:val="22"/>
                <w:szCs w:val="22"/>
                <w:lang w:eastAsia="en-GB"/>
              </w:rPr>
              <w:tab/>
            </w:r>
            <w:r>
              <w:rPr>
                <w:rStyle w:val="Hyperlink"/>
                <w:noProof/>
                <w:sz w:val="22"/>
                <w:szCs w:val="22"/>
              </w:rPr>
              <w:t>Legal basis</w:t>
            </w:r>
            <w:r>
              <w:rPr>
                <w:noProof/>
                <w:webHidden/>
                <w:sz w:val="22"/>
                <w:szCs w:val="22"/>
              </w:rPr>
              <w:tab/>
            </w:r>
            <w:r>
              <w:rPr>
                <w:noProof/>
                <w:webHidden/>
                <w:sz w:val="22"/>
                <w:szCs w:val="22"/>
              </w:rPr>
              <w:fldChar w:fldCharType="begin"/>
            </w:r>
            <w:r>
              <w:rPr>
                <w:noProof/>
                <w:webHidden/>
                <w:sz w:val="22"/>
                <w:szCs w:val="22"/>
              </w:rPr>
              <w:instrText xml:space="preserve"> PAGEREF _Toc510952858 \h </w:instrText>
            </w:r>
            <w:r>
              <w:rPr>
                <w:noProof/>
                <w:webHidden/>
                <w:sz w:val="22"/>
                <w:szCs w:val="22"/>
              </w:rPr>
            </w:r>
            <w:r>
              <w:rPr>
                <w:noProof/>
                <w:webHidden/>
                <w:sz w:val="22"/>
                <w:szCs w:val="22"/>
              </w:rPr>
              <w:fldChar w:fldCharType="separate"/>
            </w:r>
            <w:r>
              <w:rPr>
                <w:noProof/>
                <w:webHidden/>
                <w:sz w:val="22"/>
                <w:szCs w:val="22"/>
              </w:rPr>
              <w:t>37</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59" w:history="1">
            <w:r>
              <w:rPr>
                <w:rStyle w:val="Hyperlink"/>
                <w:noProof/>
                <w:sz w:val="22"/>
                <w:szCs w:val="22"/>
              </w:rPr>
              <w:t>3.2.</w:t>
            </w:r>
            <w:r>
              <w:rPr>
                <w:rFonts w:eastAsiaTheme="minorEastAsia"/>
                <w:noProof/>
                <w:sz w:val="22"/>
                <w:szCs w:val="22"/>
                <w:lang w:eastAsia="en-GB"/>
              </w:rPr>
              <w:tab/>
            </w:r>
            <w:r>
              <w:rPr>
                <w:rStyle w:val="Hyperlink"/>
                <w:noProof/>
                <w:sz w:val="22"/>
                <w:szCs w:val="22"/>
              </w:rPr>
              <w:t>Subsidiarity: necessity of EU action</w:t>
            </w:r>
            <w:r>
              <w:rPr>
                <w:noProof/>
                <w:webHidden/>
                <w:sz w:val="22"/>
                <w:szCs w:val="22"/>
              </w:rPr>
              <w:tab/>
            </w:r>
            <w:r>
              <w:rPr>
                <w:noProof/>
                <w:webHidden/>
                <w:sz w:val="22"/>
                <w:szCs w:val="22"/>
              </w:rPr>
              <w:fldChar w:fldCharType="begin"/>
            </w:r>
            <w:r>
              <w:rPr>
                <w:noProof/>
                <w:webHidden/>
                <w:sz w:val="22"/>
                <w:szCs w:val="22"/>
              </w:rPr>
              <w:instrText xml:space="preserve"> PAGEREF _Toc510952859 \h </w:instrText>
            </w:r>
            <w:r>
              <w:rPr>
                <w:noProof/>
                <w:webHidden/>
                <w:sz w:val="22"/>
                <w:szCs w:val="22"/>
              </w:rPr>
            </w:r>
            <w:r>
              <w:rPr>
                <w:noProof/>
                <w:webHidden/>
                <w:sz w:val="22"/>
                <w:szCs w:val="22"/>
              </w:rPr>
              <w:fldChar w:fldCharType="separate"/>
            </w:r>
            <w:r>
              <w:rPr>
                <w:noProof/>
                <w:webHidden/>
                <w:sz w:val="22"/>
                <w:szCs w:val="22"/>
              </w:rPr>
              <w:t>38</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60" w:history="1">
            <w:r>
              <w:rPr>
                <w:rStyle w:val="Hyperlink"/>
                <w:noProof/>
                <w:sz w:val="22"/>
                <w:szCs w:val="22"/>
              </w:rPr>
              <w:t>3.3.</w:t>
            </w:r>
            <w:r>
              <w:rPr>
                <w:rFonts w:eastAsiaTheme="minorEastAsia"/>
                <w:noProof/>
                <w:sz w:val="22"/>
                <w:szCs w:val="22"/>
                <w:lang w:eastAsia="en-GB"/>
              </w:rPr>
              <w:tab/>
            </w:r>
            <w:r>
              <w:rPr>
                <w:rStyle w:val="Hyperlink"/>
                <w:noProof/>
                <w:sz w:val="22"/>
                <w:szCs w:val="22"/>
              </w:rPr>
              <w:t>Subsidiarity: added value of EU action</w:t>
            </w:r>
            <w:r>
              <w:rPr>
                <w:noProof/>
                <w:webHidden/>
                <w:sz w:val="22"/>
                <w:szCs w:val="22"/>
              </w:rPr>
              <w:tab/>
            </w:r>
            <w:r>
              <w:rPr>
                <w:noProof/>
                <w:webHidden/>
                <w:sz w:val="22"/>
                <w:szCs w:val="22"/>
              </w:rPr>
              <w:fldChar w:fldCharType="begin"/>
            </w:r>
            <w:r>
              <w:rPr>
                <w:noProof/>
                <w:webHidden/>
                <w:sz w:val="22"/>
                <w:szCs w:val="22"/>
              </w:rPr>
              <w:instrText xml:space="preserve"> PAGEREF _Toc510952860 \h </w:instrText>
            </w:r>
            <w:r>
              <w:rPr>
                <w:noProof/>
                <w:webHidden/>
                <w:sz w:val="22"/>
                <w:szCs w:val="22"/>
              </w:rPr>
            </w:r>
            <w:r>
              <w:rPr>
                <w:noProof/>
                <w:webHidden/>
                <w:sz w:val="22"/>
                <w:szCs w:val="22"/>
              </w:rPr>
              <w:fldChar w:fldCharType="separate"/>
            </w:r>
            <w:r>
              <w:rPr>
                <w:noProof/>
                <w:webHidden/>
                <w:sz w:val="22"/>
                <w:szCs w:val="22"/>
              </w:rPr>
              <w:t>39</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61" w:history="1">
            <w:r>
              <w:rPr>
                <w:rStyle w:val="Hyperlink"/>
                <w:smallCaps/>
                <w:noProof/>
                <w:sz w:val="22"/>
                <w:szCs w:val="22"/>
              </w:rPr>
              <w:t>4.</w:t>
            </w:r>
            <w:r>
              <w:rPr>
                <w:rFonts w:eastAsiaTheme="minorEastAsia"/>
                <w:caps w:val="0"/>
                <w:noProof/>
                <w:sz w:val="22"/>
                <w:szCs w:val="22"/>
                <w:lang w:eastAsia="en-GB"/>
              </w:rPr>
              <w:tab/>
            </w:r>
            <w:r>
              <w:rPr>
                <w:rStyle w:val="Hyperlink"/>
                <w:smallCaps/>
                <w:noProof/>
                <w:sz w:val="22"/>
                <w:szCs w:val="22"/>
              </w:rPr>
              <w:t>Objectives: What is to be achieved?</w:t>
            </w:r>
            <w:r>
              <w:rPr>
                <w:noProof/>
                <w:webHidden/>
                <w:sz w:val="22"/>
                <w:szCs w:val="22"/>
              </w:rPr>
              <w:tab/>
            </w:r>
            <w:r>
              <w:rPr>
                <w:noProof/>
                <w:webHidden/>
                <w:sz w:val="22"/>
                <w:szCs w:val="22"/>
              </w:rPr>
              <w:fldChar w:fldCharType="begin"/>
            </w:r>
            <w:r>
              <w:rPr>
                <w:noProof/>
                <w:webHidden/>
                <w:sz w:val="22"/>
                <w:szCs w:val="22"/>
              </w:rPr>
              <w:instrText xml:space="preserve"> PAGEREF _Toc510952861 \h </w:instrText>
            </w:r>
            <w:r>
              <w:rPr>
                <w:noProof/>
                <w:webHidden/>
                <w:sz w:val="22"/>
                <w:szCs w:val="22"/>
              </w:rPr>
            </w:r>
            <w:r>
              <w:rPr>
                <w:noProof/>
                <w:webHidden/>
                <w:sz w:val="22"/>
                <w:szCs w:val="22"/>
              </w:rPr>
              <w:fldChar w:fldCharType="separate"/>
            </w:r>
            <w:r>
              <w:rPr>
                <w:noProof/>
                <w:webHidden/>
                <w:sz w:val="22"/>
                <w:szCs w:val="22"/>
              </w:rPr>
              <w:t>40</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62" w:history="1">
            <w:r>
              <w:rPr>
                <w:rStyle w:val="Hyperlink"/>
                <w:noProof/>
                <w:sz w:val="22"/>
                <w:szCs w:val="22"/>
              </w:rPr>
              <w:t>4.1.</w:t>
            </w:r>
            <w:r>
              <w:rPr>
                <w:rFonts w:eastAsiaTheme="minorEastAsia"/>
                <w:noProof/>
                <w:sz w:val="22"/>
                <w:szCs w:val="22"/>
                <w:lang w:eastAsia="en-GB"/>
              </w:rPr>
              <w:tab/>
            </w:r>
            <w:r>
              <w:rPr>
                <w:rStyle w:val="Hyperlink"/>
                <w:noProof/>
                <w:sz w:val="22"/>
                <w:szCs w:val="22"/>
              </w:rPr>
              <w:t>General objective</w:t>
            </w:r>
            <w:r>
              <w:rPr>
                <w:noProof/>
                <w:webHidden/>
                <w:sz w:val="22"/>
                <w:szCs w:val="22"/>
              </w:rPr>
              <w:tab/>
            </w:r>
            <w:r>
              <w:rPr>
                <w:noProof/>
                <w:webHidden/>
                <w:sz w:val="22"/>
                <w:szCs w:val="22"/>
              </w:rPr>
              <w:fldChar w:fldCharType="begin"/>
            </w:r>
            <w:r>
              <w:rPr>
                <w:noProof/>
                <w:webHidden/>
                <w:sz w:val="22"/>
                <w:szCs w:val="22"/>
              </w:rPr>
              <w:instrText xml:space="preserve"> PAGEREF _Toc510952862 \h </w:instrText>
            </w:r>
            <w:r>
              <w:rPr>
                <w:noProof/>
                <w:webHidden/>
                <w:sz w:val="22"/>
                <w:szCs w:val="22"/>
              </w:rPr>
            </w:r>
            <w:r>
              <w:rPr>
                <w:noProof/>
                <w:webHidden/>
                <w:sz w:val="22"/>
                <w:szCs w:val="22"/>
              </w:rPr>
              <w:fldChar w:fldCharType="separate"/>
            </w:r>
            <w:r>
              <w:rPr>
                <w:noProof/>
                <w:webHidden/>
                <w:sz w:val="22"/>
                <w:szCs w:val="22"/>
              </w:rPr>
              <w:t>40</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63" w:history="1">
            <w:r>
              <w:rPr>
                <w:rStyle w:val="Hyperlink"/>
                <w:noProof/>
                <w:sz w:val="22"/>
                <w:szCs w:val="22"/>
              </w:rPr>
              <w:t>4.2.</w:t>
            </w:r>
            <w:r>
              <w:rPr>
                <w:rFonts w:eastAsiaTheme="minorEastAsia"/>
                <w:noProof/>
                <w:sz w:val="22"/>
                <w:szCs w:val="22"/>
                <w:lang w:eastAsia="en-GB"/>
              </w:rPr>
              <w:tab/>
            </w:r>
            <w:r>
              <w:rPr>
                <w:rStyle w:val="Hyperlink"/>
                <w:noProof/>
                <w:sz w:val="22"/>
                <w:szCs w:val="22"/>
              </w:rPr>
              <w:t>Specific objectives</w:t>
            </w:r>
            <w:r>
              <w:rPr>
                <w:noProof/>
                <w:webHidden/>
                <w:sz w:val="22"/>
                <w:szCs w:val="22"/>
              </w:rPr>
              <w:tab/>
            </w:r>
            <w:r>
              <w:rPr>
                <w:noProof/>
                <w:webHidden/>
                <w:sz w:val="22"/>
                <w:szCs w:val="22"/>
              </w:rPr>
              <w:fldChar w:fldCharType="begin"/>
            </w:r>
            <w:r>
              <w:rPr>
                <w:noProof/>
                <w:webHidden/>
                <w:sz w:val="22"/>
                <w:szCs w:val="22"/>
              </w:rPr>
              <w:instrText xml:space="preserve"> PAGEREF _Toc510952863 \h </w:instrText>
            </w:r>
            <w:r>
              <w:rPr>
                <w:noProof/>
                <w:webHidden/>
                <w:sz w:val="22"/>
                <w:szCs w:val="22"/>
              </w:rPr>
            </w:r>
            <w:r>
              <w:rPr>
                <w:noProof/>
                <w:webHidden/>
                <w:sz w:val="22"/>
                <w:szCs w:val="22"/>
              </w:rPr>
              <w:fldChar w:fldCharType="separate"/>
            </w:r>
            <w:r>
              <w:rPr>
                <w:noProof/>
                <w:webHidden/>
                <w:sz w:val="22"/>
                <w:szCs w:val="22"/>
              </w:rPr>
              <w:t>40</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64" w:history="1">
            <w:r>
              <w:rPr>
                <w:rStyle w:val="Hyperlink"/>
                <w:smallCaps/>
                <w:noProof/>
                <w:sz w:val="22"/>
                <w:szCs w:val="22"/>
              </w:rPr>
              <w:t>5.</w:t>
            </w:r>
            <w:r>
              <w:rPr>
                <w:rFonts w:eastAsiaTheme="minorEastAsia"/>
                <w:caps w:val="0"/>
                <w:noProof/>
                <w:sz w:val="22"/>
                <w:szCs w:val="22"/>
                <w:lang w:eastAsia="en-GB"/>
              </w:rPr>
              <w:tab/>
            </w:r>
            <w:r>
              <w:rPr>
                <w:rStyle w:val="Hyperlink"/>
                <w:smallCaps/>
                <w:noProof/>
                <w:sz w:val="22"/>
                <w:szCs w:val="22"/>
              </w:rPr>
              <w:t>What are the available policy options?</w:t>
            </w:r>
            <w:r>
              <w:rPr>
                <w:noProof/>
                <w:webHidden/>
                <w:sz w:val="22"/>
                <w:szCs w:val="22"/>
              </w:rPr>
              <w:tab/>
            </w:r>
            <w:r>
              <w:rPr>
                <w:noProof/>
                <w:webHidden/>
                <w:sz w:val="22"/>
                <w:szCs w:val="22"/>
              </w:rPr>
              <w:fldChar w:fldCharType="begin"/>
            </w:r>
            <w:r>
              <w:rPr>
                <w:noProof/>
                <w:webHidden/>
                <w:sz w:val="22"/>
                <w:szCs w:val="22"/>
              </w:rPr>
              <w:instrText xml:space="preserve"> PAGEREF _Toc510952864 \h </w:instrText>
            </w:r>
            <w:r>
              <w:rPr>
                <w:noProof/>
                <w:webHidden/>
                <w:sz w:val="22"/>
                <w:szCs w:val="22"/>
              </w:rPr>
            </w:r>
            <w:r>
              <w:rPr>
                <w:noProof/>
                <w:webHidden/>
                <w:sz w:val="22"/>
                <w:szCs w:val="22"/>
              </w:rPr>
              <w:fldChar w:fldCharType="separate"/>
            </w:r>
            <w:r>
              <w:rPr>
                <w:noProof/>
                <w:webHidden/>
                <w:sz w:val="22"/>
                <w:szCs w:val="22"/>
              </w:rPr>
              <w:t>41</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65" w:history="1">
            <w:r>
              <w:rPr>
                <w:rStyle w:val="Hyperlink"/>
                <w:noProof/>
                <w:sz w:val="22"/>
                <w:szCs w:val="22"/>
              </w:rPr>
              <w:t>5.1.</w:t>
            </w:r>
            <w:r>
              <w:rPr>
                <w:rFonts w:eastAsiaTheme="minorEastAsia"/>
                <w:noProof/>
                <w:sz w:val="22"/>
                <w:szCs w:val="22"/>
                <w:lang w:eastAsia="en-GB"/>
              </w:rPr>
              <w:tab/>
            </w:r>
            <w:r>
              <w:rPr>
                <w:rStyle w:val="Hyperlink"/>
                <w:noProof/>
                <w:sz w:val="22"/>
                <w:szCs w:val="22"/>
              </w:rPr>
              <w:t>Scope of policy measures</w:t>
            </w:r>
            <w:r>
              <w:rPr>
                <w:noProof/>
                <w:webHidden/>
                <w:sz w:val="22"/>
                <w:szCs w:val="22"/>
              </w:rPr>
              <w:tab/>
            </w:r>
            <w:r>
              <w:rPr>
                <w:noProof/>
                <w:webHidden/>
                <w:sz w:val="22"/>
                <w:szCs w:val="22"/>
              </w:rPr>
              <w:fldChar w:fldCharType="begin"/>
            </w:r>
            <w:r>
              <w:rPr>
                <w:noProof/>
                <w:webHidden/>
                <w:sz w:val="22"/>
                <w:szCs w:val="22"/>
              </w:rPr>
              <w:instrText xml:space="preserve"> PAGEREF _Toc510952865 \h </w:instrText>
            </w:r>
            <w:r>
              <w:rPr>
                <w:noProof/>
                <w:webHidden/>
                <w:sz w:val="22"/>
                <w:szCs w:val="22"/>
              </w:rPr>
            </w:r>
            <w:r>
              <w:rPr>
                <w:noProof/>
                <w:webHidden/>
                <w:sz w:val="22"/>
                <w:szCs w:val="22"/>
              </w:rPr>
              <w:fldChar w:fldCharType="separate"/>
            </w:r>
            <w:r>
              <w:rPr>
                <w:noProof/>
                <w:webHidden/>
                <w:sz w:val="22"/>
                <w:szCs w:val="22"/>
              </w:rPr>
              <w:t>42</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66" w:history="1">
            <w:r>
              <w:rPr>
                <w:rStyle w:val="Hyperlink"/>
                <w:noProof/>
                <w:sz w:val="22"/>
                <w:szCs w:val="22"/>
              </w:rPr>
              <w:t>5.2.</w:t>
            </w:r>
            <w:r>
              <w:rPr>
                <w:rFonts w:eastAsiaTheme="minorEastAsia"/>
                <w:noProof/>
                <w:sz w:val="22"/>
                <w:szCs w:val="22"/>
                <w:lang w:eastAsia="en-GB"/>
              </w:rPr>
              <w:tab/>
            </w:r>
            <w:r>
              <w:rPr>
                <w:rStyle w:val="Hyperlink"/>
                <w:noProof/>
                <w:sz w:val="22"/>
                <w:szCs w:val="22"/>
              </w:rPr>
              <w:t>Description of policy measures</w:t>
            </w:r>
            <w:r>
              <w:rPr>
                <w:noProof/>
                <w:webHidden/>
                <w:sz w:val="22"/>
                <w:szCs w:val="22"/>
              </w:rPr>
              <w:tab/>
            </w:r>
            <w:r>
              <w:rPr>
                <w:noProof/>
                <w:webHidden/>
                <w:sz w:val="22"/>
                <w:szCs w:val="22"/>
              </w:rPr>
              <w:fldChar w:fldCharType="begin"/>
            </w:r>
            <w:r>
              <w:rPr>
                <w:noProof/>
                <w:webHidden/>
                <w:sz w:val="22"/>
                <w:szCs w:val="22"/>
              </w:rPr>
              <w:instrText xml:space="preserve"> PAGEREF _Toc510952866 \h </w:instrText>
            </w:r>
            <w:r>
              <w:rPr>
                <w:noProof/>
                <w:webHidden/>
                <w:sz w:val="22"/>
                <w:szCs w:val="22"/>
              </w:rPr>
            </w:r>
            <w:r>
              <w:rPr>
                <w:noProof/>
                <w:webHidden/>
                <w:sz w:val="22"/>
                <w:szCs w:val="22"/>
              </w:rPr>
              <w:fldChar w:fldCharType="separate"/>
            </w:r>
            <w:r>
              <w:rPr>
                <w:noProof/>
                <w:webHidden/>
                <w:sz w:val="22"/>
                <w:szCs w:val="22"/>
              </w:rPr>
              <w:t>45</w:t>
            </w:r>
            <w:r>
              <w:rPr>
                <w:noProof/>
                <w:webHidden/>
                <w:sz w:val="22"/>
                <w:szCs w:val="22"/>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67" w:history="1">
            <w:r>
              <w:rPr>
                <w:rStyle w:val="Hyperlink"/>
                <w:rFonts w:ascii="Times New Roman" w:eastAsia="Times New Roman" w:hAnsi="Times New Roman" w:cs="Times New Roman"/>
                <w:noProof/>
              </w:rPr>
              <w:t>5.2.1.</w:t>
            </w:r>
            <w:r>
              <w:rPr>
                <w:rFonts w:ascii="Times New Roman" w:hAnsi="Times New Roman" w:cs="Times New Roman"/>
                <w:noProof/>
                <w:lang w:eastAsia="en-GB"/>
              </w:rPr>
              <w:tab/>
            </w:r>
            <w:r>
              <w:rPr>
                <w:rStyle w:val="Hyperlink"/>
                <w:rFonts w:ascii="Times New Roman" w:eastAsia="Times New Roman" w:hAnsi="Times New Roman" w:cs="Times New Roman"/>
                <w:noProof/>
              </w:rPr>
              <w:t>Non-legislative action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_Toc510952867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45</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68" w:history="1">
            <w:r>
              <w:rPr>
                <w:rStyle w:val="Hyperlink"/>
                <w:rFonts w:ascii="Times New Roman" w:eastAsia="Times New Roman" w:hAnsi="Times New Roman" w:cs="Times New Roman"/>
                <w:noProof/>
              </w:rPr>
              <w:t>5.2.2.</w:t>
            </w:r>
            <w:r>
              <w:rPr>
                <w:rFonts w:ascii="Times New Roman" w:hAnsi="Times New Roman" w:cs="Times New Roman"/>
                <w:noProof/>
                <w:lang w:eastAsia="en-GB"/>
              </w:rPr>
              <w:tab/>
            </w:r>
            <w:r>
              <w:rPr>
                <w:rStyle w:val="Hyperlink"/>
                <w:rFonts w:ascii="Times New Roman" w:eastAsia="Times New Roman" w:hAnsi="Times New Roman" w:cs="Times New Roman"/>
                <w:noProof/>
              </w:rPr>
              <w:t>Legislative action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_Toc510952868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47</w:t>
            </w:r>
            <w:r>
              <w:rPr>
                <w:rFonts w:ascii="Times New Roman" w:hAnsi="Times New Roman" w:cs="Times New Roman"/>
                <w:noProof/>
                <w:webHidden/>
              </w:rPr>
              <w:fldChar w:fldCharType="end"/>
            </w:r>
          </w:hyperlink>
        </w:p>
        <w:p w:rsidR="001B65FF" w:rsidRDefault="003E4EF4">
          <w:pPr>
            <w:pStyle w:val="TOC2"/>
            <w:tabs>
              <w:tab w:val="left" w:pos="1077"/>
            </w:tabs>
            <w:rPr>
              <w:rFonts w:eastAsiaTheme="minorEastAsia"/>
              <w:noProof/>
              <w:sz w:val="22"/>
              <w:szCs w:val="22"/>
              <w:lang w:eastAsia="en-GB"/>
            </w:rPr>
          </w:pPr>
          <w:hyperlink w:anchor="_Toc510952869" w:history="1">
            <w:r>
              <w:rPr>
                <w:rStyle w:val="Hyperlink"/>
                <w:noProof/>
                <w:sz w:val="22"/>
                <w:szCs w:val="22"/>
              </w:rPr>
              <w:t>5.3.</w:t>
            </w:r>
            <w:r>
              <w:rPr>
                <w:rFonts w:eastAsiaTheme="minorEastAsia"/>
                <w:noProof/>
                <w:sz w:val="22"/>
                <w:szCs w:val="22"/>
                <w:lang w:eastAsia="en-GB"/>
              </w:rPr>
              <w:tab/>
            </w:r>
            <w:r>
              <w:rPr>
                <w:rStyle w:val="Hyperlink"/>
                <w:noProof/>
                <w:sz w:val="22"/>
                <w:szCs w:val="22"/>
              </w:rPr>
              <w:t>Measures discarded at an early stage</w:t>
            </w:r>
            <w:r>
              <w:rPr>
                <w:noProof/>
                <w:webHidden/>
                <w:sz w:val="22"/>
                <w:szCs w:val="22"/>
              </w:rPr>
              <w:tab/>
            </w:r>
            <w:r>
              <w:rPr>
                <w:noProof/>
                <w:webHidden/>
                <w:sz w:val="22"/>
                <w:szCs w:val="22"/>
              </w:rPr>
              <w:fldChar w:fldCharType="begin"/>
            </w:r>
            <w:r>
              <w:rPr>
                <w:noProof/>
                <w:webHidden/>
                <w:sz w:val="22"/>
                <w:szCs w:val="22"/>
              </w:rPr>
              <w:instrText xml:space="preserve"> PAGEREF _Toc510952869 \h </w:instrText>
            </w:r>
            <w:r>
              <w:rPr>
                <w:noProof/>
                <w:webHidden/>
                <w:sz w:val="22"/>
                <w:szCs w:val="22"/>
              </w:rPr>
            </w:r>
            <w:r>
              <w:rPr>
                <w:noProof/>
                <w:webHidden/>
                <w:sz w:val="22"/>
                <w:szCs w:val="22"/>
              </w:rPr>
              <w:fldChar w:fldCharType="separate"/>
            </w:r>
            <w:r>
              <w:rPr>
                <w:noProof/>
                <w:webHidden/>
                <w:sz w:val="22"/>
                <w:szCs w:val="22"/>
              </w:rPr>
              <w:t>73</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70" w:history="1">
            <w:r>
              <w:rPr>
                <w:rStyle w:val="Hyperlink"/>
                <w:noProof/>
                <w:sz w:val="22"/>
                <w:szCs w:val="22"/>
              </w:rPr>
              <w:t>5.4.</w:t>
            </w:r>
            <w:r>
              <w:rPr>
                <w:rFonts w:eastAsiaTheme="minorEastAsia"/>
                <w:noProof/>
                <w:sz w:val="22"/>
                <w:szCs w:val="22"/>
                <w:lang w:eastAsia="en-GB"/>
              </w:rPr>
              <w:tab/>
            </w:r>
            <w:r>
              <w:rPr>
                <w:rStyle w:val="Hyperlink"/>
                <w:noProof/>
                <w:sz w:val="22"/>
                <w:szCs w:val="22"/>
              </w:rPr>
              <w:t>Description of the policy options</w:t>
            </w:r>
            <w:r>
              <w:rPr>
                <w:noProof/>
                <w:webHidden/>
                <w:sz w:val="22"/>
                <w:szCs w:val="22"/>
              </w:rPr>
              <w:tab/>
            </w:r>
            <w:r>
              <w:rPr>
                <w:noProof/>
                <w:webHidden/>
                <w:sz w:val="22"/>
                <w:szCs w:val="22"/>
              </w:rPr>
              <w:fldChar w:fldCharType="begin"/>
            </w:r>
            <w:r>
              <w:rPr>
                <w:noProof/>
                <w:webHidden/>
                <w:sz w:val="22"/>
                <w:szCs w:val="22"/>
              </w:rPr>
              <w:instrText xml:space="preserve"> PAGEREF _Toc510952870 \h </w:instrText>
            </w:r>
            <w:r>
              <w:rPr>
                <w:noProof/>
                <w:webHidden/>
                <w:sz w:val="22"/>
                <w:szCs w:val="22"/>
              </w:rPr>
            </w:r>
            <w:r>
              <w:rPr>
                <w:noProof/>
                <w:webHidden/>
                <w:sz w:val="22"/>
                <w:szCs w:val="22"/>
              </w:rPr>
              <w:fldChar w:fldCharType="separate"/>
            </w:r>
            <w:r>
              <w:rPr>
                <w:noProof/>
                <w:webHidden/>
                <w:sz w:val="22"/>
                <w:szCs w:val="22"/>
              </w:rPr>
              <w:t>75</w:t>
            </w:r>
            <w:r>
              <w:rPr>
                <w:noProof/>
                <w:webHidden/>
                <w:sz w:val="22"/>
                <w:szCs w:val="22"/>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71" w:history="1">
            <w:r>
              <w:rPr>
                <w:rStyle w:val="Hyperlink"/>
                <w:rFonts w:ascii="Times New Roman" w:eastAsia="Times New Roman" w:hAnsi="Times New Roman" w:cs="Times New Roman"/>
                <w:noProof/>
              </w:rPr>
              <w:t>5.4.1.</w:t>
            </w:r>
            <w:r>
              <w:rPr>
                <w:rFonts w:ascii="Times New Roman" w:hAnsi="Times New Roman" w:cs="Times New Roman"/>
                <w:noProof/>
                <w:lang w:eastAsia="en-GB"/>
              </w:rPr>
              <w:tab/>
            </w:r>
            <w:r>
              <w:rPr>
                <w:rStyle w:val="Hyperlink"/>
                <w:rFonts w:ascii="Times New Roman" w:eastAsia="Times New Roman" w:hAnsi="Times New Roman" w:cs="Times New Roman"/>
                <w:noProof/>
              </w:rPr>
              <w:t>Option O: baseline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_Toc510952871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77</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72" w:history="1">
            <w:r>
              <w:rPr>
                <w:rStyle w:val="Hyperlink"/>
                <w:rFonts w:ascii="Times New Roman" w:eastAsia="Times New Roman" w:hAnsi="Times New Roman" w:cs="Times New Roman"/>
                <w:noProof/>
              </w:rPr>
              <w:t>5.4.2.</w:t>
            </w:r>
            <w:r>
              <w:rPr>
                <w:rFonts w:ascii="Times New Roman" w:hAnsi="Times New Roman" w:cs="Times New Roman"/>
                <w:noProof/>
                <w:lang w:eastAsia="en-GB"/>
              </w:rPr>
              <w:tab/>
            </w:r>
            <w:r>
              <w:rPr>
                <w:rStyle w:val="Hyperlink"/>
                <w:rFonts w:ascii="Times New Roman" w:eastAsia="Times New Roman" w:hAnsi="Times New Roman" w:cs="Times New Roman"/>
                <w:noProof/>
              </w:rPr>
              <w:t>Option A: non-legislative action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_Toc510952872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79</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73" w:history="1">
            <w:r>
              <w:rPr>
                <w:rStyle w:val="Hyperlink"/>
                <w:rFonts w:ascii="Times New Roman" w:eastAsia="Times New Roman" w:hAnsi="Times New Roman" w:cs="Times New Roman"/>
                <w:noProof/>
              </w:rPr>
              <w:t>5.4.3.</w:t>
            </w:r>
            <w:r>
              <w:rPr>
                <w:rFonts w:ascii="Times New Roman" w:hAnsi="Times New Roman" w:cs="Times New Roman"/>
                <w:noProof/>
                <w:lang w:eastAsia="en-GB"/>
              </w:rPr>
              <w:tab/>
            </w:r>
            <w:r>
              <w:rPr>
                <w:rStyle w:val="Hyperlink"/>
                <w:rFonts w:ascii="Times New Roman" w:eastAsia="Times New Roman" w:hAnsi="Times New Roman" w:cs="Times New Roman"/>
                <w:noProof/>
              </w:rPr>
              <w:t>Option B: option A + international agreements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_Toc510952873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79</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74" w:history="1">
            <w:r>
              <w:rPr>
                <w:rStyle w:val="Hyperlink"/>
                <w:rFonts w:ascii="Times New Roman" w:eastAsia="Times New Roman" w:hAnsi="Times New Roman" w:cs="Times New Roman"/>
                <w:noProof/>
              </w:rPr>
              <w:t>5.4.4.</w:t>
            </w:r>
            <w:r>
              <w:rPr>
                <w:rFonts w:ascii="Times New Roman" w:hAnsi="Times New Roman" w:cs="Times New Roman"/>
                <w:noProof/>
                <w:lang w:eastAsia="en-GB"/>
              </w:rPr>
              <w:tab/>
            </w:r>
            <w:r>
              <w:rPr>
                <w:rStyle w:val="Hyperlink"/>
                <w:rFonts w:ascii="Times New Roman" w:eastAsia="Times New Roman" w:hAnsi="Times New Roman" w:cs="Times New Roman"/>
                <w:noProof/>
              </w:rPr>
              <w:t>Option C: option B + direct cooperation legislation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w:instrText>
            </w:r>
            <w:r>
              <w:rPr>
                <w:rFonts w:ascii="Times New Roman" w:hAnsi="Times New Roman" w:cs="Times New Roman"/>
                <w:noProof/>
                <w:webHidden/>
              </w:rPr>
              <w:instrText xml:space="preserve">GEREF _Toc510952874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79</w:t>
            </w:r>
            <w:r>
              <w:rPr>
                <w:rFonts w:ascii="Times New Roman" w:hAnsi="Times New Roman" w:cs="Times New Roman"/>
                <w:noProof/>
                <w:webHidden/>
              </w:rPr>
              <w:fldChar w:fldCharType="end"/>
            </w:r>
          </w:hyperlink>
        </w:p>
        <w:p w:rsidR="001B65FF" w:rsidRDefault="003E4EF4">
          <w:pPr>
            <w:pStyle w:val="TOC3"/>
            <w:spacing w:line="240" w:lineRule="auto"/>
            <w:rPr>
              <w:rStyle w:val="Hyperlink"/>
              <w:rFonts w:ascii="Times New Roman" w:hAnsi="Times New Roman" w:cs="Times New Roman"/>
              <w:noProof/>
            </w:rPr>
          </w:pPr>
          <w:hyperlink w:anchor="_Toc510952875" w:history="1">
            <w:r>
              <w:rPr>
                <w:rStyle w:val="Hyperlink"/>
                <w:rFonts w:ascii="Times New Roman" w:eastAsia="Times New Roman" w:hAnsi="Times New Roman" w:cs="Times New Roman"/>
                <w:noProof/>
              </w:rPr>
              <w:t>5.4.5.</w:t>
            </w:r>
            <w:r>
              <w:rPr>
                <w:rFonts w:ascii="Times New Roman" w:hAnsi="Times New Roman" w:cs="Times New Roman"/>
                <w:noProof/>
                <w:lang w:eastAsia="en-GB"/>
              </w:rPr>
              <w:tab/>
            </w:r>
            <w:r>
              <w:rPr>
                <w:rStyle w:val="Hyperlink"/>
                <w:rFonts w:ascii="Times New Roman" w:eastAsia="Times New Roman" w:hAnsi="Times New Roman" w:cs="Times New Roman"/>
                <w:noProof/>
              </w:rPr>
              <w:t>Option D: option C + direct access legislation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_Toc510952875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82</w:t>
            </w:r>
            <w:r>
              <w:rPr>
                <w:rFonts w:ascii="Times New Roman" w:hAnsi="Times New Roman" w:cs="Times New Roman"/>
                <w:noProof/>
                <w:webHidden/>
              </w:rPr>
              <w:fldChar w:fldCharType="end"/>
            </w:r>
          </w:hyperlink>
        </w:p>
        <w:p w:rsidR="001B65FF" w:rsidRDefault="001B65FF">
          <w:pPr>
            <w:rPr>
              <w:noProof/>
            </w:rPr>
          </w:pPr>
        </w:p>
        <w:p w:rsidR="001B65FF" w:rsidRDefault="003E4EF4">
          <w:pPr>
            <w:pStyle w:val="TOC1"/>
            <w:rPr>
              <w:rFonts w:eastAsiaTheme="minorEastAsia"/>
              <w:caps w:val="0"/>
              <w:noProof/>
              <w:sz w:val="22"/>
              <w:szCs w:val="22"/>
              <w:lang w:eastAsia="en-GB"/>
            </w:rPr>
          </w:pPr>
          <w:hyperlink w:anchor="_Toc510952876" w:history="1">
            <w:r>
              <w:rPr>
                <w:rStyle w:val="Hyperlink"/>
                <w:smallCaps/>
                <w:noProof/>
                <w:sz w:val="22"/>
                <w:szCs w:val="22"/>
              </w:rPr>
              <w:t>6.</w:t>
            </w:r>
            <w:r>
              <w:rPr>
                <w:rFonts w:eastAsiaTheme="minorEastAsia"/>
                <w:caps w:val="0"/>
                <w:noProof/>
                <w:sz w:val="22"/>
                <w:szCs w:val="22"/>
                <w:lang w:eastAsia="en-GB"/>
              </w:rPr>
              <w:tab/>
            </w:r>
            <w:r>
              <w:rPr>
                <w:rStyle w:val="Hyperlink"/>
                <w:smallCaps/>
                <w:noProof/>
                <w:sz w:val="22"/>
                <w:szCs w:val="22"/>
              </w:rPr>
              <w:t>What are the impacts of the policy options?</w:t>
            </w:r>
            <w:r>
              <w:rPr>
                <w:noProof/>
                <w:webHidden/>
                <w:sz w:val="22"/>
                <w:szCs w:val="22"/>
              </w:rPr>
              <w:tab/>
            </w:r>
            <w:r>
              <w:rPr>
                <w:noProof/>
                <w:webHidden/>
                <w:sz w:val="22"/>
                <w:szCs w:val="22"/>
              </w:rPr>
              <w:fldChar w:fldCharType="begin"/>
            </w:r>
            <w:r>
              <w:rPr>
                <w:noProof/>
                <w:webHidden/>
                <w:sz w:val="22"/>
                <w:szCs w:val="22"/>
              </w:rPr>
              <w:instrText xml:space="preserve"> PAGEREF _Toc510952876 \h </w:instrText>
            </w:r>
            <w:r>
              <w:rPr>
                <w:noProof/>
                <w:webHidden/>
                <w:sz w:val="22"/>
                <w:szCs w:val="22"/>
              </w:rPr>
            </w:r>
            <w:r>
              <w:rPr>
                <w:noProof/>
                <w:webHidden/>
                <w:sz w:val="22"/>
                <w:szCs w:val="22"/>
              </w:rPr>
              <w:fldChar w:fldCharType="separate"/>
            </w:r>
            <w:r>
              <w:rPr>
                <w:noProof/>
                <w:webHidden/>
                <w:sz w:val="22"/>
                <w:szCs w:val="22"/>
              </w:rPr>
              <w:t>82</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77" w:history="1">
            <w:r>
              <w:rPr>
                <w:rStyle w:val="Hyperlink"/>
                <w:noProof/>
                <w:sz w:val="22"/>
                <w:szCs w:val="22"/>
              </w:rPr>
              <w:t>6.1.</w:t>
            </w:r>
            <w:r>
              <w:rPr>
                <w:rFonts w:eastAsiaTheme="minorEastAsia"/>
                <w:noProof/>
                <w:sz w:val="22"/>
                <w:szCs w:val="22"/>
                <w:lang w:eastAsia="en-GB"/>
              </w:rPr>
              <w:tab/>
            </w:r>
            <w:r>
              <w:rPr>
                <w:rStyle w:val="Hyperlink"/>
                <w:noProof/>
                <w:sz w:val="22"/>
                <w:szCs w:val="22"/>
              </w:rPr>
              <w:t>Qualitative assessment</w:t>
            </w:r>
            <w:r>
              <w:rPr>
                <w:noProof/>
                <w:webHidden/>
                <w:sz w:val="22"/>
                <w:szCs w:val="22"/>
              </w:rPr>
              <w:tab/>
            </w:r>
            <w:r>
              <w:rPr>
                <w:noProof/>
                <w:webHidden/>
                <w:sz w:val="22"/>
                <w:szCs w:val="22"/>
              </w:rPr>
              <w:fldChar w:fldCharType="begin"/>
            </w:r>
            <w:r>
              <w:rPr>
                <w:noProof/>
                <w:webHidden/>
                <w:sz w:val="22"/>
                <w:szCs w:val="22"/>
              </w:rPr>
              <w:instrText xml:space="preserve"> PAGEREF _Toc510952877 \h </w:instrText>
            </w:r>
            <w:r>
              <w:rPr>
                <w:noProof/>
                <w:webHidden/>
                <w:sz w:val="22"/>
                <w:szCs w:val="22"/>
              </w:rPr>
            </w:r>
            <w:r>
              <w:rPr>
                <w:noProof/>
                <w:webHidden/>
                <w:sz w:val="22"/>
                <w:szCs w:val="22"/>
              </w:rPr>
              <w:fldChar w:fldCharType="separate"/>
            </w:r>
            <w:r>
              <w:rPr>
                <w:noProof/>
                <w:webHidden/>
                <w:sz w:val="22"/>
                <w:szCs w:val="22"/>
              </w:rPr>
              <w:t>82</w:t>
            </w:r>
            <w:r>
              <w:rPr>
                <w:noProof/>
                <w:webHidden/>
                <w:sz w:val="22"/>
                <w:szCs w:val="22"/>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78" w:history="1">
            <w:r>
              <w:rPr>
                <w:rStyle w:val="Hyperlink"/>
                <w:rFonts w:ascii="Times New Roman" w:eastAsia="Times New Roman" w:hAnsi="Times New Roman" w:cs="Times New Roman"/>
                <w:noProof/>
              </w:rPr>
              <w:t>6.1.1.</w:t>
            </w:r>
            <w:r>
              <w:rPr>
                <w:rFonts w:ascii="Times New Roman" w:hAnsi="Times New Roman" w:cs="Times New Roman"/>
                <w:noProof/>
                <w:lang w:eastAsia="en-GB"/>
              </w:rPr>
              <w:tab/>
            </w:r>
            <w:r>
              <w:rPr>
                <w:rStyle w:val="Hyperlink"/>
                <w:rFonts w:ascii="Times New Roman" w:eastAsia="Times New Roman" w:hAnsi="Times New Roman" w:cs="Times New Roman"/>
                <w:noProof/>
              </w:rPr>
              <w:t>Social impact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_Toc510952878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83</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79" w:history="1">
            <w:r>
              <w:rPr>
                <w:rStyle w:val="Hyperlink"/>
                <w:rFonts w:ascii="Times New Roman" w:eastAsia="Times New Roman" w:hAnsi="Times New Roman" w:cs="Times New Roman"/>
                <w:noProof/>
              </w:rPr>
              <w:t>6.1.2.</w:t>
            </w:r>
            <w:r>
              <w:rPr>
                <w:rFonts w:ascii="Times New Roman" w:hAnsi="Times New Roman" w:cs="Times New Roman"/>
                <w:noProof/>
                <w:lang w:eastAsia="en-GB"/>
              </w:rPr>
              <w:tab/>
            </w:r>
            <w:r>
              <w:rPr>
                <w:rStyle w:val="Hyperlink"/>
                <w:rFonts w:ascii="Times New Roman" w:eastAsia="Times New Roman" w:hAnsi="Times New Roman" w:cs="Times New Roman"/>
                <w:noProof/>
              </w:rPr>
              <w:t>Economic impact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_Toc510952879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88</w:t>
            </w:r>
            <w:r>
              <w:rPr>
                <w:rFonts w:ascii="Times New Roman" w:hAnsi="Times New Roman" w:cs="Times New Roman"/>
                <w:noProof/>
                <w:webHidden/>
              </w:rPr>
              <w:fldChar w:fldCharType="end"/>
            </w:r>
          </w:hyperlink>
        </w:p>
        <w:p w:rsidR="001B65FF" w:rsidRDefault="003E4EF4">
          <w:pPr>
            <w:pStyle w:val="TOC3"/>
            <w:spacing w:line="240" w:lineRule="auto"/>
            <w:rPr>
              <w:rFonts w:ascii="Times New Roman" w:hAnsi="Times New Roman" w:cs="Times New Roman"/>
              <w:noProof/>
              <w:lang w:eastAsia="en-GB"/>
            </w:rPr>
          </w:pPr>
          <w:hyperlink w:anchor="_Toc510952880" w:history="1">
            <w:r>
              <w:rPr>
                <w:rStyle w:val="Hyperlink"/>
                <w:rFonts w:ascii="Times New Roman" w:eastAsia="Times New Roman" w:hAnsi="Times New Roman" w:cs="Times New Roman"/>
                <w:noProof/>
              </w:rPr>
              <w:t>6.1.3.</w:t>
            </w:r>
            <w:r>
              <w:rPr>
                <w:rFonts w:ascii="Times New Roman" w:hAnsi="Times New Roman" w:cs="Times New Roman"/>
                <w:noProof/>
                <w:lang w:eastAsia="en-GB"/>
              </w:rPr>
              <w:tab/>
            </w:r>
            <w:r>
              <w:rPr>
                <w:rStyle w:val="Hyperlink"/>
                <w:rFonts w:ascii="Times New Roman" w:eastAsia="Times New Roman" w:hAnsi="Times New Roman" w:cs="Times New Roman"/>
                <w:noProof/>
              </w:rPr>
              <w:t>Fundamental rights impact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_Toc510952880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92</w:t>
            </w:r>
            <w:r>
              <w:rPr>
                <w:rFonts w:ascii="Times New Roman" w:hAnsi="Times New Roman" w:cs="Times New Roman"/>
                <w:noProof/>
                <w:webHidden/>
              </w:rPr>
              <w:fldChar w:fldCharType="end"/>
            </w:r>
          </w:hyperlink>
        </w:p>
        <w:p w:rsidR="001B65FF" w:rsidRDefault="003E4EF4">
          <w:pPr>
            <w:pStyle w:val="TOC2"/>
            <w:tabs>
              <w:tab w:val="left" w:pos="1077"/>
            </w:tabs>
            <w:rPr>
              <w:rFonts w:eastAsiaTheme="minorEastAsia"/>
              <w:noProof/>
              <w:sz w:val="22"/>
              <w:szCs w:val="22"/>
              <w:lang w:eastAsia="en-GB"/>
            </w:rPr>
          </w:pPr>
          <w:hyperlink w:anchor="_Toc510952881" w:history="1">
            <w:r>
              <w:rPr>
                <w:rStyle w:val="Hyperlink"/>
                <w:noProof/>
                <w:sz w:val="22"/>
                <w:szCs w:val="22"/>
              </w:rPr>
              <w:t>6.2.</w:t>
            </w:r>
            <w:r>
              <w:rPr>
                <w:rFonts w:eastAsiaTheme="minorEastAsia"/>
                <w:noProof/>
                <w:sz w:val="22"/>
                <w:szCs w:val="22"/>
                <w:lang w:eastAsia="en-GB"/>
              </w:rPr>
              <w:tab/>
            </w:r>
            <w:r>
              <w:rPr>
                <w:rStyle w:val="Hyperlink"/>
                <w:noProof/>
                <w:sz w:val="22"/>
                <w:szCs w:val="22"/>
              </w:rPr>
              <w:t>Quantitative assessment</w:t>
            </w:r>
            <w:r>
              <w:rPr>
                <w:noProof/>
                <w:webHidden/>
                <w:sz w:val="22"/>
                <w:szCs w:val="22"/>
              </w:rPr>
              <w:tab/>
            </w:r>
            <w:r>
              <w:rPr>
                <w:noProof/>
                <w:webHidden/>
                <w:sz w:val="22"/>
                <w:szCs w:val="22"/>
              </w:rPr>
              <w:fldChar w:fldCharType="begin"/>
            </w:r>
            <w:r>
              <w:rPr>
                <w:noProof/>
                <w:webHidden/>
                <w:sz w:val="22"/>
                <w:szCs w:val="22"/>
              </w:rPr>
              <w:instrText xml:space="preserve"> PAGEREF _Toc510952881 \h </w:instrText>
            </w:r>
            <w:r>
              <w:rPr>
                <w:noProof/>
                <w:webHidden/>
                <w:sz w:val="22"/>
                <w:szCs w:val="22"/>
              </w:rPr>
            </w:r>
            <w:r>
              <w:rPr>
                <w:noProof/>
                <w:webHidden/>
                <w:sz w:val="22"/>
                <w:szCs w:val="22"/>
              </w:rPr>
              <w:fldChar w:fldCharType="separate"/>
            </w:r>
            <w:r>
              <w:rPr>
                <w:noProof/>
                <w:webHidden/>
                <w:sz w:val="22"/>
                <w:szCs w:val="22"/>
              </w:rPr>
              <w:t>97</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82" w:history="1">
            <w:r>
              <w:rPr>
                <w:rStyle w:val="Hyperlink"/>
                <w:smallCaps/>
                <w:noProof/>
                <w:sz w:val="22"/>
                <w:szCs w:val="22"/>
              </w:rPr>
              <w:t>7.</w:t>
            </w:r>
            <w:r>
              <w:rPr>
                <w:rFonts w:eastAsiaTheme="minorEastAsia"/>
                <w:caps w:val="0"/>
                <w:noProof/>
                <w:sz w:val="22"/>
                <w:szCs w:val="22"/>
                <w:lang w:eastAsia="en-GB"/>
              </w:rPr>
              <w:tab/>
            </w:r>
            <w:r>
              <w:rPr>
                <w:rStyle w:val="Hyperlink"/>
                <w:smallCaps/>
                <w:noProof/>
                <w:sz w:val="22"/>
                <w:szCs w:val="22"/>
              </w:rPr>
              <w:t>How do the options compare?</w:t>
            </w:r>
            <w:r>
              <w:rPr>
                <w:noProof/>
                <w:webHidden/>
                <w:sz w:val="22"/>
                <w:szCs w:val="22"/>
              </w:rPr>
              <w:tab/>
            </w:r>
            <w:r>
              <w:rPr>
                <w:noProof/>
                <w:webHidden/>
                <w:sz w:val="22"/>
                <w:szCs w:val="22"/>
              </w:rPr>
              <w:fldChar w:fldCharType="begin"/>
            </w:r>
            <w:r>
              <w:rPr>
                <w:noProof/>
                <w:webHidden/>
                <w:sz w:val="22"/>
                <w:szCs w:val="22"/>
              </w:rPr>
              <w:instrText xml:space="preserve"> PAGEREF _Toc510952882 \h </w:instrText>
            </w:r>
            <w:r>
              <w:rPr>
                <w:noProof/>
                <w:webHidden/>
                <w:sz w:val="22"/>
                <w:szCs w:val="22"/>
              </w:rPr>
            </w:r>
            <w:r>
              <w:rPr>
                <w:noProof/>
                <w:webHidden/>
                <w:sz w:val="22"/>
                <w:szCs w:val="22"/>
              </w:rPr>
              <w:fldChar w:fldCharType="separate"/>
            </w:r>
            <w:r>
              <w:rPr>
                <w:noProof/>
                <w:webHidden/>
                <w:sz w:val="22"/>
                <w:szCs w:val="22"/>
              </w:rPr>
              <w:t>101</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83" w:history="1">
            <w:r>
              <w:rPr>
                <w:rStyle w:val="Hyperlink"/>
                <w:noProof/>
                <w:sz w:val="22"/>
                <w:szCs w:val="22"/>
              </w:rPr>
              <w:t>7.1.</w:t>
            </w:r>
            <w:r>
              <w:rPr>
                <w:rFonts w:eastAsiaTheme="minorEastAsia"/>
                <w:noProof/>
                <w:sz w:val="22"/>
                <w:szCs w:val="22"/>
                <w:lang w:eastAsia="en-GB"/>
              </w:rPr>
              <w:tab/>
            </w:r>
            <w:r>
              <w:rPr>
                <w:rStyle w:val="Hyperlink"/>
                <w:noProof/>
                <w:sz w:val="22"/>
                <w:szCs w:val="22"/>
              </w:rPr>
              <w:t>Qualitative comparison</w:t>
            </w:r>
            <w:r>
              <w:rPr>
                <w:noProof/>
                <w:webHidden/>
                <w:sz w:val="22"/>
                <w:szCs w:val="22"/>
              </w:rPr>
              <w:tab/>
            </w:r>
            <w:r>
              <w:rPr>
                <w:noProof/>
                <w:webHidden/>
                <w:sz w:val="22"/>
                <w:szCs w:val="22"/>
              </w:rPr>
              <w:fldChar w:fldCharType="begin"/>
            </w:r>
            <w:r>
              <w:rPr>
                <w:noProof/>
                <w:webHidden/>
                <w:sz w:val="22"/>
                <w:szCs w:val="22"/>
              </w:rPr>
              <w:instrText xml:space="preserve"> PAGEREF _Toc510952883 \h </w:instrText>
            </w:r>
            <w:r>
              <w:rPr>
                <w:noProof/>
                <w:webHidden/>
                <w:sz w:val="22"/>
                <w:szCs w:val="22"/>
              </w:rPr>
            </w:r>
            <w:r>
              <w:rPr>
                <w:noProof/>
                <w:webHidden/>
                <w:sz w:val="22"/>
                <w:szCs w:val="22"/>
              </w:rPr>
              <w:fldChar w:fldCharType="separate"/>
            </w:r>
            <w:r>
              <w:rPr>
                <w:noProof/>
                <w:webHidden/>
                <w:sz w:val="22"/>
                <w:szCs w:val="22"/>
              </w:rPr>
              <w:t>101</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84" w:history="1">
            <w:r>
              <w:rPr>
                <w:rStyle w:val="Hyperlink"/>
                <w:noProof/>
                <w:sz w:val="22"/>
                <w:szCs w:val="22"/>
              </w:rPr>
              <w:t>7.2.</w:t>
            </w:r>
            <w:r>
              <w:rPr>
                <w:rFonts w:eastAsiaTheme="minorEastAsia"/>
                <w:noProof/>
                <w:sz w:val="22"/>
                <w:szCs w:val="22"/>
                <w:lang w:eastAsia="en-GB"/>
              </w:rPr>
              <w:tab/>
            </w:r>
            <w:r>
              <w:rPr>
                <w:rStyle w:val="Hyperlink"/>
                <w:noProof/>
                <w:sz w:val="22"/>
                <w:szCs w:val="22"/>
              </w:rPr>
              <w:t>Quantitative comparison</w:t>
            </w:r>
            <w:r>
              <w:rPr>
                <w:noProof/>
                <w:webHidden/>
                <w:sz w:val="22"/>
                <w:szCs w:val="22"/>
              </w:rPr>
              <w:tab/>
            </w:r>
            <w:r>
              <w:rPr>
                <w:noProof/>
                <w:webHidden/>
                <w:sz w:val="22"/>
                <w:szCs w:val="22"/>
              </w:rPr>
              <w:fldChar w:fldCharType="begin"/>
            </w:r>
            <w:r>
              <w:rPr>
                <w:noProof/>
                <w:webHidden/>
                <w:sz w:val="22"/>
                <w:szCs w:val="22"/>
              </w:rPr>
              <w:instrText xml:space="preserve"> PAGEREF _Toc510952884 \h </w:instrText>
            </w:r>
            <w:r>
              <w:rPr>
                <w:noProof/>
                <w:webHidden/>
                <w:sz w:val="22"/>
                <w:szCs w:val="22"/>
              </w:rPr>
            </w:r>
            <w:r>
              <w:rPr>
                <w:noProof/>
                <w:webHidden/>
                <w:sz w:val="22"/>
                <w:szCs w:val="22"/>
              </w:rPr>
              <w:fldChar w:fldCharType="separate"/>
            </w:r>
            <w:r>
              <w:rPr>
                <w:noProof/>
                <w:webHidden/>
                <w:sz w:val="22"/>
                <w:szCs w:val="22"/>
              </w:rPr>
              <w:t>105</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85" w:history="1">
            <w:r>
              <w:rPr>
                <w:rStyle w:val="Hyperlink"/>
                <w:smallCaps/>
                <w:noProof/>
                <w:sz w:val="22"/>
                <w:szCs w:val="22"/>
              </w:rPr>
              <w:t>8.</w:t>
            </w:r>
            <w:r>
              <w:rPr>
                <w:rFonts w:eastAsiaTheme="minorEastAsia"/>
                <w:caps w:val="0"/>
                <w:noProof/>
                <w:sz w:val="22"/>
                <w:szCs w:val="22"/>
                <w:lang w:eastAsia="en-GB"/>
              </w:rPr>
              <w:tab/>
            </w:r>
            <w:r>
              <w:rPr>
                <w:rStyle w:val="Hyperlink"/>
                <w:smallCaps/>
                <w:noProof/>
                <w:sz w:val="22"/>
                <w:szCs w:val="22"/>
              </w:rPr>
              <w:t>Preferred option</w:t>
            </w:r>
            <w:r>
              <w:rPr>
                <w:noProof/>
                <w:webHidden/>
                <w:sz w:val="22"/>
                <w:szCs w:val="22"/>
              </w:rPr>
              <w:tab/>
            </w:r>
            <w:r>
              <w:rPr>
                <w:noProof/>
                <w:webHidden/>
                <w:sz w:val="22"/>
                <w:szCs w:val="22"/>
              </w:rPr>
              <w:fldChar w:fldCharType="begin"/>
            </w:r>
            <w:r>
              <w:rPr>
                <w:noProof/>
                <w:webHidden/>
                <w:sz w:val="22"/>
                <w:szCs w:val="22"/>
              </w:rPr>
              <w:instrText xml:space="preserve"> PAGEREF _Toc510952885 \h </w:instrText>
            </w:r>
            <w:r>
              <w:rPr>
                <w:noProof/>
                <w:webHidden/>
                <w:sz w:val="22"/>
                <w:szCs w:val="22"/>
              </w:rPr>
            </w:r>
            <w:r>
              <w:rPr>
                <w:noProof/>
                <w:webHidden/>
                <w:sz w:val="22"/>
                <w:szCs w:val="22"/>
              </w:rPr>
              <w:fldChar w:fldCharType="separate"/>
            </w:r>
            <w:r>
              <w:rPr>
                <w:noProof/>
                <w:webHidden/>
                <w:sz w:val="22"/>
                <w:szCs w:val="22"/>
              </w:rPr>
              <w:t>106</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86" w:history="1">
            <w:r>
              <w:rPr>
                <w:rStyle w:val="Hyperlink"/>
                <w:smallCaps/>
                <w:noProof/>
                <w:sz w:val="22"/>
                <w:szCs w:val="22"/>
              </w:rPr>
              <w:t>9.</w:t>
            </w:r>
            <w:r>
              <w:rPr>
                <w:rFonts w:eastAsiaTheme="minorEastAsia"/>
                <w:caps w:val="0"/>
                <w:noProof/>
                <w:sz w:val="22"/>
                <w:szCs w:val="22"/>
                <w:lang w:eastAsia="en-GB"/>
              </w:rPr>
              <w:tab/>
            </w:r>
            <w:r>
              <w:rPr>
                <w:rStyle w:val="Hyperlink"/>
                <w:smallCaps/>
                <w:noProof/>
                <w:sz w:val="22"/>
                <w:szCs w:val="22"/>
              </w:rPr>
              <w:t>How will actual impacts be monitored and evaluated?</w:t>
            </w:r>
            <w:r>
              <w:rPr>
                <w:noProof/>
                <w:webHidden/>
                <w:sz w:val="22"/>
                <w:szCs w:val="22"/>
              </w:rPr>
              <w:tab/>
            </w:r>
            <w:r>
              <w:rPr>
                <w:noProof/>
                <w:webHidden/>
                <w:sz w:val="22"/>
                <w:szCs w:val="22"/>
              </w:rPr>
              <w:fldChar w:fldCharType="begin"/>
            </w:r>
            <w:r>
              <w:rPr>
                <w:noProof/>
                <w:webHidden/>
                <w:sz w:val="22"/>
                <w:szCs w:val="22"/>
              </w:rPr>
              <w:instrText xml:space="preserve"> PAGEREF _Toc510952886 \h </w:instrText>
            </w:r>
            <w:r>
              <w:rPr>
                <w:noProof/>
                <w:webHidden/>
                <w:sz w:val="22"/>
                <w:szCs w:val="22"/>
              </w:rPr>
            </w:r>
            <w:r>
              <w:rPr>
                <w:noProof/>
                <w:webHidden/>
                <w:sz w:val="22"/>
                <w:szCs w:val="22"/>
              </w:rPr>
              <w:fldChar w:fldCharType="separate"/>
            </w:r>
            <w:r>
              <w:rPr>
                <w:noProof/>
                <w:webHidden/>
                <w:sz w:val="22"/>
                <w:szCs w:val="22"/>
              </w:rPr>
              <w:t>108</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87" w:history="1">
            <w:r>
              <w:rPr>
                <w:rStyle w:val="Hyperlink"/>
                <w:smallCaps/>
                <w:noProof/>
                <w:sz w:val="22"/>
                <w:szCs w:val="22"/>
              </w:rPr>
              <w:t>Annex 1: Procedural information</w:t>
            </w:r>
            <w:r>
              <w:rPr>
                <w:noProof/>
                <w:webHidden/>
                <w:sz w:val="22"/>
                <w:szCs w:val="22"/>
              </w:rPr>
              <w:tab/>
            </w:r>
            <w:r>
              <w:rPr>
                <w:noProof/>
                <w:webHidden/>
                <w:sz w:val="22"/>
                <w:szCs w:val="22"/>
              </w:rPr>
              <w:fldChar w:fldCharType="begin"/>
            </w:r>
            <w:r>
              <w:rPr>
                <w:noProof/>
                <w:webHidden/>
                <w:sz w:val="22"/>
                <w:szCs w:val="22"/>
              </w:rPr>
              <w:instrText xml:space="preserve"> PAGEREF _Toc510952887 \h </w:instrText>
            </w:r>
            <w:r>
              <w:rPr>
                <w:noProof/>
                <w:webHidden/>
                <w:sz w:val="22"/>
                <w:szCs w:val="22"/>
              </w:rPr>
            </w:r>
            <w:r>
              <w:rPr>
                <w:noProof/>
                <w:webHidden/>
                <w:sz w:val="22"/>
                <w:szCs w:val="22"/>
              </w:rPr>
              <w:fldChar w:fldCharType="separate"/>
            </w:r>
            <w:r>
              <w:rPr>
                <w:noProof/>
                <w:webHidden/>
                <w:sz w:val="22"/>
                <w:szCs w:val="22"/>
              </w:rPr>
              <w:t>111</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88" w:history="1">
            <w:r>
              <w:rPr>
                <w:rStyle w:val="Hyperlink"/>
                <w:noProof/>
                <w:sz w:val="22"/>
                <w:szCs w:val="22"/>
              </w:rPr>
              <w:t>1.</w:t>
            </w:r>
            <w:r>
              <w:rPr>
                <w:rFonts w:eastAsiaTheme="minorEastAsia"/>
                <w:noProof/>
                <w:sz w:val="22"/>
                <w:szCs w:val="22"/>
                <w:lang w:eastAsia="en-GB"/>
              </w:rPr>
              <w:tab/>
            </w:r>
            <w:r>
              <w:rPr>
                <w:rStyle w:val="Hyperlink"/>
                <w:noProof/>
                <w:sz w:val="22"/>
                <w:szCs w:val="22"/>
              </w:rPr>
              <w:t>Lead DG, D</w:t>
            </w:r>
            <w:r>
              <w:rPr>
                <w:rStyle w:val="Hyperlink"/>
                <w:i/>
                <w:smallCaps/>
                <w:noProof/>
                <w:sz w:val="22"/>
                <w:szCs w:val="22"/>
              </w:rPr>
              <w:t>e</w:t>
            </w:r>
            <w:r>
              <w:rPr>
                <w:rStyle w:val="Hyperlink"/>
                <w:noProof/>
                <w:sz w:val="22"/>
                <w:szCs w:val="22"/>
              </w:rPr>
              <w:t>cide Planning/CWP references</w:t>
            </w:r>
            <w:r>
              <w:rPr>
                <w:noProof/>
                <w:webHidden/>
                <w:sz w:val="22"/>
                <w:szCs w:val="22"/>
              </w:rPr>
              <w:tab/>
            </w:r>
            <w:r>
              <w:rPr>
                <w:noProof/>
                <w:webHidden/>
                <w:sz w:val="22"/>
                <w:szCs w:val="22"/>
              </w:rPr>
              <w:fldChar w:fldCharType="begin"/>
            </w:r>
            <w:r>
              <w:rPr>
                <w:noProof/>
                <w:webHidden/>
                <w:sz w:val="22"/>
                <w:szCs w:val="22"/>
              </w:rPr>
              <w:instrText xml:space="preserve"> PAGEREF _Toc510952888 \h </w:instrText>
            </w:r>
            <w:r>
              <w:rPr>
                <w:noProof/>
                <w:webHidden/>
                <w:sz w:val="22"/>
                <w:szCs w:val="22"/>
              </w:rPr>
            </w:r>
            <w:r>
              <w:rPr>
                <w:noProof/>
                <w:webHidden/>
                <w:sz w:val="22"/>
                <w:szCs w:val="22"/>
              </w:rPr>
              <w:fldChar w:fldCharType="separate"/>
            </w:r>
            <w:r>
              <w:rPr>
                <w:noProof/>
                <w:webHidden/>
                <w:sz w:val="22"/>
                <w:szCs w:val="22"/>
              </w:rPr>
              <w:t>111</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89" w:history="1">
            <w:r>
              <w:rPr>
                <w:rStyle w:val="Hyperlink"/>
                <w:noProof/>
                <w:sz w:val="22"/>
                <w:szCs w:val="22"/>
              </w:rPr>
              <w:t>2.</w:t>
            </w:r>
            <w:r>
              <w:rPr>
                <w:rFonts w:eastAsiaTheme="minorEastAsia"/>
                <w:noProof/>
                <w:sz w:val="22"/>
                <w:szCs w:val="22"/>
                <w:lang w:eastAsia="en-GB"/>
              </w:rPr>
              <w:tab/>
            </w:r>
            <w:r>
              <w:rPr>
                <w:rStyle w:val="Hyperlink"/>
                <w:noProof/>
                <w:sz w:val="22"/>
                <w:szCs w:val="22"/>
              </w:rPr>
              <w:t>Organisation and timing</w:t>
            </w:r>
            <w:r>
              <w:rPr>
                <w:noProof/>
                <w:webHidden/>
                <w:sz w:val="22"/>
                <w:szCs w:val="22"/>
              </w:rPr>
              <w:tab/>
            </w:r>
            <w:r>
              <w:rPr>
                <w:noProof/>
                <w:webHidden/>
                <w:sz w:val="22"/>
                <w:szCs w:val="22"/>
              </w:rPr>
              <w:fldChar w:fldCharType="begin"/>
            </w:r>
            <w:r>
              <w:rPr>
                <w:noProof/>
                <w:webHidden/>
                <w:sz w:val="22"/>
                <w:szCs w:val="22"/>
              </w:rPr>
              <w:instrText xml:space="preserve"> PAGEREF _Toc510952889 \h </w:instrText>
            </w:r>
            <w:r>
              <w:rPr>
                <w:noProof/>
                <w:webHidden/>
                <w:sz w:val="22"/>
                <w:szCs w:val="22"/>
              </w:rPr>
            </w:r>
            <w:r>
              <w:rPr>
                <w:noProof/>
                <w:webHidden/>
                <w:sz w:val="22"/>
                <w:szCs w:val="22"/>
              </w:rPr>
              <w:fldChar w:fldCharType="separate"/>
            </w:r>
            <w:r>
              <w:rPr>
                <w:noProof/>
                <w:webHidden/>
                <w:sz w:val="22"/>
                <w:szCs w:val="22"/>
              </w:rPr>
              <w:t>111</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90" w:history="1">
            <w:r>
              <w:rPr>
                <w:rStyle w:val="Hyperlink"/>
                <w:noProof/>
                <w:sz w:val="22"/>
                <w:szCs w:val="22"/>
              </w:rPr>
              <w:t>3.</w:t>
            </w:r>
            <w:r>
              <w:rPr>
                <w:rFonts w:eastAsiaTheme="minorEastAsia"/>
                <w:noProof/>
                <w:sz w:val="22"/>
                <w:szCs w:val="22"/>
                <w:lang w:eastAsia="en-GB"/>
              </w:rPr>
              <w:tab/>
            </w:r>
            <w:r>
              <w:rPr>
                <w:rStyle w:val="Hyperlink"/>
                <w:noProof/>
                <w:sz w:val="22"/>
                <w:szCs w:val="22"/>
              </w:rPr>
              <w:t>Consultation of the RSB</w:t>
            </w:r>
            <w:r>
              <w:rPr>
                <w:noProof/>
                <w:webHidden/>
                <w:sz w:val="22"/>
                <w:szCs w:val="22"/>
              </w:rPr>
              <w:tab/>
            </w:r>
            <w:r>
              <w:rPr>
                <w:noProof/>
                <w:webHidden/>
                <w:sz w:val="22"/>
                <w:szCs w:val="22"/>
              </w:rPr>
              <w:fldChar w:fldCharType="begin"/>
            </w:r>
            <w:r>
              <w:rPr>
                <w:noProof/>
                <w:webHidden/>
                <w:sz w:val="22"/>
                <w:szCs w:val="22"/>
              </w:rPr>
              <w:instrText xml:space="preserve"> PAGEREF _Toc510952890 \h </w:instrText>
            </w:r>
            <w:r>
              <w:rPr>
                <w:noProof/>
                <w:webHidden/>
                <w:sz w:val="22"/>
                <w:szCs w:val="22"/>
              </w:rPr>
            </w:r>
            <w:r>
              <w:rPr>
                <w:noProof/>
                <w:webHidden/>
                <w:sz w:val="22"/>
                <w:szCs w:val="22"/>
              </w:rPr>
              <w:fldChar w:fldCharType="separate"/>
            </w:r>
            <w:r>
              <w:rPr>
                <w:noProof/>
                <w:webHidden/>
                <w:sz w:val="22"/>
                <w:szCs w:val="22"/>
              </w:rPr>
              <w:t>113</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91" w:history="1">
            <w:r>
              <w:rPr>
                <w:rStyle w:val="Hyperlink"/>
                <w:noProof/>
                <w:sz w:val="22"/>
                <w:szCs w:val="22"/>
              </w:rPr>
              <w:t>4.</w:t>
            </w:r>
            <w:r>
              <w:rPr>
                <w:rFonts w:eastAsiaTheme="minorEastAsia"/>
                <w:noProof/>
                <w:sz w:val="22"/>
                <w:szCs w:val="22"/>
                <w:lang w:eastAsia="en-GB"/>
              </w:rPr>
              <w:tab/>
            </w:r>
            <w:r>
              <w:rPr>
                <w:rStyle w:val="Hyperlink"/>
                <w:noProof/>
                <w:sz w:val="22"/>
                <w:szCs w:val="22"/>
              </w:rPr>
              <w:t>Evidence, sources and quality</w:t>
            </w:r>
            <w:r>
              <w:rPr>
                <w:noProof/>
                <w:webHidden/>
                <w:sz w:val="22"/>
                <w:szCs w:val="22"/>
              </w:rPr>
              <w:tab/>
            </w:r>
            <w:r>
              <w:rPr>
                <w:noProof/>
                <w:webHidden/>
                <w:sz w:val="22"/>
                <w:szCs w:val="22"/>
              </w:rPr>
              <w:fldChar w:fldCharType="begin"/>
            </w:r>
            <w:r>
              <w:rPr>
                <w:noProof/>
                <w:webHidden/>
                <w:sz w:val="22"/>
                <w:szCs w:val="22"/>
              </w:rPr>
              <w:instrText xml:space="preserve"> PAGEREF _Toc510952891 \h </w:instrText>
            </w:r>
            <w:r>
              <w:rPr>
                <w:noProof/>
                <w:webHidden/>
                <w:sz w:val="22"/>
                <w:szCs w:val="22"/>
              </w:rPr>
            </w:r>
            <w:r>
              <w:rPr>
                <w:noProof/>
                <w:webHidden/>
                <w:sz w:val="22"/>
                <w:szCs w:val="22"/>
              </w:rPr>
              <w:fldChar w:fldCharType="separate"/>
            </w:r>
            <w:r>
              <w:rPr>
                <w:noProof/>
                <w:webHidden/>
                <w:sz w:val="22"/>
                <w:szCs w:val="22"/>
              </w:rPr>
              <w:t>115</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92" w:history="1">
            <w:r>
              <w:rPr>
                <w:rStyle w:val="Hyperlink"/>
                <w:smallCaps/>
                <w:noProof/>
                <w:sz w:val="22"/>
                <w:szCs w:val="22"/>
              </w:rPr>
              <w:t>Annex 2: Stakeholder consultation</w:t>
            </w:r>
            <w:r>
              <w:rPr>
                <w:noProof/>
                <w:webHidden/>
                <w:sz w:val="22"/>
                <w:szCs w:val="22"/>
              </w:rPr>
              <w:tab/>
            </w:r>
            <w:r>
              <w:rPr>
                <w:noProof/>
                <w:webHidden/>
                <w:sz w:val="22"/>
                <w:szCs w:val="22"/>
              </w:rPr>
              <w:fldChar w:fldCharType="begin"/>
            </w:r>
            <w:r>
              <w:rPr>
                <w:noProof/>
                <w:webHidden/>
                <w:sz w:val="22"/>
                <w:szCs w:val="22"/>
              </w:rPr>
              <w:instrText xml:space="preserve"> PAGEREF _Toc510952892 \h </w:instrText>
            </w:r>
            <w:r>
              <w:rPr>
                <w:noProof/>
                <w:webHidden/>
                <w:sz w:val="22"/>
                <w:szCs w:val="22"/>
              </w:rPr>
            </w:r>
            <w:r>
              <w:rPr>
                <w:noProof/>
                <w:webHidden/>
                <w:sz w:val="22"/>
                <w:szCs w:val="22"/>
              </w:rPr>
              <w:fldChar w:fldCharType="separate"/>
            </w:r>
            <w:r>
              <w:rPr>
                <w:noProof/>
                <w:webHidden/>
                <w:sz w:val="22"/>
                <w:szCs w:val="22"/>
              </w:rPr>
              <w:t>117</w:t>
            </w:r>
            <w:r>
              <w:rPr>
                <w:noProof/>
                <w:webHidden/>
                <w:sz w:val="22"/>
                <w:szCs w:val="22"/>
              </w:rPr>
              <w:fldChar w:fldCharType="end"/>
            </w:r>
          </w:hyperlink>
        </w:p>
        <w:p w:rsidR="001B65FF" w:rsidRDefault="003E4EF4">
          <w:pPr>
            <w:pStyle w:val="TOC2"/>
            <w:rPr>
              <w:rFonts w:eastAsiaTheme="minorEastAsia"/>
              <w:noProof/>
              <w:sz w:val="22"/>
              <w:szCs w:val="22"/>
              <w:lang w:eastAsia="en-GB"/>
            </w:rPr>
          </w:pPr>
          <w:hyperlink w:anchor="_Toc510952893" w:history="1">
            <w:r>
              <w:rPr>
                <w:rStyle w:val="Hyperlink"/>
                <w:noProof/>
                <w:sz w:val="22"/>
                <w:szCs w:val="22"/>
              </w:rPr>
              <w:t>Annex 2.1: surveys</w:t>
            </w:r>
            <w:r>
              <w:rPr>
                <w:noProof/>
                <w:webHidden/>
                <w:sz w:val="22"/>
                <w:szCs w:val="22"/>
              </w:rPr>
              <w:tab/>
            </w:r>
            <w:r>
              <w:rPr>
                <w:noProof/>
                <w:webHidden/>
                <w:sz w:val="22"/>
                <w:szCs w:val="22"/>
              </w:rPr>
              <w:fldChar w:fldCharType="begin"/>
            </w:r>
            <w:r>
              <w:rPr>
                <w:noProof/>
                <w:webHidden/>
                <w:sz w:val="22"/>
                <w:szCs w:val="22"/>
              </w:rPr>
              <w:instrText xml:space="preserve"> PAGEREF _Toc510952893 \h </w:instrText>
            </w:r>
            <w:r>
              <w:rPr>
                <w:noProof/>
                <w:webHidden/>
                <w:sz w:val="22"/>
                <w:szCs w:val="22"/>
              </w:rPr>
            </w:r>
            <w:r>
              <w:rPr>
                <w:noProof/>
                <w:webHidden/>
                <w:sz w:val="22"/>
                <w:szCs w:val="22"/>
              </w:rPr>
              <w:fldChar w:fldCharType="separate"/>
            </w:r>
            <w:r>
              <w:rPr>
                <w:noProof/>
                <w:webHidden/>
                <w:sz w:val="22"/>
                <w:szCs w:val="22"/>
              </w:rPr>
              <w:t>133</w:t>
            </w:r>
            <w:r>
              <w:rPr>
                <w:noProof/>
                <w:webHidden/>
                <w:sz w:val="22"/>
                <w:szCs w:val="22"/>
              </w:rPr>
              <w:fldChar w:fldCharType="end"/>
            </w:r>
          </w:hyperlink>
        </w:p>
        <w:p w:rsidR="001B65FF" w:rsidRDefault="003E4EF4">
          <w:pPr>
            <w:pStyle w:val="TOC2"/>
            <w:rPr>
              <w:rFonts w:eastAsiaTheme="minorEastAsia"/>
              <w:noProof/>
              <w:sz w:val="22"/>
              <w:szCs w:val="22"/>
              <w:lang w:eastAsia="en-GB"/>
            </w:rPr>
          </w:pPr>
          <w:hyperlink w:anchor="_Toc510952894" w:history="1">
            <w:r>
              <w:rPr>
                <w:rStyle w:val="Hyperlink"/>
                <w:noProof/>
                <w:sz w:val="22"/>
                <w:szCs w:val="22"/>
              </w:rPr>
              <w:t>Annex 2.</w:t>
            </w:r>
            <w:r>
              <w:rPr>
                <w:rStyle w:val="Hyperlink"/>
                <w:noProof/>
                <w:sz w:val="22"/>
                <w:szCs w:val="22"/>
              </w:rPr>
              <w:t>2: meetings</w:t>
            </w:r>
            <w:r>
              <w:rPr>
                <w:noProof/>
                <w:webHidden/>
                <w:sz w:val="22"/>
                <w:szCs w:val="22"/>
              </w:rPr>
              <w:tab/>
            </w:r>
            <w:r>
              <w:rPr>
                <w:noProof/>
                <w:webHidden/>
                <w:sz w:val="22"/>
                <w:szCs w:val="22"/>
              </w:rPr>
              <w:fldChar w:fldCharType="begin"/>
            </w:r>
            <w:r>
              <w:rPr>
                <w:noProof/>
                <w:webHidden/>
                <w:sz w:val="22"/>
                <w:szCs w:val="22"/>
              </w:rPr>
              <w:instrText xml:space="preserve"> PAGEREF _Toc510952894 \h </w:instrText>
            </w:r>
            <w:r>
              <w:rPr>
                <w:noProof/>
                <w:webHidden/>
                <w:sz w:val="22"/>
                <w:szCs w:val="22"/>
              </w:rPr>
            </w:r>
            <w:r>
              <w:rPr>
                <w:noProof/>
                <w:webHidden/>
                <w:sz w:val="22"/>
                <w:szCs w:val="22"/>
              </w:rPr>
              <w:fldChar w:fldCharType="separate"/>
            </w:r>
            <w:r>
              <w:rPr>
                <w:noProof/>
                <w:webHidden/>
                <w:sz w:val="22"/>
                <w:szCs w:val="22"/>
              </w:rPr>
              <w:t>137</w:t>
            </w:r>
            <w:r>
              <w:rPr>
                <w:noProof/>
                <w:webHidden/>
                <w:sz w:val="22"/>
                <w:szCs w:val="22"/>
              </w:rPr>
              <w:fldChar w:fldCharType="end"/>
            </w:r>
          </w:hyperlink>
        </w:p>
        <w:p w:rsidR="001B65FF" w:rsidRDefault="003E4EF4">
          <w:pPr>
            <w:pStyle w:val="TOC2"/>
            <w:rPr>
              <w:rFonts w:eastAsiaTheme="minorEastAsia"/>
              <w:noProof/>
              <w:sz w:val="22"/>
              <w:szCs w:val="22"/>
              <w:lang w:eastAsia="en-GB"/>
            </w:rPr>
          </w:pPr>
          <w:hyperlink w:anchor="_Toc510952895" w:history="1">
            <w:r>
              <w:rPr>
                <w:rStyle w:val="Hyperlink"/>
                <w:noProof/>
                <w:sz w:val="22"/>
                <w:szCs w:val="22"/>
              </w:rPr>
              <w:t>Annex 2.3: conferences</w:t>
            </w:r>
            <w:r>
              <w:rPr>
                <w:noProof/>
                <w:webHidden/>
                <w:sz w:val="22"/>
                <w:szCs w:val="22"/>
              </w:rPr>
              <w:tab/>
            </w:r>
            <w:r>
              <w:rPr>
                <w:noProof/>
                <w:webHidden/>
                <w:sz w:val="22"/>
                <w:szCs w:val="22"/>
              </w:rPr>
              <w:fldChar w:fldCharType="begin"/>
            </w:r>
            <w:r>
              <w:rPr>
                <w:noProof/>
                <w:webHidden/>
                <w:sz w:val="22"/>
                <w:szCs w:val="22"/>
              </w:rPr>
              <w:instrText xml:space="preserve"> PAGEREF _Toc510952895 \h </w:instrText>
            </w:r>
            <w:r>
              <w:rPr>
                <w:noProof/>
                <w:webHidden/>
                <w:sz w:val="22"/>
                <w:szCs w:val="22"/>
              </w:rPr>
            </w:r>
            <w:r>
              <w:rPr>
                <w:noProof/>
                <w:webHidden/>
                <w:sz w:val="22"/>
                <w:szCs w:val="22"/>
              </w:rPr>
              <w:fldChar w:fldCharType="separate"/>
            </w:r>
            <w:r>
              <w:rPr>
                <w:noProof/>
                <w:webHidden/>
                <w:sz w:val="22"/>
                <w:szCs w:val="22"/>
              </w:rPr>
              <w:t>145</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96" w:history="1">
            <w:r>
              <w:rPr>
                <w:rStyle w:val="Hyperlink"/>
                <w:smallCaps/>
                <w:noProof/>
                <w:sz w:val="22"/>
                <w:szCs w:val="22"/>
              </w:rPr>
              <w:t>Annex 3: Who is affected and how?</w:t>
            </w:r>
            <w:r>
              <w:rPr>
                <w:noProof/>
                <w:webHidden/>
                <w:sz w:val="22"/>
                <w:szCs w:val="22"/>
              </w:rPr>
              <w:tab/>
            </w:r>
            <w:r>
              <w:rPr>
                <w:noProof/>
                <w:webHidden/>
                <w:sz w:val="22"/>
                <w:szCs w:val="22"/>
              </w:rPr>
              <w:fldChar w:fldCharType="begin"/>
            </w:r>
            <w:r>
              <w:rPr>
                <w:noProof/>
                <w:webHidden/>
                <w:sz w:val="22"/>
                <w:szCs w:val="22"/>
              </w:rPr>
              <w:instrText xml:space="preserve"> PAGEREF _Toc510952896 \h </w:instrText>
            </w:r>
            <w:r>
              <w:rPr>
                <w:noProof/>
                <w:webHidden/>
                <w:sz w:val="22"/>
                <w:szCs w:val="22"/>
              </w:rPr>
            </w:r>
            <w:r>
              <w:rPr>
                <w:noProof/>
                <w:webHidden/>
                <w:sz w:val="22"/>
                <w:szCs w:val="22"/>
              </w:rPr>
              <w:fldChar w:fldCharType="separate"/>
            </w:r>
            <w:r>
              <w:rPr>
                <w:noProof/>
                <w:webHidden/>
                <w:sz w:val="22"/>
                <w:szCs w:val="22"/>
              </w:rPr>
              <w:t>147</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97" w:history="1">
            <w:r>
              <w:rPr>
                <w:rStyle w:val="Hyperlink"/>
                <w:noProof/>
                <w:sz w:val="22"/>
                <w:szCs w:val="22"/>
              </w:rPr>
              <w:t>1.</w:t>
            </w:r>
            <w:r>
              <w:rPr>
                <w:rFonts w:eastAsiaTheme="minorEastAsia"/>
                <w:noProof/>
                <w:sz w:val="22"/>
                <w:szCs w:val="22"/>
                <w:lang w:eastAsia="en-GB"/>
              </w:rPr>
              <w:tab/>
            </w:r>
            <w:r>
              <w:rPr>
                <w:rStyle w:val="Hyperlink"/>
                <w:noProof/>
                <w:sz w:val="22"/>
                <w:szCs w:val="22"/>
              </w:rPr>
              <w:t>Practical implications of the initiative</w:t>
            </w:r>
            <w:r>
              <w:rPr>
                <w:noProof/>
                <w:webHidden/>
                <w:sz w:val="22"/>
                <w:szCs w:val="22"/>
              </w:rPr>
              <w:tab/>
            </w:r>
            <w:r>
              <w:rPr>
                <w:noProof/>
                <w:webHidden/>
                <w:sz w:val="22"/>
                <w:szCs w:val="22"/>
              </w:rPr>
              <w:fldChar w:fldCharType="begin"/>
            </w:r>
            <w:r>
              <w:rPr>
                <w:noProof/>
                <w:webHidden/>
                <w:sz w:val="22"/>
                <w:szCs w:val="22"/>
              </w:rPr>
              <w:instrText xml:space="preserve"> PAGEREF _Toc510952897 \h </w:instrText>
            </w:r>
            <w:r>
              <w:rPr>
                <w:noProof/>
                <w:webHidden/>
                <w:sz w:val="22"/>
                <w:szCs w:val="22"/>
              </w:rPr>
            </w:r>
            <w:r>
              <w:rPr>
                <w:noProof/>
                <w:webHidden/>
                <w:sz w:val="22"/>
                <w:szCs w:val="22"/>
              </w:rPr>
              <w:fldChar w:fldCharType="separate"/>
            </w:r>
            <w:r>
              <w:rPr>
                <w:noProof/>
                <w:webHidden/>
                <w:sz w:val="22"/>
                <w:szCs w:val="22"/>
              </w:rPr>
              <w:t>147</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898" w:history="1">
            <w:r>
              <w:rPr>
                <w:rStyle w:val="Hyperlink"/>
                <w:noProof/>
                <w:sz w:val="22"/>
                <w:szCs w:val="22"/>
              </w:rPr>
              <w:t>2.</w:t>
            </w:r>
            <w:r>
              <w:rPr>
                <w:rFonts w:eastAsiaTheme="minorEastAsia"/>
                <w:noProof/>
                <w:sz w:val="22"/>
                <w:szCs w:val="22"/>
                <w:lang w:eastAsia="en-GB"/>
              </w:rPr>
              <w:tab/>
            </w:r>
            <w:r>
              <w:rPr>
                <w:rStyle w:val="Hyperlink"/>
                <w:noProof/>
                <w:sz w:val="22"/>
                <w:szCs w:val="22"/>
              </w:rPr>
              <w:t>Summary of costs and benefits</w:t>
            </w:r>
            <w:r>
              <w:rPr>
                <w:noProof/>
                <w:webHidden/>
                <w:sz w:val="22"/>
                <w:szCs w:val="22"/>
              </w:rPr>
              <w:tab/>
            </w:r>
            <w:r>
              <w:rPr>
                <w:noProof/>
                <w:webHidden/>
                <w:sz w:val="22"/>
                <w:szCs w:val="22"/>
              </w:rPr>
              <w:fldChar w:fldCharType="begin"/>
            </w:r>
            <w:r>
              <w:rPr>
                <w:noProof/>
                <w:webHidden/>
                <w:sz w:val="22"/>
                <w:szCs w:val="22"/>
              </w:rPr>
              <w:instrText xml:space="preserve"> PAGEREF _Toc510952898 \h </w:instrText>
            </w:r>
            <w:r>
              <w:rPr>
                <w:noProof/>
                <w:webHidden/>
                <w:sz w:val="22"/>
                <w:szCs w:val="22"/>
              </w:rPr>
            </w:r>
            <w:r>
              <w:rPr>
                <w:noProof/>
                <w:webHidden/>
                <w:sz w:val="22"/>
                <w:szCs w:val="22"/>
              </w:rPr>
              <w:fldChar w:fldCharType="separate"/>
            </w:r>
            <w:r>
              <w:rPr>
                <w:noProof/>
                <w:webHidden/>
                <w:sz w:val="22"/>
                <w:szCs w:val="22"/>
              </w:rPr>
              <w:t>153</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899" w:history="1">
            <w:r>
              <w:rPr>
                <w:rStyle w:val="Hyperlink"/>
                <w:smallCaps/>
                <w:noProof/>
                <w:sz w:val="22"/>
                <w:szCs w:val="22"/>
              </w:rPr>
              <w:t>Annex 4: Analytical methods</w:t>
            </w:r>
            <w:r>
              <w:rPr>
                <w:noProof/>
                <w:webHidden/>
                <w:sz w:val="22"/>
                <w:szCs w:val="22"/>
              </w:rPr>
              <w:tab/>
            </w:r>
            <w:r>
              <w:rPr>
                <w:noProof/>
                <w:webHidden/>
                <w:sz w:val="22"/>
                <w:szCs w:val="22"/>
              </w:rPr>
              <w:fldChar w:fldCharType="begin"/>
            </w:r>
            <w:r>
              <w:rPr>
                <w:noProof/>
                <w:webHidden/>
                <w:sz w:val="22"/>
                <w:szCs w:val="22"/>
              </w:rPr>
              <w:instrText xml:space="preserve"> PAGEREF _Toc510952899 \h </w:instrText>
            </w:r>
            <w:r>
              <w:rPr>
                <w:noProof/>
                <w:webHidden/>
                <w:sz w:val="22"/>
                <w:szCs w:val="22"/>
              </w:rPr>
            </w:r>
            <w:r>
              <w:rPr>
                <w:noProof/>
                <w:webHidden/>
                <w:sz w:val="22"/>
                <w:szCs w:val="22"/>
              </w:rPr>
              <w:fldChar w:fldCharType="separate"/>
            </w:r>
            <w:r>
              <w:rPr>
                <w:noProof/>
                <w:webHidden/>
                <w:sz w:val="22"/>
                <w:szCs w:val="22"/>
              </w:rPr>
              <w:t>156</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900" w:history="1">
            <w:r>
              <w:rPr>
                <w:rStyle w:val="Hyperlink"/>
                <w:noProof/>
                <w:sz w:val="22"/>
                <w:szCs w:val="22"/>
              </w:rPr>
              <w:t>1.</w:t>
            </w:r>
            <w:r>
              <w:rPr>
                <w:rFonts w:eastAsiaTheme="minorEastAsia"/>
                <w:noProof/>
                <w:sz w:val="22"/>
                <w:szCs w:val="22"/>
                <w:lang w:eastAsia="en-GB"/>
              </w:rPr>
              <w:tab/>
            </w:r>
            <w:r>
              <w:rPr>
                <w:rStyle w:val="Hyperlink"/>
                <w:noProof/>
                <w:sz w:val="22"/>
                <w:szCs w:val="22"/>
              </w:rPr>
              <w:t>Qualitative assessment of policy measures</w:t>
            </w:r>
            <w:r>
              <w:rPr>
                <w:noProof/>
                <w:webHidden/>
                <w:sz w:val="22"/>
                <w:szCs w:val="22"/>
              </w:rPr>
              <w:tab/>
            </w:r>
            <w:r>
              <w:rPr>
                <w:noProof/>
                <w:webHidden/>
                <w:sz w:val="22"/>
                <w:szCs w:val="22"/>
              </w:rPr>
              <w:fldChar w:fldCharType="begin"/>
            </w:r>
            <w:r>
              <w:rPr>
                <w:noProof/>
                <w:webHidden/>
                <w:sz w:val="22"/>
                <w:szCs w:val="22"/>
              </w:rPr>
              <w:instrText xml:space="preserve"> PAGEREF _Toc510952900 \h </w:instrText>
            </w:r>
            <w:r>
              <w:rPr>
                <w:noProof/>
                <w:webHidden/>
                <w:sz w:val="22"/>
                <w:szCs w:val="22"/>
              </w:rPr>
            </w:r>
            <w:r>
              <w:rPr>
                <w:noProof/>
                <w:webHidden/>
                <w:sz w:val="22"/>
                <w:szCs w:val="22"/>
              </w:rPr>
              <w:fldChar w:fldCharType="separate"/>
            </w:r>
            <w:r>
              <w:rPr>
                <w:noProof/>
                <w:webHidden/>
                <w:sz w:val="22"/>
                <w:szCs w:val="22"/>
              </w:rPr>
              <w:t>156</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905" w:history="1">
            <w:r>
              <w:rPr>
                <w:rStyle w:val="Hyperlink"/>
                <w:noProof/>
                <w:sz w:val="22"/>
                <w:szCs w:val="22"/>
              </w:rPr>
              <w:t>2.</w:t>
            </w:r>
            <w:r>
              <w:rPr>
                <w:rFonts w:eastAsiaTheme="minorEastAsia"/>
                <w:noProof/>
                <w:sz w:val="22"/>
                <w:szCs w:val="22"/>
                <w:lang w:eastAsia="en-GB"/>
              </w:rPr>
              <w:tab/>
            </w:r>
            <w:r>
              <w:rPr>
                <w:rStyle w:val="Hyperlink"/>
                <w:noProof/>
                <w:sz w:val="22"/>
                <w:szCs w:val="22"/>
              </w:rPr>
              <w:t>Qualitative comparison of policy options</w:t>
            </w:r>
            <w:r>
              <w:rPr>
                <w:noProof/>
                <w:webHidden/>
                <w:sz w:val="22"/>
                <w:szCs w:val="22"/>
              </w:rPr>
              <w:tab/>
            </w:r>
            <w:r>
              <w:rPr>
                <w:noProof/>
                <w:webHidden/>
                <w:sz w:val="22"/>
                <w:szCs w:val="22"/>
              </w:rPr>
              <w:fldChar w:fldCharType="begin"/>
            </w:r>
            <w:r>
              <w:rPr>
                <w:noProof/>
                <w:webHidden/>
                <w:sz w:val="22"/>
                <w:szCs w:val="22"/>
              </w:rPr>
              <w:instrText xml:space="preserve"> PAGEREF _Toc510952905 \h </w:instrText>
            </w:r>
            <w:r>
              <w:rPr>
                <w:noProof/>
                <w:webHidden/>
                <w:sz w:val="22"/>
                <w:szCs w:val="22"/>
              </w:rPr>
            </w:r>
            <w:r>
              <w:rPr>
                <w:noProof/>
                <w:webHidden/>
                <w:sz w:val="22"/>
                <w:szCs w:val="22"/>
              </w:rPr>
              <w:fldChar w:fldCharType="separate"/>
            </w:r>
            <w:r>
              <w:rPr>
                <w:noProof/>
                <w:webHidden/>
                <w:sz w:val="22"/>
                <w:szCs w:val="22"/>
              </w:rPr>
              <w:t>178</w:t>
            </w:r>
            <w:r>
              <w:rPr>
                <w:noProof/>
                <w:webHidden/>
                <w:sz w:val="22"/>
                <w:szCs w:val="22"/>
              </w:rPr>
              <w:fldChar w:fldCharType="end"/>
            </w:r>
          </w:hyperlink>
        </w:p>
        <w:p w:rsidR="001B65FF" w:rsidRDefault="003E4EF4">
          <w:pPr>
            <w:pStyle w:val="TOC2"/>
            <w:tabs>
              <w:tab w:val="left" w:pos="1077"/>
            </w:tabs>
            <w:rPr>
              <w:rFonts w:eastAsiaTheme="minorEastAsia"/>
              <w:noProof/>
              <w:sz w:val="22"/>
              <w:szCs w:val="22"/>
              <w:lang w:eastAsia="en-GB"/>
            </w:rPr>
          </w:pPr>
          <w:hyperlink w:anchor="_Toc510952906" w:history="1">
            <w:r>
              <w:rPr>
                <w:rStyle w:val="Hyperlink"/>
                <w:noProof/>
                <w:sz w:val="22"/>
                <w:szCs w:val="22"/>
              </w:rPr>
              <w:t>3.</w:t>
            </w:r>
            <w:r>
              <w:rPr>
                <w:rFonts w:eastAsiaTheme="minorEastAsia"/>
                <w:noProof/>
                <w:sz w:val="22"/>
                <w:szCs w:val="22"/>
                <w:lang w:eastAsia="en-GB"/>
              </w:rPr>
              <w:tab/>
            </w:r>
            <w:r>
              <w:rPr>
                <w:rStyle w:val="Hyperlink"/>
                <w:noProof/>
                <w:sz w:val="22"/>
                <w:szCs w:val="22"/>
              </w:rPr>
              <w:t>Quantitative assessment of policy measures</w:t>
            </w:r>
            <w:r>
              <w:rPr>
                <w:noProof/>
                <w:webHidden/>
                <w:sz w:val="22"/>
                <w:szCs w:val="22"/>
              </w:rPr>
              <w:tab/>
            </w:r>
            <w:r>
              <w:rPr>
                <w:noProof/>
                <w:webHidden/>
                <w:sz w:val="22"/>
                <w:szCs w:val="22"/>
              </w:rPr>
              <w:fldChar w:fldCharType="begin"/>
            </w:r>
            <w:r>
              <w:rPr>
                <w:noProof/>
                <w:webHidden/>
                <w:sz w:val="22"/>
                <w:szCs w:val="22"/>
              </w:rPr>
              <w:instrText xml:space="preserve"> PAGEREF _Toc510952906 \h </w:instrText>
            </w:r>
            <w:r>
              <w:rPr>
                <w:noProof/>
                <w:webHidden/>
                <w:sz w:val="22"/>
                <w:szCs w:val="22"/>
              </w:rPr>
            </w:r>
            <w:r>
              <w:rPr>
                <w:noProof/>
                <w:webHidden/>
                <w:sz w:val="22"/>
                <w:szCs w:val="22"/>
              </w:rPr>
              <w:fldChar w:fldCharType="separate"/>
            </w:r>
            <w:r>
              <w:rPr>
                <w:noProof/>
                <w:webHidden/>
                <w:sz w:val="22"/>
                <w:szCs w:val="22"/>
              </w:rPr>
              <w:t>189</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907" w:history="1">
            <w:r>
              <w:rPr>
                <w:rStyle w:val="Hyperlink"/>
                <w:smallCaps/>
                <w:noProof/>
                <w:sz w:val="22"/>
                <w:szCs w:val="22"/>
              </w:rPr>
              <w:t>Annex 5: List of relevant legisl</w:t>
            </w:r>
            <w:r>
              <w:rPr>
                <w:rStyle w:val="Hyperlink"/>
                <w:smallCaps/>
                <w:noProof/>
                <w:sz w:val="22"/>
                <w:szCs w:val="22"/>
              </w:rPr>
              <w:t>ation and policies</w:t>
            </w:r>
            <w:r>
              <w:rPr>
                <w:noProof/>
                <w:webHidden/>
                <w:sz w:val="22"/>
                <w:szCs w:val="22"/>
              </w:rPr>
              <w:tab/>
            </w:r>
            <w:r>
              <w:rPr>
                <w:noProof/>
                <w:webHidden/>
                <w:sz w:val="22"/>
                <w:szCs w:val="22"/>
              </w:rPr>
              <w:fldChar w:fldCharType="begin"/>
            </w:r>
            <w:r>
              <w:rPr>
                <w:noProof/>
                <w:webHidden/>
                <w:sz w:val="22"/>
                <w:szCs w:val="22"/>
              </w:rPr>
              <w:instrText xml:space="preserve"> PAGEREF _Toc510952907 \h </w:instrText>
            </w:r>
            <w:r>
              <w:rPr>
                <w:noProof/>
                <w:webHidden/>
                <w:sz w:val="22"/>
                <w:szCs w:val="22"/>
              </w:rPr>
            </w:r>
            <w:r>
              <w:rPr>
                <w:noProof/>
                <w:webHidden/>
                <w:sz w:val="22"/>
                <w:szCs w:val="22"/>
              </w:rPr>
              <w:fldChar w:fldCharType="separate"/>
            </w:r>
            <w:r>
              <w:rPr>
                <w:noProof/>
                <w:webHidden/>
                <w:sz w:val="22"/>
                <w:szCs w:val="22"/>
              </w:rPr>
              <w:t>209</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914" w:history="1">
            <w:r>
              <w:rPr>
                <w:rStyle w:val="Hyperlink"/>
                <w:smallCaps/>
                <w:noProof/>
                <w:sz w:val="22"/>
                <w:szCs w:val="22"/>
              </w:rPr>
              <w:t>Annex 6: Additional information on the problem drivers</w:t>
            </w:r>
            <w:r>
              <w:rPr>
                <w:noProof/>
                <w:webHidden/>
                <w:sz w:val="22"/>
                <w:szCs w:val="22"/>
              </w:rPr>
              <w:tab/>
            </w:r>
            <w:r>
              <w:rPr>
                <w:noProof/>
                <w:webHidden/>
                <w:sz w:val="22"/>
                <w:szCs w:val="22"/>
              </w:rPr>
              <w:fldChar w:fldCharType="begin"/>
            </w:r>
            <w:r>
              <w:rPr>
                <w:noProof/>
                <w:webHidden/>
                <w:sz w:val="22"/>
                <w:szCs w:val="22"/>
              </w:rPr>
              <w:instrText xml:space="preserve"> PAGEREF _Toc510952914 \h </w:instrText>
            </w:r>
            <w:r>
              <w:rPr>
                <w:noProof/>
                <w:webHidden/>
                <w:sz w:val="22"/>
                <w:szCs w:val="22"/>
              </w:rPr>
            </w:r>
            <w:r>
              <w:rPr>
                <w:noProof/>
                <w:webHidden/>
                <w:sz w:val="22"/>
                <w:szCs w:val="22"/>
              </w:rPr>
              <w:fldChar w:fldCharType="separate"/>
            </w:r>
            <w:r>
              <w:rPr>
                <w:noProof/>
                <w:webHidden/>
                <w:sz w:val="22"/>
                <w:szCs w:val="22"/>
              </w:rPr>
              <w:t>216</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915" w:history="1">
            <w:r>
              <w:rPr>
                <w:rStyle w:val="Hyperlink"/>
                <w:smallCaps/>
                <w:noProof/>
                <w:sz w:val="22"/>
                <w:szCs w:val="22"/>
              </w:rPr>
              <w:t>Annex 7: Additional information on the policy measures</w:t>
            </w:r>
            <w:r>
              <w:rPr>
                <w:noProof/>
                <w:webHidden/>
                <w:sz w:val="22"/>
                <w:szCs w:val="22"/>
              </w:rPr>
              <w:tab/>
            </w:r>
            <w:r>
              <w:rPr>
                <w:noProof/>
                <w:webHidden/>
                <w:sz w:val="22"/>
                <w:szCs w:val="22"/>
              </w:rPr>
              <w:fldChar w:fldCharType="begin"/>
            </w:r>
            <w:r>
              <w:rPr>
                <w:noProof/>
                <w:webHidden/>
                <w:sz w:val="22"/>
                <w:szCs w:val="22"/>
              </w:rPr>
              <w:instrText xml:space="preserve"> PAGEREF _Toc510952915 \h </w:instrText>
            </w:r>
            <w:r>
              <w:rPr>
                <w:noProof/>
                <w:webHidden/>
                <w:sz w:val="22"/>
                <w:szCs w:val="22"/>
              </w:rPr>
            </w:r>
            <w:r>
              <w:rPr>
                <w:noProof/>
                <w:webHidden/>
                <w:sz w:val="22"/>
                <w:szCs w:val="22"/>
              </w:rPr>
              <w:fldChar w:fldCharType="separate"/>
            </w:r>
            <w:r>
              <w:rPr>
                <w:noProof/>
                <w:webHidden/>
                <w:sz w:val="22"/>
                <w:szCs w:val="22"/>
              </w:rPr>
              <w:t>226</w:t>
            </w:r>
            <w:r>
              <w:rPr>
                <w:noProof/>
                <w:webHidden/>
                <w:sz w:val="22"/>
                <w:szCs w:val="22"/>
              </w:rPr>
              <w:fldChar w:fldCharType="end"/>
            </w:r>
          </w:hyperlink>
        </w:p>
        <w:p w:rsidR="001B65FF" w:rsidRDefault="003E4EF4">
          <w:pPr>
            <w:pStyle w:val="TOC2"/>
            <w:rPr>
              <w:rFonts w:eastAsiaTheme="minorEastAsia"/>
              <w:noProof/>
              <w:sz w:val="22"/>
              <w:szCs w:val="22"/>
              <w:lang w:eastAsia="en-GB"/>
            </w:rPr>
          </w:pPr>
          <w:hyperlink w:anchor="_Toc510952916" w:history="1">
            <w:r>
              <w:rPr>
                <w:rStyle w:val="Hyperlink"/>
                <w:noProof/>
                <w:sz w:val="22"/>
                <w:szCs w:val="22"/>
              </w:rPr>
              <w:t>Measure 1: practical measures to enhance judicial cooperation</w:t>
            </w:r>
            <w:r>
              <w:rPr>
                <w:noProof/>
                <w:webHidden/>
                <w:sz w:val="22"/>
                <w:szCs w:val="22"/>
              </w:rPr>
              <w:tab/>
            </w:r>
            <w:r>
              <w:rPr>
                <w:noProof/>
                <w:webHidden/>
                <w:sz w:val="22"/>
                <w:szCs w:val="22"/>
              </w:rPr>
              <w:fldChar w:fldCharType="begin"/>
            </w:r>
            <w:r>
              <w:rPr>
                <w:noProof/>
                <w:webHidden/>
                <w:sz w:val="22"/>
                <w:szCs w:val="22"/>
              </w:rPr>
              <w:instrText xml:space="preserve"> PAGEREF _Toc510952916 \h </w:instrText>
            </w:r>
            <w:r>
              <w:rPr>
                <w:noProof/>
                <w:webHidden/>
                <w:sz w:val="22"/>
                <w:szCs w:val="22"/>
              </w:rPr>
            </w:r>
            <w:r>
              <w:rPr>
                <w:noProof/>
                <w:webHidden/>
                <w:sz w:val="22"/>
                <w:szCs w:val="22"/>
              </w:rPr>
              <w:fldChar w:fldCharType="separate"/>
            </w:r>
            <w:r>
              <w:rPr>
                <w:noProof/>
                <w:webHidden/>
                <w:sz w:val="22"/>
                <w:szCs w:val="22"/>
              </w:rPr>
              <w:t>226</w:t>
            </w:r>
            <w:r>
              <w:rPr>
                <w:noProof/>
                <w:webHidden/>
                <w:sz w:val="22"/>
                <w:szCs w:val="22"/>
              </w:rPr>
              <w:fldChar w:fldCharType="end"/>
            </w:r>
          </w:hyperlink>
        </w:p>
        <w:p w:rsidR="001B65FF" w:rsidRDefault="003E4EF4">
          <w:pPr>
            <w:pStyle w:val="TOC2"/>
            <w:rPr>
              <w:rFonts w:eastAsiaTheme="minorEastAsia"/>
              <w:noProof/>
              <w:sz w:val="22"/>
              <w:szCs w:val="22"/>
              <w:lang w:eastAsia="en-GB"/>
            </w:rPr>
          </w:pPr>
          <w:hyperlink w:anchor="_Toc510952917" w:history="1">
            <w:r>
              <w:rPr>
                <w:rStyle w:val="Hyperlink"/>
                <w:noProof/>
                <w:sz w:val="22"/>
                <w:szCs w:val="22"/>
              </w:rPr>
              <w:t>Measure 2: practical measures to</w:t>
            </w:r>
            <w:r>
              <w:rPr>
                <w:rStyle w:val="Hyperlink"/>
                <w:noProof/>
                <w:sz w:val="22"/>
                <w:szCs w:val="22"/>
              </w:rPr>
              <w:t xml:space="preserve"> enhance direct cooperation</w:t>
            </w:r>
            <w:r>
              <w:rPr>
                <w:noProof/>
                <w:webHidden/>
                <w:sz w:val="22"/>
                <w:szCs w:val="22"/>
              </w:rPr>
              <w:tab/>
            </w:r>
            <w:r>
              <w:rPr>
                <w:noProof/>
                <w:webHidden/>
                <w:sz w:val="22"/>
                <w:szCs w:val="22"/>
              </w:rPr>
              <w:fldChar w:fldCharType="begin"/>
            </w:r>
            <w:r>
              <w:rPr>
                <w:noProof/>
                <w:webHidden/>
                <w:sz w:val="22"/>
                <w:szCs w:val="22"/>
              </w:rPr>
              <w:instrText xml:space="preserve"> PAGEREF _Toc510952917 \h </w:instrText>
            </w:r>
            <w:r>
              <w:rPr>
                <w:noProof/>
                <w:webHidden/>
                <w:sz w:val="22"/>
                <w:szCs w:val="22"/>
              </w:rPr>
            </w:r>
            <w:r>
              <w:rPr>
                <w:noProof/>
                <w:webHidden/>
                <w:sz w:val="22"/>
                <w:szCs w:val="22"/>
              </w:rPr>
              <w:fldChar w:fldCharType="separate"/>
            </w:r>
            <w:r>
              <w:rPr>
                <w:noProof/>
                <w:webHidden/>
                <w:sz w:val="22"/>
                <w:szCs w:val="22"/>
              </w:rPr>
              <w:t>230</w:t>
            </w:r>
            <w:r>
              <w:rPr>
                <w:noProof/>
                <w:webHidden/>
                <w:sz w:val="22"/>
                <w:szCs w:val="22"/>
              </w:rPr>
              <w:fldChar w:fldCharType="end"/>
            </w:r>
          </w:hyperlink>
        </w:p>
        <w:p w:rsidR="001B65FF" w:rsidRDefault="003E4EF4">
          <w:pPr>
            <w:pStyle w:val="TOC2"/>
            <w:rPr>
              <w:rFonts w:eastAsiaTheme="minorEastAsia"/>
              <w:noProof/>
              <w:sz w:val="22"/>
              <w:szCs w:val="22"/>
              <w:lang w:eastAsia="en-GB"/>
            </w:rPr>
          </w:pPr>
          <w:hyperlink w:anchor="_Toc510952918" w:history="1">
            <w:r>
              <w:rPr>
                <w:rStyle w:val="Hyperlink"/>
                <w:noProof/>
                <w:sz w:val="22"/>
                <w:szCs w:val="22"/>
              </w:rPr>
              <w:t>Measure 3: multilateral international agreements</w:t>
            </w:r>
            <w:r>
              <w:rPr>
                <w:noProof/>
                <w:webHidden/>
                <w:sz w:val="22"/>
                <w:szCs w:val="22"/>
              </w:rPr>
              <w:tab/>
            </w:r>
            <w:r>
              <w:rPr>
                <w:noProof/>
                <w:webHidden/>
                <w:sz w:val="22"/>
                <w:szCs w:val="22"/>
              </w:rPr>
              <w:fldChar w:fldCharType="begin"/>
            </w:r>
            <w:r>
              <w:rPr>
                <w:noProof/>
                <w:webHidden/>
                <w:sz w:val="22"/>
                <w:szCs w:val="22"/>
              </w:rPr>
              <w:instrText xml:space="preserve"> PAGEREF _Toc510952918 \h </w:instrText>
            </w:r>
            <w:r>
              <w:rPr>
                <w:noProof/>
                <w:webHidden/>
                <w:sz w:val="22"/>
                <w:szCs w:val="22"/>
              </w:rPr>
            </w:r>
            <w:r>
              <w:rPr>
                <w:noProof/>
                <w:webHidden/>
                <w:sz w:val="22"/>
                <w:szCs w:val="22"/>
              </w:rPr>
              <w:fldChar w:fldCharType="separate"/>
            </w:r>
            <w:r>
              <w:rPr>
                <w:noProof/>
                <w:webHidden/>
                <w:sz w:val="22"/>
                <w:szCs w:val="22"/>
              </w:rPr>
              <w:t>234</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919" w:history="1">
            <w:r>
              <w:rPr>
                <w:rStyle w:val="Hyperlink"/>
                <w:smallCaps/>
                <w:noProof/>
                <w:sz w:val="22"/>
                <w:szCs w:val="22"/>
              </w:rPr>
              <w:t>Annex 8: Additional information on early discarded measures</w:t>
            </w:r>
            <w:r>
              <w:rPr>
                <w:noProof/>
                <w:webHidden/>
                <w:sz w:val="22"/>
                <w:szCs w:val="22"/>
              </w:rPr>
              <w:tab/>
            </w:r>
            <w:r>
              <w:rPr>
                <w:noProof/>
                <w:webHidden/>
                <w:sz w:val="22"/>
                <w:szCs w:val="22"/>
              </w:rPr>
              <w:fldChar w:fldCharType="begin"/>
            </w:r>
            <w:r>
              <w:rPr>
                <w:noProof/>
                <w:webHidden/>
                <w:sz w:val="22"/>
                <w:szCs w:val="22"/>
              </w:rPr>
              <w:instrText xml:space="preserve"> PAGEREF _Toc510952919 \h </w:instrText>
            </w:r>
            <w:r>
              <w:rPr>
                <w:noProof/>
                <w:webHidden/>
                <w:sz w:val="22"/>
                <w:szCs w:val="22"/>
              </w:rPr>
            </w:r>
            <w:r>
              <w:rPr>
                <w:noProof/>
                <w:webHidden/>
                <w:sz w:val="22"/>
                <w:szCs w:val="22"/>
              </w:rPr>
              <w:fldChar w:fldCharType="separate"/>
            </w:r>
            <w:r>
              <w:rPr>
                <w:noProof/>
                <w:webHidden/>
                <w:sz w:val="22"/>
                <w:szCs w:val="22"/>
              </w:rPr>
              <w:t>238</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920" w:history="1">
            <w:r>
              <w:rPr>
                <w:rStyle w:val="Hyperlink"/>
                <w:smallCaps/>
                <w:noProof/>
                <w:sz w:val="22"/>
                <w:szCs w:val="22"/>
              </w:rPr>
              <w:t>Annex 9: Additional information on the baseline</w:t>
            </w:r>
            <w:r>
              <w:rPr>
                <w:noProof/>
                <w:webHidden/>
                <w:sz w:val="22"/>
                <w:szCs w:val="22"/>
              </w:rPr>
              <w:tab/>
            </w:r>
            <w:r>
              <w:rPr>
                <w:noProof/>
                <w:webHidden/>
                <w:sz w:val="22"/>
                <w:szCs w:val="22"/>
              </w:rPr>
              <w:fldChar w:fldCharType="begin"/>
            </w:r>
            <w:r>
              <w:rPr>
                <w:noProof/>
                <w:webHidden/>
                <w:sz w:val="22"/>
                <w:szCs w:val="22"/>
              </w:rPr>
              <w:instrText xml:space="preserve"> PAGEREF _Toc510952920 \h </w:instrText>
            </w:r>
            <w:r>
              <w:rPr>
                <w:noProof/>
                <w:webHidden/>
                <w:sz w:val="22"/>
                <w:szCs w:val="22"/>
              </w:rPr>
            </w:r>
            <w:r>
              <w:rPr>
                <w:noProof/>
                <w:webHidden/>
                <w:sz w:val="22"/>
                <w:szCs w:val="22"/>
              </w:rPr>
              <w:fldChar w:fldCharType="separate"/>
            </w:r>
            <w:r>
              <w:rPr>
                <w:noProof/>
                <w:webHidden/>
                <w:sz w:val="22"/>
                <w:szCs w:val="22"/>
              </w:rPr>
              <w:t>246</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921" w:history="1">
            <w:r>
              <w:rPr>
                <w:rStyle w:val="Hyperlink"/>
                <w:smallCaps/>
                <w:noProof/>
                <w:sz w:val="22"/>
                <w:szCs w:val="22"/>
              </w:rPr>
              <w:t>Annex 10: US DOJ proposal on cross-border acce</w:t>
            </w:r>
            <w:r>
              <w:rPr>
                <w:rStyle w:val="Hyperlink"/>
                <w:smallCaps/>
                <w:noProof/>
                <w:sz w:val="22"/>
                <w:szCs w:val="22"/>
              </w:rPr>
              <w:t>ss to e-evidence</w:t>
            </w:r>
            <w:r>
              <w:rPr>
                <w:noProof/>
                <w:webHidden/>
                <w:sz w:val="22"/>
                <w:szCs w:val="22"/>
              </w:rPr>
              <w:tab/>
            </w:r>
            <w:r>
              <w:rPr>
                <w:noProof/>
                <w:webHidden/>
                <w:sz w:val="22"/>
                <w:szCs w:val="22"/>
              </w:rPr>
              <w:fldChar w:fldCharType="begin"/>
            </w:r>
            <w:r>
              <w:rPr>
                <w:noProof/>
                <w:webHidden/>
                <w:sz w:val="22"/>
                <w:szCs w:val="22"/>
              </w:rPr>
              <w:instrText xml:space="preserve"> PAGEREF _Toc510952921 \h </w:instrText>
            </w:r>
            <w:r>
              <w:rPr>
                <w:noProof/>
                <w:webHidden/>
                <w:sz w:val="22"/>
                <w:szCs w:val="22"/>
              </w:rPr>
            </w:r>
            <w:r>
              <w:rPr>
                <w:noProof/>
                <w:webHidden/>
                <w:sz w:val="22"/>
                <w:szCs w:val="22"/>
              </w:rPr>
              <w:fldChar w:fldCharType="separate"/>
            </w:r>
            <w:r>
              <w:rPr>
                <w:noProof/>
                <w:webHidden/>
                <w:sz w:val="22"/>
                <w:szCs w:val="22"/>
              </w:rPr>
              <w:t>253</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922" w:history="1">
            <w:r>
              <w:rPr>
                <w:rStyle w:val="Hyperlink"/>
                <w:smallCaps/>
                <w:noProof/>
                <w:sz w:val="22"/>
                <w:szCs w:val="22"/>
              </w:rPr>
              <w:t>Annex 11: Additional data on the size of the problem</w:t>
            </w:r>
            <w:r>
              <w:rPr>
                <w:noProof/>
                <w:webHidden/>
                <w:sz w:val="22"/>
                <w:szCs w:val="22"/>
              </w:rPr>
              <w:tab/>
            </w:r>
            <w:r>
              <w:rPr>
                <w:noProof/>
                <w:webHidden/>
                <w:sz w:val="22"/>
                <w:szCs w:val="22"/>
              </w:rPr>
              <w:fldChar w:fldCharType="begin"/>
            </w:r>
            <w:r>
              <w:rPr>
                <w:noProof/>
                <w:webHidden/>
                <w:sz w:val="22"/>
                <w:szCs w:val="22"/>
              </w:rPr>
              <w:instrText xml:space="preserve"> PAGEREF _Toc510952922 \h </w:instrText>
            </w:r>
            <w:r>
              <w:rPr>
                <w:noProof/>
                <w:webHidden/>
                <w:sz w:val="22"/>
                <w:szCs w:val="22"/>
              </w:rPr>
            </w:r>
            <w:r>
              <w:rPr>
                <w:noProof/>
                <w:webHidden/>
                <w:sz w:val="22"/>
                <w:szCs w:val="22"/>
              </w:rPr>
              <w:fldChar w:fldCharType="separate"/>
            </w:r>
            <w:r>
              <w:rPr>
                <w:noProof/>
                <w:webHidden/>
                <w:sz w:val="22"/>
                <w:szCs w:val="22"/>
              </w:rPr>
              <w:t>258</w:t>
            </w:r>
            <w:r>
              <w:rPr>
                <w:noProof/>
                <w:webHidden/>
                <w:sz w:val="22"/>
                <w:szCs w:val="22"/>
              </w:rPr>
              <w:fldChar w:fldCharType="end"/>
            </w:r>
          </w:hyperlink>
        </w:p>
        <w:p w:rsidR="001B65FF" w:rsidRDefault="003E4EF4">
          <w:pPr>
            <w:pStyle w:val="TOC1"/>
            <w:rPr>
              <w:rFonts w:eastAsiaTheme="minorEastAsia"/>
              <w:caps w:val="0"/>
              <w:noProof/>
              <w:sz w:val="22"/>
              <w:szCs w:val="22"/>
              <w:lang w:eastAsia="en-GB"/>
            </w:rPr>
          </w:pPr>
          <w:hyperlink w:anchor="_Toc510952923" w:history="1">
            <w:r>
              <w:rPr>
                <w:rStyle w:val="Hyperlink"/>
                <w:smallCaps/>
                <w:noProof/>
                <w:sz w:val="22"/>
                <w:szCs w:val="22"/>
              </w:rPr>
              <w:t>Annex 12:  WHOIS database</w:t>
            </w:r>
            <w:r>
              <w:rPr>
                <w:noProof/>
                <w:webHidden/>
                <w:sz w:val="22"/>
                <w:szCs w:val="22"/>
              </w:rPr>
              <w:tab/>
            </w:r>
            <w:r>
              <w:rPr>
                <w:noProof/>
                <w:webHidden/>
                <w:sz w:val="22"/>
                <w:szCs w:val="22"/>
              </w:rPr>
              <w:fldChar w:fldCharType="begin"/>
            </w:r>
            <w:r>
              <w:rPr>
                <w:noProof/>
                <w:webHidden/>
                <w:sz w:val="22"/>
                <w:szCs w:val="22"/>
              </w:rPr>
              <w:instrText xml:space="preserve"> PAGEREF _Toc510952923 \h </w:instrText>
            </w:r>
            <w:r>
              <w:rPr>
                <w:noProof/>
                <w:webHidden/>
                <w:sz w:val="22"/>
                <w:szCs w:val="22"/>
              </w:rPr>
            </w:r>
            <w:r>
              <w:rPr>
                <w:noProof/>
                <w:webHidden/>
                <w:sz w:val="22"/>
                <w:szCs w:val="22"/>
              </w:rPr>
              <w:fldChar w:fldCharType="separate"/>
            </w:r>
            <w:r>
              <w:rPr>
                <w:noProof/>
                <w:webHidden/>
                <w:sz w:val="22"/>
                <w:szCs w:val="22"/>
              </w:rPr>
              <w:t>277</w:t>
            </w:r>
            <w:r>
              <w:rPr>
                <w:noProof/>
                <w:webHidden/>
                <w:sz w:val="22"/>
                <w:szCs w:val="22"/>
              </w:rPr>
              <w:fldChar w:fldCharType="end"/>
            </w:r>
          </w:hyperlink>
        </w:p>
        <w:p w:rsidR="001B65FF" w:rsidRDefault="003E4EF4">
          <w:pPr>
            <w:pStyle w:val="TOC1"/>
            <w:rPr>
              <w:noProof/>
              <w:sz w:val="24"/>
              <w:szCs w:val="24"/>
            </w:rPr>
          </w:pPr>
          <w:hyperlink w:anchor="_Toc510952924" w:history="1">
            <w:r>
              <w:rPr>
                <w:rStyle w:val="Hyperlink"/>
                <w:smallCaps/>
                <w:noProof/>
                <w:sz w:val="22"/>
                <w:szCs w:val="22"/>
              </w:rPr>
              <w:t>An</w:t>
            </w:r>
            <w:r>
              <w:rPr>
                <w:rStyle w:val="Hyperlink"/>
                <w:smallCaps/>
                <w:noProof/>
                <w:sz w:val="22"/>
                <w:szCs w:val="22"/>
              </w:rPr>
              <w:t>nex 13:  SME Test</w:t>
            </w:r>
            <w:r>
              <w:rPr>
                <w:noProof/>
                <w:webHidden/>
                <w:sz w:val="22"/>
                <w:szCs w:val="22"/>
              </w:rPr>
              <w:tab/>
            </w:r>
            <w:r>
              <w:rPr>
                <w:noProof/>
                <w:webHidden/>
                <w:sz w:val="22"/>
                <w:szCs w:val="22"/>
              </w:rPr>
              <w:fldChar w:fldCharType="begin"/>
            </w:r>
            <w:r>
              <w:rPr>
                <w:noProof/>
                <w:webHidden/>
                <w:sz w:val="22"/>
                <w:szCs w:val="22"/>
              </w:rPr>
              <w:instrText xml:space="preserve"> PAGEREF _Toc510952924 \h </w:instrText>
            </w:r>
            <w:r>
              <w:rPr>
                <w:noProof/>
                <w:webHidden/>
                <w:sz w:val="22"/>
                <w:szCs w:val="22"/>
              </w:rPr>
            </w:r>
            <w:r>
              <w:rPr>
                <w:noProof/>
                <w:webHidden/>
                <w:sz w:val="22"/>
                <w:szCs w:val="22"/>
              </w:rPr>
              <w:fldChar w:fldCharType="separate"/>
            </w:r>
            <w:r>
              <w:rPr>
                <w:noProof/>
                <w:webHidden/>
                <w:sz w:val="22"/>
                <w:szCs w:val="22"/>
              </w:rPr>
              <w:t>280</w:t>
            </w:r>
            <w:r>
              <w:rPr>
                <w:noProof/>
                <w:webHidden/>
                <w:sz w:val="22"/>
                <w:szCs w:val="22"/>
              </w:rPr>
              <w:fldChar w:fldCharType="end"/>
            </w:r>
          </w:hyperlink>
          <w:r>
            <w:rPr>
              <w:bCs/>
              <w:noProof/>
              <w:sz w:val="22"/>
              <w:szCs w:val="22"/>
            </w:rPr>
            <w:fldChar w:fldCharType="end"/>
          </w:r>
        </w:p>
      </w:sdtContent>
    </w:sdt>
    <w:p w:rsidR="001B65FF" w:rsidRDefault="001B65FF">
      <w:pPr>
        <w:rPr>
          <w:noProof/>
        </w:rPr>
      </w:pPr>
    </w:p>
    <w:p w:rsidR="001B65FF" w:rsidRDefault="003E4EF4">
      <w:pPr>
        <w:jc w:val="center"/>
        <w:rPr>
          <w:rFonts w:ascii="Times New Roman" w:hAnsi="Times New Roman"/>
          <w:b/>
          <w:noProof/>
          <w:sz w:val="24"/>
        </w:rPr>
      </w:pPr>
      <w:r>
        <w:rPr>
          <w:rFonts w:ascii="Times New Roman" w:hAnsi="Times New Roman"/>
          <w:b/>
          <w:noProof/>
          <w:sz w:val="24"/>
        </w:rPr>
        <w:lastRenderedPageBreak/>
        <w:t>Glossary</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7097"/>
      </w:tblGrid>
      <w:tr w:rsidR="001B65FF">
        <w:trPr>
          <w:trHeight w:val="300"/>
          <w:tblHeader/>
        </w:trPr>
        <w:tc>
          <w:tcPr>
            <w:tcW w:w="1035" w:type="pct"/>
            <w:shd w:val="clear" w:color="auto" w:fill="D9D9D9" w:themeFill="background1" w:themeFillShade="D9"/>
            <w:hideMark/>
          </w:tcPr>
          <w:p w:rsidR="001B65FF" w:rsidRDefault="003E4EF4">
            <w:pPr>
              <w:spacing w:before="120" w:after="120" w:line="240" w:lineRule="auto"/>
              <w:jc w:val="center"/>
              <w:rPr>
                <w:rFonts w:ascii="Times New Roman" w:hAnsi="Times New Roman" w:cs="Times New Roman"/>
                <w:b/>
                <w:i/>
                <w:noProof/>
                <w:sz w:val="20"/>
                <w:szCs w:val="20"/>
              </w:rPr>
            </w:pPr>
            <w:r>
              <w:rPr>
                <w:rFonts w:ascii="Times New Roman" w:hAnsi="Times New Roman" w:cs="Times New Roman"/>
                <w:b/>
                <w:i/>
                <w:noProof/>
                <w:sz w:val="20"/>
                <w:szCs w:val="20"/>
              </w:rPr>
              <w:t>Term/Acronym</w:t>
            </w:r>
          </w:p>
        </w:tc>
        <w:tc>
          <w:tcPr>
            <w:tcW w:w="3965" w:type="pct"/>
            <w:shd w:val="clear" w:color="auto" w:fill="D9D9D9" w:themeFill="background1" w:themeFillShade="D9"/>
            <w:hideMark/>
          </w:tcPr>
          <w:p w:rsidR="001B65FF" w:rsidRDefault="003E4EF4">
            <w:pPr>
              <w:spacing w:before="120" w:after="120" w:line="240" w:lineRule="auto"/>
              <w:jc w:val="center"/>
              <w:rPr>
                <w:rFonts w:ascii="Times New Roman" w:hAnsi="Times New Roman" w:cs="Times New Roman"/>
                <w:b/>
                <w:i/>
                <w:noProof/>
                <w:sz w:val="20"/>
                <w:szCs w:val="20"/>
              </w:rPr>
            </w:pPr>
            <w:r>
              <w:rPr>
                <w:rFonts w:ascii="Times New Roman" w:hAnsi="Times New Roman" w:cs="Times New Roman"/>
                <w:b/>
                <w:i/>
                <w:noProof/>
                <w:sz w:val="20"/>
                <w:szCs w:val="20"/>
              </w:rPr>
              <w:t>Definition</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Access logs</w:t>
            </w:r>
          </w:p>
        </w:tc>
        <w:tc>
          <w:tcPr>
            <w:tcW w:w="396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Access logs record the time and date an individual has accessed a service and the IP </w:t>
            </w:r>
            <w:r>
              <w:rPr>
                <w:rFonts w:ascii="Times New Roman" w:eastAsia="Times New Roman" w:hAnsi="Times New Roman" w:cs="Times New Roman"/>
                <w:noProof/>
                <w:color w:val="000000"/>
                <w:sz w:val="20"/>
                <w:szCs w:val="20"/>
                <w:lang w:eastAsia="en-GB"/>
              </w:rPr>
              <w:t>address from which the service was accessed</w:t>
            </w:r>
          </w:p>
        </w:tc>
      </w:tr>
      <w:tr w:rsidR="001B65FF">
        <w:trPr>
          <w:trHeight w:val="675"/>
        </w:trPr>
        <w:tc>
          <w:tcPr>
            <w:tcW w:w="1035" w:type="pct"/>
            <w:vAlign w:val="center"/>
          </w:tcPr>
          <w:p w:rsidR="001B65FF" w:rsidRDefault="003E4EF4">
            <w:pPr>
              <w:spacing w:before="60" w:after="60"/>
              <w:rPr>
                <w:rFonts w:ascii="Times New Roman" w:hAnsi="Times New Roman" w:cs="Times New Roman"/>
                <w:b/>
                <w:bCs/>
                <w:noProof/>
                <w:sz w:val="20"/>
                <w:szCs w:val="20"/>
                <w:lang w:val="en-US"/>
              </w:rPr>
            </w:pPr>
            <w:r>
              <w:rPr>
                <w:rFonts w:ascii="Times New Roman" w:eastAsia="Times New Roman" w:hAnsi="Times New Roman" w:cs="Times New Roman"/>
                <w:noProof/>
                <w:color w:val="000000"/>
                <w:sz w:val="20"/>
                <w:szCs w:val="20"/>
                <w:lang w:eastAsia="en-GB"/>
              </w:rPr>
              <w:t>Budapest Convention</w:t>
            </w:r>
          </w:p>
        </w:tc>
        <w:tc>
          <w:tcPr>
            <w:tcW w:w="3965" w:type="pct"/>
            <w:vAlign w:val="center"/>
          </w:tcPr>
          <w:p w:rsidR="001B65FF" w:rsidRDefault="003E4EF4">
            <w:pPr>
              <w:autoSpaceDE w:val="0"/>
              <w:autoSpaceDN w:val="0"/>
              <w:adjustRightInd w:val="0"/>
              <w:spacing w:before="60" w:after="60"/>
              <w:rPr>
                <w:rFonts w:ascii="Times New Roman" w:hAnsi="Times New Roman" w:cs="Times New Roman"/>
                <w:bCs/>
                <w:noProof/>
                <w:sz w:val="20"/>
                <w:szCs w:val="20"/>
                <w:lang w:val="en-US"/>
              </w:rPr>
            </w:pPr>
            <w:r>
              <w:rPr>
                <w:rFonts w:ascii="Times New Roman" w:eastAsia="Times New Roman" w:hAnsi="Times New Roman" w:cs="Times New Roman"/>
                <w:noProof/>
                <w:color w:val="000000"/>
                <w:sz w:val="20"/>
                <w:szCs w:val="20"/>
                <w:lang w:eastAsia="en-GB"/>
              </w:rPr>
              <w:t xml:space="preserve">2001 Council of Europe </w:t>
            </w:r>
            <w:r>
              <w:rPr>
                <w:rFonts w:ascii="Times New Roman" w:eastAsia="Times New Roman" w:hAnsi="Times New Roman" w:cs="Times New Roman"/>
                <w:noProof/>
                <w:sz w:val="20"/>
                <w:szCs w:val="20"/>
                <w:lang w:eastAsia="en-GB"/>
              </w:rPr>
              <w:t>Convention on Cybercrime</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Cloud computing</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Model for enabling convenient on-demand network access to a shared pool of configurable computing resources </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Connecting </w:t>
            </w:r>
            <w:r>
              <w:rPr>
                <w:rFonts w:ascii="Times New Roman" w:eastAsia="Times New Roman" w:hAnsi="Times New Roman" w:cs="Times New Roman"/>
                <w:noProof/>
                <w:color w:val="000000"/>
                <w:sz w:val="20"/>
                <w:szCs w:val="20"/>
                <w:lang w:eastAsia="en-GB"/>
              </w:rPr>
              <w:t>factor</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 fact that connects an occurrence with a particular law or jurisdiction</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Content data</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The substance of stored information, such as text, voice, videos, images, and sound</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Data sharding</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 type of database partitioning that is used to separate very l</w:t>
            </w:r>
            <w:r>
              <w:rPr>
                <w:rFonts w:ascii="Times New Roman" w:eastAsia="Times New Roman" w:hAnsi="Times New Roman" w:cs="Times New Roman"/>
                <w:noProof/>
                <w:color w:val="000000"/>
                <w:sz w:val="20"/>
                <w:szCs w:val="20"/>
                <w:lang w:eastAsia="en-GB"/>
              </w:rPr>
              <w:t>arge databases the into smaller, faster, more easily managed pieces called data shards</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e-CODEX</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IT system for cross border judicial cooperation which allows users to send and receive documents, legal forms, evidence etc. in a secure manner </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ECPA</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1986 US </w:t>
            </w:r>
            <w:r>
              <w:rPr>
                <w:rFonts w:ascii="Times New Roman" w:eastAsia="Times New Roman" w:hAnsi="Times New Roman" w:cs="Times New Roman"/>
                <w:noProof/>
                <w:color w:val="000000"/>
                <w:sz w:val="20"/>
                <w:szCs w:val="20"/>
                <w:lang w:eastAsia="en-GB"/>
              </w:rPr>
              <w:t>Electronic Communications Privacy Act of 1986</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E-evidence</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Electronic evidence:, electronically stored data such as subscriber information, metadata or content data, generated by any activity related to digital services</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EIO</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European Investigation Order, as</w:t>
            </w:r>
            <w:r>
              <w:rPr>
                <w:rFonts w:ascii="Times New Roman" w:eastAsia="Times New Roman" w:hAnsi="Times New Roman" w:cs="Times New Roman"/>
                <w:noProof/>
                <w:color w:val="000000"/>
                <w:sz w:val="20"/>
                <w:szCs w:val="20"/>
                <w:lang w:eastAsia="en-GB"/>
              </w:rPr>
              <w:t xml:space="preserve"> set out in Directive 2014/41/EU </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ETSI</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European Telecommunications Standards Institute</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International Comity</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The practice of showing courtesy among nations, the disposition to perform some official act out of goodwill and tradition rather than obligation or law </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IP address</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Internet Protocol address, a unique identifier allowing a device to send and receive packe</w:t>
            </w:r>
            <w:r>
              <w:rPr>
                <w:rFonts w:ascii="Times New Roman" w:eastAsia="Times New Roman" w:hAnsi="Times New Roman" w:cs="Times New Roman"/>
                <w:noProof/>
                <w:color w:val="000000"/>
                <w:sz w:val="20"/>
                <w:szCs w:val="20"/>
                <w:lang w:eastAsia="en-GB"/>
              </w:rPr>
              <w:t>ts of information; a basis for connecting to the internet</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Judicial authority</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 judge, a court, an investigating judge or a public prosecutor </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Loss of location</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 situation where law enforcement cannot establish the physical location of the perpetrator, th</w:t>
            </w:r>
            <w:r>
              <w:rPr>
                <w:rFonts w:ascii="Times New Roman" w:eastAsia="Times New Roman" w:hAnsi="Times New Roman" w:cs="Times New Roman"/>
                <w:noProof/>
                <w:color w:val="000000"/>
                <w:sz w:val="20"/>
                <w:szCs w:val="20"/>
                <w:lang w:eastAsia="en-GB"/>
              </w:rPr>
              <w:t xml:space="preserve">e criminal infrastructure or electronic evidence. </w:t>
            </w:r>
          </w:p>
        </w:tc>
      </w:tr>
      <w:tr w:rsidR="001B65FF">
        <w:trPr>
          <w:trHeight w:val="675"/>
        </w:trPr>
        <w:tc>
          <w:tcPr>
            <w:tcW w:w="1035" w:type="pct"/>
            <w:tcBorders>
              <w:top w:val="single" w:sz="4" w:space="0" w:color="auto"/>
              <w:left w:val="single" w:sz="4" w:space="0" w:color="auto"/>
              <w:bottom w:val="single" w:sz="4" w:space="0" w:color="auto"/>
              <w:right w:val="single" w:sz="4" w:space="0" w:color="auto"/>
            </w:tcBorders>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Metadata</w:t>
            </w:r>
          </w:p>
        </w:tc>
        <w:tc>
          <w:tcPr>
            <w:tcW w:w="3965" w:type="pct"/>
            <w:tcBorders>
              <w:top w:val="single" w:sz="4" w:space="0" w:color="auto"/>
              <w:left w:val="single" w:sz="4" w:space="0" w:color="auto"/>
              <w:bottom w:val="single" w:sz="4" w:space="0" w:color="auto"/>
              <w:right w:val="single" w:sz="4" w:space="0" w:color="auto"/>
            </w:tcBorders>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Data processed for the purposes of transmitting, distributing or exchanging electronic communications or other content through a network</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MLA(T)</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Mutual Legal Assistance (Treaty)</w:t>
            </w:r>
          </w:p>
        </w:tc>
      </w:tr>
      <w:tr w:rsidR="001B65FF">
        <w:trPr>
          <w:trHeight w:val="675"/>
        </w:trPr>
        <w:tc>
          <w:tcPr>
            <w:tcW w:w="1035" w:type="pct"/>
            <w:tcBorders>
              <w:top w:val="single" w:sz="4" w:space="0" w:color="auto"/>
              <w:left w:val="single" w:sz="4" w:space="0" w:color="auto"/>
              <w:bottom w:val="single" w:sz="4" w:space="0" w:color="auto"/>
              <w:right w:val="single" w:sz="4" w:space="0" w:color="auto"/>
            </w:tcBorders>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Production order</w:t>
            </w:r>
          </w:p>
        </w:tc>
        <w:tc>
          <w:tcPr>
            <w:tcW w:w="3965" w:type="pct"/>
            <w:tcBorders>
              <w:top w:val="single" w:sz="4" w:space="0" w:color="auto"/>
              <w:left w:val="single" w:sz="4" w:space="0" w:color="auto"/>
              <w:bottom w:val="single" w:sz="4" w:space="0" w:color="auto"/>
              <w:right w:val="single" w:sz="4" w:space="0" w:color="auto"/>
            </w:tcBorders>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An order issued by the competent authority of a Member State to a digital service provider to provide specified electronic evidence </w:t>
            </w:r>
          </w:p>
        </w:tc>
      </w:tr>
      <w:tr w:rsidR="001B65FF">
        <w:trPr>
          <w:trHeight w:val="675"/>
        </w:trPr>
        <w:tc>
          <w:tcPr>
            <w:tcW w:w="1035" w:type="pct"/>
            <w:tcBorders>
              <w:top w:val="single" w:sz="4" w:space="0" w:color="auto"/>
              <w:left w:val="single" w:sz="4" w:space="0" w:color="auto"/>
              <w:bottom w:val="single" w:sz="4" w:space="0" w:color="auto"/>
              <w:right w:val="single" w:sz="4" w:space="0" w:color="auto"/>
            </w:tcBorders>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Production request</w:t>
            </w:r>
          </w:p>
        </w:tc>
        <w:tc>
          <w:tcPr>
            <w:tcW w:w="3965" w:type="pct"/>
            <w:tcBorders>
              <w:top w:val="single" w:sz="4" w:space="0" w:color="auto"/>
              <w:left w:val="single" w:sz="4" w:space="0" w:color="auto"/>
              <w:bottom w:val="single" w:sz="4" w:space="0" w:color="auto"/>
              <w:right w:val="single" w:sz="4" w:space="0" w:color="auto"/>
            </w:tcBorders>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 request without a binding effect by the competent authority of a Member State to a digital service provider to provide specified electronic evidence </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lastRenderedPageBreak/>
              <w:t>Ransomware</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 type of malicious software that threatens to publish the victim's data or perpetually bloc</w:t>
            </w:r>
            <w:r>
              <w:rPr>
                <w:rFonts w:ascii="Times New Roman" w:eastAsia="Times New Roman" w:hAnsi="Times New Roman" w:cs="Times New Roman"/>
                <w:noProof/>
                <w:color w:val="000000"/>
                <w:sz w:val="20"/>
                <w:szCs w:val="20"/>
                <w:lang w:eastAsia="en-GB"/>
              </w:rPr>
              <w:t>k access to it unless a ransom is paid</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SIRIUS</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Europol platform to facilitate online investigations, including the direct cooperation between authorities and service providers</w:t>
            </w:r>
          </w:p>
        </w:tc>
      </w:tr>
      <w:tr w:rsidR="001B65FF">
        <w:trPr>
          <w:trHeight w:val="675"/>
        </w:trPr>
        <w:tc>
          <w:tcPr>
            <w:tcW w:w="1035" w:type="pct"/>
            <w:tcBorders>
              <w:top w:val="single" w:sz="4" w:space="0" w:color="auto"/>
              <w:left w:val="single" w:sz="4" w:space="0" w:color="auto"/>
              <w:bottom w:val="single" w:sz="4" w:space="0" w:color="auto"/>
              <w:right w:val="single" w:sz="4" w:space="0" w:color="auto"/>
            </w:tcBorders>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Subscriber information</w:t>
            </w:r>
          </w:p>
        </w:tc>
        <w:tc>
          <w:tcPr>
            <w:tcW w:w="3965" w:type="pct"/>
            <w:tcBorders>
              <w:top w:val="single" w:sz="4" w:space="0" w:color="auto"/>
              <w:left w:val="single" w:sz="4" w:space="0" w:color="auto"/>
              <w:bottom w:val="single" w:sz="4" w:space="0" w:color="auto"/>
              <w:right w:val="single" w:sz="4" w:space="0" w:color="auto"/>
            </w:tcBorders>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Information allowing to identify a natural person or legal entity using services provided by relevant service providers </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TOR</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'The Onion Router', an open source software that enables anonymous communication</w:t>
            </w:r>
          </w:p>
        </w:tc>
      </w:tr>
      <w:tr w:rsidR="001B65FF">
        <w:trPr>
          <w:trHeight w:val="675"/>
        </w:trPr>
        <w:tc>
          <w:tcPr>
            <w:tcW w:w="1035" w:type="pct"/>
            <w:tcBorders>
              <w:top w:val="single" w:sz="4" w:space="0" w:color="auto"/>
              <w:left w:val="single" w:sz="4" w:space="0" w:color="auto"/>
              <w:bottom w:val="single" w:sz="4" w:space="0" w:color="auto"/>
              <w:right w:val="single" w:sz="4" w:space="0" w:color="auto"/>
            </w:tcBorders>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Traffic data</w:t>
            </w:r>
          </w:p>
        </w:tc>
        <w:tc>
          <w:tcPr>
            <w:tcW w:w="3965" w:type="pct"/>
            <w:tcBorders>
              <w:top w:val="single" w:sz="4" w:space="0" w:color="auto"/>
              <w:left w:val="single" w:sz="4" w:space="0" w:color="auto"/>
              <w:bottom w:val="single" w:sz="4" w:space="0" w:color="auto"/>
              <w:right w:val="single" w:sz="4" w:space="0" w:color="auto"/>
            </w:tcBorders>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Data processed for the purpose of t</w:t>
            </w:r>
            <w:r>
              <w:rPr>
                <w:rFonts w:ascii="Times New Roman" w:eastAsia="Times New Roman" w:hAnsi="Times New Roman" w:cs="Times New Roman"/>
                <w:noProof/>
                <w:color w:val="000000"/>
                <w:sz w:val="20"/>
                <w:szCs w:val="20"/>
                <w:lang w:eastAsia="en-GB"/>
              </w:rPr>
              <w:t>he conveyance of a communication on an electronic communications network or for the billing thereof</w:t>
            </w:r>
          </w:p>
        </w:tc>
      </w:tr>
      <w:tr w:rsidR="001B65FF">
        <w:trPr>
          <w:trHeight w:val="67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Transaction logs</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Transaction logs identify products or services an individual has obtained from a provider or a third party (e.g. purchase of cloud storage</w:t>
            </w:r>
            <w:r>
              <w:rPr>
                <w:rFonts w:ascii="Times New Roman" w:eastAsia="Times New Roman" w:hAnsi="Times New Roman" w:cs="Times New Roman"/>
                <w:noProof/>
                <w:color w:val="000000"/>
                <w:sz w:val="20"/>
                <w:szCs w:val="20"/>
                <w:lang w:eastAsia="en-GB"/>
              </w:rPr>
              <w:t xml:space="preserve"> space)</w:t>
            </w:r>
          </w:p>
        </w:tc>
      </w:tr>
      <w:tr w:rsidR="001B65FF">
        <w:trPr>
          <w:trHeight w:val="70"/>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VPN</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Virtual private network: a technology that creates a safe and encrypted connection over a less secure network, such as the internet</w:t>
            </w:r>
          </w:p>
        </w:tc>
      </w:tr>
      <w:tr w:rsidR="001B65FF">
        <w:trPr>
          <w:trHeight w:val="525"/>
        </w:trPr>
        <w:tc>
          <w:tcPr>
            <w:tcW w:w="1035" w:type="pct"/>
            <w:vAlign w:val="center"/>
          </w:tcPr>
          <w:p w:rsidR="001B65FF" w:rsidRDefault="003E4EF4">
            <w:pPr>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WHOIS</w:t>
            </w:r>
          </w:p>
        </w:tc>
        <w:tc>
          <w:tcPr>
            <w:tcW w:w="3965" w:type="pct"/>
            <w:vAlign w:val="center"/>
          </w:tcPr>
          <w:p w:rsidR="001B65FF" w:rsidRDefault="003E4EF4">
            <w:pPr>
              <w:autoSpaceDE w:val="0"/>
              <w:autoSpaceDN w:val="0"/>
              <w:adjustRightInd w:val="0"/>
              <w:spacing w:before="60" w:after="60"/>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Reference database for ownership of web site domain names</w:t>
            </w:r>
          </w:p>
        </w:tc>
      </w:tr>
    </w:tbl>
    <w:p w:rsidR="001B65FF" w:rsidRDefault="003E4EF4">
      <w:pPr>
        <w:rPr>
          <w:rFonts w:ascii="Times New Roman" w:hAnsi="Times New Roman" w:cs="Times New Roman"/>
          <w:noProof/>
        </w:rPr>
      </w:pPr>
      <w:r>
        <w:rPr>
          <w:rFonts w:ascii="Times New Roman" w:hAnsi="Times New Roman" w:cs="Times New Roman"/>
          <w:noProof/>
        </w:rPr>
        <w:br w:type="page"/>
      </w:r>
    </w:p>
    <w:p w:rsidR="001B65FF" w:rsidRDefault="003E4EF4">
      <w:pPr>
        <w:keepNext/>
        <w:numPr>
          <w:ilvl w:val="0"/>
          <w:numId w:val="3"/>
        </w:numPr>
        <w:spacing w:before="240" w:after="240" w:line="240" w:lineRule="auto"/>
        <w:jc w:val="both"/>
        <w:outlineLvl w:val="0"/>
        <w:rPr>
          <w:rFonts w:ascii="Times New Roman" w:eastAsia="Times New Roman" w:hAnsi="Times New Roman" w:cs="Times New Roman"/>
          <w:b/>
          <w:smallCaps/>
          <w:noProof/>
          <w:sz w:val="24"/>
          <w:szCs w:val="20"/>
        </w:rPr>
      </w:pPr>
      <w:bookmarkStart w:id="3" w:name="_Toc481484459"/>
      <w:bookmarkStart w:id="4" w:name="_Toc497927229"/>
      <w:bookmarkStart w:id="5" w:name="_Toc497927842"/>
      <w:bookmarkStart w:id="6" w:name="_Toc497928108"/>
      <w:bookmarkStart w:id="7" w:name="_Toc498509605"/>
      <w:bookmarkStart w:id="8" w:name="_Toc498517889"/>
      <w:bookmarkStart w:id="9" w:name="_Toc498521189"/>
      <w:bookmarkStart w:id="10" w:name="_Toc498701904"/>
      <w:bookmarkStart w:id="11" w:name="_Toc498704665"/>
      <w:bookmarkStart w:id="12" w:name="_Toc499020427"/>
      <w:bookmarkStart w:id="13" w:name="_Toc499030330"/>
      <w:bookmarkStart w:id="14" w:name="_Toc499044907"/>
      <w:bookmarkStart w:id="15" w:name="_Toc499051288"/>
      <w:bookmarkStart w:id="16" w:name="_Toc499133277"/>
      <w:bookmarkStart w:id="17" w:name="_Toc499142791"/>
      <w:bookmarkStart w:id="18" w:name="_Toc510952843"/>
      <w:r>
        <w:rPr>
          <w:rFonts w:ascii="Times New Roman" w:eastAsia="Times New Roman" w:hAnsi="Times New Roman" w:cs="Times New Roman"/>
          <w:b/>
          <w:smallCaps/>
          <w:noProof/>
          <w:sz w:val="24"/>
          <w:szCs w:val="20"/>
        </w:rPr>
        <w:lastRenderedPageBreak/>
        <w:t>Introduction: Political and legal context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4"/>
        </w:rPr>
      </w:pPr>
      <w:bookmarkStart w:id="19" w:name="_Toc497927230"/>
      <w:bookmarkStart w:id="20" w:name="_Toc497927843"/>
      <w:bookmarkStart w:id="21" w:name="_Toc497928109"/>
      <w:bookmarkStart w:id="22" w:name="_Toc498509606"/>
      <w:bookmarkStart w:id="23" w:name="_Toc498517890"/>
      <w:bookmarkStart w:id="24" w:name="_Toc498521190"/>
      <w:bookmarkStart w:id="25" w:name="_Toc498701905"/>
      <w:bookmarkStart w:id="26" w:name="_Toc498704666"/>
      <w:bookmarkStart w:id="27" w:name="_Toc499020428"/>
      <w:bookmarkStart w:id="28" w:name="_Toc499030331"/>
      <w:bookmarkStart w:id="29" w:name="_Toc499044908"/>
      <w:bookmarkStart w:id="30" w:name="_Toc499051289"/>
      <w:bookmarkStart w:id="31" w:name="_Toc499133278"/>
      <w:bookmarkStart w:id="32" w:name="_Toc499142792"/>
      <w:bookmarkStart w:id="33" w:name="_Toc510952844"/>
      <w:r>
        <w:rPr>
          <w:rFonts w:ascii="Times New Roman" w:eastAsia="Times New Roman" w:hAnsi="Times New Roman" w:cs="Times New Roman"/>
          <w:b/>
          <w:noProof/>
          <w:sz w:val="24"/>
          <w:szCs w:val="24"/>
        </w:rPr>
        <w:t>Introduction</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1B65FF" w:rsidRDefault="003E4EF4">
      <w:pPr>
        <w:autoSpaceDE w:val="0"/>
        <w:autoSpaceDN w:val="0"/>
        <w:adjustRightInd w:val="0"/>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Cross-border data flows are rising together with the growing use of social media, webmail, messaging services and apps to communicate, work, socialise and obtain information, including by criminals. An increasing number of criminal investigati</w:t>
      </w:r>
      <w:r>
        <w:rPr>
          <w:rFonts w:ascii="Times New Roman" w:hAnsi="Times New Roman" w:cs="Times New Roman"/>
          <w:noProof/>
          <w:sz w:val="24"/>
          <w:szCs w:val="24"/>
        </w:rPr>
        <w:t xml:space="preserve">ons therefore rely on electronic evidence that is not publicly available, e.g. information on the holder of an email account, messages exchanged via Facebook messenger or information on the timing of WhatsApp calls. </w:t>
      </w:r>
    </w:p>
    <w:p w:rsidR="001B65FF" w:rsidRDefault="003E4EF4">
      <w:pPr>
        <w:autoSpaceDE w:val="0"/>
        <w:autoSpaceDN w:val="0"/>
        <w:adjustRightInd w:val="0"/>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Law enforcement and judicial authoritie</w:t>
      </w:r>
      <w:r>
        <w:rPr>
          <w:rFonts w:ascii="Times New Roman" w:hAnsi="Times New Roman" w:cs="Times New Roman"/>
          <w:noProof/>
          <w:sz w:val="24"/>
          <w:szCs w:val="24"/>
        </w:rPr>
        <w:t xml:space="preserve">s often experience difficulties in accessing electronic evidence relevant to an investigation. Electronic evidence is </w:t>
      </w:r>
      <w:r>
        <w:rPr>
          <w:rFonts w:ascii="Times New Roman" w:eastAsia="Calibri" w:hAnsi="Times New Roman" w:cs="Times New Roman"/>
          <w:noProof/>
          <w:color w:val="000000"/>
          <w:sz w:val="24"/>
          <w:szCs w:val="24"/>
          <w:lang w:eastAsia="en-GB"/>
        </w:rPr>
        <w:t xml:space="preserve">increasingly available only on private infrastructures, which </w:t>
      </w:r>
      <w:r>
        <w:rPr>
          <w:rFonts w:ascii="Times New Roman" w:hAnsi="Times New Roman" w:cs="Times New Roman"/>
          <w:noProof/>
          <w:sz w:val="24"/>
          <w:szCs w:val="24"/>
        </w:rPr>
        <w:t>may be located outside the investigating country, owned by service providers</w:t>
      </w:r>
      <w:r>
        <w:rPr>
          <w:rFonts w:ascii="Times New Roman" w:hAnsi="Times New Roman" w:cs="Times New Roman"/>
          <w:noProof/>
          <w:sz w:val="24"/>
          <w:szCs w:val="24"/>
        </w:rPr>
        <w:t xml:space="preserve"> established outside the investigating country, or both. For such cross-border situations, traditional mechanisms for cooperation between authorities are slow compared to the fast pace at which data can be moved, changed or deleted. In addition, they are u</w:t>
      </w:r>
      <w:r>
        <w:rPr>
          <w:rFonts w:ascii="Times New Roman" w:hAnsi="Times New Roman" w:cs="Times New Roman"/>
          <w:noProof/>
          <w:sz w:val="24"/>
          <w:szCs w:val="24"/>
        </w:rPr>
        <w:t>nder increasing strain with the growing number of cross-border cases. Furthermore, authorities have begun to question whether a mechanism designed to protect the sovereignty of another country is apt for today’s situations where the connection of the crime</w:t>
      </w:r>
      <w:r>
        <w:rPr>
          <w:rFonts w:ascii="Times New Roman" w:hAnsi="Times New Roman" w:cs="Times New Roman"/>
          <w:noProof/>
          <w:sz w:val="24"/>
          <w:szCs w:val="24"/>
        </w:rPr>
        <w:t xml:space="preserve"> to the requested country is often limited.</w:t>
      </w:r>
    </w:p>
    <w:p w:rsidR="001B65FF" w:rsidRDefault="003E4EF4">
      <w:pPr>
        <w:autoSpaceDE w:val="0"/>
        <w:autoSpaceDN w:val="0"/>
        <w:adjustRightInd w:val="0"/>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In addition, information that is publicly available and easily accessible to law enforcement might move into systems requiring special credentials to access. This development notably concerns the general world-wi</w:t>
      </w:r>
      <w:r>
        <w:rPr>
          <w:rFonts w:ascii="Times New Roman" w:hAnsi="Times New Roman" w:cs="Times New Roman"/>
          <w:noProof/>
          <w:sz w:val="24"/>
          <w:szCs w:val="24"/>
        </w:rPr>
        <w:t>de lookup tool for owners of web site domain names, known as "WHOIS"</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w:t>
      </w:r>
    </w:p>
    <w:p w:rsidR="001B65FF" w:rsidRDefault="003E4EF4">
      <w:pPr>
        <w:autoSpaceDE w:val="0"/>
        <w:autoSpaceDN w:val="0"/>
        <w:adjustRightInd w:val="0"/>
        <w:spacing w:before="240" w:after="0"/>
        <w:jc w:val="both"/>
        <w:rPr>
          <w:rFonts w:ascii="Times New Roman" w:eastAsia="Calibri" w:hAnsi="Times New Roman" w:cs="Times New Roman"/>
          <w:noProof/>
          <w:color w:val="000000"/>
          <w:sz w:val="24"/>
          <w:szCs w:val="24"/>
          <w:lang w:eastAsia="en-GB"/>
        </w:rPr>
      </w:pPr>
      <w:r>
        <w:rPr>
          <w:rFonts w:ascii="Times New Roman" w:hAnsi="Times New Roman" w:cs="Times New Roman"/>
          <w:noProof/>
          <w:sz w:val="24"/>
          <w:szCs w:val="24"/>
        </w:rPr>
        <w:t>Direct cooperation with US service providers has developed as an alternative channel to judicial cooperation, but is limited to non-content data and is voluntary from the perspective of</w:t>
      </w:r>
      <w:r>
        <w:rPr>
          <w:rFonts w:ascii="Times New Roman" w:hAnsi="Times New Roman" w:cs="Times New Roman"/>
          <w:noProof/>
          <w:sz w:val="24"/>
          <w:szCs w:val="24"/>
        </w:rPr>
        <w:t xml:space="preserve"> US law. In the face of these developments, a number of countries have begun to explore under what conditions authorities may request access to data using their own domestic tools. </w:t>
      </w:r>
      <w:r>
        <w:rPr>
          <w:rFonts w:ascii="Times New Roman" w:eastAsia="Calibri" w:hAnsi="Times New Roman" w:cs="Times New Roman"/>
          <w:noProof/>
          <w:color w:val="000000"/>
          <w:sz w:val="24"/>
          <w:szCs w:val="24"/>
          <w:lang w:eastAsia="en-GB"/>
        </w:rPr>
        <w:t>The Yahoo!</w:t>
      </w:r>
      <w:r>
        <w:rPr>
          <w:rFonts w:ascii="Times New Roman" w:eastAsia="Calibri" w:hAnsi="Times New Roman" w:cs="Times New Roman"/>
          <w:noProof/>
          <w:color w:val="000000"/>
          <w:sz w:val="24"/>
          <w:szCs w:val="24"/>
          <w:vertAlign w:val="superscript"/>
          <w:lang w:eastAsia="en-GB"/>
        </w:rPr>
        <w:footnoteReference w:id="3"/>
      </w:r>
      <w:r>
        <w:rPr>
          <w:rFonts w:ascii="Times New Roman" w:eastAsia="Calibri" w:hAnsi="Times New Roman" w:cs="Times New Roman"/>
          <w:noProof/>
          <w:color w:val="000000"/>
          <w:sz w:val="24"/>
          <w:szCs w:val="24"/>
          <w:lang w:eastAsia="en-GB"/>
        </w:rPr>
        <w:t xml:space="preserve"> and Skype</w:t>
      </w:r>
      <w:r>
        <w:rPr>
          <w:rFonts w:ascii="Times New Roman" w:eastAsia="Calibri" w:hAnsi="Times New Roman" w:cs="Times New Roman"/>
          <w:noProof/>
          <w:color w:val="000000"/>
          <w:sz w:val="24"/>
          <w:szCs w:val="24"/>
          <w:vertAlign w:val="superscript"/>
          <w:lang w:eastAsia="en-GB"/>
        </w:rPr>
        <w:footnoteReference w:id="4"/>
      </w:r>
      <w:r>
        <w:rPr>
          <w:rFonts w:ascii="Times New Roman" w:eastAsia="Calibri" w:hAnsi="Times New Roman" w:cs="Times New Roman"/>
          <w:noProof/>
          <w:color w:val="000000"/>
          <w:sz w:val="24"/>
          <w:szCs w:val="24"/>
          <w:lang w:eastAsia="en-GB"/>
        </w:rPr>
        <w:t xml:space="preserve"> decisions in Belgium are examples of recent court ca</w:t>
      </w:r>
      <w:r>
        <w:rPr>
          <w:rFonts w:ascii="Times New Roman" w:eastAsia="Calibri" w:hAnsi="Times New Roman" w:cs="Times New Roman"/>
          <w:noProof/>
          <w:color w:val="000000"/>
          <w:sz w:val="24"/>
          <w:szCs w:val="24"/>
          <w:lang w:eastAsia="en-GB"/>
        </w:rPr>
        <w:t xml:space="preserve">ses which focus on the legitimacy of the use of domestic </w:t>
      </w:r>
      <w:r>
        <w:rPr>
          <w:rFonts w:ascii="Times New Roman" w:hAnsi="Times New Roman" w:cs="Times New Roman"/>
          <w:noProof/>
          <w:sz w:val="24"/>
        </w:rPr>
        <w:t>production</w:t>
      </w:r>
      <w:r>
        <w:rPr>
          <w:rFonts w:ascii="Times New Roman" w:eastAsia="Calibri" w:hAnsi="Times New Roman" w:cs="Times New Roman"/>
          <w:noProof/>
          <w:color w:val="000000"/>
          <w:sz w:val="24"/>
          <w:szCs w:val="24"/>
          <w:lang w:eastAsia="en-GB"/>
        </w:rPr>
        <w:t xml:space="preserve"> orders for companies whose main seat is outside the requesting country but which provide a service in the territory of that country. The resulting fragmentation may generate legal uncertai</w:t>
      </w:r>
      <w:r>
        <w:rPr>
          <w:rFonts w:ascii="Times New Roman" w:eastAsia="Calibri" w:hAnsi="Times New Roman" w:cs="Times New Roman"/>
          <w:noProof/>
          <w:color w:val="000000"/>
          <w:sz w:val="24"/>
          <w:szCs w:val="24"/>
          <w:lang w:eastAsia="en-GB"/>
        </w:rPr>
        <w:t>nty, as well as concerns on the protection of fundamental rights and procedural safeguards for the persons related to such requests.</w:t>
      </w:r>
    </w:p>
    <w:p w:rsidR="001B65FF" w:rsidRDefault="003E4EF4">
      <w:pPr>
        <w:autoSpaceDE w:val="0"/>
        <w:autoSpaceDN w:val="0"/>
        <w:adjustRightInd w:val="0"/>
        <w:spacing w:before="240" w:after="0"/>
        <w:jc w:val="both"/>
        <w:rPr>
          <w:rFonts w:ascii="Times New Roman" w:eastAsia="Calibri" w:hAnsi="Times New Roman" w:cs="Times New Roman"/>
          <w:noProof/>
          <w:color w:val="000000"/>
          <w:sz w:val="24"/>
          <w:szCs w:val="24"/>
          <w:lang w:eastAsia="en-GB"/>
        </w:rPr>
      </w:pPr>
      <w:r>
        <w:rPr>
          <w:rFonts w:ascii="Times New Roman" w:eastAsia="Calibri" w:hAnsi="Times New Roman" w:cs="Times New Roman"/>
          <w:noProof/>
          <w:color w:val="000000"/>
          <w:sz w:val="24"/>
          <w:szCs w:val="24"/>
          <w:lang w:eastAsia="en-GB"/>
        </w:rPr>
        <w:lastRenderedPageBreak/>
        <w:t>In addition, t</w:t>
      </w:r>
      <w:r>
        <w:rPr>
          <w:rFonts w:ascii="Times New Roman" w:hAnsi="Times New Roman" w:cs="Times New Roman"/>
          <w:noProof/>
          <w:sz w:val="24"/>
          <w:szCs w:val="24"/>
        </w:rPr>
        <w:t>here have been a number of court cases in the US on whether US authorities have the right to request the prod</w:t>
      </w:r>
      <w:r>
        <w:rPr>
          <w:rFonts w:ascii="Times New Roman" w:hAnsi="Times New Roman" w:cs="Times New Roman"/>
          <w:noProof/>
          <w:sz w:val="24"/>
          <w:szCs w:val="24"/>
        </w:rPr>
        <w:t>uction of data stored abroad by a service provider whose main seat is in the US, including notably the “Microsoft Ireland” case</w:t>
      </w:r>
      <w:r>
        <w:rPr>
          <w:rFonts w:ascii="Times New Roman" w:eastAsia="Calibri" w:hAnsi="Times New Roman" w:cs="Times New Roman"/>
          <w:noProof/>
          <w:color w:val="000000"/>
          <w:sz w:val="24"/>
          <w:szCs w:val="24"/>
          <w:vertAlign w:val="superscript"/>
          <w:lang w:eastAsia="en-GB"/>
        </w:rPr>
        <w:footnoteReference w:id="5"/>
      </w:r>
      <w:r>
        <w:rPr>
          <w:rFonts w:ascii="Times New Roman" w:hAnsi="Times New Roman" w:cs="Times New Roman"/>
          <w:noProof/>
          <w:sz w:val="24"/>
          <w:szCs w:val="24"/>
        </w:rPr>
        <w:t>.</w:t>
      </w:r>
      <w:r>
        <w:rPr>
          <w:rFonts w:ascii="Times New Roman" w:eastAsia="Calibri" w:hAnsi="Times New Roman" w:cs="Times New Roman"/>
          <w:noProof/>
          <w:color w:val="000000"/>
          <w:sz w:val="24"/>
          <w:szCs w:val="24"/>
          <w:lang w:eastAsia="en-GB"/>
        </w:rPr>
        <w:t xml:space="preserve"> </w:t>
      </w:r>
    </w:p>
    <w:p w:rsidR="001B65FF" w:rsidRDefault="003E4EF4">
      <w:pPr>
        <w:shd w:val="clear" w:color="auto" w:fill="FFFFFF"/>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Improving cross-border access to e-evidence is a pressing issue concerning almost any type of crime. In particular, the recent terrorist attacks have underlined the need, as a matter of priority, to find ways to secure and obtain e-evidence more quickly an</w:t>
      </w:r>
      <w:r>
        <w:rPr>
          <w:rFonts w:ascii="Times New Roman" w:hAnsi="Times New Roman" w:cs="Times New Roman"/>
          <w:noProof/>
          <w:sz w:val="24"/>
          <w:szCs w:val="24"/>
        </w:rPr>
        <w:t xml:space="preserve">d effectively. </w:t>
      </w:r>
    </w:p>
    <w:p w:rsidR="001B65FF" w:rsidRDefault="001B65FF">
      <w:pPr>
        <w:shd w:val="clear" w:color="auto" w:fill="FFFFFF"/>
        <w:spacing w:after="0"/>
        <w:jc w:val="both"/>
        <w:rPr>
          <w:rFonts w:ascii="Times New Roman" w:hAnsi="Times New Roman" w:cs="Times New Roman"/>
          <w:noProof/>
          <w:sz w:val="24"/>
          <w:szCs w:val="24"/>
        </w:rPr>
      </w:pPr>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0"/>
        </w:rPr>
      </w:pPr>
      <w:bookmarkStart w:id="34" w:name="_Toc499020429"/>
      <w:bookmarkStart w:id="35" w:name="_Toc499030332"/>
      <w:bookmarkStart w:id="36" w:name="_Toc499044909"/>
      <w:bookmarkStart w:id="37" w:name="_Toc499051290"/>
      <w:bookmarkStart w:id="38" w:name="_Toc499133279"/>
      <w:bookmarkStart w:id="39" w:name="_Toc499142793"/>
      <w:bookmarkStart w:id="40" w:name="_Toc510952845"/>
      <w:r>
        <w:rPr>
          <w:rFonts w:ascii="Times New Roman" w:eastAsia="Times New Roman" w:hAnsi="Times New Roman" w:cs="Times New Roman"/>
          <w:b/>
          <w:noProof/>
          <w:sz w:val="24"/>
          <w:szCs w:val="20"/>
        </w:rPr>
        <w:t>Political and legal context</w:t>
      </w:r>
      <w:bookmarkEnd w:id="34"/>
      <w:bookmarkEnd w:id="35"/>
      <w:bookmarkEnd w:id="36"/>
      <w:bookmarkEnd w:id="37"/>
      <w:bookmarkEnd w:id="38"/>
      <w:bookmarkEnd w:id="39"/>
      <w:bookmarkEnd w:id="40"/>
    </w:p>
    <w:p w:rsidR="001B65FF" w:rsidRDefault="003E4EF4">
      <w:pPr>
        <w:shd w:val="clear" w:color="auto" w:fill="FFFFFF"/>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The Commission committed in the April 2015 European Agenda of Security</w:t>
      </w:r>
      <w:r>
        <w:rPr>
          <w:rFonts w:ascii="Times New Roman" w:hAnsi="Times New Roman" w:cs="Times New Roman"/>
          <w:noProof/>
          <w:sz w:val="24"/>
          <w:szCs w:val="24"/>
          <w:vertAlign w:val="superscript"/>
        </w:rPr>
        <w:footnoteReference w:id="6"/>
      </w:r>
      <w:r>
        <w:rPr>
          <w:rFonts w:ascii="Times New Roman" w:hAnsi="Times New Roman" w:cs="Times New Roman"/>
          <w:noProof/>
          <w:sz w:val="24"/>
          <w:szCs w:val="24"/>
        </w:rPr>
        <w:t xml:space="preserve"> to review obstacles to criminal investigations into cyber-enabled crimes, notably on cross-border access to electronic evidence. In </w:t>
      </w:r>
      <w:r>
        <w:rPr>
          <w:rFonts w:ascii="Times New Roman" w:eastAsia="Times New Roman" w:hAnsi="Times New Roman" w:cs="Times New Roman"/>
          <w:noProof/>
          <w:sz w:val="24"/>
          <w:lang w:eastAsia="en-GB"/>
        </w:rPr>
        <w:t>April 2</w:t>
      </w:r>
      <w:r>
        <w:rPr>
          <w:rFonts w:ascii="Times New Roman" w:eastAsia="Times New Roman" w:hAnsi="Times New Roman" w:cs="Times New Roman"/>
          <w:noProof/>
          <w:sz w:val="24"/>
          <w:lang w:eastAsia="en-GB"/>
        </w:rPr>
        <w:t>016</w:t>
      </w:r>
      <w:r>
        <w:rPr>
          <w:rFonts w:ascii="Times New Roman" w:eastAsia="Times New Roman" w:hAnsi="Times New Roman" w:cs="Times New Roman"/>
          <w:noProof/>
          <w:sz w:val="24"/>
          <w:szCs w:val="24"/>
          <w:vertAlign w:val="superscript"/>
          <w:lang w:eastAsia="en-GB"/>
        </w:rPr>
        <w:footnoteReference w:id="7"/>
      </w:r>
      <w:r>
        <w:rPr>
          <w:rFonts w:ascii="Times New Roman" w:hAnsi="Times New Roman" w:cs="Times New Roman"/>
          <w:noProof/>
          <w:sz w:val="24"/>
          <w:szCs w:val="24"/>
        </w:rPr>
        <w:t xml:space="preserve"> </w:t>
      </w:r>
      <w:r>
        <w:rPr>
          <w:rFonts w:ascii="Times New Roman" w:eastAsia="Times New Roman" w:hAnsi="Times New Roman" w:cs="Times New Roman"/>
          <w:noProof/>
          <w:sz w:val="24"/>
          <w:lang w:eastAsia="en-GB"/>
        </w:rPr>
        <w:t>the Commission undertook to propose solutions by summer 2017, including legislation if required.</w:t>
      </w:r>
    </w:p>
    <w:p w:rsidR="001B65FF" w:rsidRDefault="003E4EF4">
      <w:pPr>
        <w:shd w:val="clear" w:color="auto" w:fill="FFFFFF"/>
        <w:spacing w:before="240" w:after="0"/>
        <w:jc w:val="both"/>
        <w:rPr>
          <w:rFonts w:ascii="Times New Roman" w:eastAsia="Times New Roman" w:hAnsi="Times New Roman" w:cs="Times New Roman"/>
          <w:noProof/>
          <w:sz w:val="24"/>
          <w:lang w:eastAsia="en-GB"/>
        </w:rPr>
      </w:pPr>
      <w:r>
        <w:rPr>
          <w:rFonts w:ascii="Times New Roman" w:hAnsi="Times New Roman" w:cs="Times New Roman"/>
          <w:noProof/>
          <w:sz w:val="24"/>
          <w:szCs w:val="24"/>
        </w:rPr>
        <w:t>There have been repeated calls for action both from the EU Member States and the European Parliament. The Council supported the Commission´s commitment in</w:t>
      </w:r>
      <w:r>
        <w:rPr>
          <w:rFonts w:ascii="Times New Roman" w:hAnsi="Times New Roman" w:cs="Times New Roman"/>
          <w:noProof/>
          <w:sz w:val="24"/>
          <w:szCs w:val="24"/>
        </w:rPr>
        <w:t xml:space="preserve"> its June 2016 Conclusions on improving criminal justice in cyberspace</w:t>
      </w:r>
      <w:r>
        <w:rPr>
          <w:rFonts w:ascii="Times New Roman" w:hAnsi="Times New Roman" w:cs="Times New Roman"/>
          <w:noProof/>
          <w:sz w:val="24"/>
          <w:szCs w:val="24"/>
          <w:vertAlign w:val="superscript"/>
        </w:rPr>
        <w:footnoteReference w:id="8"/>
      </w:r>
      <w:r>
        <w:rPr>
          <w:rFonts w:ascii="Times New Roman" w:hAnsi="Times New Roman" w:cs="Times New Roman"/>
          <w:noProof/>
          <w:sz w:val="24"/>
          <w:szCs w:val="24"/>
        </w:rPr>
        <w:t xml:space="preserve"> and endorsed a set of practical measures to be taken forward. Specifically, the Council called on the Commission to take concrete actions based on a common EU approach to make mutual l</w:t>
      </w:r>
      <w:r>
        <w:rPr>
          <w:rFonts w:ascii="Times New Roman" w:hAnsi="Times New Roman" w:cs="Times New Roman"/>
          <w:noProof/>
          <w:sz w:val="24"/>
          <w:szCs w:val="24"/>
        </w:rPr>
        <w:t>egal assistance more efficient, to improve cooperation between Member States’ authorities and service providers based in non-EU countries, and to propose solutions to the problems of determining and enforcing jurisdiction</w:t>
      </w:r>
      <w:r>
        <w:rPr>
          <w:rFonts w:ascii="Times New Roman" w:hAnsi="Times New Roman" w:cs="Times New Roman"/>
          <w:noProof/>
          <w:sz w:val="24"/>
          <w:szCs w:val="24"/>
          <w:vertAlign w:val="superscript"/>
        </w:rPr>
        <w:footnoteReference w:id="9"/>
      </w:r>
      <w:r>
        <w:rPr>
          <w:rFonts w:ascii="Times New Roman" w:hAnsi="Times New Roman" w:cs="Times New Roman"/>
          <w:noProof/>
          <w:sz w:val="24"/>
          <w:szCs w:val="24"/>
        </w:rPr>
        <w:t xml:space="preserve"> in cyberspace. The Review Report </w:t>
      </w:r>
      <w:r>
        <w:rPr>
          <w:rFonts w:ascii="Times New Roman" w:hAnsi="Times New Roman" w:cs="Times New Roman"/>
          <w:noProof/>
          <w:sz w:val="24"/>
          <w:szCs w:val="24"/>
        </w:rPr>
        <w:t>of the 2016 EU-US MLA Agreement, which was finalised at the same time as the Council Conclusions, contained several recommendations to improve access to electronic evidence</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In its </w:t>
      </w:r>
      <w:r>
        <w:rPr>
          <w:rFonts w:ascii="Times New Roman" w:hAnsi="Times New Roman" w:cs="Times New Roman"/>
          <w:noProof/>
          <w:sz w:val="24"/>
        </w:rPr>
        <w:t xml:space="preserve">final report on the seventh round of mutual evaluations on prevention and </w:t>
      </w:r>
      <w:r>
        <w:rPr>
          <w:rFonts w:ascii="Times New Roman" w:hAnsi="Times New Roman" w:cs="Times New Roman"/>
          <w:noProof/>
          <w:sz w:val="24"/>
        </w:rPr>
        <w:t>combating cybercrime</w:t>
      </w:r>
      <w:r>
        <w:rPr>
          <w:rFonts w:ascii="Times New Roman" w:hAnsi="Times New Roman" w:cs="Times New Roman"/>
          <w:noProof/>
          <w:sz w:val="24"/>
          <w:vertAlign w:val="superscript"/>
        </w:rPr>
        <w:footnoteReference w:id="11"/>
      </w:r>
      <w:r>
        <w:rPr>
          <w:rFonts w:ascii="Times New Roman" w:hAnsi="Times New Roman" w:cs="Times New Roman"/>
          <w:noProof/>
          <w:sz w:val="24"/>
        </w:rPr>
        <w:t>, the Council also recommended that the EU and its Member States consider the development of an EU framework on law enforcement access to data held by service providers.</w:t>
      </w:r>
    </w:p>
    <w:p w:rsidR="001B65FF" w:rsidRDefault="003E4EF4">
      <w:pPr>
        <w:shd w:val="clear" w:color="auto" w:fill="FFFFFF"/>
        <w:spacing w:before="240" w:after="0"/>
        <w:jc w:val="both"/>
        <w:rPr>
          <w:rFonts w:ascii="Times New Roman" w:hAnsi="Times New Roman" w:cs="Times New Roman"/>
          <w:noProof/>
          <w:sz w:val="24"/>
        </w:rPr>
      </w:pPr>
      <w:r>
        <w:rPr>
          <w:rFonts w:ascii="Times New Roman" w:eastAsia="Times New Roman" w:hAnsi="Times New Roman" w:cs="Times New Roman"/>
          <w:noProof/>
          <w:sz w:val="24"/>
          <w:lang w:eastAsia="en-GB"/>
        </w:rPr>
        <w:lastRenderedPageBreak/>
        <w:t>President Juncker committed to put forward a legislative proposal</w:t>
      </w:r>
      <w:r>
        <w:rPr>
          <w:rFonts w:ascii="Times New Roman" w:eastAsia="Times New Roman" w:hAnsi="Times New Roman" w:cs="Times New Roman"/>
          <w:noProof/>
          <w:sz w:val="24"/>
          <w:lang w:eastAsia="en-GB"/>
        </w:rPr>
        <w:t xml:space="preserve"> in 2018 in his September 2017 Letter of Intent</w:t>
      </w:r>
      <w:r>
        <w:rPr>
          <w:rFonts w:ascii="Times New Roman" w:eastAsia="Times New Roman" w:hAnsi="Times New Roman" w:cs="Times New Roman"/>
          <w:noProof/>
          <w:sz w:val="24"/>
          <w:vertAlign w:val="superscript"/>
          <w:lang w:eastAsia="en-GB"/>
        </w:rPr>
        <w:footnoteReference w:id="12"/>
      </w:r>
      <w:r>
        <w:rPr>
          <w:rFonts w:ascii="Times New Roman" w:eastAsia="Times New Roman" w:hAnsi="Times New Roman" w:cs="Times New Roman"/>
          <w:noProof/>
          <w:sz w:val="24"/>
          <w:lang w:eastAsia="en-GB"/>
        </w:rPr>
        <w:t>.</w:t>
      </w:r>
      <w:r>
        <w:rPr>
          <w:rFonts w:ascii="Times New Roman" w:hAnsi="Times New Roman" w:cs="Times New Roman"/>
          <w:noProof/>
          <w:sz w:val="24"/>
        </w:rPr>
        <w:t xml:space="preserve"> The European Parliament adopted a resolution on the fight against cybercrime in October 2017</w:t>
      </w:r>
      <w:r>
        <w:rPr>
          <w:rFonts w:ascii="Times New Roman" w:hAnsi="Times New Roman" w:cs="Times New Roman"/>
          <w:noProof/>
          <w:sz w:val="24"/>
          <w:vertAlign w:val="superscript"/>
        </w:rPr>
        <w:footnoteReference w:id="13"/>
      </w:r>
      <w:r>
        <w:rPr>
          <w:rFonts w:ascii="Times New Roman" w:hAnsi="Times New Roman" w:cs="Times New Roman"/>
          <w:noProof/>
          <w:sz w:val="24"/>
        </w:rPr>
        <w:t>, which acknowledges the difficulties of public authorities in accessing electronic evidence across borders and u</w:t>
      </w:r>
      <w:r>
        <w:rPr>
          <w:rFonts w:ascii="Times New Roman" w:hAnsi="Times New Roman" w:cs="Times New Roman"/>
          <w:noProof/>
          <w:sz w:val="24"/>
        </w:rPr>
        <w:t>nderlines the need for a common European approach to criminal justice in cyberspace, as a matter of priority. It calls on the Commission to put forward a European legal framework for electronic evidence, including harmonised rules to determine the status o</w:t>
      </w:r>
      <w:r>
        <w:rPr>
          <w:rFonts w:ascii="Times New Roman" w:hAnsi="Times New Roman" w:cs="Times New Roman"/>
          <w:noProof/>
          <w:sz w:val="24"/>
        </w:rPr>
        <w:t>f a provider (domestic or foreign), and to impose an obligation on service providers to respond to requests from Member States that are based on due legal process.</w:t>
      </w:r>
    </w:p>
    <w:p w:rsidR="001B65FF" w:rsidRDefault="003E4EF4">
      <w:pPr>
        <w:shd w:val="clear" w:color="auto" w:fill="FFFFFF"/>
        <w:spacing w:before="240" w:after="0"/>
        <w:jc w:val="both"/>
        <w:rPr>
          <w:rFonts w:ascii="Times New Roman" w:hAnsi="Times New Roman" w:cs="Times New Roman"/>
          <w:noProof/>
          <w:sz w:val="24"/>
        </w:rPr>
      </w:pPr>
      <w:r>
        <w:rPr>
          <w:rFonts w:ascii="Times New Roman" w:hAnsi="Times New Roman" w:cs="Times New Roman"/>
          <w:noProof/>
          <w:sz w:val="24"/>
        </w:rPr>
        <w:t xml:space="preserve">The legal and policy environment surrounding this initiative is complex because: </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1) The ini</w:t>
      </w:r>
      <w:r>
        <w:rPr>
          <w:rFonts w:ascii="Times New Roman" w:hAnsi="Times New Roman" w:cs="Times New Roman"/>
          <w:noProof/>
          <w:sz w:val="24"/>
        </w:rPr>
        <w:t xml:space="preserve">tiative touches upon several areas: </w:t>
      </w:r>
    </w:p>
    <w:p w:rsidR="001B65FF" w:rsidRDefault="003E4EF4">
      <w:pPr>
        <w:pStyle w:val="ListParagraph"/>
        <w:numPr>
          <w:ilvl w:val="0"/>
          <w:numId w:val="174"/>
        </w:numPr>
        <w:jc w:val="both"/>
        <w:rPr>
          <w:rFonts w:ascii="Times New Roman" w:hAnsi="Times New Roman" w:cs="Times New Roman"/>
          <w:noProof/>
          <w:sz w:val="24"/>
        </w:rPr>
      </w:pPr>
      <w:r>
        <w:rPr>
          <w:rFonts w:ascii="Times New Roman" w:hAnsi="Times New Roman" w:cs="Times New Roman"/>
          <w:noProof/>
          <w:sz w:val="24"/>
        </w:rPr>
        <w:t>while cross-border access to evidence by public authorities in the framework of criminal investigations is governed by the acquis in the area of judicial cooperation in criminal matters, the initiative also involves exc</w:t>
      </w:r>
      <w:r>
        <w:rPr>
          <w:rFonts w:ascii="Times New Roman" w:hAnsi="Times New Roman" w:cs="Times New Roman"/>
          <w:noProof/>
          <w:sz w:val="24"/>
        </w:rPr>
        <w:t>hange of personal data, so the data protection and ePrivacy frameworks are also relevant;</w:t>
      </w:r>
    </w:p>
    <w:p w:rsidR="001B65FF" w:rsidRDefault="003E4EF4">
      <w:pPr>
        <w:pStyle w:val="ListParagraph"/>
        <w:numPr>
          <w:ilvl w:val="0"/>
          <w:numId w:val="174"/>
        </w:numPr>
        <w:jc w:val="both"/>
        <w:rPr>
          <w:rFonts w:ascii="Times New Roman" w:hAnsi="Times New Roman" w:cs="Times New Roman"/>
          <w:noProof/>
          <w:sz w:val="24"/>
        </w:rPr>
      </w:pPr>
      <w:r>
        <w:rPr>
          <w:rFonts w:ascii="Times New Roman" w:hAnsi="Times New Roman" w:cs="Times New Roman"/>
          <w:noProof/>
          <w:sz w:val="24"/>
        </w:rPr>
        <w:t>there are many co-existing levels of regulation: EU law, rules at Member State level governing criminal investigations, international conventions and bilateral agreem</w:t>
      </w:r>
      <w:r>
        <w:rPr>
          <w:rFonts w:ascii="Times New Roman" w:hAnsi="Times New Roman" w:cs="Times New Roman"/>
          <w:noProof/>
          <w:sz w:val="24"/>
        </w:rPr>
        <w:t xml:space="preserve">ents. US law also plays an important role, as major service providers holding relevant evidence operate under US jurisdiction. </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2) Some aspects of the legal environment are currently subject to changes:</w:t>
      </w:r>
    </w:p>
    <w:p w:rsidR="001B65FF" w:rsidRDefault="003E4EF4">
      <w:pPr>
        <w:pStyle w:val="ListParagraph"/>
        <w:numPr>
          <w:ilvl w:val="0"/>
          <w:numId w:val="175"/>
        </w:numPr>
        <w:jc w:val="both"/>
        <w:rPr>
          <w:rFonts w:ascii="Times New Roman" w:hAnsi="Times New Roman" w:cs="Times New Roman"/>
          <w:noProof/>
          <w:sz w:val="24"/>
        </w:rPr>
      </w:pPr>
      <w:r>
        <w:rPr>
          <w:rFonts w:ascii="Times New Roman" w:hAnsi="Times New Roman" w:cs="Times New Roman"/>
          <w:noProof/>
          <w:sz w:val="24"/>
        </w:rPr>
        <w:t xml:space="preserve">several EU instruments are currently under revision, </w:t>
      </w:r>
      <w:r>
        <w:rPr>
          <w:rFonts w:ascii="Times New Roman" w:hAnsi="Times New Roman" w:cs="Times New Roman"/>
          <w:noProof/>
          <w:sz w:val="24"/>
        </w:rPr>
        <w:t>such as the ePrivacy Directive, and new proposals are being prepared;</w:t>
      </w:r>
    </w:p>
    <w:p w:rsidR="001B65FF" w:rsidRDefault="003E4EF4">
      <w:pPr>
        <w:pStyle w:val="ListParagraph"/>
        <w:numPr>
          <w:ilvl w:val="0"/>
          <w:numId w:val="175"/>
        </w:numPr>
        <w:jc w:val="both"/>
        <w:rPr>
          <w:rFonts w:ascii="Times New Roman" w:hAnsi="Times New Roman" w:cs="Times New Roman"/>
          <w:noProof/>
          <w:sz w:val="24"/>
        </w:rPr>
      </w:pPr>
      <w:r>
        <w:rPr>
          <w:rFonts w:ascii="Times New Roman" w:hAnsi="Times New Roman" w:cs="Times New Roman"/>
          <w:noProof/>
          <w:sz w:val="24"/>
        </w:rPr>
        <w:t xml:space="preserve">work has recently started on an additional protocol to the </w:t>
      </w:r>
      <w:r>
        <w:rPr>
          <w:rFonts w:ascii="Times New Roman" w:hAnsi="Times New Roman" w:cs="Times New Roman"/>
          <w:noProof/>
          <w:sz w:val="24"/>
          <w:lang w:val="en-US"/>
        </w:rPr>
        <w:t>Council of Europe Budapest Convention on Cybercrime</w:t>
      </w:r>
      <w:r>
        <w:rPr>
          <w:rFonts w:ascii="Times New Roman" w:hAnsi="Times New Roman" w:cs="Times New Roman"/>
          <w:noProof/>
          <w:sz w:val="24"/>
        </w:rPr>
        <w:t xml:space="preserve">, the main international framework governing access to electronic evidence </w:t>
      </w:r>
      <w:r>
        <w:rPr>
          <w:rFonts w:ascii="Times New Roman" w:hAnsi="Times New Roman" w:cs="Times New Roman"/>
          <w:noProof/>
          <w:sz w:val="24"/>
        </w:rPr>
        <w:t>by public authorities;</w:t>
      </w:r>
    </w:p>
    <w:p w:rsidR="001B65FF" w:rsidRDefault="003E4EF4">
      <w:pPr>
        <w:pStyle w:val="ListParagraph"/>
        <w:numPr>
          <w:ilvl w:val="0"/>
          <w:numId w:val="175"/>
        </w:numPr>
        <w:jc w:val="both"/>
        <w:rPr>
          <w:rFonts w:ascii="Times New Roman" w:hAnsi="Times New Roman" w:cs="Times New Roman"/>
          <w:noProof/>
          <w:sz w:val="24"/>
        </w:rPr>
      </w:pPr>
      <w:r>
        <w:rPr>
          <w:rFonts w:ascii="Times New Roman" w:hAnsi="Times New Roman" w:cs="Times New Roman"/>
          <w:noProof/>
          <w:sz w:val="24"/>
        </w:rPr>
        <w:t>like the EU and its Member States, the US is trying to address the issues created by cross-border access to e-evidence through legislative initiatives.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A detailed list of relevant legislation and policy can be found in Annex 5.</w:t>
      </w:r>
    </w:p>
    <w:p w:rsidR="001B65FF" w:rsidRDefault="003E4EF4">
      <w:pPr>
        <w:keepNext/>
        <w:numPr>
          <w:ilvl w:val="0"/>
          <w:numId w:val="3"/>
        </w:numPr>
        <w:spacing w:before="240" w:after="240" w:line="240" w:lineRule="auto"/>
        <w:jc w:val="both"/>
        <w:outlineLvl w:val="0"/>
        <w:rPr>
          <w:rFonts w:ascii="Times New Roman" w:eastAsia="Times New Roman" w:hAnsi="Times New Roman" w:cs="Times New Roman"/>
          <w:b/>
          <w:smallCaps/>
          <w:noProof/>
          <w:sz w:val="24"/>
          <w:szCs w:val="20"/>
        </w:rPr>
      </w:pPr>
      <w:bookmarkStart w:id="41" w:name="_Toc481484460"/>
      <w:bookmarkStart w:id="42" w:name="_Toc497927238"/>
      <w:bookmarkStart w:id="43" w:name="_Toc497927851"/>
      <w:bookmarkStart w:id="44" w:name="_Toc497928117"/>
      <w:bookmarkStart w:id="45" w:name="_Toc498509609"/>
      <w:bookmarkStart w:id="46" w:name="_Toc498517893"/>
      <w:bookmarkStart w:id="47" w:name="_Toc498521198"/>
      <w:bookmarkStart w:id="48" w:name="_Toc498701907"/>
      <w:bookmarkStart w:id="49" w:name="_Toc498704674"/>
      <w:bookmarkStart w:id="50" w:name="_Toc499020430"/>
      <w:bookmarkStart w:id="51" w:name="_Toc499030333"/>
      <w:bookmarkStart w:id="52" w:name="_Toc499044910"/>
      <w:bookmarkStart w:id="53" w:name="_Toc499051291"/>
      <w:bookmarkStart w:id="54" w:name="_Toc499133280"/>
      <w:bookmarkStart w:id="55" w:name="_Toc499142794"/>
      <w:bookmarkStart w:id="56" w:name="_Toc510952846"/>
      <w:r>
        <w:rPr>
          <w:rFonts w:ascii="Times New Roman" w:eastAsia="Times New Roman" w:hAnsi="Times New Roman" w:cs="Times New Roman"/>
          <w:b/>
          <w:smallCaps/>
          <w:noProof/>
          <w:sz w:val="24"/>
          <w:szCs w:val="20"/>
        </w:rPr>
        <w:t>Probl</w:t>
      </w:r>
      <w:r>
        <w:rPr>
          <w:rFonts w:ascii="Times New Roman" w:eastAsia="Times New Roman" w:hAnsi="Times New Roman" w:cs="Times New Roman"/>
          <w:b/>
          <w:smallCaps/>
          <w:noProof/>
          <w:sz w:val="24"/>
          <w:szCs w:val="20"/>
        </w:rPr>
        <w:t>em definition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1B65FF" w:rsidRDefault="003E4EF4">
      <w:pPr>
        <w:spacing w:after="24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Table 1 shows the intervention logic (problem, drivers, objectives and options) that will be described in detail in the following sections 2 to 5:</w:t>
      </w:r>
    </w:p>
    <w:p w:rsidR="001B65FF" w:rsidRDefault="001B65FF">
      <w:pPr>
        <w:spacing w:after="240" w:line="240" w:lineRule="auto"/>
        <w:jc w:val="both"/>
        <w:rPr>
          <w:rFonts w:ascii="Times New Roman" w:eastAsia="Times New Roman" w:hAnsi="Times New Roman" w:cs="Times New Roman"/>
          <w:noProof/>
          <w:sz w:val="24"/>
          <w:szCs w:val="20"/>
        </w:rPr>
        <w:sectPr w:rsidR="001B65FF">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tbl>
      <w:tblPr>
        <w:tblStyle w:val="TableEY2"/>
        <w:tblpPr w:leftFromText="180" w:rightFromText="180" w:vertAnchor="page" w:horzAnchor="margin" w:tblpY="2340"/>
        <w:tblW w:w="13858" w:type="dxa"/>
        <w:tblLayout w:type="fixed"/>
        <w:tblLook w:val="04A0" w:firstRow="1" w:lastRow="0" w:firstColumn="1" w:lastColumn="0" w:noHBand="0" w:noVBand="1"/>
      </w:tblPr>
      <w:tblGrid>
        <w:gridCol w:w="1242"/>
        <w:gridCol w:w="2552"/>
        <w:gridCol w:w="1984"/>
        <w:gridCol w:w="2127"/>
        <w:gridCol w:w="1559"/>
        <w:gridCol w:w="1417"/>
        <w:gridCol w:w="1418"/>
        <w:gridCol w:w="1559"/>
      </w:tblGrid>
      <w:tr w:rsidR="001B65FF">
        <w:trPr>
          <w:trHeight w:val="463"/>
        </w:trPr>
        <w:tc>
          <w:tcPr>
            <w:tcW w:w="1242" w:type="dxa"/>
            <w:vMerge w:val="restart"/>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Problem</w:t>
            </w:r>
          </w:p>
        </w:tc>
        <w:tc>
          <w:tcPr>
            <w:tcW w:w="2552" w:type="dxa"/>
            <w:vMerge w:val="restart"/>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    Problem drivers</w:t>
            </w:r>
          </w:p>
        </w:tc>
        <w:tc>
          <w:tcPr>
            <w:tcW w:w="1984" w:type="dxa"/>
            <w:vMerge w:val="restart"/>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General objective</w:t>
            </w:r>
          </w:p>
        </w:tc>
        <w:tc>
          <w:tcPr>
            <w:tcW w:w="2127" w:type="dxa"/>
            <w:vMerge w:val="restart"/>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Specific objectives</w:t>
            </w:r>
          </w:p>
        </w:tc>
        <w:tc>
          <w:tcPr>
            <w:tcW w:w="5953" w:type="dxa"/>
            <w:gridSpan w:val="4"/>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Options</w:t>
            </w:r>
          </w:p>
        </w:tc>
      </w:tr>
      <w:tr w:rsidR="001B65FF">
        <w:trPr>
          <w:trHeight w:val="463"/>
        </w:trPr>
        <w:tc>
          <w:tcPr>
            <w:tcW w:w="1242" w:type="dxa"/>
            <w:vMerge/>
          </w:tcPr>
          <w:p w:rsidR="001B65FF" w:rsidRDefault="001B65FF">
            <w:pPr>
              <w:jc w:val="center"/>
              <w:rPr>
                <w:rFonts w:ascii="Times New Roman" w:hAnsi="Times New Roman" w:cs="Times New Roman"/>
                <w:b/>
                <w:noProof/>
                <w:sz w:val="20"/>
                <w:szCs w:val="20"/>
              </w:rPr>
            </w:pPr>
          </w:p>
        </w:tc>
        <w:tc>
          <w:tcPr>
            <w:tcW w:w="2552" w:type="dxa"/>
            <w:vMerge/>
          </w:tcPr>
          <w:p w:rsidR="001B65FF" w:rsidRDefault="001B65FF">
            <w:pPr>
              <w:jc w:val="center"/>
              <w:rPr>
                <w:rFonts w:ascii="Times New Roman" w:hAnsi="Times New Roman" w:cs="Times New Roman"/>
                <w:b/>
                <w:noProof/>
                <w:sz w:val="20"/>
                <w:szCs w:val="20"/>
              </w:rPr>
            </w:pPr>
          </w:p>
        </w:tc>
        <w:tc>
          <w:tcPr>
            <w:tcW w:w="1984" w:type="dxa"/>
            <w:vMerge/>
          </w:tcPr>
          <w:p w:rsidR="001B65FF" w:rsidRDefault="001B65FF">
            <w:pPr>
              <w:jc w:val="center"/>
              <w:rPr>
                <w:rFonts w:ascii="Times New Roman" w:hAnsi="Times New Roman" w:cs="Times New Roman"/>
                <w:b/>
                <w:noProof/>
                <w:sz w:val="20"/>
                <w:szCs w:val="20"/>
              </w:rPr>
            </w:pPr>
          </w:p>
        </w:tc>
        <w:tc>
          <w:tcPr>
            <w:tcW w:w="2127" w:type="dxa"/>
            <w:vMerge/>
          </w:tcPr>
          <w:p w:rsidR="001B65FF" w:rsidRDefault="001B65FF">
            <w:pPr>
              <w:jc w:val="center"/>
              <w:rPr>
                <w:rFonts w:ascii="Times New Roman" w:hAnsi="Times New Roman" w:cs="Times New Roman"/>
                <w:b/>
                <w:noProof/>
                <w:sz w:val="20"/>
                <w:szCs w:val="20"/>
              </w:rPr>
            </w:pPr>
          </w:p>
        </w:tc>
        <w:tc>
          <w:tcPr>
            <w:tcW w:w="1559" w:type="dxa"/>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Non-legislative</w:t>
            </w:r>
          </w:p>
        </w:tc>
        <w:tc>
          <w:tcPr>
            <w:tcW w:w="4394" w:type="dxa"/>
            <w:gridSpan w:val="3"/>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Legislative</w:t>
            </w:r>
          </w:p>
        </w:tc>
      </w:tr>
      <w:tr w:rsidR="001B65FF">
        <w:trPr>
          <w:trHeight w:val="324"/>
        </w:trPr>
        <w:tc>
          <w:tcPr>
            <w:tcW w:w="1242" w:type="dxa"/>
            <w:vMerge/>
          </w:tcPr>
          <w:p w:rsidR="001B65FF" w:rsidRDefault="001B65FF">
            <w:pPr>
              <w:jc w:val="center"/>
              <w:rPr>
                <w:rFonts w:ascii="Times New Roman" w:hAnsi="Times New Roman" w:cs="Times New Roman"/>
                <w:b/>
                <w:noProof/>
                <w:sz w:val="20"/>
                <w:szCs w:val="20"/>
              </w:rPr>
            </w:pPr>
          </w:p>
        </w:tc>
        <w:tc>
          <w:tcPr>
            <w:tcW w:w="2552" w:type="dxa"/>
            <w:vMerge/>
          </w:tcPr>
          <w:p w:rsidR="001B65FF" w:rsidRDefault="001B65FF">
            <w:pPr>
              <w:jc w:val="center"/>
              <w:rPr>
                <w:rFonts w:ascii="Times New Roman" w:hAnsi="Times New Roman" w:cs="Times New Roman"/>
                <w:b/>
                <w:noProof/>
                <w:sz w:val="20"/>
                <w:szCs w:val="20"/>
              </w:rPr>
            </w:pPr>
          </w:p>
        </w:tc>
        <w:tc>
          <w:tcPr>
            <w:tcW w:w="1984" w:type="dxa"/>
            <w:vMerge/>
          </w:tcPr>
          <w:p w:rsidR="001B65FF" w:rsidRDefault="001B65FF">
            <w:pPr>
              <w:jc w:val="center"/>
              <w:rPr>
                <w:rFonts w:ascii="Times New Roman" w:hAnsi="Times New Roman" w:cs="Times New Roman"/>
                <w:b/>
                <w:noProof/>
                <w:sz w:val="20"/>
                <w:szCs w:val="20"/>
              </w:rPr>
            </w:pPr>
          </w:p>
        </w:tc>
        <w:tc>
          <w:tcPr>
            <w:tcW w:w="2127" w:type="dxa"/>
            <w:vMerge/>
          </w:tcPr>
          <w:p w:rsidR="001B65FF" w:rsidRDefault="001B65FF">
            <w:pPr>
              <w:jc w:val="center"/>
              <w:rPr>
                <w:rFonts w:ascii="Times New Roman" w:hAnsi="Times New Roman" w:cs="Times New Roman"/>
                <w:b/>
                <w:noProof/>
                <w:sz w:val="20"/>
                <w:szCs w:val="20"/>
              </w:rPr>
            </w:pPr>
          </w:p>
        </w:tc>
        <w:tc>
          <w:tcPr>
            <w:tcW w:w="1559" w:type="dxa"/>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A</w:t>
            </w:r>
          </w:p>
        </w:tc>
        <w:tc>
          <w:tcPr>
            <w:tcW w:w="1417" w:type="dxa"/>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B</w:t>
            </w:r>
          </w:p>
        </w:tc>
        <w:tc>
          <w:tcPr>
            <w:tcW w:w="1418" w:type="dxa"/>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C</w:t>
            </w:r>
          </w:p>
        </w:tc>
        <w:tc>
          <w:tcPr>
            <w:tcW w:w="1559" w:type="dxa"/>
          </w:tcPr>
          <w:p w:rsidR="001B65FF" w:rsidRDefault="003E4EF4">
            <w:pPr>
              <w:jc w:val="center"/>
              <w:rPr>
                <w:rFonts w:ascii="Times New Roman" w:hAnsi="Times New Roman" w:cs="Times New Roman"/>
                <w:b/>
                <w:noProof/>
                <w:sz w:val="20"/>
                <w:szCs w:val="20"/>
              </w:rPr>
            </w:pPr>
            <w:r>
              <w:rPr>
                <w:rFonts w:ascii="Times New Roman" w:hAnsi="Times New Roman" w:cs="Times New Roman"/>
                <w:b/>
                <w:noProof/>
                <w:sz w:val="20"/>
                <w:szCs w:val="20"/>
              </w:rPr>
              <w:t>D</w:t>
            </w:r>
          </w:p>
        </w:tc>
      </w:tr>
      <w:tr w:rsidR="001B65FF">
        <w:trPr>
          <w:trHeight w:val="5092"/>
        </w:trPr>
        <w:tc>
          <w:tcPr>
            <w:tcW w:w="1242" w:type="dxa"/>
          </w:tcPr>
          <w:p w:rsidR="001B65FF" w:rsidRDefault="003E4EF4">
            <w:pPr>
              <w:contextualSpacing/>
              <w:rPr>
                <w:rFonts w:ascii="Times New Roman" w:hAnsi="Times New Roman" w:cs="Times New Roman"/>
                <w:noProof/>
                <w:sz w:val="20"/>
                <w:szCs w:val="20"/>
              </w:rPr>
            </w:pPr>
            <w:r>
              <w:rPr>
                <w:rFonts w:ascii="Times New Roman" w:hAnsi="Times New Roman" w:cs="Times New Roman"/>
                <w:noProof/>
                <w:sz w:val="20"/>
                <w:szCs w:val="20"/>
              </w:rPr>
              <w:t xml:space="preserve">Some crimes cannot be effectively investigated and prosecuted in the EU because of </w:t>
            </w:r>
            <w:r>
              <w:rPr>
                <w:rFonts w:ascii="Times New Roman" w:hAnsi="Times New Roman" w:cs="Times New Roman"/>
                <w:b/>
                <w:noProof/>
                <w:sz w:val="20"/>
                <w:szCs w:val="20"/>
              </w:rPr>
              <w:t>challenges</w:t>
            </w:r>
            <w:r>
              <w:rPr>
                <w:rFonts w:ascii="Times New Roman" w:hAnsi="Times New Roman" w:cs="Times New Roman"/>
                <w:noProof/>
                <w:sz w:val="20"/>
                <w:szCs w:val="20"/>
              </w:rPr>
              <w:t xml:space="preserve"> in </w:t>
            </w:r>
            <w:r>
              <w:rPr>
                <w:rFonts w:ascii="Times New Roman" w:hAnsi="Times New Roman" w:cs="Times New Roman"/>
                <w:b/>
                <w:noProof/>
                <w:sz w:val="20"/>
                <w:szCs w:val="20"/>
              </w:rPr>
              <w:t>cross-border access to electronic evidence</w:t>
            </w:r>
          </w:p>
        </w:tc>
        <w:tc>
          <w:tcPr>
            <w:tcW w:w="2552" w:type="dxa"/>
          </w:tcPr>
          <w:p w:rsidR="001B65FF" w:rsidRDefault="003E4EF4">
            <w:pPr>
              <w:pStyle w:val="ListParagraph"/>
              <w:numPr>
                <w:ilvl w:val="0"/>
                <w:numId w:val="13"/>
              </w:numPr>
              <w:rPr>
                <w:rFonts w:ascii="Times New Roman" w:hAnsi="Times New Roman" w:cs="Times New Roman"/>
                <w:noProof/>
                <w:sz w:val="20"/>
                <w:szCs w:val="20"/>
              </w:rPr>
            </w:pPr>
            <w:r>
              <w:rPr>
                <w:rFonts w:ascii="Times New Roman" w:hAnsi="Times New Roman" w:cs="Times New Roman"/>
                <w:noProof/>
                <w:sz w:val="20"/>
                <w:szCs w:val="20"/>
              </w:rPr>
              <w:t xml:space="preserve">It takes </w:t>
            </w:r>
            <w:r>
              <w:rPr>
                <w:rFonts w:ascii="Times New Roman" w:hAnsi="Times New Roman" w:cs="Times New Roman"/>
                <w:b/>
                <w:noProof/>
                <w:sz w:val="20"/>
                <w:szCs w:val="20"/>
              </w:rPr>
              <w:t>too long</w:t>
            </w:r>
            <w:r>
              <w:rPr>
                <w:rFonts w:ascii="Times New Roman" w:hAnsi="Times New Roman" w:cs="Times New Roman"/>
                <w:noProof/>
                <w:sz w:val="20"/>
                <w:szCs w:val="20"/>
              </w:rPr>
              <w:t xml:space="preserve"> to access e-evidence across borders under existing judicial </w:t>
            </w:r>
            <w:r>
              <w:rPr>
                <w:rFonts w:ascii="Times New Roman" w:hAnsi="Times New Roman" w:cs="Times New Roman"/>
                <w:b/>
                <w:noProof/>
                <w:sz w:val="20"/>
                <w:szCs w:val="20"/>
              </w:rPr>
              <w:t>cooperation</w:t>
            </w:r>
            <w:r>
              <w:rPr>
                <w:rFonts w:ascii="Times New Roman" w:hAnsi="Times New Roman" w:cs="Times New Roman"/>
                <w:noProof/>
                <w:sz w:val="20"/>
                <w:szCs w:val="20"/>
              </w:rPr>
              <w:t xml:space="preserve"> procedures, rendering investigations and prosecutions less effective</w:t>
            </w:r>
          </w:p>
          <w:p w:rsidR="001B65FF" w:rsidRDefault="003E4EF4">
            <w:pPr>
              <w:numPr>
                <w:ilvl w:val="0"/>
                <w:numId w:val="13"/>
              </w:numPr>
              <w:contextualSpacing/>
              <w:rPr>
                <w:rFonts w:ascii="Times New Roman" w:hAnsi="Times New Roman" w:cs="Times New Roman"/>
                <w:noProof/>
                <w:sz w:val="20"/>
                <w:szCs w:val="20"/>
              </w:rPr>
            </w:pPr>
            <w:r>
              <w:rPr>
                <w:rFonts w:ascii="Times New Roman" w:hAnsi="Times New Roman" w:cs="Times New Roman"/>
                <w:noProof/>
                <w:sz w:val="20"/>
                <w:szCs w:val="20"/>
              </w:rPr>
              <w:t>Inefficiencies in</w:t>
            </w:r>
            <w:r>
              <w:rPr>
                <w:rFonts w:ascii="Times New Roman" w:hAnsi="Times New Roman" w:cs="Times New Roman"/>
                <w:b/>
                <w:noProof/>
                <w:sz w:val="20"/>
                <w:szCs w:val="20"/>
              </w:rPr>
              <w:t xml:space="preserve"> public-private cooperation</w:t>
            </w:r>
            <w:r>
              <w:rPr>
                <w:rFonts w:ascii="Times New Roman" w:hAnsi="Times New Roman" w:cs="Times New Roman"/>
                <w:noProof/>
                <w:sz w:val="20"/>
                <w:szCs w:val="20"/>
              </w:rPr>
              <w:t xml:space="preserve"> between service providers and public authorities hamper effective investigations and prosecutions</w:t>
            </w:r>
          </w:p>
          <w:p w:rsidR="001B65FF" w:rsidRDefault="001B65FF">
            <w:pPr>
              <w:rPr>
                <w:rFonts w:ascii="Times New Roman" w:hAnsi="Times New Roman" w:cs="Times New Roman"/>
                <w:noProof/>
                <w:sz w:val="20"/>
                <w:szCs w:val="20"/>
              </w:rPr>
            </w:pPr>
          </w:p>
          <w:p w:rsidR="001B65FF" w:rsidRDefault="003E4EF4">
            <w:pPr>
              <w:numPr>
                <w:ilvl w:val="0"/>
                <w:numId w:val="13"/>
              </w:numPr>
              <w:contextualSpacing/>
              <w:rPr>
                <w:rFonts w:ascii="Times New Roman" w:hAnsi="Times New Roman" w:cs="Times New Roman"/>
                <w:noProof/>
                <w:sz w:val="20"/>
                <w:szCs w:val="20"/>
              </w:rPr>
            </w:pPr>
            <w:r>
              <w:rPr>
                <w:rFonts w:ascii="Times New Roman" w:hAnsi="Times New Roman" w:cs="Times New Roman"/>
                <w:noProof/>
                <w:sz w:val="20"/>
                <w:szCs w:val="20"/>
              </w:rPr>
              <w:t xml:space="preserve">Shortcomings  in defining </w:t>
            </w:r>
            <w:r>
              <w:rPr>
                <w:rFonts w:ascii="Times New Roman" w:hAnsi="Times New Roman" w:cs="Times New Roman"/>
                <w:b/>
                <w:noProof/>
                <w:sz w:val="20"/>
                <w:szCs w:val="20"/>
              </w:rPr>
              <w:t>jurisdiction</w:t>
            </w:r>
            <w:r>
              <w:rPr>
                <w:rFonts w:ascii="Times New Roman" w:hAnsi="Times New Roman" w:cs="Times New Roman"/>
                <w:noProof/>
                <w:sz w:val="20"/>
                <w:szCs w:val="20"/>
              </w:rPr>
              <w:t xml:space="preserve"> can hinder effective cross-border investigations and prosecutions</w:t>
            </w:r>
          </w:p>
        </w:tc>
        <w:tc>
          <w:tcPr>
            <w:tcW w:w="1984" w:type="dxa"/>
          </w:tcPr>
          <w:p w:rsidR="001B65FF" w:rsidRDefault="003E4EF4">
            <w:pPr>
              <w:contextualSpacing/>
              <w:rPr>
                <w:rFonts w:ascii="Times New Roman" w:hAnsi="Times New Roman" w:cs="Times New Roman"/>
                <w:b/>
                <w:noProof/>
                <w:sz w:val="20"/>
                <w:szCs w:val="20"/>
              </w:rPr>
            </w:pPr>
            <w:r>
              <w:rPr>
                <w:rFonts w:ascii="Times New Roman" w:hAnsi="Times New Roman" w:cs="Times New Roman"/>
                <w:noProof/>
                <w:sz w:val="20"/>
                <w:szCs w:val="20"/>
              </w:rPr>
              <w:t xml:space="preserve">Ensure effective investigation and  prosecution of crimes in the EU by  </w:t>
            </w:r>
            <w:r>
              <w:rPr>
                <w:rFonts w:ascii="Times New Roman" w:hAnsi="Times New Roman" w:cs="Times New Roman"/>
                <w:b/>
                <w:noProof/>
                <w:sz w:val="20"/>
                <w:szCs w:val="20"/>
              </w:rPr>
              <w:t>improving cross-border access to electronic evidence</w:t>
            </w:r>
          </w:p>
          <w:p w:rsidR="001B65FF" w:rsidRDefault="003E4EF4">
            <w:pPr>
              <w:contextualSpacing/>
              <w:rPr>
                <w:rFonts w:ascii="Times New Roman" w:hAnsi="Times New Roman" w:cs="Times New Roman"/>
                <w:noProof/>
                <w:sz w:val="20"/>
                <w:szCs w:val="20"/>
              </w:rPr>
            </w:pPr>
            <w:r>
              <w:rPr>
                <w:rFonts w:ascii="Times New Roman" w:hAnsi="Times New Roman" w:cs="Times New Roman"/>
                <w:noProof/>
                <w:sz w:val="20"/>
                <w:szCs w:val="20"/>
              </w:rPr>
              <w:t xml:space="preserve">through </w:t>
            </w:r>
            <w:r>
              <w:rPr>
                <w:rFonts w:ascii="Times New Roman" w:hAnsi="Times New Roman" w:cs="Times New Roman"/>
                <w:b/>
                <w:noProof/>
                <w:sz w:val="20"/>
                <w:szCs w:val="20"/>
              </w:rPr>
              <w:t>enhanced judicial cooperation</w:t>
            </w:r>
            <w:r>
              <w:rPr>
                <w:rFonts w:ascii="Times New Roman" w:hAnsi="Times New Roman" w:cs="Times New Roman"/>
                <w:noProof/>
                <w:sz w:val="20"/>
                <w:szCs w:val="20"/>
              </w:rPr>
              <w:t xml:space="preserve"> in criminal matters </w:t>
            </w:r>
            <w:r>
              <w:rPr>
                <w:rFonts w:ascii="Tahoma" w:eastAsia="Times New Roman" w:hAnsi="Tahoma" w:cs="Tahoma"/>
                <w:noProof/>
                <w:sz w:val="20"/>
                <w:szCs w:val="20"/>
                <w:lang w:eastAsia="en-GB"/>
              </w:rPr>
              <w:t xml:space="preserve"> </w:t>
            </w:r>
            <w:r>
              <w:rPr>
                <w:rFonts w:ascii="Times New Roman" w:hAnsi="Times New Roman" w:cs="Times New Roman"/>
                <w:noProof/>
                <w:sz w:val="20"/>
                <w:szCs w:val="20"/>
              </w:rPr>
              <w:t xml:space="preserve">and an </w:t>
            </w:r>
            <w:r>
              <w:rPr>
                <w:rFonts w:ascii="Times New Roman" w:hAnsi="Times New Roman" w:cs="Times New Roman"/>
                <w:b/>
                <w:noProof/>
                <w:sz w:val="20"/>
                <w:szCs w:val="20"/>
              </w:rPr>
              <w:t xml:space="preserve">approximation </w:t>
            </w:r>
            <w:r>
              <w:rPr>
                <w:rFonts w:ascii="Times New Roman" w:hAnsi="Times New Roman" w:cs="Times New Roman"/>
                <w:noProof/>
                <w:sz w:val="20"/>
                <w:szCs w:val="20"/>
              </w:rPr>
              <w:t>of rules and procedures</w:t>
            </w:r>
          </w:p>
        </w:tc>
        <w:tc>
          <w:tcPr>
            <w:tcW w:w="2127" w:type="dxa"/>
          </w:tcPr>
          <w:p w:rsidR="001B65FF" w:rsidRDefault="003E4EF4">
            <w:pPr>
              <w:numPr>
                <w:ilvl w:val="0"/>
                <w:numId w:val="12"/>
              </w:numPr>
              <w:contextualSpacing/>
              <w:rPr>
                <w:rFonts w:ascii="Times New Roman" w:hAnsi="Times New Roman" w:cs="Times New Roman"/>
                <w:noProof/>
                <w:sz w:val="20"/>
                <w:szCs w:val="20"/>
              </w:rPr>
            </w:pPr>
            <w:r>
              <w:rPr>
                <w:rFonts w:ascii="Times New Roman" w:hAnsi="Times New Roman" w:cs="Times New Roman"/>
                <w:b/>
                <w:noProof/>
                <w:sz w:val="20"/>
                <w:szCs w:val="20"/>
              </w:rPr>
              <w:t>Reduce delays</w:t>
            </w:r>
            <w:r>
              <w:rPr>
                <w:rFonts w:ascii="Times New Roman" w:hAnsi="Times New Roman" w:cs="Times New Roman"/>
                <w:noProof/>
                <w:sz w:val="20"/>
                <w:szCs w:val="20"/>
              </w:rPr>
              <w:t xml:space="preserve"> in </w:t>
            </w:r>
            <w:r>
              <w:rPr>
                <w:rFonts w:ascii="Times New Roman" w:hAnsi="Times New Roman" w:cs="Times New Roman"/>
                <w:b/>
                <w:noProof/>
                <w:sz w:val="20"/>
                <w:szCs w:val="20"/>
              </w:rPr>
              <w:t xml:space="preserve"> </w:t>
            </w:r>
            <w:r>
              <w:rPr>
                <w:rFonts w:ascii="Times New Roman" w:hAnsi="Times New Roman" w:cs="Times New Roman"/>
                <w:noProof/>
                <w:sz w:val="20"/>
                <w:szCs w:val="20"/>
              </w:rPr>
              <w:t>cross-bor</w:t>
            </w:r>
            <w:r>
              <w:rPr>
                <w:rFonts w:ascii="Times New Roman" w:hAnsi="Times New Roman" w:cs="Times New Roman"/>
                <w:noProof/>
                <w:sz w:val="20"/>
                <w:szCs w:val="20"/>
              </w:rPr>
              <w:t xml:space="preserve">der access to electronic evidence </w:t>
            </w:r>
          </w:p>
          <w:p w:rsidR="001B65FF" w:rsidRDefault="001B65FF">
            <w:pPr>
              <w:ind w:left="360"/>
              <w:contextualSpacing/>
              <w:rPr>
                <w:rFonts w:ascii="Times New Roman" w:hAnsi="Times New Roman" w:cs="Times New Roman"/>
                <w:noProof/>
                <w:sz w:val="20"/>
                <w:szCs w:val="20"/>
              </w:rPr>
            </w:pPr>
          </w:p>
          <w:p w:rsidR="001B65FF" w:rsidRDefault="003E4EF4">
            <w:pPr>
              <w:numPr>
                <w:ilvl w:val="0"/>
                <w:numId w:val="12"/>
              </w:numPr>
              <w:rPr>
                <w:rFonts w:ascii="Times New Roman" w:hAnsi="Times New Roman" w:cs="Times New Roman"/>
                <w:noProof/>
                <w:sz w:val="20"/>
                <w:szCs w:val="20"/>
              </w:rPr>
            </w:pPr>
            <w:r>
              <w:rPr>
                <w:rFonts w:ascii="Times New Roman" w:hAnsi="Times New Roman" w:cs="Times New Roman"/>
                <w:b/>
                <w:noProof/>
                <w:sz w:val="20"/>
                <w:szCs w:val="20"/>
              </w:rPr>
              <w:t>Ensure</w:t>
            </w:r>
            <w:r>
              <w:rPr>
                <w:rFonts w:ascii="Times New Roman" w:hAnsi="Times New Roman" w:cs="Times New Roman"/>
                <w:noProof/>
                <w:sz w:val="20"/>
                <w:szCs w:val="20"/>
              </w:rPr>
              <w:t xml:space="preserve"> cross-border </w:t>
            </w:r>
            <w:r>
              <w:rPr>
                <w:rFonts w:ascii="Times New Roman" w:hAnsi="Times New Roman" w:cs="Times New Roman"/>
                <w:b/>
                <w:noProof/>
                <w:sz w:val="20"/>
                <w:szCs w:val="20"/>
              </w:rPr>
              <w:t>access</w:t>
            </w:r>
            <w:r>
              <w:rPr>
                <w:rFonts w:ascii="Times New Roman" w:hAnsi="Times New Roman" w:cs="Times New Roman"/>
                <w:noProof/>
                <w:sz w:val="20"/>
                <w:szCs w:val="20"/>
              </w:rPr>
              <w:t xml:space="preserve"> to electronic evidence where it is</w:t>
            </w:r>
            <w:r>
              <w:rPr>
                <w:rFonts w:ascii="Times New Roman" w:hAnsi="Times New Roman" w:cs="Times New Roman"/>
                <w:b/>
                <w:noProof/>
                <w:sz w:val="20"/>
                <w:szCs w:val="20"/>
              </w:rPr>
              <w:t xml:space="preserve"> currently missing</w:t>
            </w:r>
          </w:p>
          <w:p w:rsidR="001B65FF" w:rsidRDefault="001B65FF">
            <w:pPr>
              <w:rPr>
                <w:rFonts w:ascii="Times New Roman" w:hAnsi="Times New Roman" w:cs="Times New Roman"/>
                <w:noProof/>
                <w:sz w:val="20"/>
                <w:szCs w:val="20"/>
              </w:rPr>
            </w:pPr>
          </w:p>
          <w:p w:rsidR="001B65FF" w:rsidRDefault="003E4EF4">
            <w:pPr>
              <w:numPr>
                <w:ilvl w:val="0"/>
                <w:numId w:val="12"/>
              </w:numPr>
              <w:contextualSpacing/>
              <w:rPr>
                <w:rFonts w:ascii="Times New Roman" w:hAnsi="Times New Roman" w:cs="Times New Roman"/>
                <w:b/>
                <w:noProof/>
                <w:sz w:val="20"/>
                <w:szCs w:val="20"/>
              </w:rPr>
            </w:pPr>
            <w:r>
              <w:rPr>
                <w:rFonts w:ascii="Times New Roman" w:hAnsi="Times New Roman" w:cs="Times New Roman"/>
                <w:noProof/>
                <w:sz w:val="20"/>
                <w:szCs w:val="20"/>
              </w:rPr>
              <w:t xml:space="preserve">Improve </w:t>
            </w:r>
            <w:r>
              <w:rPr>
                <w:rFonts w:ascii="Times New Roman" w:hAnsi="Times New Roman" w:cs="Times New Roman"/>
                <w:b/>
                <w:noProof/>
                <w:sz w:val="20"/>
                <w:szCs w:val="20"/>
              </w:rPr>
              <w:t xml:space="preserve">legal certainty, protection of fundamental rights, transparency and accountability  </w:t>
            </w:r>
          </w:p>
        </w:tc>
        <w:tc>
          <w:tcPr>
            <w:tcW w:w="1559" w:type="dxa"/>
          </w:tcPr>
          <w:p w:rsidR="001B65FF" w:rsidRDefault="003E4EF4">
            <w:pPr>
              <w:rPr>
                <w:rFonts w:ascii="Times New Roman" w:hAnsi="Times New Roman" w:cs="Times New Roman"/>
                <w:noProof/>
                <w:sz w:val="20"/>
                <w:szCs w:val="20"/>
              </w:rPr>
            </w:pPr>
            <w:r>
              <w:rPr>
                <w:rFonts w:ascii="Times New Roman" w:hAnsi="Times New Roman" w:cs="Times New Roman"/>
                <w:noProof/>
                <w:sz w:val="20"/>
                <w:szCs w:val="20"/>
              </w:rPr>
              <w:t>P</w:t>
            </w:r>
            <w:r>
              <w:rPr>
                <w:rFonts w:ascii="Times New Roman" w:hAnsi="Times New Roman" w:cs="Times New Roman"/>
                <w:b/>
                <w:noProof/>
                <w:sz w:val="20"/>
                <w:szCs w:val="20"/>
              </w:rPr>
              <w:t>ractical measures</w:t>
            </w:r>
            <w:r>
              <w:rPr>
                <w:rFonts w:ascii="Times New Roman" w:hAnsi="Times New Roman" w:cs="Times New Roman"/>
                <w:noProof/>
                <w:sz w:val="20"/>
                <w:szCs w:val="20"/>
              </w:rPr>
              <w:t xml:space="preserve"> to enhance </w:t>
            </w:r>
            <w:r>
              <w:rPr>
                <w:rFonts w:ascii="Times New Roman" w:hAnsi="Times New Roman" w:cs="Times New Roman"/>
                <w:b/>
                <w:noProof/>
                <w:sz w:val="20"/>
                <w:szCs w:val="20"/>
              </w:rPr>
              <w:t>judicial coopera</w:t>
            </w:r>
            <w:r>
              <w:rPr>
                <w:rFonts w:ascii="Times New Roman" w:hAnsi="Times New Roman" w:cs="Times New Roman"/>
                <w:b/>
                <w:noProof/>
                <w:sz w:val="20"/>
                <w:szCs w:val="20"/>
              </w:rPr>
              <w:t>tion</w:t>
            </w:r>
            <w:r>
              <w:rPr>
                <w:rFonts w:ascii="Times New Roman" w:hAnsi="Times New Roman" w:cs="Times New Roman"/>
                <w:noProof/>
                <w:sz w:val="20"/>
                <w:szCs w:val="20"/>
              </w:rPr>
              <w:t xml:space="preserve"> between public authorities and </w:t>
            </w:r>
            <w:r>
              <w:rPr>
                <w:rFonts w:ascii="Times New Roman" w:hAnsi="Times New Roman" w:cs="Times New Roman"/>
                <w:b/>
                <w:noProof/>
                <w:sz w:val="20"/>
                <w:szCs w:val="20"/>
              </w:rPr>
              <w:t>direct cooperation</w:t>
            </w:r>
            <w:r>
              <w:rPr>
                <w:rFonts w:ascii="Times New Roman" w:hAnsi="Times New Roman" w:cs="Times New Roman"/>
                <w:noProof/>
                <w:sz w:val="20"/>
                <w:szCs w:val="20"/>
              </w:rPr>
              <w:t xml:space="preserve"> between public authorities and service providers</w:t>
            </w:r>
          </w:p>
          <w:p w:rsidR="001B65FF" w:rsidRDefault="001B65FF">
            <w:pPr>
              <w:rPr>
                <w:rFonts w:ascii="Times New Roman" w:hAnsi="Times New Roman" w:cs="Times New Roman"/>
                <w:noProof/>
                <w:sz w:val="20"/>
                <w:szCs w:val="20"/>
              </w:rPr>
            </w:pPr>
          </w:p>
        </w:tc>
        <w:tc>
          <w:tcPr>
            <w:tcW w:w="1417" w:type="dxa"/>
          </w:tcPr>
          <w:p w:rsidR="001B65FF" w:rsidRDefault="003E4EF4">
            <w:pPr>
              <w:rPr>
                <w:rFonts w:ascii="Times New Roman" w:hAnsi="Times New Roman" w:cs="Times New Roman"/>
                <w:noProof/>
                <w:sz w:val="20"/>
                <w:szCs w:val="20"/>
              </w:rPr>
            </w:pPr>
            <w:r>
              <w:rPr>
                <w:rFonts w:ascii="Times New Roman" w:hAnsi="Times New Roman" w:cs="Times New Roman"/>
                <w:noProof/>
                <w:sz w:val="20"/>
                <w:szCs w:val="20"/>
              </w:rPr>
              <w:t xml:space="preserve">Option A + </w:t>
            </w:r>
            <w:r>
              <w:rPr>
                <w:rFonts w:ascii="Times New Roman" w:hAnsi="Times New Roman" w:cs="Times New Roman"/>
                <w:b/>
                <w:noProof/>
                <w:sz w:val="20"/>
                <w:szCs w:val="20"/>
              </w:rPr>
              <w:t xml:space="preserve"> international </w:t>
            </w:r>
            <w:r>
              <w:rPr>
                <w:rFonts w:ascii="Times New Roman" w:hAnsi="Times New Roman" w:cs="Times New Roman"/>
                <w:noProof/>
                <w:sz w:val="20"/>
                <w:szCs w:val="20"/>
              </w:rPr>
              <w:t xml:space="preserve">agreements </w:t>
            </w:r>
          </w:p>
        </w:tc>
        <w:tc>
          <w:tcPr>
            <w:tcW w:w="1418" w:type="dxa"/>
          </w:tcPr>
          <w:p w:rsidR="001B65FF" w:rsidRDefault="003E4EF4">
            <w:pPr>
              <w:rPr>
                <w:rFonts w:ascii="Times New Roman" w:hAnsi="Times New Roman" w:cs="Times New Roman"/>
                <w:noProof/>
                <w:sz w:val="20"/>
                <w:szCs w:val="20"/>
              </w:rPr>
            </w:pPr>
            <w:r>
              <w:rPr>
                <w:rFonts w:ascii="Times New Roman" w:hAnsi="Times New Roman" w:cs="Times New Roman"/>
                <w:noProof/>
                <w:sz w:val="20"/>
                <w:szCs w:val="20"/>
              </w:rPr>
              <w:t xml:space="preserve">Option B + direct cooperation legislation on the </w:t>
            </w:r>
            <w:r>
              <w:rPr>
                <w:rFonts w:ascii="Times New Roman" w:hAnsi="Times New Roman" w:cs="Times New Roman"/>
                <w:b/>
                <w:noProof/>
                <w:sz w:val="20"/>
                <w:szCs w:val="20"/>
              </w:rPr>
              <w:t>European Production Order</w:t>
            </w:r>
            <w:r>
              <w:rPr>
                <w:rFonts w:ascii="Times New Roman" w:hAnsi="Times New Roman" w:cs="Times New Roman"/>
                <w:noProof/>
                <w:sz w:val="20"/>
                <w:szCs w:val="20"/>
              </w:rPr>
              <w:t xml:space="preserve"> and access to </w:t>
            </w:r>
            <w:r>
              <w:rPr>
                <w:rFonts w:ascii="Times New Roman" w:hAnsi="Times New Roman" w:cs="Times New Roman"/>
                <w:b/>
                <w:noProof/>
                <w:sz w:val="20"/>
                <w:szCs w:val="20"/>
              </w:rPr>
              <w:t>databases</w:t>
            </w:r>
          </w:p>
          <w:p w:rsidR="001B65FF" w:rsidRDefault="001B65FF">
            <w:pPr>
              <w:rPr>
                <w:rFonts w:ascii="Times New Roman" w:hAnsi="Times New Roman" w:cs="Times New Roman"/>
                <w:noProof/>
                <w:sz w:val="20"/>
                <w:szCs w:val="20"/>
              </w:rPr>
            </w:pPr>
          </w:p>
        </w:tc>
        <w:tc>
          <w:tcPr>
            <w:tcW w:w="1559" w:type="dxa"/>
          </w:tcPr>
          <w:p w:rsidR="001B65FF" w:rsidRDefault="003E4EF4">
            <w:pPr>
              <w:rPr>
                <w:rFonts w:ascii="Times New Roman" w:hAnsi="Times New Roman" w:cs="Times New Roman"/>
                <w:noProof/>
                <w:sz w:val="20"/>
                <w:szCs w:val="20"/>
              </w:rPr>
            </w:pPr>
            <w:r>
              <w:rPr>
                <w:rFonts w:ascii="Times New Roman" w:hAnsi="Times New Roman" w:cs="Times New Roman"/>
                <w:noProof/>
                <w:sz w:val="20"/>
                <w:szCs w:val="20"/>
              </w:rPr>
              <w:t xml:space="preserve">Option C + </w:t>
            </w:r>
            <w:r>
              <w:rPr>
                <w:rFonts w:ascii="Times New Roman" w:hAnsi="Times New Roman" w:cs="Times New Roman"/>
                <w:b/>
                <w:noProof/>
                <w:sz w:val="20"/>
                <w:szCs w:val="20"/>
              </w:rPr>
              <w:t>di</w:t>
            </w:r>
            <w:r>
              <w:rPr>
                <w:rFonts w:ascii="Times New Roman" w:hAnsi="Times New Roman" w:cs="Times New Roman"/>
                <w:b/>
                <w:noProof/>
                <w:sz w:val="20"/>
                <w:szCs w:val="20"/>
              </w:rPr>
              <w:t>rect access</w:t>
            </w:r>
            <w:r>
              <w:rPr>
                <w:rFonts w:ascii="Times New Roman" w:hAnsi="Times New Roman" w:cs="Times New Roman"/>
                <w:noProof/>
                <w:sz w:val="20"/>
                <w:szCs w:val="20"/>
              </w:rPr>
              <w:t xml:space="preserve"> legislation </w:t>
            </w:r>
          </w:p>
        </w:tc>
      </w:tr>
    </w:tbl>
    <w:p w:rsidR="001B65FF" w:rsidRDefault="003E4EF4">
      <w:pPr>
        <w:spacing w:after="240" w:line="240" w:lineRule="auto"/>
        <w:jc w:val="center"/>
        <w:rPr>
          <w:rFonts w:ascii="Times New Roman" w:hAnsi="Times New Roman" w:cs="Times New Roman"/>
          <w:i/>
          <w:noProof/>
          <w:sz w:val="24"/>
          <w:szCs w:val="24"/>
        </w:rPr>
      </w:pPr>
      <w:r>
        <w:rPr>
          <w:rFonts w:ascii="Times New Roman" w:eastAsia="Times New Roman" w:hAnsi="Times New Roman" w:cs="Times New Roman"/>
          <w:i/>
          <w:noProof/>
          <w:sz w:val="24"/>
          <w:szCs w:val="24"/>
        </w:rPr>
        <w:t xml:space="preserve">Table 1: </w:t>
      </w:r>
      <w:r>
        <w:rPr>
          <w:rFonts w:ascii="Times New Roman" w:hAnsi="Times New Roman" w:cs="Times New Roman"/>
          <w:i/>
          <w:noProof/>
          <w:sz w:val="24"/>
          <w:szCs w:val="24"/>
        </w:rPr>
        <w:t>problem, drivers, objectives and options (intervention logic)</w:t>
      </w:r>
    </w:p>
    <w:p w:rsidR="001B65FF" w:rsidRDefault="001B65FF">
      <w:pPr>
        <w:spacing w:after="240" w:line="240" w:lineRule="auto"/>
        <w:jc w:val="center"/>
        <w:rPr>
          <w:rFonts w:ascii="Times New Roman" w:eastAsia="Times New Roman" w:hAnsi="Times New Roman" w:cs="Times New Roman"/>
          <w:i/>
          <w:noProof/>
          <w:sz w:val="24"/>
          <w:szCs w:val="20"/>
        </w:rPr>
        <w:sectPr w:rsidR="001B65FF">
          <w:headerReference w:type="even" r:id="rId25"/>
          <w:headerReference w:type="default" r:id="rId26"/>
          <w:footerReference w:type="even" r:id="rId27"/>
          <w:footerReference w:type="default" r:id="rId28"/>
          <w:headerReference w:type="first" r:id="rId29"/>
          <w:footerReference w:type="first" r:id="rId30"/>
          <w:pgSz w:w="16838" w:h="11906" w:orient="landscape"/>
          <w:pgMar w:top="1701" w:right="1020" w:bottom="1587" w:left="1020" w:header="601" w:footer="1077" w:gutter="0"/>
          <w:cols w:space="720"/>
          <w:titlePg/>
          <w:docGrid w:linePitch="299"/>
        </w:sectPr>
      </w:pPr>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0"/>
        </w:rPr>
      </w:pPr>
      <w:bookmarkStart w:id="57" w:name="_Toc481484461"/>
      <w:bookmarkStart w:id="58" w:name="_Toc497927239"/>
      <w:bookmarkStart w:id="59" w:name="_Toc497927852"/>
      <w:bookmarkStart w:id="60" w:name="_Toc497928118"/>
      <w:bookmarkStart w:id="61" w:name="_Toc498509610"/>
      <w:bookmarkStart w:id="62" w:name="_Toc498517894"/>
      <w:bookmarkStart w:id="63" w:name="_Toc498521199"/>
      <w:bookmarkStart w:id="64" w:name="_Toc498701908"/>
      <w:bookmarkStart w:id="65" w:name="_Toc498704675"/>
      <w:bookmarkStart w:id="66" w:name="_Toc499020431"/>
      <w:bookmarkStart w:id="67" w:name="_Toc499030334"/>
      <w:bookmarkStart w:id="68" w:name="_Toc499044911"/>
      <w:bookmarkStart w:id="69" w:name="_Toc499051292"/>
      <w:bookmarkStart w:id="70" w:name="_Toc499133281"/>
      <w:bookmarkStart w:id="71" w:name="_Toc499142795"/>
      <w:bookmarkStart w:id="72" w:name="_Toc510952847"/>
      <w:r>
        <w:rPr>
          <w:rFonts w:ascii="Times New Roman" w:eastAsia="Times New Roman" w:hAnsi="Times New Roman" w:cs="Times New Roman"/>
          <w:b/>
          <w:noProof/>
          <w:sz w:val="24"/>
          <w:szCs w:val="20"/>
        </w:rPr>
        <w:t>What is the problem?</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1B65FF" w:rsidRDefault="003E4EF4">
      <w:pPr>
        <w:keepNext/>
        <w:numPr>
          <w:ilvl w:val="2"/>
          <w:numId w:val="3"/>
        </w:numPr>
        <w:tabs>
          <w:tab w:val="clear" w:pos="1920"/>
        </w:tabs>
        <w:spacing w:after="240" w:line="240" w:lineRule="auto"/>
        <w:ind w:left="720"/>
        <w:jc w:val="both"/>
        <w:outlineLvl w:val="2"/>
        <w:rPr>
          <w:rFonts w:ascii="Times New Roman" w:eastAsia="Times New Roman" w:hAnsi="Times New Roman" w:cs="Times New Roman"/>
          <w:noProof/>
          <w:sz w:val="24"/>
          <w:szCs w:val="20"/>
        </w:rPr>
      </w:pPr>
      <w:bookmarkStart w:id="73" w:name="_Toc497927240"/>
      <w:bookmarkStart w:id="74" w:name="_Toc497927853"/>
      <w:bookmarkStart w:id="75" w:name="_Toc497928119"/>
      <w:bookmarkStart w:id="76" w:name="_Toc498509611"/>
      <w:bookmarkStart w:id="77" w:name="_Toc498517895"/>
      <w:bookmarkStart w:id="78" w:name="_Toc498521200"/>
      <w:bookmarkStart w:id="79" w:name="_Toc498701909"/>
      <w:bookmarkStart w:id="80" w:name="_Toc498704676"/>
      <w:bookmarkStart w:id="81" w:name="_Toc499020432"/>
      <w:bookmarkStart w:id="82" w:name="_Toc499030335"/>
      <w:bookmarkStart w:id="83" w:name="_Toc499044912"/>
      <w:bookmarkStart w:id="84" w:name="_Toc499051293"/>
      <w:bookmarkStart w:id="85" w:name="_Toc499133282"/>
      <w:bookmarkStart w:id="86" w:name="_Toc499142796"/>
      <w:bookmarkStart w:id="87" w:name="_Toc510952848"/>
      <w:r>
        <w:rPr>
          <w:rFonts w:ascii="Times New Roman" w:eastAsia="Times New Roman" w:hAnsi="Times New Roman" w:cs="Times New Roman"/>
          <w:noProof/>
          <w:sz w:val="24"/>
          <w:szCs w:val="20"/>
        </w:rPr>
        <w:t>Definition and magnitude</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1B65FF" w:rsidRDefault="003E4EF4">
      <w:pPr>
        <w:jc w:val="both"/>
        <w:rPr>
          <w:rFonts w:ascii="Times New Roman" w:hAnsi="Times New Roman" w:cs="Times New Roman"/>
          <w:b/>
          <w:noProof/>
          <w:sz w:val="24"/>
        </w:rPr>
      </w:pPr>
      <w:r>
        <w:rPr>
          <w:rFonts w:ascii="Times New Roman" w:hAnsi="Times New Roman" w:cs="Times New Roman"/>
          <w:noProof/>
          <w:sz w:val="24"/>
        </w:rPr>
        <w:t xml:space="preserve">The problem is that some crimes cannot be effectively investigated and prosecuted in the EU because of </w:t>
      </w:r>
      <w:r>
        <w:rPr>
          <w:rFonts w:ascii="Times New Roman" w:hAnsi="Times New Roman" w:cs="Times New Roman"/>
          <w:b/>
          <w:noProof/>
          <w:sz w:val="24"/>
        </w:rPr>
        <w:t>challenges</w:t>
      </w:r>
      <w:r>
        <w:rPr>
          <w:rFonts w:ascii="Times New Roman" w:hAnsi="Times New Roman" w:cs="Times New Roman"/>
          <w:noProof/>
          <w:sz w:val="24"/>
        </w:rPr>
        <w:t xml:space="preserve"> in </w:t>
      </w:r>
      <w:r>
        <w:rPr>
          <w:rFonts w:ascii="Times New Roman" w:hAnsi="Times New Roman" w:cs="Times New Roman"/>
          <w:b/>
          <w:noProof/>
          <w:sz w:val="24"/>
        </w:rPr>
        <w:t xml:space="preserve">cross-border access to electronic evidence. </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 xml:space="preserve">Electronic evidence – which can be relevant for any crime – is often stored outside the </w:t>
      </w:r>
      <w:r>
        <w:rPr>
          <w:rFonts w:ascii="Times New Roman" w:hAnsi="Times New Roman" w:cs="Times New Roman"/>
          <w:noProof/>
          <w:sz w:val="24"/>
        </w:rPr>
        <w:t>country whose authorities need access. Determining the location of the data may be difficult, and even where it is possible, data can be moved quickly and effortlessly</w:t>
      </w:r>
      <w:r>
        <w:rPr>
          <w:rStyle w:val="FootnoteReference"/>
          <w:rFonts w:ascii="Times New Roman" w:hAnsi="Times New Roman" w:cs="Times New Roman"/>
          <w:noProof/>
          <w:sz w:val="24"/>
        </w:rPr>
        <w:footnoteReference w:id="14"/>
      </w:r>
      <w:r>
        <w:rPr>
          <w:rFonts w:ascii="Times New Roman" w:hAnsi="Times New Roman" w:cs="Times New Roman"/>
          <w:noProof/>
          <w:sz w:val="24"/>
        </w:rPr>
        <w:t>. Once a cross-border element is or might be present, authorities have to rely on one of</w:t>
      </w:r>
      <w:r>
        <w:rPr>
          <w:rFonts w:ascii="Times New Roman" w:hAnsi="Times New Roman" w:cs="Times New Roman"/>
          <w:noProof/>
          <w:sz w:val="24"/>
        </w:rPr>
        <w:t xml:space="preserve"> the three channels existing today to access e-evidence across borders: </w:t>
      </w:r>
    </w:p>
    <w:p w:rsidR="001B65FF" w:rsidRDefault="003E4EF4">
      <w:pPr>
        <w:numPr>
          <w:ilvl w:val="1"/>
          <w:numId w:val="66"/>
        </w:numPr>
        <w:contextualSpacing/>
        <w:jc w:val="both"/>
        <w:rPr>
          <w:rFonts w:ascii="Times New Roman" w:hAnsi="Times New Roman" w:cs="Times New Roman"/>
          <w:noProof/>
          <w:sz w:val="24"/>
        </w:rPr>
      </w:pPr>
      <w:r>
        <w:rPr>
          <w:rFonts w:ascii="Times New Roman" w:hAnsi="Times New Roman" w:cs="Times New Roman"/>
          <w:noProof/>
          <w:sz w:val="24"/>
        </w:rPr>
        <w:t xml:space="preserve">judicial cooperation between public authorities, </w:t>
      </w:r>
    </w:p>
    <w:p w:rsidR="001B65FF" w:rsidRDefault="003E4EF4">
      <w:pPr>
        <w:numPr>
          <w:ilvl w:val="1"/>
          <w:numId w:val="66"/>
        </w:numPr>
        <w:contextualSpacing/>
        <w:jc w:val="both"/>
        <w:rPr>
          <w:rFonts w:ascii="Times New Roman" w:hAnsi="Times New Roman" w:cs="Times New Roman"/>
          <w:noProof/>
          <w:sz w:val="24"/>
        </w:rPr>
      </w:pPr>
      <w:r>
        <w:rPr>
          <w:rFonts w:ascii="Times New Roman" w:hAnsi="Times New Roman" w:cs="Times New Roman"/>
          <w:noProof/>
          <w:sz w:val="24"/>
        </w:rPr>
        <w:t>direct cooperation between a public authority and a service provider and</w:t>
      </w:r>
    </w:p>
    <w:p w:rsidR="001B65FF" w:rsidRDefault="003E4EF4">
      <w:pPr>
        <w:numPr>
          <w:ilvl w:val="1"/>
          <w:numId w:val="66"/>
        </w:numPr>
        <w:contextualSpacing/>
        <w:jc w:val="both"/>
        <w:rPr>
          <w:rFonts w:ascii="Times New Roman" w:hAnsi="Times New Roman" w:cs="Times New Roman"/>
          <w:noProof/>
          <w:sz w:val="24"/>
        </w:rPr>
      </w:pPr>
      <w:r>
        <w:rPr>
          <w:rFonts w:ascii="Times New Roman" w:hAnsi="Times New Roman" w:cs="Times New Roman"/>
          <w:noProof/>
          <w:sz w:val="24"/>
        </w:rPr>
        <w:t xml:space="preserve">direct access to electronic evidence by a public authority. </w:t>
      </w:r>
    </w:p>
    <w:p w:rsidR="001B65FF" w:rsidRDefault="001B65FF">
      <w:pPr>
        <w:ind w:left="1440"/>
        <w:contextualSpacing/>
        <w:jc w:val="both"/>
        <w:rPr>
          <w:rFonts w:ascii="Times New Roman" w:hAnsi="Times New Roman" w:cs="Times New Roman"/>
          <w:noProof/>
          <w:sz w:val="24"/>
        </w:rPr>
      </w:pP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These channels suffer from a number of s</w:t>
      </w:r>
      <w:r>
        <w:rPr>
          <w:rFonts w:ascii="Times New Roman" w:hAnsi="Times New Roman" w:cs="Times New Roman"/>
          <w:noProof/>
          <w:sz w:val="24"/>
          <w:lang w:eastAsia="en-GB"/>
        </w:rPr>
        <w:t xml:space="preserve">hortcomings </w:t>
      </w:r>
      <w:r>
        <w:rPr>
          <w:rFonts w:ascii="Times New Roman" w:hAnsi="Times New Roman" w:cs="Times New Roman"/>
          <w:noProof/>
          <w:sz w:val="24"/>
        </w:rPr>
        <w:t xml:space="preserve">that can be summarised as follows: </w:t>
      </w:r>
    </w:p>
    <w:p w:rsidR="001B65FF" w:rsidRDefault="003E4EF4">
      <w:pPr>
        <w:pStyle w:val="ListParagraph"/>
        <w:numPr>
          <w:ilvl w:val="0"/>
          <w:numId w:val="147"/>
        </w:numPr>
        <w:jc w:val="both"/>
        <w:rPr>
          <w:rFonts w:ascii="Times New Roman" w:hAnsi="Times New Roman" w:cs="Times New Roman"/>
          <w:noProof/>
          <w:sz w:val="24"/>
        </w:rPr>
      </w:pPr>
      <w:r>
        <w:rPr>
          <w:rFonts w:ascii="Times New Roman" w:hAnsi="Times New Roman" w:cs="Times New Roman"/>
          <w:noProof/>
          <w:sz w:val="24"/>
        </w:rPr>
        <w:t>judicial cooperation is often too slow for timely access to data and can entail a disproportionate expense of resources;</w:t>
      </w:r>
    </w:p>
    <w:p w:rsidR="001B65FF" w:rsidRDefault="003E4EF4">
      <w:pPr>
        <w:pStyle w:val="ListParagraph"/>
        <w:numPr>
          <w:ilvl w:val="0"/>
          <w:numId w:val="147"/>
        </w:numPr>
        <w:jc w:val="both"/>
        <w:rPr>
          <w:rFonts w:ascii="Times New Roman" w:hAnsi="Times New Roman" w:cs="Times New Roman"/>
          <w:noProof/>
          <w:sz w:val="24"/>
        </w:rPr>
      </w:pPr>
      <w:r>
        <w:rPr>
          <w:rFonts w:ascii="Times New Roman" w:hAnsi="Times New Roman" w:cs="Times New Roman"/>
          <w:noProof/>
          <w:sz w:val="24"/>
        </w:rPr>
        <w:t>direct cooperation can be unreliable, is only</w:t>
      </w:r>
      <w:r>
        <w:rPr>
          <w:rFonts w:ascii="Times New Roman" w:hAnsi="Times New Roman" w:cs="Times New Roman"/>
          <w:noProof/>
          <w:sz w:val="24"/>
        </w:rPr>
        <w:t xml:space="preserve"> possible with a limited number of service providers which all apply different policies, is not transparent and lacks accountability;</w:t>
      </w:r>
    </w:p>
    <w:p w:rsidR="001B65FF" w:rsidRDefault="003E4EF4">
      <w:pPr>
        <w:pStyle w:val="ListParagraph"/>
        <w:numPr>
          <w:ilvl w:val="0"/>
          <w:numId w:val="147"/>
        </w:numPr>
        <w:jc w:val="both"/>
        <w:rPr>
          <w:rFonts w:ascii="Times New Roman" w:hAnsi="Times New Roman" w:cs="Times New Roman"/>
          <w:noProof/>
          <w:sz w:val="24"/>
        </w:rPr>
      </w:pPr>
      <w:r>
        <w:rPr>
          <w:rFonts w:ascii="Times New Roman" w:hAnsi="Times New Roman" w:cs="Times New Roman"/>
          <w:noProof/>
          <w:sz w:val="24"/>
        </w:rPr>
        <w:t>legal fragmentation abounds, increasing costs on all sides; and</w:t>
      </w:r>
    </w:p>
    <w:p w:rsidR="001B65FF" w:rsidRDefault="003E4EF4">
      <w:pPr>
        <w:pStyle w:val="ListParagraph"/>
        <w:numPr>
          <w:ilvl w:val="0"/>
          <w:numId w:val="147"/>
        </w:numPr>
        <w:jc w:val="both"/>
        <w:rPr>
          <w:rFonts w:ascii="Times New Roman" w:hAnsi="Times New Roman" w:cs="Times New Roman"/>
          <w:noProof/>
          <w:sz w:val="24"/>
        </w:rPr>
      </w:pPr>
      <w:r>
        <w:rPr>
          <w:rFonts w:ascii="Times New Roman" w:hAnsi="Times New Roman" w:cs="Times New Roman"/>
          <w:noProof/>
          <w:sz w:val="24"/>
        </w:rPr>
        <w:t>the size of the problem is steadily increasing, creating f</w:t>
      </w:r>
      <w:r>
        <w:rPr>
          <w:rFonts w:ascii="Times New Roman" w:hAnsi="Times New Roman" w:cs="Times New Roman"/>
          <w:noProof/>
          <w:sz w:val="24"/>
        </w:rPr>
        <w:t>urther delays</w:t>
      </w:r>
      <w:r>
        <w:rPr>
          <w:rStyle w:val="FootnoteReference"/>
          <w:rFonts w:ascii="Times New Roman" w:hAnsi="Times New Roman" w:cs="Times New Roman"/>
          <w:noProof/>
          <w:sz w:val="24"/>
        </w:rPr>
        <w:footnoteReference w:id="15"/>
      </w:r>
      <w:r>
        <w:rPr>
          <w:rFonts w:ascii="Times New Roman" w:hAnsi="Times New Roman" w:cs="Times New Roman"/>
          <w:noProof/>
          <w:sz w:val="24"/>
        </w:rPr>
        <w:t>.</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Figure 1 describes the main parties and channels to access e-evidence across borders today. The main parties are the public authorities requesting access to evidence, the public authorities receiving the request and the service provider tha</w:t>
      </w:r>
      <w:r>
        <w:rPr>
          <w:rFonts w:ascii="Times New Roman" w:hAnsi="Times New Roman" w:cs="Times New Roman"/>
          <w:noProof/>
          <w:sz w:val="24"/>
        </w:rPr>
        <w:t xml:space="preserve">t has access to the evidence. </w:t>
      </w:r>
    </w:p>
    <w:p w:rsidR="001B65FF" w:rsidRDefault="003E4EF4">
      <w:pPr>
        <w:rPr>
          <w:rFonts w:ascii="Times New Roman" w:hAnsi="Times New Roman" w:cs="Times New Roman"/>
          <w:noProof/>
          <w:sz w:val="24"/>
        </w:rPr>
      </w:pPr>
      <w:r>
        <w:rPr>
          <w:rFonts w:ascii="Times New Roman" w:hAnsi="Times New Roman" w:cs="Times New Roman"/>
          <w:noProof/>
          <w:sz w:val="24"/>
        </w:rPr>
        <w:br w:type="page"/>
      </w:r>
    </w:p>
    <w:p w:rsidR="001B65FF" w:rsidRDefault="003E4EF4">
      <w:pPr>
        <w:spacing w:after="0"/>
        <w:jc w:val="center"/>
        <w:rPr>
          <w:rFonts w:ascii="Times New Roman" w:hAnsi="Times New Roman" w:cs="Times New Roman"/>
          <w:i/>
          <w:noProof/>
          <w:sz w:val="24"/>
        </w:rPr>
      </w:pPr>
      <w:r>
        <w:rPr>
          <w:rFonts w:ascii="Times New Roman" w:hAnsi="Times New Roman" w:cs="Times New Roman"/>
          <w:i/>
          <w:noProof/>
          <w:sz w:val="24"/>
        </w:rPr>
        <w:t>Figure 1: the main parties and the three channels for cross-border access to e-evidence</w:t>
      </w:r>
    </w:p>
    <w:p w:rsidR="001B65FF" w:rsidRDefault="003E4EF4">
      <w:pPr>
        <w:jc w:val="both"/>
        <w:rPr>
          <w:rFonts w:ascii="Times New Roman" w:hAnsi="Times New Roman" w:cs="Times New Roman"/>
          <w:b/>
          <w:noProof/>
          <w:sz w:val="24"/>
        </w:rPr>
      </w:pPr>
      <w:r>
        <w:rPr>
          <w:rFonts w:ascii="Times New Roman" w:hAnsi="Times New Roman" w:cs="Times New Roman"/>
          <w:b/>
          <w:noProof/>
          <w:sz w:val="24"/>
          <w:lang w:eastAsia="en-GB"/>
        </w:rPr>
        <mc:AlternateContent>
          <mc:Choice Requires="wps">
            <w:drawing>
              <wp:anchor distT="0" distB="0" distL="114300" distR="114300" simplePos="0" relativeHeight="251658242" behindDoc="0" locked="0" layoutInCell="1" allowOverlap="1" wp14:anchorId="29649A8E" wp14:editId="138A14ED">
                <wp:simplePos x="0" y="0"/>
                <wp:positionH relativeFrom="column">
                  <wp:posOffset>3664423</wp:posOffset>
                </wp:positionH>
                <wp:positionV relativeFrom="paragraph">
                  <wp:posOffset>265430</wp:posOffset>
                </wp:positionV>
                <wp:extent cx="1722120" cy="2590800"/>
                <wp:effectExtent l="0" t="0" r="11430" b="19050"/>
                <wp:wrapNone/>
                <wp:docPr id="3" name="Rounded Rectangle 3"/>
                <wp:cNvGraphicFramePr/>
                <a:graphic xmlns:a="http://schemas.openxmlformats.org/drawingml/2006/main">
                  <a:graphicData uri="http://schemas.microsoft.com/office/word/2010/wordprocessingShape">
                    <wps:wsp>
                      <wps:cNvSpPr/>
                      <wps:spPr>
                        <a:xfrm>
                          <a:off x="0" y="0"/>
                          <a:ext cx="1722120" cy="2590800"/>
                        </a:xfrm>
                        <a:prstGeom prst="roundRect">
                          <a:avLst/>
                        </a:prstGeom>
                        <a:solidFill>
                          <a:sysClr val="window" lastClr="FFFFFF"/>
                        </a:solidFill>
                        <a:ln w="25400" cap="flat" cmpd="sng" algn="ctr">
                          <a:solidFill>
                            <a:srgbClr val="4F81BD"/>
                          </a:solidFill>
                          <a:prstDash val="solid"/>
                        </a:ln>
                        <a:effectLst/>
                      </wps:spPr>
                      <wps:txbx>
                        <w:txbxContent>
                          <w:p w:rsidR="001B65FF" w:rsidRDefault="003E4EF4">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COUNTRY B</w:t>
                            </w:r>
                          </w:p>
                          <w:p w:rsidR="001B65FF" w:rsidRDefault="003E4EF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Public authorities</w:t>
                            </w:r>
                          </w:p>
                          <w:p w:rsidR="001B65FF" w:rsidRDefault="001B65FF">
                            <w:pPr>
                              <w:spacing w:after="0"/>
                              <w:jc w:val="center"/>
                              <w:rPr>
                                <w:rFonts w:ascii="Times New Roman" w:hAnsi="Times New Roman" w:cs="Times New Roman"/>
                                <w:sz w:val="24"/>
                                <w:szCs w:val="24"/>
                                <w:lang w:val="en-US"/>
                              </w:rPr>
                            </w:pPr>
                          </w:p>
                          <w:p w:rsidR="001B65FF" w:rsidRDefault="001B65FF">
                            <w:pPr>
                              <w:spacing w:after="0"/>
                              <w:jc w:val="center"/>
                              <w:rPr>
                                <w:rFonts w:ascii="Times New Roman" w:hAnsi="Times New Roman" w:cs="Times New Roman"/>
                                <w:sz w:val="24"/>
                                <w:szCs w:val="24"/>
                                <w:lang w:val="en-US"/>
                              </w:rPr>
                            </w:pPr>
                          </w:p>
                          <w:p w:rsidR="001B65FF" w:rsidRDefault="001B65FF">
                            <w:pPr>
                              <w:spacing w:after="0"/>
                              <w:jc w:val="center"/>
                              <w:rPr>
                                <w:rFonts w:ascii="Times New Roman" w:hAnsi="Times New Roman" w:cs="Times New Roman"/>
                                <w:sz w:val="24"/>
                                <w:szCs w:val="24"/>
                                <w:lang w:val="en-US"/>
                              </w:rPr>
                            </w:pPr>
                          </w:p>
                          <w:p w:rsidR="001B65FF" w:rsidRDefault="001B65FF">
                            <w:pPr>
                              <w:spacing w:after="0"/>
                              <w:jc w:val="center"/>
                              <w:rPr>
                                <w:rFonts w:ascii="Times New Roman" w:hAnsi="Times New Roman" w:cs="Times New Roman"/>
                                <w:sz w:val="24"/>
                                <w:szCs w:val="24"/>
                                <w:lang w:val="en-US"/>
                              </w:rPr>
                            </w:pPr>
                          </w:p>
                          <w:p w:rsidR="001B65FF" w:rsidRDefault="001B65FF">
                            <w:pPr>
                              <w:spacing w:after="0"/>
                              <w:jc w:val="center"/>
                              <w:rPr>
                                <w:rFonts w:ascii="Times New Roman" w:hAnsi="Times New Roman" w:cs="Times New Roman"/>
                                <w:sz w:val="24"/>
                                <w:szCs w:val="24"/>
                                <w:lang w:val="en-US"/>
                              </w:rPr>
                            </w:pPr>
                          </w:p>
                          <w:p w:rsidR="001B65FF" w:rsidRDefault="001B65FF">
                            <w:pPr>
                              <w:spacing w:after="0"/>
                              <w:jc w:val="center"/>
                              <w:rPr>
                                <w:rFonts w:ascii="Times New Roman" w:hAnsi="Times New Roman" w:cs="Times New Roman"/>
                                <w:sz w:val="24"/>
                                <w:szCs w:val="24"/>
                                <w:lang w:val="en-US"/>
                              </w:rPr>
                            </w:pPr>
                          </w:p>
                          <w:p w:rsidR="001B65FF" w:rsidRDefault="003E4EF4">
                            <w:pPr>
                              <w:spacing w:before="240"/>
                              <w:jc w:val="center"/>
                              <w:rPr>
                                <w:rFonts w:ascii="Times New Roman" w:hAnsi="Times New Roman" w:cs="Times New Roman"/>
                                <w:sz w:val="24"/>
                                <w:szCs w:val="24"/>
                              </w:rPr>
                            </w:pPr>
                            <w:r>
                              <w:rPr>
                                <w:rFonts w:ascii="Times New Roman" w:hAnsi="Times New Roman" w:cs="Times New Roman"/>
                                <w:sz w:val="24"/>
                                <w:szCs w:val="24"/>
                                <w:lang w:val="en-US"/>
                              </w:rPr>
                              <w:t>Service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6" style="position:absolute;left:0;text-align:left;margin-left:288.55pt;margin-top:20.9pt;width:135.6pt;height:20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" fillcolor="window" strokecolor="#4f81bd" strokeweight="2pt">
                <v:textbox>
                  <w:txbxContent>
                    <w:p w:rsidR="001B65FF" w:rsidRDefault="003E4EF4">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COUNTRY B</w:t>
                      </w:r>
                    </w:p>
                    <w:p w:rsidR="001B65FF" w:rsidRDefault="003E4EF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Public authorities</w:t>
                      </w:r>
                    </w:p>
                    <w:p w:rsidR="001B65FF" w:rsidRDefault="001B65FF">
                      <w:pPr>
                        <w:spacing w:after="0"/>
                        <w:jc w:val="center"/>
                        <w:rPr>
                          <w:rFonts w:ascii="Times New Roman" w:hAnsi="Times New Roman" w:cs="Times New Roman"/>
                          <w:sz w:val="24"/>
                          <w:szCs w:val="24"/>
                          <w:lang w:val="en-US"/>
                        </w:rPr>
                      </w:pPr>
                    </w:p>
                    <w:p w:rsidR="001B65FF" w:rsidRDefault="001B65FF">
                      <w:pPr>
                        <w:spacing w:after="0"/>
                        <w:jc w:val="center"/>
                        <w:rPr>
                          <w:rFonts w:ascii="Times New Roman" w:hAnsi="Times New Roman" w:cs="Times New Roman"/>
                          <w:sz w:val="24"/>
                          <w:szCs w:val="24"/>
                          <w:lang w:val="en-US"/>
                        </w:rPr>
                      </w:pPr>
                    </w:p>
                    <w:p w:rsidR="001B65FF" w:rsidRDefault="001B65FF">
                      <w:pPr>
                        <w:spacing w:after="0"/>
                        <w:jc w:val="center"/>
                        <w:rPr>
                          <w:rFonts w:ascii="Times New Roman" w:hAnsi="Times New Roman" w:cs="Times New Roman"/>
                          <w:sz w:val="24"/>
                          <w:szCs w:val="24"/>
                          <w:lang w:val="en-US"/>
                        </w:rPr>
                      </w:pPr>
                    </w:p>
                    <w:p w:rsidR="001B65FF" w:rsidRDefault="001B65FF">
                      <w:pPr>
                        <w:spacing w:after="0"/>
                        <w:jc w:val="center"/>
                        <w:rPr>
                          <w:rFonts w:ascii="Times New Roman" w:hAnsi="Times New Roman" w:cs="Times New Roman"/>
                          <w:sz w:val="24"/>
                          <w:szCs w:val="24"/>
                          <w:lang w:val="en-US"/>
                        </w:rPr>
                      </w:pPr>
                    </w:p>
                    <w:p w:rsidR="001B65FF" w:rsidRDefault="001B65FF">
                      <w:pPr>
                        <w:spacing w:after="0"/>
                        <w:jc w:val="center"/>
                        <w:rPr>
                          <w:rFonts w:ascii="Times New Roman" w:hAnsi="Times New Roman" w:cs="Times New Roman"/>
                          <w:sz w:val="24"/>
                          <w:szCs w:val="24"/>
                          <w:lang w:val="en-US"/>
                        </w:rPr>
                      </w:pPr>
                    </w:p>
                    <w:p w:rsidR="001B65FF" w:rsidRDefault="001B65FF">
                      <w:pPr>
                        <w:spacing w:after="0"/>
                        <w:jc w:val="center"/>
                        <w:rPr>
                          <w:rFonts w:ascii="Times New Roman" w:hAnsi="Times New Roman" w:cs="Times New Roman"/>
                          <w:sz w:val="24"/>
                          <w:szCs w:val="24"/>
                          <w:lang w:val="en-US"/>
                        </w:rPr>
                      </w:pPr>
                    </w:p>
                    <w:p w:rsidR="001B65FF" w:rsidRDefault="003E4EF4">
                      <w:pPr>
                        <w:spacing w:before="240"/>
                        <w:jc w:val="center"/>
                        <w:rPr>
                          <w:rFonts w:ascii="Times New Roman" w:hAnsi="Times New Roman" w:cs="Times New Roman"/>
                          <w:sz w:val="24"/>
                          <w:szCs w:val="24"/>
                        </w:rPr>
                      </w:pPr>
                      <w:r>
                        <w:rPr>
                          <w:rFonts w:ascii="Times New Roman" w:hAnsi="Times New Roman" w:cs="Times New Roman"/>
                          <w:sz w:val="24"/>
                          <w:szCs w:val="24"/>
                          <w:lang w:val="en-US"/>
                        </w:rPr>
                        <w:t>Service provider</w:t>
                      </w:r>
                    </w:p>
                  </w:txbxContent>
                </v:textbox>
              </v:roundrect>
            </w:pict>
          </mc:Fallback>
        </mc:AlternateContent>
      </w:r>
      <w:r>
        <w:rPr>
          <w:rFonts w:ascii="Times New Roman" w:hAnsi="Times New Roman" w:cs="Times New Roman"/>
          <w:b/>
          <w:noProof/>
          <w:sz w:val="24"/>
          <w:lang w:eastAsia="en-GB"/>
        </w:rPr>
        <mc:AlternateContent>
          <mc:Choice Requires="wps">
            <w:drawing>
              <wp:anchor distT="0" distB="0" distL="114300" distR="114300" simplePos="0" relativeHeight="251658240" behindDoc="0" locked="0" layoutInCell="1" allowOverlap="1" wp14:anchorId="33518BAF" wp14:editId="5A688C45">
                <wp:simplePos x="0" y="0"/>
                <wp:positionH relativeFrom="column">
                  <wp:posOffset>140571</wp:posOffset>
                </wp:positionH>
                <wp:positionV relativeFrom="paragraph">
                  <wp:posOffset>265622</wp:posOffset>
                </wp:positionV>
                <wp:extent cx="1722120" cy="4089186"/>
                <wp:effectExtent l="0" t="0" r="11430" b="26035"/>
                <wp:wrapNone/>
                <wp:docPr id="1" name="Rounded Rectangle 1"/>
                <wp:cNvGraphicFramePr/>
                <a:graphic xmlns:a="http://schemas.openxmlformats.org/drawingml/2006/main">
                  <a:graphicData uri="http://schemas.microsoft.com/office/word/2010/wordprocessingShape">
                    <wps:wsp>
                      <wps:cNvSpPr/>
                      <wps:spPr>
                        <a:xfrm>
                          <a:off x="0" y="0"/>
                          <a:ext cx="1722120" cy="4089186"/>
                        </a:xfrm>
                        <a:prstGeom prst="roundRect">
                          <a:avLst/>
                        </a:prstGeom>
                        <a:solidFill>
                          <a:sysClr val="window" lastClr="FFFFFF"/>
                        </a:solidFill>
                        <a:ln w="25400" cap="flat" cmpd="sng" algn="ctr">
                          <a:solidFill>
                            <a:srgbClr val="4F81BD"/>
                          </a:solidFill>
                          <a:prstDash val="solid"/>
                        </a:ln>
                        <a:effectLst/>
                      </wps:spPr>
                      <wps:txbx>
                        <w:txbxContent>
                          <w:p w:rsidR="001B65FF" w:rsidRDefault="003E4EF4">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COUNTRY A</w:t>
                            </w:r>
                          </w:p>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Public authorities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7" style="position:absolute;left:0;text-align:left;margin-left:11.05pt;margin-top:20.9pt;width:135.6pt;height:32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" fillcolor="window" strokecolor="#4f81bd" strokeweight="2pt">
                <v:textbox>
                  <w:txbxContent>
                    <w:p w:rsidR="001B65FF" w:rsidRDefault="003E4EF4">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COUNTRY A</w:t>
                      </w:r>
                    </w:p>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Public authorities</w:t>
                      </w:r>
                    </w:p>
                  </w:txbxContent>
                </v:textbox>
              </v:roundrect>
            </w:pict>
          </mc:Fallback>
        </mc:AlternateContent>
      </w:r>
    </w:p>
    <w:p w:rsidR="001B65FF" w:rsidRDefault="003E4EF4">
      <w:pPr>
        <w:jc w:val="both"/>
        <w:rPr>
          <w:rFonts w:ascii="Times New Roman" w:hAnsi="Times New Roman" w:cs="Times New Roman"/>
          <w:b/>
          <w:noProof/>
          <w:sz w:val="24"/>
        </w:rPr>
      </w:pPr>
      <w:r>
        <w:rPr>
          <w:rFonts w:ascii="Times New Roman" w:hAnsi="Times New Roman" w:cs="Times New Roman"/>
          <w:b/>
          <w:noProof/>
          <w:sz w:val="24"/>
          <w:lang w:eastAsia="en-GB"/>
        </w:rPr>
        <mc:AlternateContent>
          <mc:Choice Requires="wps">
            <w:drawing>
              <wp:anchor distT="0" distB="0" distL="114300" distR="114300" simplePos="0" relativeHeight="251658246" behindDoc="0" locked="0" layoutInCell="1" allowOverlap="1" wp14:anchorId="77DA08C8" wp14:editId="028FD912">
                <wp:simplePos x="0" y="0"/>
                <wp:positionH relativeFrom="column">
                  <wp:posOffset>1828003</wp:posOffset>
                </wp:positionH>
                <wp:positionV relativeFrom="paragraph">
                  <wp:posOffset>11430</wp:posOffset>
                </wp:positionV>
                <wp:extent cx="1903228" cy="4883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488315"/>
                        </a:xfrm>
                        <a:prstGeom prst="rect">
                          <a:avLst/>
                        </a:prstGeom>
                        <a:noFill/>
                        <a:ln w="9525">
                          <a:noFill/>
                          <a:miter lim="800000"/>
                          <a:headEnd/>
                          <a:tailEnd/>
                        </a:ln>
                      </wps:spPr>
                      <wps:txbx>
                        <w:txbxContent>
                          <w:p w:rsidR="001B65FF" w:rsidRDefault="003E4EF4">
                            <w:pPr>
                              <w:spacing w:after="0"/>
                              <w:rPr>
                                <w:rFonts w:ascii="Times New Roman" w:hAnsi="Times New Roman" w:cs="Times New Roman"/>
                                <w:b/>
                                <w:color w:val="00B050"/>
                                <w:sz w:val="24"/>
                              </w:rPr>
                            </w:pPr>
                            <w:r>
                              <w:rPr>
                                <w:rFonts w:ascii="Times New Roman" w:hAnsi="Times New Roman" w:cs="Times New Roman"/>
                                <w:b/>
                                <w:color w:val="00B050"/>
                                <w:sz w:val="24"/>
                              </w:rPr>
                              <w:t xml:space="preserve">1. Judicial cooperation </w:t>
                            </w:r>
                          </w:p>
                          <w:p w:rsidR="001B65FF" w:rsidRDefault="003E4EF4">
                            <w:pPr>
                              <w:rPr>
                                <w:rFonts w:ascii="Times New Roman" w:hAnsi="Times New Roman" w:cs="Times New Roman"/>
                                <w:b/>
                                <w:color w:val="00B050"/>
                                <w:sz w:val="24"/>
                              </w:rPr>
                            </w:pPr>
                            <w:r>
                              <w:rPr>
                                <w:rFonts w:ascii="Times New Roman" w:hAnsi="Times New Roman" w:cs="Times New Roman"/>
                                <w:b/>
                                <w:color w:val="00B050"/>
                                <w:sz w:val="24"/>
                              </w:rPr>
                              <w:t xml:space="preserve">    (MLA/EIO)</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43.95pt;margin-top:.9pt;width:149.85pt;height:38.4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" filled="f" stroked="f">
                <v:textbox>
                  <w:txbxContent>
                    <w:p w:rsidR="001B65FF" w:rsidRDefault="003E4EF4">
                      <w:pPr>
                        <w:spacing w:after="0"/>
                        <w:rPr>
                          <w:rFonts w:ascii="Times New Roman" w:hAnsi="Times New Roman" w:cs="Times New Roman"/>
                          <w:b/>
                          <w:color w:val="00B050"/>
                          <w:sz w:val="24"/>
                        </w:rPr>
                      </w:pPr>
                      <w:r>
                        <w:rPr>
                          <w:rFonts w:ascii="Times New Roman" w:hAnsi="Times New Roman" w:cs="Times New Roman"/>
                          <w:b/>
                          <w:color w:val="00B050"/>
                          <w:sz w:val="24"/>
                        </w:rPr>
                        <w:t xml:space="preserve">1. Judicial cooperation </w:t>
                      </w:r>
                    </w:p>
                    <w:p w:rsidR="001B65FF" w:rsidRDefault="003E4EF4">
                      <w:pPr>
                        <w:rPr>
                          <w:rFonts w:ascii="Times New Roman" w:hAnsi="Times New Roman" w:cs="Times New Roman"/>
                          <w:b/>
                          <w:color w:val="00B050"/>
                          <w:sz w:val="24"/>
                        </w:rPr>
                      </w:pPr>
                      <w:r>
                        <w:rPr>
                          <w:rFonts w:ascii="Times New Roman" w:hAnsi="Times New Roman" w:cs="Times New Roman"/>
                          <w:b/>
                          <w:color w:val="00B050"/>
                          <w:sz w:val="24"/>
                        </w:rPr>
                        <w:t xml:space="preserve">    (MLA/EIO)</w:t>
                      </w:r>
                    </w:p>
                  </w:txbxContent>
                </v:textbox>
              </v:shape>
            </w:pict>
          </mc:Fallback>
        </mc:AlternateContent>
      </w:r>
    </w:p>
    <w:p w:rsidR="001B65FF" w:rsidRDefault="003E4EF4">
      <w:pPr>
        <w:jc w:val="both"/>
        <w:rPr>
          <w:rFonts w:ascii="Times New Roman" w:hAnsi="Times New Roman" w:cs="Times New Roman"/>
          <w:b/>
          <w:noProof/>
          <w:sz w:val="24"/>
        </w:rPr>
      </w:pPr>
      <w:r>
        <w:rPr>
          <w:rFonts w:ascii="Times New Roman" w:hAnsi="Times New Roman" w:cs="Times New Roman"/>
          <w:b/>
          <w:noProof/>
          <w:sz w:val="24"/>
          <w:lang w:eastAsia="en-GB"/>
        </w:rPr>
        <mc:AlternateContent>
          <mc:Choice Requires="wps">
            <w:drawing>
              <wp:anchor distT="0" distB="0" distL="114300" distR="114300" simplePos="0" relativeHeight="251658243" behindDoc="0" locked="0" layoutInCell="1" allowOverlap="1" wp14:anchorId="6387371E" wp14:editId="555A60DA">
                <wp:simplePos x="0" y="0"/>
                <wp:positionH relativeFrom="column">
                  <wp:posOffset>1993121</wp:posOffset>
                </wp:positionH>
                <wp:positionV relativeFrom="paragraph">
                  <wp:posOffset>95286</wp:posOffset>
                </wp:positionV>
                <wp:extent cx="1488558" cy="177800"/>
                <wp:effectExtent l="0" t="19050" r="35560" b="31750"/>
                <wp:wrapNone/>
                <wp:docPr id="4" name="Right Arrow 4"/>
                <wp:cNvGraphicFramePr/>
                <a:graphic xmlns:a="http://schemas.openxmlformats.org/drawingml/2006/main">
                  <a:graphicData uri="http://schemas.microsoft.com/office/word/2010/wordprocessingShape">
                    <wps:wsp>
                      <wps:cNvSpPr/>
                      <wps:spPr>
                        <a:xfrm>
                          <a:off x="0" y="0"/>
                          <a:ext cx="1488558" cy="177800"/>
                        </a:xfrm>
                        <a:prstGeom prst="rightArrow">
                          <a:avLst/>
                        </a:prstGeom>
                        <a:solidFill>
                          <a:srgbClr val="9BBB59"/>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56.95pt;margin-top:7.5pt;width:117.2pt;height:1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" adj="20310" fillcolor="#9bbb59" strokecolor="#00b050" strokeweight="2pt"/>
            </w:pict>
          </mc:Fallback>
        </mc:AlternateContent>
      </w:r>
    </w:p>
    <w:p w:rsidR="001B65FF" w:rsidRDefault="003E4EF4">
      <w:pPr>
        <w:jc w:val="both"/>
        <w:rPr>
          <w:rFonts w:ascii="Times New Roman" w:hAnsi="Times New Roman" w:cs="Times New Roman"/>
          <w:b/>
          <w:noProof/>
          <w:sz w:val="24"/>
        </w:rPr>
      </w:pPr>
      <w:r>
        <w:rPr>
          <w:rFonts w:ascii="Times New Roman" w:hAnsi="Times New Roman" w:cs="Times New Roman"/>
          <w:b/>
          <w:noProof/>
          <w:sz w:val="24"/>
          <w:lang w:eastAsia="en-GB"/>
        </w:rPr>
        <mc:AlternateContent>
          <mc:Choice Requires="wps">
            <w:drawing>
              <wp:anchor distT="0" distB="0" distL="114300" distR="114300" simplePos="0" relativeHeight="251658249" behindDoc="0" locked="0" layoutInCell="1" allowOverlap="1" wp14:anchorId="07426BB5" wp14:editId="1A2AB06F">
                <wp:simplePos x="0" y="0"/>
                <wp:positionH relativeFrom="column">
                  <wp:posOffset>4435948</wp:posOffset>
                </wp:positionH>
                <wp:positionV relativeFrom="paragraph">
                  <wp:posOffset>27940</wp:posOffset>
                </wp:positionV>
                <wp:extent cx="189865" cy="1210945"/>
                <wp:effectExtent l="19050" t="0" r="19685" b="46355"/>
                <wp:wrapNone/>
                <wp:docPr id="14" name="Down Arrow 14"/>
                <wp:cNvGraphicFramePr/>
                <a:graphic xmlns:a="http://schemas.openxmlformats.org/drawingml/2006/main">
                  <a:graphicData uri="http://schemas.microsoft.com/office/word/2010/wordprocessingShape">
                    <wps:wsp>
                      <wps:cNvSpPr/>
                      <wps:spPr>
                        <a:xfrm>
                          <a:off x="0" y="0"/>
                          <a:ext cx="189865" cy="1210945"/>
                        </a:xfrm>
                        <a:prstGeom prst="downArrow">
                          <a:avLst/>
                        </a:prstGeom>
                        <a:solidFill>
                          <a:srgbClr val="9BBB59"/>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349.3pt;margin-top:2.2pt;width:14.95pt;height:95.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" adj="19907" fillcolor="#9bbb59" strokecolor="#00b050" strokeweight="2pt"/>
            </w:pict>
          </mc:Fallback>
        </mc:AlternateContent>
      </w:r>
    </w:p>
    <w:p w:rsidR="001B65FF" w:rsidRDefault="001B65FF">
      <w:pPr>
        <w:jc w:val="both"/>
        <w:rPr>
          <w:rFonts w:ascii="Times New Roman" w:hAnsi="Times New Roman" w:cs="Times New Roman"/>
          <w:b/>
          <w:noProof/>
          <w:sz w:val="24"/>
        </w:rPr>
      </w:pPr>
    </w:p>
    <w:p w:rsidR="001B65FF" w:rsidRDefault="003E4EF4">
      <w:pPr>
        <w:jc w:val="both"/>
        <w:rPr>
          <w:rFonts w:ascii="Times New Roman" w:hAnsi="Times New Roman" w:cs="Times New Roman"/>
          <w:b/>
          <w:noProof/>
          <w:sz w:val="24"/>
        </w:rPr>
      </w:pPr>
      <w:r>
        <w:rPr>
          <w:rFonts w:ascii="Times New Roman" w:hAnsi="Times New Roman" w:cs="Times New Roman"/>
          <w:b/>
          <w:noProof/>
          <w:sz w:val="24"/>
          <w:lang w:eastAsia="en-GB"/>
        </w:rPr>
        <mc:AlternateContent>
          <mc:Choice Requires="wps">
            <w:drawing>
              <wp:anchor distT="0" distB="0" distL="114300" distR="114300" simplePos="0" relativeHeight="251658247" behindDoc="0" locked="0" layoutInCell="1" allowOverlap="1" wp14:anchorId="72BF5635" wp14:editId="315B1ED3">
                <wp:simplePos x="0" y="0"/>
                <wp:positionH relativeFrom="column">
                  <wp:posOffset>1828003</wp:posOffset>
                </wp:positionH>
                <wp:positionV relativeFrom="paragraph">
                  <wp:posOffset>260985</wp:posOffset>
                </wp:positionV>
                <wp:extent cx="1903228" cy="48831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488315"/>
                        </a:xfrm>
                        <a:prstGeom prst="rect">
                          <a:avLst/>
                        </a:prstGeom>
                        <a:noFill/>
                        <a:ln w="9525">
                          <a:noFill/>
                          <a:miter lim="800000"/>
                          <a:headEnd/>
                          <a:tailEnd/>
                        </a:ln>
                      </wps:spPr>
                      <wps:txbx>
                        <w:txbxContent>
                          <w:p w:rsidR="001B65FF" w:rsidRDefault="003E4EF4">
                            <w:pPr>
                              <w:spacing w:after="0"/>
                              <w:rPr>
                                <w:rFonts w:ascii="Times New Roman" w:hAnsi="Times New Roman" w:cs="Times New Roman"/>
                                <w:b/>
                                <w:color w:val="0070C0"/>
                                <w:sz w:val="24"/>
                              </w:rPr>
                            </w:pPr>
                            <w:r>
                              <w:rPr>
                                <w:rFonts w:ascii="Times New Roman" w:hAnsi="Times New Roman" w:cs="Times New Roman"/>
                                <w:b/>
                                <w:color w:val="0070C0"/>
                                <w:sz w:val="24"/>
                              </w:rPr>
                              <w:t xml:space="preserve">2. Direct cooperation </w:t>
                            </w:r>
                          </w:p>
                          <w:p w:rsidR="001B65FF" w:rsidRDefault="003E4EF4">
                            <w:pPr>
                              <w:spacing w:after="0"/>
                              <w:rPr>
                                <w:rFonts w:ascii="Times New Roman" w:hAnsi="Times New Roman" w:cs="Times New Roman"/>
                                <w:b/>
                                <w:color w:val="0070C0"/>
                                <w:sz w:val="24"/>
                              </w:rPr>
                            </w:pPr>
                            <w:r>
                              <w:rPr>
                                <w:rFonts w:ascii="Times New Roman" w:hAnsi="Times New Roman" w:cs="Times New Roman"/>
                                <w:b/>
                                <w:color w:val="0070C0"/>
                                <w:sz w:val="24"/>
                              </w:rPr>
                              <w:t xml:space="preserve">    (with service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3.95pt;margin-top:20.55pt;width:149.85pt;height:38.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" filled="f" stroked="f">
                <v:textbox>
                  <w:txbxContent>
                    <w:p w:rsidR="001B65FF" w:rsidRDefault="003E4EF4">
                      <w:pPr>
                        <w:spacing w:after="0"/>
                        <w:rPr>
                          <w:rFonts w:ascii="Times New Roman" w:hAnsi="Times New Roman" w:cs="Times New Roman"/>
                          <w:b/>
                          <w:color w:val="0070C0"/>
                          <w:sz w:val="24"/>
                        </w:rPr>
                      </w:pPr>
                      <w:r>
                        <w:rPr>
                          <w:rFonts w:ascii="Times New Roman" w:hAnsi="Times New Roman" w:cs="Times New Roman"/>
                          <w:b/>
                          <w:color w:val="0070C0"/>
                          <w:sz w:val="24"/>
                        </w:rPr>
                        <w:t xml:space="preserve">2. Direct cooperation </w:t>
                      </w:r>
                    </w:p>
                    <w:p w:rsidR="001B65FF" w:rsidRDefault="003E4EF4">
                      <w:pPr>
                        <w:spacing w:after="0"/>
                        <w:rPr>
                          <w:rFonts w:ascii="Times New Roman" w:hAnsi="Times New Roman" w:cs="Times New Roman"/>
                          <w:b/>
                          <w:color w:val="0070C0"/>
                          <w:sz w:val="24"/>
                        </w:rPr>
                      </w:pPr>
                      <w:r>
                        <w:rPr>
                          <w:rFonts w:ascii="Times New Roman" w:hAnsi="Times New Roman" w:cs="Times New Roman"/>
                          <w:b/>
                          <w:color w:val="0070C0"/>
                          <w:sz w:val="24"/>
                        </w:rPr>
                        <w:t xml:space="preserve">    (with service providers)</w:t>
                      </w:r>
                    </w:p>
                  </w:txbxContent>
                </v:textbox>
              </v:shape>
            </w:pict>
          </mc:Fallback>
        </mc:AlternateContent>
      </w:r>
    </w:p>
    <w:p w:rsidR="001B65FF" w:rsidRDefault="001B65FF">
      <w:pPr>
        <w:jc w:val="both"/>
        <w:rPr>
          <w:rFonts w:ascii="Times New Roman" w:hAnsi="Times New Roman" w:cs="Times New Roman"/>
          <w:b/>
          <w:noProof/>
          <w:sz w:val="24"/>
        </w:rPr>
      </w:pPr>
    </w:p>
    <w:p w:rsidR="001B65FF" w:rsidRDefault="003E4EF4">
      <w:pPr>
        <w:jc w:val="both"/>
        <w:rPr>
          <w:rFonts w:ascii="Times New Roman" w:hAnsi="Times New Roman" w:cs="Times New Roman"/>
          <w:b/>
          <w:noProof/>
          <w:sz w:val="24"/>
        </w:rPr>
      </w:pPr>
      <w:r>
        <w:rPr>
          <w:rFonts w:ascii="Times New Roman" w:hAnsi="Times New Roman" w:cs="Times New Roman"/>
          <w:b/>
          <w:noProof/>
          <w:sz w:val="24"/>
          <w:lang w:eastAsia="en-GB"/>
        </w:rPr>
        <mc:AlternateContent>
          <mc:Choice Requires="wps">
            <w:drawing>
              <wp:anchor distT="0" distB="0" distL="114300" distR="114300" simplePos="0" relativeHeight="251658244" behindDoc="0" locked="0" layoutInCell="1" allowOverlap="1" wp14:anchorId="0FBA49F7" wp14:editId="78B43CE1">
                <wp:simplePos x="0" y="0"/>
                <wp:positionH relativeFrom="column">
                  <wp:posOffset>1993121</wp:posOffset>
                </wp:positionH>
                <wp:positionV relativeFrom="paragraph">
                  <wp:posOffset>91336</wp:posOffset>
                </wp:positionV>
                <wp:extent cx="1488440" cy="177800"/>
                <wp:effectExtent l="0" t="19050" r="35560" b="31750"/>
                <wp:wrapNone/>
                <wp:docPr id="5" name="Right Arrow 5"/>
                <wp:cNvGraphicFramePr/>
                <a:graphic xmlns:a="http://schemas.openxmlformats.org/drawingml/2006/main">
                  <a:graphicData uri="http://schemas.microsoft.com/office/word/2010/wordprocessingShape">
                    <wps:wsp>
                      <wps:cNvSpPr/>
                      <wps:spPr>
                        <a:xfrm>
                          <a:off x="0" y="0"/>
                          <a:ext cx="1488440" cy="177800"/>
                        </a:xfrm>
                        <a:prstGeom prst="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id="Right Arrow 5" o:spid="_x0000_s1026" type="#_x0000_t13" style="position:absolute;margin-left:156.95pt;margin-top:7.2pt;width:117.2pt;height:14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" adj="20310" fillcolor="window" strokecolor="#4f81bd" strokeweight="2pt"/>
            </w:pict>
          </mc:Fallback>
        </mc:AlternateContent>
      </w:r>
    </w:p>
    <w:p w:rsidR="001B65FF" w:rsidRDefault="003E4EF4">
      <w:pPr>
        <w:rPr>
          <w:rFonts w:ascii="Times New Roman" w:eastAsia="Calibri" w:hAnsi="Times New Roman" w:cs="Times New Roman"/>
          <w:noProof/>
        </w:rPr>
      </w:pPr>
      <w:r>
        <w:rPr>
          <w:rFonts w:ascii="Times New Roman" w:eastAsia="Calibri" w:hAnsi="Times New Roman" w:cs="Times New Roman"/>
          <w:noProof/>
          <w:lang w:eastAsia="en-GB"/>
        </w:rPr>
        <mc:AlternateContent>
          <mc:Choice Requires="wps">
            <w:drawing>
              <wp:anchor distT="0" distB="0" distL="114300" distR="114300" simplePos="0" relativeHeight="251658251" behindDoc="0" locked="0" layoutInCell="1" allowOverlap="1" wp14:anchorId="35906DC3" wp14:editId="00CFAC95">
                <wp:simplePos x="0" y="0"/>
                <wp:positionH relativeFrom="column">
                  <wp:posOffset>3996055</wp:posOffset>
                </wp:positionH>
                <wp:positionV relativeFrom="paragraph">
                  <wp:posOffset>320675</wp:posOffset>
                </wp:positionV>
                <wp:extent cx="189865" cy="581660"/>
                <wp:effectExtent l="19050" t="0" r="19685" b="46990"/>
                <wp:wrapNone/>
                <wp:docPr id="18" name="Down Arrow 18"/>
                <wp:cNvGraphicFramePr/>
                <a:graphic xmlns:a="http://schemas.openxmlformats.org/drawingml/2006/main">
                  <a:graphicData uri="http://schemas.microsoft.com/office/word/2010/wordprocessingShape">
                    <wps:wsp>
                      <wps:cNvSpPr/>
                      <wps:spPr>
                        <a:xfrm>
                          <a:off x="0" y="0"/>
                          <a:ext cx="189865" cy="581660"/>
                        </a:xfrm>
                        <a:prstGeom prst="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id="Down Arrow 18" o:spid="_x0000_s1026" type="#_x0000_t67" style="position:absolute;margin-left:314.65pt;margin-top:25.25pt;width:14.95pt;height:45.8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" adj="18075" fillcolor="window" strokecolor="#4f81bd" strokeweight="2pt"/>
            </w:pict>
          </mc:Fallback>
        </mc:AlternateContent>
      </w:r>
      <w:r>
        <w:rPr>
          <w:rFonts w:ascii="Times New Roman" w:eastAsia="Calibri" w:hAnsi="Times New Roman" w:cs="Times New Roman"/>
          <w:noProof/>
          <w:lang w:eastAsia="en-GB"/>
        </w:rPr>
        <mc:AlternateContent>
          <mc:Choice Requires="wps">
            <w:drawing>
              <wp:anchor distT="0" distB="0" distL="114300" distR="114300" simplePos="0" relativeHeight="251658250" behindDoc="0" locked="0" layoutInCell="1" allowOverlap="1" wp14:anchorId="3A1C8255" wp14:editId="72C0C52D">
                <wp:simplePos x="0" y="0"/>
                <wp:positionH relativeFrom="column">
                  <wp:posOffset>4435948</wp:posOffset>
                </wp:positionH>
                <wp:positionV relativeFrom="paragraph">
                  <wp:posOffset>320675</wp:posOffset>
                </wp:positionV>
                <wp:extent cx="189865" cy="581660"/>
                <wp:effectExtent l="19050" t="0" r="19685" b="46990"/>
                <wp:wrapNone/>
                <wp:docPr id="15" name="Down Arrow 15"/>
                <wp:cNvGraphicFramePr/>
                <a:graphic xmlns:a="http://schemas.openxmlformats.org/drawingml/2006/main">
                  <a:graphicData uri="http://schemas.microsoft.com/office/word/2010/wordprocessingShape">
                    <wps:wsp>
                      <wps:cNvSpPr/>
                      <wps:spPr>
                        <a:xfrm>
                          <a:off x="0" y="0"/>
                          <a:ext cx="189865" cy="581660"/>
                        </a:xfrm>
                        <a:prstGeom prst="downArrow">
                          <a:avLst/>
                        </a:prstGeom>
                        <a:solidFill>
                          <a:srgbClr val="9BBB59"/>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id="Down Arrow 15" o:spid="_x0000_s1026" type="#_x0000_t67" style="position:absolute;margin-left:349.3pt;margin-top:25.25pt;width:14.95pt;height:45.8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" adj="18075" fillcolor="#9bbb59" strokecolor="#00b050" strokeweight="2pt"/>
            </w:pict>
          </mc:Fallback>
        </mc:AlternateContent>
      </w:r>
    </w:p>
    <w:p w:rsidR="001B65FF" w:rsidRDefault="001B65FF">
      <w:pPr>
        <w:rPr>
          <w:rFonts w:ascii="Times New Roman" w:eastAsia="Calibri" w:hAnsi="Times New Roman" w:cs="Times New Roman"/>
          <w:noProof/>
        </w:rPr>
      </w:pPr>
    </w:p>
    <w:p w:rsidR="001B65FF" w:rsidRDefault="003E4EF4">
      <w:pPr>
        <w:rPr>
          <w:rFonts w:ascii="Times New Roman" w:eastAsia="Calibri" w:hAnsi="Times New Roman" w:cs="Times New Roman"/>
          <w:noProof/>
        </w:rPr>
      </w:pPr>
      <w:r>
        <w:rPr>
          <w:rFonts w:ascii="Times New Roman" w:eastAsia="Calibri" w:hAnsi="Times New Roman" w:cs="Times New Roman"/>
          <w:noProof/>
          <w:lang w:eastAsia="en-GB"/>
        </w:rPr>
        <mc:AlternateContent>
          <mc:Choice Requires="wps">
            <w:drawing>
              <wp:anchor distT="0" distB="0" distL="114300" distR="114300" simplePos="0" relativeHeight="251658248" behindDoc="0" locked="0" layoutInCell="1" allowOverlap="1" wp14:anchorId="685953E5" wp14:editId="45F45E78">
                <wp:simplePos x="0" y="0"/>
                <wp:positionH relativeFrom="column">
                  <wp:posOffset>1828003</wp:posOffset>
                </wp:positionH>
                <wp:positionV relativeFrom="paragraph">
                  <wp:posOffset>234315</wp:posOffset>
                </wp:positionV>
                <wp:extent cx="1903228" cy="48831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488315"/>
                        </a:xfrm>
                        <a:prstGeom prst="rect">
                          <a:avLst/>
                        </a:prstGeom>
                        <a:noFill/>
                        <a:ln w="9525">
                          <a:noFill/>
                          <a:miter lim="800000"/>
                          <a:headEnd/>
                          <a:tailEnd/>
                        </a:ln>
                      </wps:spPr>
                      <wps:txbx>
                        <w:txbxContent>
                          <w:p w:rsidR="001B65FF" w:rsidRDefault="003E4EF4">
                            <w:pPr>
                              <w:spacing w:after="0"/>
                              <w:rPr>
                                <w:rFonts w:ascii="Times New Roman" w:hAnsi="Times New Roman" w:cs="Times New Roman"/>
                                <w:b/>
                                <w:color w:val="C00000"/>
                                <w:sz w:val="24"/>
                              </w:rPr>
                            </w:pPr>
                            <w:r>
                              <w:rPr>
                                <w:rFonts w:ascii="Times New Roman" w:hAnsi="Times New Roman" w:cs="Times New Roman"/>
                                <w:b/>
                                <w:color w:val="C00000"/>
                                <w:sz w:val="24"/>
                              </w:rPr>
                              <w:t xml:space="preserve">3. Direct access </w:t>
                            </w:r>
                          </w:p>
                          <w:p w:rsidR="001B65FF" w:rsidRDefault="003E4EF4">
                            <w:pPr>
                              <w:spacing w:after="0"/>
                              <w:rPr>
                                <w:rFonts w:ascii="Times New Roman" w:hAnsi="Times New Roman" w:cs="Times New Roman"/>
                                <w:b/>
                                <w:color w:val="C00000"/>
                                <w:sz w:val="24"/>
                              </w:rPr>
                            </w:pPr>
                            <w:r>
                              <w:rPr>
                                <w:rFonts w:ascii="Times New Roman" w:hAnsi="Times New Roman" w:cs="Times New Roman"/>
                                <w:b/>
                                <w:color w:val="C00000"/>
                                <w:sz w:val="24"/>
                              </w:rPr>
                              <w:t xml:space="preserve">    (to e-evidence)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0" type="#_x0000_t202" style="position:absolute;margin-left:143.95pt;margin-top:18.45pt;width:149.85pt;height:38.4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" filled="f" stroked="f">
                <v:textbox>
                  <w:txbxContent>
                    <w:p w:rsidR="001B65FF" w:rsidRDefault="003E4EF4">
                      <w:pPr>
                        <w:spacing w:after="0"/>
                        <w:rPr>
                          <w:rFonts w:ascii="Times New Roman" w:hAnsi="Times New Roman" w:cs="Times New Roman"/>
                          <w:b/>
                          <w:color w:val="C00000"/>
                          <w:sz w:val="24"/>
                        </w:rPr>
                      </w:pPr>
                      <w:r>
                        <w:rPr>
                          <w:rFonts w:ascii="Times New Roman" w:hAnsi="Times New Roman" w:cs="Times New Roman"/>
                          <w:b/>
                          <w:color w:val="C00000"/>
                          <w:sz w:val="24"/>
                        </w:rPr>
                        <w:t xml:space="preserve">3. Direct access </w:t>
                      </w:r>
                    </w:p>
                    <w:p w:rsidR="001B65FF" w:rsidRDefault="003E4EF4">
                      <w:pPr>
                        <w:spacing w:after="0"/>
                        <w:rPr>
                          <w:rFonts w:ascii="Times New Roman" w:hAnsi="Times New Roman" w:cs="Times New Roman"/>
                          <w:b/>
                          <w:color w:val="C00000"/>
                          <w:sz w:val="24"/>
                        </w:rPr>
                      </w:pPr>
                      <w:r>
                        <w:rPr>
                          <w:rFonts w:ascii="Times New Roman" w:hAnsi="Times New Roman" w:cs="Times New Roman"/>
                          <w:b/>
                          <w:color w:val="C00000"/>
                          <w:sz w:val="24"/>
                        </w:rPr>
                        <w:t xml:space="preserve">    (to e-evidence)</w:t>
                      </w:r>
                    </w:p>
                  </w:txbxContent>
                </v:textbox>
              </v:shape>
            </w:pict>
          </mc:Fallback>
        </mc:AlternateContent>
      </w:r>
    </w:p>
    <w:p w:rsidR="001B65FF" w:rsidRDefault="003E4EF4">
      <w:pPr>
        <w:rPr>
          <w:rFonts w:ascii="Times New Roman" w:eastAsia="Calibri" w:hAnsi="Times New Roman" w:cs="Times New Roman"/>
          <w:noProof/>
        </w:rPr>
      </w:pPr>
      <w:r>
        <w:rPr>
          <w:rFonts w:ascii="Times New Roman" w:eastAsia="Calibri" w:hAnsi="Times New Roman" w:cs="Times New Roman"/>
          <w:noProof/>
          <w:lang w:eastAsia="en-GB"/>
        </w:rPr>
        <mc:AlternateContent>
          <mc:Choice Requires="wps">
            <w:drawing>
              <wp:anchor distT="0" distB="0" distL="114300" distR="114300" simplePos="0" relativeHeight="251658241" behindDoc="0" locked="0" layoutInCell="1" allowOverlap="1" wp14:anchorId="4AD8F91C" wp14:editId="00D98702">
                <wp:simplePos x="0" y="0"/>
                <wp:positionH relativeFrom="column">
                  <wp:posOffset>3664423</wp:posOffset>
                </wp:positionH>
                <wp:positionV relativeFrom="paragraph">
                  <wp:posOffset>17145</wp:posOffset>
                </wp:positionV>
                <wp:extent cx="1722120" cy="747395"/>
                <wp:effectExtent l="0" t="0" r="11430" b="14605"/>
                <wp:wrapNone/>
                <wp:docPr id="2" name="Rounded Rectangle 2"/>
                <wp:cNvGraphicFramePr/>
                <a:graphic xmlns:a="http://schemas.openxmlformats.org/drawingml/2006/main">
                  <a:graphicData uri="http://schemas.microsoft.com/office/word/2010/wordprocessingShape">
                    <wps:wsp>
                      <wps:cNvSpPr/>
                      <wps:spPr>
                        <a:xfrm>
                          <a:off x="0" y="0"/>
                          <a:ext cx="1722120" cy="747395"/>
                        </a:xfrm>
                        <a:prstGeom prst="roundRect">
                          <a:avLst/>
                        </a:prstGeom>
                        <a:solidFill>
                          <a:srgbClr val="4BACC6">
                            <a:lumMod val="20000"/>
                            <a:lumOff val="80000"/>
                          </a:srgbClr>
                        </a:solidFill>
                        <a:ln w="25400" cap="flat" cmpd="sng" algn="ctr">
                          <a:solidFill>
                            <a:srgbClr val="4F81BD"/>
                          </a:solidFill>
                          <a:prstDash val="solid"/>
                        </a:ln>
                        <a:effectLst/>
                      </wps:spPr>
                      <wps:txbx>
                        <w:txbxContent>
                          <w:p w:rsidR="001B65FF" w:rsidRDefault="003E4EF4">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COUNTRY C</w:t>
                            </w:r>
                          </w:p>
                          <w:p w:rsidR="001B65FF" w:rsidRDefault="003E4EF4">
                            <w:pPr>
                              <w:jc w:val="center"/>
                              <w:rPr>
                                <w:rFonts w:ascii="Times New Roman" w:hAnsi="Times New Roman" w:cs="Times New Roman"/>
                                <w:sz w:val="24"/>
                                <w:szCs w:val="24"/>
                              </w:rPr>
                            </w:pPr>
                            <w:r>
                              <w:rPr>
                                <w:rFonts w:ascii="Times New Roman" w:hAnsi="Times New Roman" w:cs="Times New Roman"/>
                                <w:sz w:val="24"/>
                                <w:szCs w:val="24"/>
                                <w:lang w:val="en-US"/>
                              </w:rPr>
                              <w:t>Electronic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31" style="position:absolute;margin-left:288.55pt;margin-top:1.35pt;width:135.6pt;height:58.85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" fillcolor="#dbeef4" strokecolor="#4f81bd" strokeweight="2pt">
                <v:textbox>
                  <w:txbxContent>
                    <w:p w:rsidR="001B65FF" w:rsidRDefault="003E4EF4">
                      <w:pPr>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COUNTRY C</w:t>
                      </w:r>
                    </w:p>
                    <w:p w:rsidR="001B65FF" w:rsidRDefault="003E4EF4">
                      <w:pPr>
                        <w:jc w:val="center"/>
                        <w:rPr>
                          <w:rFonts w:ascii="Times New Roman" w:hAnsi="Times New Roman" w:cs="Times New Roman"/>
                          <w:sz w:val="24"/>
                          <w:szCs w:val="24"/>
                        </w:rPr>
                      </w:pPr>
                      <w:r>
                        <w:rPr>
                          <w:rFonts w:ascii="Times New Roman" w:hAnsi="Times New Roman" w:cs="Times New Roman"/>
                          <w:sz w:val="24"/>
                          <w:szCs w:val="24"/>
                          <w:lang w:val="en-US"/>
                        </w:rPr>
                        <w:t>Electronic evidence</w:t>
                      </w:r>
                    </w:p>
                  </w:txbxContent>
                </v:textbox>
              </v:roundrect>
            </w:pict>
          </mc:Fallback>
        </mc:AlternateContent>
      </w:r>
    </w:p>
    <w:p w:rsidR="001B65FF" w:rsidRDefault="003E4EF4">
      <w:pPr>
        <w:rPr>
          <w:rFonts w:ascii="Times New Roman" w:eastAsia="Calibri" w:hAnsi="Times New Roman" w:cs="Times New Roman"/>
          <w:noProof/>
        </w:rPr>
      </w:pPr>
      <w:r>
        <w:rPr>
          <w:rFonts w:ascii="Times New Roman" w:eastAsia="Calibri" w:hAnsi="Times New Roman" w:cs="Times New Roman"/>
          <w:noProof/>
          <w:lang w:eastAsia="en-GB"/>
        </w:rPr>
        <mc:AlternateContent>
          <mc:Choice Requires="wps">
            <w:drawing>
              <wp:anchor distT="0" distB="0" distL="114300" distR="114300" simplePos="0" relativeHeight="251658245" behindDoc="0" locked="0" layoutInCell="1" allowOverlap="1" wp14:anchorId="341D176B" wp14:editId="5B18267B">
                <wp:simplePos x="0" y="0"/>
                <wp:positionH relativeFrom="column">
                  <wp:posOffset>1993121</wp:posOffset>
                </wp:positionH>
                <wp:positionV relativeFrom="paragraph">
                  <wp:posOffset>97735</wp:posOffset>
                </wp:positionV>
                <wp:extent cx="1488558" cy="177800"/>
                <wp:effectExtent l="0" t="19050" r="35560" b="31750"/>
                <wp:wrapNone/>
                <wp:docPr id="6" name="Right Arrow 6"/>
                <wp:cNvGraphicFramePr/>
                <a:graphic xmlns:a="http://schemas.openxmlformats.org/drawingml/2006/main">
                  <a:graphicData uri="http://schemas.microsoft.com/office/word/2010/wordprocessingShape">
                    <wps:wsp>
                      <wps:cNvSpPr/>
                      <wps:spPr>
                        <a:xfrm>
                          <a:off x="0" y="0"/>
                          <a:ext cx="1488558" cy="177800"/>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id="Right Arrow 6" o:spid="_x0000_s1026" type="#_x0000_t13" style="position:absolute;margin-left:156.95pt;margin-top:7.7pt;width:117.2pt;height:14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" adj="20310" fillcolor="#c0504d" strokecolor="#8c3836" strokeweight="2pt"/>
            </w:pict>
          </mc:Fallback>
        </mc:AlternateContent>
      </w:r>
    </w:p>
    <w:p w:rsidR="001B65FF" w:rsidRDefault="001B65FF">
      <w:pPr>
        <w:rPr>
          <w:rFonts w:ascii="Times New Roman" w:hAnsi="Times New Roman" w:cs="Times New Roman"/>
          <w:noProof/>
          <w:sz w:val="20"/>
          <w:lang w:eastAsia="en-GB"/>
        </w:rPr>
      </w:pPr>
    </w:p>
    <w:p w:rsidR="001B65FF" w:rsidRDefault="003E4EF4">
      <w:pPr>
        <w:numPr>
          <w:ilvl w:val="0"/>
          <w:numId w:val="88"/>
        </w:numPr>
        <w:contextualSpacing/>
        <w:rPr>
          <w:rFonts w:ascii="Times New Roman" w:eastAsia="Calibri" w:hAnsi="Times New Roman" w:cs="Times New Roman"/>
          <w:b/>
          <w:noProof/>
          <w:sz w:val="24"/>
        </w:rPr>
      </w:pPr>
      <w:r>
        <w:rPr>
          <w:rFonts w:ascii="Times New Roman" w:eastAsia="Calibri" w:hAnsi="Times New Roman" w:cs="Times New Roman"/>
          <w:b/>
          <w:noProof/>
          <w:sz w:val="24"/>
        </w:rPr>
        <w:t>Judicial cooperation</w:t>
      </w:r>
    </w:p>
    <w:p w:rsidR="001B65FF" w:rsidRDefault="003E4EF4">
      <w:pPr>
        <w:numPr>
          <w:ilvl w:val="0"/>
          <w:numId w:val="14"/>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Judicial authorities of country A contact the competent judicial authorities of the country </w:t>
      </w:r>
      <w:r>
        <w:rPr>
          <w:rFonts w:ascii="Times New Roman" w:eastAsia="Calibri" w:hAnsi="Times New Roman" w:cs="Times New Roman"/>
          <w:noProof/>
          <w:sz w:val="24"/>
        </w:rPr>
        <w:t>where the service provider is established, formally requesting through judicial cooperation channels (i.e. MLA request or European Investigation Order, EIO) the evidence to which the service provider has access.</w:t>
      </w:r>
    </w:p>
    <w:p w:rsidR="001B65FF" w:rsidRDefault="003E4EF4">
      <w:pPr>
        <w:numPr>
          <w:ilvl w:val="0"/>
          <w:numId w:val="14"/>
        </w:numPr>
        <w:tabs>
          <w:tab w:val="left" w:pos="90"/>
        </w:tabs>
        <w:contextualSpacing/>
        <w:jc w:val="both"/>
        <w:rPr>
          <w:rFonts w:ascii="Times New Roman" w:eastAsia="Calibri" w:hAnsi="Times New Roman" w:cs="Times New Roman"/>
          <w:noProof/>
          <w:sz w:val="24"/>
          <w:szCs w:val="24"/>
          <w:lang w:val="en-US"/>
        </w:rPr>
      </w:pPr>
      <w:r>
        <w:rPr>
          <w:rFonts w:ascii="Times New Roman" w:hAnsi="Times New Roman" w:cs="Times New Roman"/>
          <w:noProof/>
          <w:sz w:val="24"/>
        </w:rPr>
        <w:t>Within the EU, the legal framework on judici</w:t>
      </w:r>
      <w:r>
        <w:rPr>
          <w:rFonts w:ascii="Times New Roman" w:hAnsi="Times New Roman" w:cs="Times New Roman"/>
          <w:noProof/>
          <w:sz w:val="24"/>
        </w:rPr>
        <w:t xml:space="preserve">al cooperation for obtaining cross-border access to electronic evidence is the EIO Directive. The EIO, based on mutual recognition of judicial decisions, provides for direct communication between </w:t>
      </w:r>
      <w:r>
        <w:rPr>
          <w:rFonts w:ascii="Times New Roman" w:eastAsia="Calibri" w:hAnsi="Times New Roman" w:cs="Times New Roman"/>
          <w:noProof/>
          <w:sz w:val="24"/>
        </w:rPr>
        <w:t>judicial</w:t>
      </w:r>
      <w:r>
        <w:rPr>
          <w:rFonts w:ascii="Times New Roman" w:hAnsi="Times New Roman" w:cs="Times New Roman"/>
          <w:noProof/>
          <w:sz w:val="24"/>
        </w:rPr>
        <w:t xml:space="preserve"> authorities rather than going through central autho</w:t>
      </w:r>
      <w:r>
        <w:rPr>
          <w:rFonts w:ascii="Times New Roman" w:hAnsi="Times New Roman" w:cs="Times New Roman"/>
          <w:noProof/>
          <w:sz w:val="24"/>
        </w:rPr>
        <w:t xml:space="preserve">rities, supported by deadlines, standardised forms and limited possibilities to refuse recognition and execution of requests. </w:t>
      </w:r>
    </w:p>
    <w:p w:rsidR="001B65FF" w:rsidRDefault="003E4EF4">
      <w:pPr>
        <w:numPr>
          <w:ilvl w:val="0"/>
          <w:numId w:val="14"/>
        </w:numPr>
        <w:tabs>
          <w:tab w:val="left" w:pos="90"/>
        </w:tabs>
        <w:contextualSpacing/>
        <w:jc w:val="both"/>
        <w:rPr>
          <w:rFonts w:ascii="Times New Roman" w:hAnsi="Times New Roman" w:cs="Times New Roman"/>
          <w:noProof/>
          <w:sz w:val="24"/>
        </w:rPr>
      </w:pPr>
      <w:r>
        <w:rPr>
          <w:rFonts w:ascii="Times New Roman" w:hAnsi="Times New Roman" w:cs="Times New Roman"/>
          <w:noProof/>
          <w:sz w:val="24"/>
        </w:rPr>
        <w:t xml:space="preserve">Judicial cooperation with countries outside the EU is mainly based on international agreements, notably the Budapest Convention. </w:t>
      </w:r>
      <w:r>
        <w:rPr>
          <w:rFonts w:ascii="Times New Roman" w:hAnsi="Times New Roman" w:cs="Times New Roman"/>
          <w:noProof/>
          <w:sz w:val="24"/>
        </w:rPr>
        <w:t xml:space="preserve">Besides that, there are bilateral agreements concluded by the EU (notably, the Agreement with the United States on mutual legal </w:t>
      </w:r>
      <w:r>
        <w:rPr>
          <w:rFonts w:ascii="Times New Roman" w:eastAsia="Calibri" w:hAnsi="Times New Roman" w:cs="Times New Roman"/>
          <w:noProof/>
          <w:sz w:val="24"/>
        </w:rPr>
        <w:t>assistance</w:t>
      </w:r>
      <w:r>
        <w:rPr>
          <w:rFonts w:ascii="Times New Roman" w:hAnsi="Times New Roman" w:cs="Times New Roman"/>
          <w:noProof/>
          <w:sz w:val="24"/>
          <w:vertAlign w:val="superscript"/>
        </w:rPr>
        <w:footnoteReference w:id="16"/>
      </w:r>
      <w:r>
        <w:rPr>
          <w:rFonts w:ascii="Times New Roman" w:hAnsi="Times New Roman" w:cs="Times New Roman"/>
          <w:noProof/>
          <w:sz w:val="24"/>
        </w:rPr>
        <w:t>) and by the Member States, most frequently with the US, followed by Canada and Australia.</w:t>
      </w:r>
    </w:p>
    <w:p w:rsidR="001B65FF" w:rsidRDefault="003E4EF4">
      <w:pPr>
        <w:numPr>
          <w:ilvl w:val="0"/>
          <w:numId w:val="88"/>
        </w:numPr>
        <w:spacing w:before="120"/>
        <w:ind w:left="357" w:hanging="357"/>
        <w:contextualSpacing/>
        <w:rPr>
          <w:rFonts w:ascii="Times New Roman" w:eastAsia="Calibri" w:hAnsi="Times New Roman" w:cs="Times New Roman"/>
          <w:b/>
          <w:noProof/>
          <w:sz w:val="24"/>
        </w:rPr>
      </w:pPr>
      <w:r>
        <w:rPr>
          <w:rFonts w:ascii="Times New Roman" w:eastAsia="Calibri" w:hAnsi="Times New Roman" w:cs="Times New Roman"/>
          <w:b/>
          <w:noProof/>
          <w:sz w:val="24"/>
        </w:rPr>
        <w:t>Direct cooperation</w:t>
      </w:r>
    </w:p>
    <w:p w:rsidR="001B65FF" w:rsidRDefault="003E4EF4">
      <w:pPr>
        <w:numPr>
          <w:ilvl w:val="0"/>
          <w:numId w:val="14"/>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In dire</w:t>
      </w:r>
      <w:r>
        <w:rPr>
          <w:rFonts w:ascii="Times New Roman" w:eastAsia="Calibri" w:hAnsi="Times New Roman" w:cs="Times New Roman"/>
          <w:noProof/>
          <w:sz w:val="24"/>
        </w:rPr>
        <w:t>ct request situations, the public authorities of country A directly contact the service provider established in country B with production orders/requests pursuant to national rules of criminal procedure, and request evidence to which the service provider h</w:t>
      </w:r>
      <w:r>
        <w:rPr>
          <w:rFonts w:ascii="Times New Roman" w:eastAsia="Calibri" w:hAnsi="Times New Roman" w:cs="Times New Roman"/>
          <w:noProof/>
          <w:sz w:val="24"/>
        </w:rPr>
        <w:t xml:space="preserve">as access, typically data on a user of the services it provides. </w:t>
      </w:r>
    </w:p>
    <w:p w:rsidR="001B65FF" w:rsidRDefault="003E4EF4">
      <w:pPr>
        <w:numPr>
          <w:ilvl w:val="0"/>
          <w:numId w:val="14"/>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This concerns some service providers established in the US and, to a more limited extent, in Ireland, which reply directly to requests from Member States' law enforcement authorities on a </w:t>
      </w:r>
      <w:r>
        <w:rPr>
          <w:rFonts w:ascii="Times New Roman" w:eastAsia="Calibri" w:hAnsi="Times New Roman" w:cs="Times New Roman"/>
          <w:noProof/>
          <w:sz w:val="24"/>
        </w:rPr>
        <w:t>voluntary basis, as far as the requests concern non-content data.</w:t>
      </w:r>
    </w:p>
    <w:p w:rsidR="001B65FF" w:rsidRDefault="003E4EF4">
      <w:pPr>
        <w:numPr>
          <w:ilvl w:val="0"/>
          <w:numId w:val="14"/>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For WHOIS data, service providers make data directly available to authorities through a centralised search system which does not rely on individually reviewed requests.</w:t>
      </w:r>
      <w:r>
        <w:rPr>
          <w:rStyle w:val="FootnoteReference"/>
          <w:rFonts w:ascii="Times New Roman" w:eastAsia="Calibri" w:hAnsi="Times New Roman" w:cs="Times New Roman"/>
          <w:noProof/>
          <w:sz w:val="24"/>
        </w:rPr>
        <w:footnoteReference w:id="17"/>
      </w:r>
    </w:p>
    <w:p w:rsidR="001B65FF" w:rsidRDefault="003E4EF4">
      <w:pPr>
        <w:keepNext/>
        <w:numPr>
          <w:ilvl w:val="0"/>
          <w:numId w:val="88"/>
        </w:numPr>
        <w:contextualSpacing/>
        <w:rPr>
          <w:rFonts w:ascii="Times New Roman" w:eastAsia="Calibri" w:hAnsi="Times New Roman" w:cs="Times New Roman"/>
          <w:b/>
          <w:noProof/>
          <w:sz w:val="24"/>
        </w:rPr>
      </w:pPr>
      <w:r>
        <w:rPr>
          <w:rFonts w:ascii="Times New Roman" w:eastAsia="Calibri" w:hAnsi="Times New Roman" w:cs="Times New Roman"/>
          <w:b/>
          <w:noProof/>
          <w:sz w:val="24"/>
        </w:rPr>
        <w:t>Direct access</w:t>
      </w:r>
    </w:p>
    <w:p w:rsidR="001B65FF" w:rsidRDefault="003E4EF4">
      <w:pPr>
        <w:numPr>
          <w:ilvl w:val="0"/>
          <w:numId w:val="14"/>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"Direct access" refers to cases where authorities access data without the help of an intermediary, for instance following the seizure of a device ("extended search") or following the lawful acquisition of login information ("remote search"). The national l</w:t>
      </w:r>
      <w:r>
        <w:rPr>
          <w:rFonts w:ascii="Times New Roman" w:eastAsia="Calibri" w:hAnsi="Times New Roman" w:cs="Times New Roman"/>
          <w:noProof/>
          <w:sz w:val="24"/>
        </w:rPr>
        <w:t>aw in at least 20 Member States empowers authorities, subject to judicial authorisation, to seize and search a device and remotely stored data accessible from it, or to use credentials for an account to access and search data stored under that account. Thi</w:t>
      </w:r>
      <w:r>
        <w:rPr>
          <w:rFonts w:ascii="Times New Roman" w:eastAsia="Calibri" w:hAnsi="Times New Roman" w:cs="Times New Roman"/>
          <w:noProof/>
          <w:sz w:val="24"/>
        </w:rPr>
        <w:t xml:space="preserve">s tool becomes more relevant as data is now regularly stored not on the local device but on servers in a different location, possibly outside of the Member State concerned or even outside of the EU. </w:t>
      </w:r>
    </w:p>
    <w:p w:rsidR="001B65FF" w:rsidRDefault="003E4EF4">
      <w:pPr>
        <w:numPr>
          <w:ilvl w:val="0"/>
          <w:numId w:val="14"/>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Often, the location of this data is not known to law enf</w:t>
      </w:r>
      <w:r>
        <w:rPr>
          <w:rFonts w:ascii="Times New Roman" w:eastAsia="Calibri" w:hAnsi="Times New Roman" w:cs="Times New Roman"/>
          <w:noProof/>
          <w:sz w:val="24"/>
        </w:rPr>
        <w:t xml:space="preserve">orcement (so-called "loss of knowledge of location"), and it may be practically impossible to determine, such as in cases where the data is hosted on Darknet services that use multiple layers of IP relays to disguise their location. As a result, it can be </w:t>
      </w:r>
      <w:r>
        <w:rPr>
          <w:rFonts w:ascii="Times New Roman" w:eastAsia="Calibri" w:hAnsi="Times New Roman" w:cs="Times New Roman"/>
          <w:noProof/>
          <w:sz w:val="24"/>
        </w:rPr>
        <w:t>difficult to determine whether such searches have a cross-border component</w:t>
      </w:r>
    </w:p>
    <w:p w:rsidR="001B65FF" w:rsidRDefault="003E4EF4">
      <w:pPr>
        <w:numPr>
          <w:ilvl w:val="0"/>
          <w:numId w:val="14"/>
        </w:numPr>
        <w:tabs>
          <w:tab w:val="left" w:pos="90"/>
        </w:tabs>
        <w:spacing w:after="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Member States have different approaches to direct access and the data storage location (see section 2.2.3). </w:t>
      </w:r>
    </w:p>
    <w:p w:rsidR="001B65FF" w:rsidRDefault="003E4EF4">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requesting public authorities, the receiving public authorities and </w:t>
      </w:r>
      <w:r>
        <w:rPr>
          <w:rFonts w:ascii="Times New Roman" w:eastAsia="Calibri" w:hAnsi="Times New Roman" w:cs="Times New Roman"/>
          <w:noProof/>
          <w:sz w:val="24"/>
        </w:rPr>
        <w:t>the service provider, and the e-evidence can all be located in different countries. The general problem that figure 1 describes encompasses multiple specific cases depending on whether each of these countries is located in the EU or not:</w:t>
      </w:r>
    </w:p>
    <w:p w:rsidR="001B65FF" w:rsidRDefault="003E4EF4">
      <w:pPr>
        <w:jc w:val="center"/>
        <w:rPr>
          <w:rFonts w:ascii="Times New Roman" w:eastAsia="Calibri" w:hAnsi="Times New Roman" w:cs="Times New Roman"/>
          <w:i/>
          <w:noProof/>
          <w:sz w:val="24"/>
        </w:rPr>
      </w:pPr>
      <w:r>
        <w:rPr>
          <w:rFonts w:ascii="Times New Roman" w:eastAsia="Calibri" w:hAnsi="Times New Roman" w:cs="Times New Roman"/>
          <w:i/>
          <w:noProof/>
          <w:sz w:val="24"/>
        </w:rPr>
        <w:t>Table 2: mapping o</w:t>
      </w:r>
      <w:r>
        <w:rPr>
          <w:rFonts w:ascii="Times New Roman" w:eastAsia="Calibri" w:hAnsi="Times New Roman" w:cs="Times New Roman"/>
          <w:i/>
          <w:noProof/>
          <w:sz w:val="24"/>
        </w:rPr>
        <w:t xml:space="preserve">f possible situations in cross-border access to electronic evidence </w:t>
      </w:r>
    </w:p>
    <w:tbl>
      <w:tblPr>
        <w:tblStyle w:val="TableGrid"/>
        <w:tblW w:w="9097" w:type="dxa"/>
        <w:jc w:val="center"/>
        <w:tblInd w:w="496" w:type="dxa"/>
        <w:tblLook w:val="04A0" w:firstRow="1" w:lastRow="0" w:firstColumn="1" w:lastColumn="0" w:noHBand="0" w:noVBand="1"/>
      </w:tblPr>
      <w:tblGrid>
        <w:gridCol w:w="1714"/>
        <w:gridCol w:w="1985"/>
        <w:gridCol w:w="1417"/>
        <w:gridCol w:w="3981"/>
      </w:tblGrid>
      <w:tr w:rsidR="001B65FF">
        <w:trPr>
          <w:trHeight w:val="300"/>
          <w:jc w:val="center"/>
        </w:trPr>
        <w:tc>
          <w:tcPr>
            <w:tcW w:w="5116" w:type="dxa"/>
            <w:gridSpan w:val="3"/>
            <w:noWrap/>
          </w:tcPr>
          <w:p w:rsidR="001B65FF" w:rsidRDefault="003E4EF4">
            <w:pPr>
              <w:spacing w:before="240"/>
              <w:jc w:val="center"/>
              <w:rPr>
                <w:rFonts w:eastAsia="Calibri"/>
                <w:b/>
                <w:bCs/>
                <w:noProof/>
              </w:rPr>
            </w:pPr>
            <w:r>
              <w:rPr>
                <w:rFonts w:eastAsia="Calibri"/>
                <w:b/>
                <w:bCs/>
                <w:noProof/>
              </w:rPr>
              <w:t>Country</w:t>
            </w:r>
          </w:p>
        </w:tc>
        <w:tc>
          <w:tcPr>
            <w:tcW w:w="3981" w:type="dxa"/>
            <w:vMerge w:val="restart"/>
          </w:tcPr>
          <w:p w:rsidR="001B65FF" w:rsidRDefault="003E4EF4">
            <w:pPr>
              <w:spacing w:before="240"/>
              <w:jc w:val="center"/>
              <w:rPr>
                <w:rFonts w:eastAsia="Calibri"/>
                <w:b/>
                <w:bCs/>
                <w:noProof/>
              </w:rPr>
            </w:pPr>
            <w:r>
              <w:rPr>
                <w:rFonts w:eastAsia="Calibri"/>
                <w:b/>
                <w:bCs/>
                <w:noProof/>
              </w:rPr>
              <w:t>Comment</w:t>
            </w:r>
          </w:p>
        </w:tc>
      </w:tr>
      <w:tr w:rsidR="001B65FF">
        <w:trPr>
          <w:trHeight w:val="300"/>
          <w:jc w:val="center"/>
        </w:trPr>
        <w:tc>
          <w:tcPr>
            <w:tcW w:w="1714" w:type="dxa"/>
            <w:noWrap/>
            <w:hideMark/>
          </w:tcPr>
          <w:p w:rsidR="001B65FF" w:rsidRDefault="003E4EF4">
            <w:pPr>
              <w:spacing w:before="60" w:after="60"/>
              <w:jc w:val="center"/>
              <w:rPr>
                <w:rFonts w:eastAsia="Calibri"/>
                <w:b/>
                <w:bCs/>
                <w:noProof/>
              </w:rPr>
            </w:pPr>
            <w:r>
              <w:rPr>
                <w:rFonts w:eastAsia="Calibri"/>
                <w:b/>
                <w:bCs/>
                <w:noProof/>
              </w:rPr>
              <w:t>A</w:t>
            </w:r>
          </w:p>
          <w:p w:rsidR="001B65FF" w:rsidRDefault="003E4EF4">
            <w:pPr>
              <w:spacing w:before="60" w:after="60"/>
              <w:jc w:val="center"/>
              <w:rPr>
                <w:rFonts w:eastAsia="Calibri"/>
                <w:b/>
                <w:bCs/>
                <w:noProof/>
              </w:rPr>
            </w:pPr>
            <w:r>
              <w:rPr>
                <w:rFonts w:eastAsia="Calibri"/>
                <w:b/>
                <w:bCs/>
                <w:noProof/>
              </w:rPr>
              <w:t>Requesting public authority</w:t>
            </w:r>
          </w:p>
        </w:tc>
        <w:tc>
          <w:tcPr>
            <w:tcW w:w="1985" w:type="dxa"/>
            <w:noWrap/>
            <w:hideMark/>
          </w:tcPr>
          <w:p w:rsidR="001B65FF" w:rsidRDefault="003E4EF4">
            <w:pPr>
              <w:spacing w:before="60" w:after="60"/>
              <w:jc w:val="center"/>
              <w:rPr>
                <w:rFonts w:eastAsia="Calibri"/>
                <w:b/>
                <w:bCs/>
                <w:noProof/>
              </w:rPr>
            </w:pPr>
            <w:r>
              <w:rPr>
                <w:rFonts w:eastAsia="Calibri"/>
                <w:b/>
                <w:bCs/>
                <w:noProof/>
              </w:rPr>
              <w:t>B</w:t>
            </w:r>
          </w:p>
          <w:p w:rsidR="001B65FF" w:rsidRDefault="003E4EF4">
            <w:pPr>
              <w:spacing w:before="60" w:after="60"/>
              <w:jc w:val="center"/>
              <w:rPr>
                <w:rFonts w:eastAsia="Calibri"/>
                <w:b/>
                <w:bCs/>
                <w:noProof/>
              </w:rPr>
            </w:pPr>
            <w:r>
              <w:rPr>
                <w:rFonts w:eastAsia="Calibri"/>
                <w:b/>
                <w:bCs/>
                <w:noProof/>
              </w:rPr>
              <w:t>Receiving public authority and service provider</w:t>
            </w:r>
          </w:p>
        </w:tc>
        <w:tc>
          <w:tcPr>
            <w:tcW w:w="1417" w:type="dxa"/>
            <w:noWrap/>
            <w:hideMark/>
          </w:tcPr>
          <w:p w:rsidR="001B65FF" w:rsidRDefault="003E4EF4">
            <w:pPr>
              <w:spacing w:before="60" w:after="60"/>
              <w:jc w:val="center"/>
              <w:rPr>
                <w:rFonts w:eastAsia="Calibri"/>
                <w:b/>
                <w:bCs/>
                <w:noProof/>
              </w:rPr>
            </w:pPr>
            <w:r>
              <w:rPr>
                <w:rFonts w:eastAsia="Calibri"/>
                <w:b/>
                <w:bCs/>
                <w:noProof/>
              </w:rPr>
              <w:t>C</w:t>
            </w:r>
          </w:p>
          <w:p w:rsidR="001B65FF" w:rsidRDefault="003E4EF4">
            <w:pPr>
              <w:spacing w:before="60" w:after="60"/>
              <w:jc w:val="center"/>
              <w:rPr>
                <w:rFonts w:eastAsia="Calibri"/>
                <w:b/>
                <w:bCs/>
                <w:noProof/>
              </w:rPr>
            </w:pPr>
            <w:r>
              <w:rPr>
                <w:rFonts w:eastAsia="Calibri"/>
                <w:b/>
                <w:bCs/>
                <w:noProof/>
              </w:rPr>
              <w:t>E-evidence</w:t>
            </w:r>
          </w:p>
        </w:tc>
        <w:tc>
          <w:tcPr>
            <w:tcW w:w="3981" w:type="dxa"/>
            <w:vMerge/>
          </w:tcPr>
          <w:p w:rsidR="001B65FF" w:rsidRDefault="001B65FF">
            <w:pPr>
              <w:spacing w:before="240"/>
              <w:jc w:val="center"/>
              <w:rPr>
                <w:rFonts w:eastAsia="Calibri"/>
                <w:b/>
                <w:bCs/>
                <w:noProof/>
              </w:rPr>
            </w:pPr>
          </w:p>
        </w:tc>
      </w:tr>
      <w:tr w:rsidR="001B65FF">
        <w:trPr>
          <w:trHeight w:val="300"/>
          <w:jc w:val="center"/>
        </w:trPr>
        <w:tc>
          <w:tcPr>
            <w:tcW w:w="1714" w:type="dxa"/>
            <w:noWrap/>
            <w:vAlign w:val="center"/>
            <w:hideMark/>
          </w:tcPr>
          <w:p w:rsidR="001B65FF" w:rsidRDefault="003E4EF4">
            <w:pPr>
              <w:spacing w:before="120" w:after="120"/>
              <w:contextualSpacing/>
              <w:jc w:val="center"/>
              <w:rPr>
                <w:rFonts w:eastAsia="Calibri"/>
                <w:noProof/>
              </w:rPr>
            </w:pPr>
            <w:r>
              <w:rPr>
                <w:rFonts w:eastAsia="Calibri"/>
                <w:noProof/>
              </w:rPr>
              <w:t>EU</w:t>
            </w:r>
          </w:p>
        </w:tc>
        <w:tc>
          <w:tcPr>
            <w:tcW w:w="1985" w:type="dxa"/>
            <w:noWrap/>
            <w:vAlign w:val="center"/>
            <w:hideMark/>
          </w:tcPr>
          <w:p w:rsidR="001B65FF" w:rsidRDefault="003E4EF4">
            <w:pPr>
              <w:spacing w:before="120" w:after="120"/>
              <w:contextualSpacing/>
              <w:jc w:val="center"/>
              <w:rPr>
                <w:rFonts w:eastAsia="Calibri"/>
                <w:noProof/>
              </w:rPr>
            </w:pPr>
            <w:r>
              <w:rPr>
                <w:rFonts w:eastAsia="Calibri"/>
                <w:noProof/>
              </w:rPr>
              <w:t>EU</w:t>
            </w:r>
          </w:p>
        </w:tc>
        <w:tc>
          <w:tcPr>
            <w:tcW w:w="1417" w:type="dxa"/>
            <w:noWrap/>
            <w:vAlign w:val="center"/>
            <w:hideMark/>
          </w:tcPr>
          <w:p w:rsidR="001B65FF" w:rsidRDefault="003E4EF4">
            <w:pPr>
              <w:spacing w:before="120" w:after="120"/>
              <w:contextualSpacing/>
              <w:jc w:val="center"/>
              <w:rPr>
                <w:rFonts w:eastAsia="Calibri"/>
                <w:noProof/>
              </w:rPr>
            </w:pPr>
            <w:r>
              <w:rPr>
                <w:rFonts w:eastAsia="Calibri"/>
                <w:noProof/>
              </w:rPr>
              <w:t>EU</w:t>
            </w:r>
          </w:p>
        </w:tc>
        <w:tc>
          <w:tcPr>
            <w:tcW w:w="3981" w:type="dxa"/>
            <w:vAlign w:val="center"/>
          </w:tcPr>
          <w:p w:rsidR="001B65FF" w:rsidRDefault="003E4EF4">
            <w:pPr>
              <w:spacing w:before="60" w:after="60"/>
              <w:jc w:val="center"/>
              <w:rPr>
                <w:rFonts w:eastAsia="Calibri"/>
                <w:noProof/>
              </w:rPr>
            </w:pPr>
            <w:r>
              <w:rPr>
                <w:rFonts w:eastAsia="Calibri"/>
                <w:noProof/>
              </w:rPr>
              <w:t>Particular case: A=B=C</w:t>
            </w:r>
            <w:r>
              <w:rPr>
                <w:rFonts w:eastAsia="Calibri"/>
                <w:noProof/>
              </w:rPr>
              <w:br/>
            </w:r>
            <w:r>
              <w:rPr>
                <w:rFonts w:eastAsia="Calibri"/>
                <w:noProof/>
              </w:rPr>
              <w:t xml:space="preserve">(requesting public authorities, service provider and data in the same country </w:t>
            </w:r>
            <w:r>
              <w:rPr>
                <w:rFonts w:eastAsia="Calibri"/>
                <w:noProof/>
              </w:rPr>
              <w:sym w:font="Wingdings" w:char="F0F0"/>
            </w:r>
            <w:r>
              <w:rPr>
                <w:rFonts w:eastAsia="Calibri"/>
                <w:noProof/>
              </w:rPr>
              <w:t xml:space="preserve"> national issue)</w:t>
            </w:r>
          </w:p>
        </w:tc>
      </w:tr>
      <w:tr w:rsidR="001B65FF">
        <w:trPr>
          <w:trHeight w:val="300"/>
          <w:jc w:val="center"/>
        </w:trPr>
        <w:tc>
          <w:tcPr>
            <w:tcW w:w="1714" w:type="dxa"/>
            <w:noWrap/>
            <w:vAlign w:val="center"/>
            <w:hideMark/>
          </w:tcPr>
          <w:p w:rsidR="001B65FF" w:rsidRDefault="003E4EF4">
            <w:pPr>
              <w:spacing w:before="120" w:after="120"/>
              <w:contextualSpacing/>
              <w:jc w:val="center"/>
              <w:rPr>
                <w:rFonts w:eastAsia="Calibri"/>
                <w:noProof/>
              </w:rPr>
            </w:pPr>
            <w:r>
              <w:rPr>
                <w:rFonts w:eastAsia="Calibri"/>
                <w:noProof/>
              </w:rPr>
              <w:t>EU</w:t>
            </w:r>
          </w:p>
        </w:tc>
        <w:tc>
          <w:tcPr>
            <w:tcW w:w="1985" w:type="dxa"/>
            <w:noWrap/>
            <w:vAlign w:val="center"/>
            <w:hideMark/>
          </w:tcPr>
          <w:p w:rsidR="001B65FF" w:rsidRDefault="003E4EF4">
            <w:pPr>
              <w:spacing w:before="120" w:after="120"/>
              <w:contextualSpacing/>
              <w:jc w:val="center"/>
              <w:rPr>
                <w:rFonts w:eastAsia="Calibri"/>
                <w:noProof/>
              </w:rPr>
            </w:pPr>
            <w:r>
              <w:rPr>
                <w:rFonts w:eastAsia="Calibri"/>
                <w:noProof/>
              </w:rPr>
              <w:t>EU</w:t>
            </w:r>
          </w:p>
        </w:tc>
        <w:tc>
          <w:tcPr>
            <w:tcW w:w="1417" w:type="dxa"/>
            <w:noWrap/>
            <w:vAlign w:val="center"/>
            <w:hideMark/>
          </w:tcPr>
          <w:p w:rsidR="001B65FF" w:rsidRDefault="003E4EF4">
            <w:pPr>
              <w:spacing w:before="120" w:after="120"/>
              <w:contextualSpacing/>
              <w:jc w:val="center"/>
              <w:rPr>
                <w:rFonts w:eastAsia="Calibri"/>
                <w:noProof/>
              </w:rPr>
            </w:pPr>
            <w:r>
              <w:rPr>
                <w:rFonts w:eastAsia="Calibri"/>
                <w:noProof/>
              </w:rPr>
              <w:t>Non-EU</w:t>
            </w:r>
          </w:p>
        </w:tc>
        <w:tc>
          <w:tcPr>
            <w:tcW w:w="3981" w:type="dxa"/>
            <w:vAlign w:val="center"/>
          </w:tcPr>
          <w:p w:rsidR="001B65FF" w:rsidRDefault="003E4EF4">
            <w:pPr>
              <w:spacing w:before="60" w:after="60"/>
              <w:jc w:val="center"/>
              <w:rPr>
                <w:rFonts w:eastAsia="Calibri"/>
                <w:noProof/>
              </w:rPr>
            </w:pPr>
            <w:r>
              <w:rPr>
                <w:rFonts w:eastAsia="Calibri"/>
                <w:noProof/>
              </w:rPr>
              <w:t>Particular case: A=B</w:t>
            </w:r>
            <w:r>
              <w:rPr>
                <w:rFonts w:eastAsia="Calibri"/>
                <w:noProof/>
              </w:rPr>
              <w:br/>
              <w:t>(requesting public authorities and service provider in the same country)</w:t>
            </w:r>
          </w:p>
        </w:tc>
      </w:tr>
      <w:tr w:rsidR="001B65FF">
        <w:trPr>
          <w:trHeight w:val="300"/>
          <w:jc w:val="center"/>
        </w:trPr>
        <w:tc>
          <w:tcPr>
            <w:tcW w:w="1714" w:type="dxa"/>
            <w:noWrap/>
            <w:vAlign w:val="center"/>
            <w:hideMark/>
          </w:tcPr>
          <w:p w:rsidR="001B65FF" w:rsidRDefault="003E4EF4">
            <w:pPr>
              <w:spacing w:before="120" w:after="120"/>
              <w:contextualSpacing/>
              <w:jc w:val="center"/>
              <w:rPr>
                <w:rFonts w:eastAsia="Calibri"/>
                <w:noProof/>
              </w:rPr>
            </w:pPr>
            <w:r>
              <w:rPr>
                <w:rFonts w:eastAsia="Calibri"/>
                <w:noProof/>
              </w:rPr>
              <w:t>EU</w:t>
            </w:r>
          </w:p>
        </w:tc>
        <w:tc>
          <w:tcPr>
            <w:tcW w:w="1985" w:type="dxa"/>
            <w:noWrap/>
            <w:vAlign w:val="center"/>
            <w:hideMark/>
          </w:tcPr>
          <w:p w:rsidR="001B65FF" w:rsidRDefault="003E4EF4">
            <w:pPr>
              <w:spacing w:before="120" w:after="120"/>
              <w:contextualSpacing/>
              <w:jc w:val="center"/>
              <w:rPr>
                <w:rFonts w:eastAsia="Calibri"/>
                <w:noProof/>
              </w:rPr>
            </w:pPr>
            <w:r>
              <w:rPr>
                <w:rFonts w:eastAsia="Calibri"/>
                <w:noProof/>
              </w:rPr>
              <w:t>Non-EU</w:t>
            </w:r>
          </w:p>
        </w:tc>
        <w:tc>
          <w:tcPr>
            <w:tcW w:w="1417" w:type="dxa"/>
            <w:noWrap/>
            <w:vAlign w:val="center"/>
            <w:hideMark/>
          </w:tcPr>
          <w:p w:rsidR="001B65FF" w:rsidRDefault="003E4EF4">
            <w:pPr>
              <w:spacing w:before="120" w:after="120"/>
              <w:contextualSpacing/>
              <w:jc w:val="center"/>
              <w:rPr>
                <w:rFonts w:eastAsia="Calibri"/>
                <w:noProof/>
              </w:rPr>
            </w:pPr>
            <w:r>
              <w:rPr>
                <w:rFonts w:eastAsia="Calibri"/>
                <w:noProof/>
              </w:rPr>
              <w:t>EU</w:t>
            </w:r>
          </w:p>
        </w:tc>
        <w:tc>
          <w:tcPr>
            <w:tcW w:w="3981" w:type="dxa"/>
            <w:vAlign w:val="center"/>
          </w:tcPr>
          <w:p w:rsidR="001B65FF" w:rsidRDefault="003E4EF4">
            <w:pPr>
              <w:spacing w:before="60" w:after="60"/>
              <w:jc w:val="center"/>
              <w:rPr>
                <w:rFonts w:eastAsia="Calibri"/>
                <w:noProof/>
              </w:rPr>
            </w:pPr>
            <w:r>
              <w:rPr>
                <w:rFonts w:eastAsia="Calibri"/>
                <w:noProof/>
              </w:rPr>
              <w:t>Particular case: A=C</w:t>
            </w:r>
            <w:r>
              <w:rPr>
                <w:rFonts w:eastAsia="Calibri"/>
                <w:noProof/>
              </w:rPr>
              <w:br/>
              <w:t xml:space="preserve">(requesting </w:t>
            </w:r>
            <w:r>
              <w:rPr>
                <w:rFonts w:eastAsia="Calibri"/>
                <w:noProof/>
              </w:rPr>
              <w:t>public authorities and data in the same country)</w:t>
            </w:r>
          </w:p>
        </w:tc>
      </w:tr>
      <w:tr w:rsidR="001B65FF">
        <w:trPr>
          <w:trHeight w:val="300"/>
          <w:jc w:val="center"/>
        </w:trPr>
        <w:tc>
          <w:tcPr>
            <w:tcW w:w="1714" w:type="dxa"/>
            <w:noWrap/>
            <w:vAlign w:val="center"/>
            <w:hideMark/>
          </w:tcPr>
          <w:p w:rsidR="001B65FF" w:rsidRDefault="003E4EF4">
            <w:pPr>
              <w:spacing w:before="120" w:after="120"/>
              <w:contextualSpacing/>
              <w:jc w:val="center"/>
              <w:rPr>
                <w:rFonts w:eastAsia="Calibri"/>
                <w:noProof/>
              </w:rPr>
            </w:pPr>
            <w:r>
              <w:rPr>
                <w:rFonts w:eastAsia="Calibri"/>
                <w:noProof/>
              </w:rPr>
              <w:t>EU</w:t>
            </w:r>
          </w:p>
        </w:tc>
        <w:tc>
          <w:tcPr>
            <w:tcW w:w="1985" w:type="dxa"/>
            <w:noWrap/>
            <w:vAlign w:val="center"/>
            <w:hideMark/>
          </w:tcPr>
          <w:p w:rsidR="001B65FF" w:rsidRDefault="003E4EF4">
            <w:pPr>
              <w:spacing w:before="120" w:after="120"/>
              <w:contextualSpacing/>
              <w:jc w:val="center"/>
              <w:rPr>
                <w:rFonts w:eastAsia="Calibri"/>
                <w:noProof/>
              </w:rPr>
            </w:pPr>
            <w:r>
              <w:rPr>
                <w:rFonts w:eastAsia="Calibri"/>
                <w:noProof/>
              </w:rPr>
              <w:t>Non-EU</w:t>
            </w:r>
          </w:p>
        </w:tc>
        <w:tc>
          <w:tcPr>
            <w:tcW w:w="1417" w:type="dxa"/>
            <w:noWrap/>
            <w:vAlign w:val="center"/>
            <w:hideMark/>
          </w:tcPr>
          <w:p w:rsidR="001B65FF" w:rsidRDefault="003E4EF4">
            <w:pPr>
              <w:spacing w:before="120" w:after="120"/>
              <w:contextualSpacing/>
              <w:jc w:val="center"/>
              <w:rPr>
                <w:rFonts w:eastAsia="Calibri"/>
                <w:noProof/>
              </w:rPr>
            </w:pPr>
            <w:r>
              <w:rPr>
                <w:rFonts w:eastAsia="Calibri"/>
                <w:noProof/>
              </w:rPr>
              <w:t>Non-EU</w:t>
            </w:r>
          </w:p>
        </w:tc>
        <w:tc>
          <w:tcPr>
            <w:tcW w:w="3981" w:type="dxa"/>
            <w:vAlign w:val="center"/>
          </w:tcPr>
          <w:p w:rsidR="001B65FF" w:rsidRDefault="003E4EF4">
            <w:pPr>
              <w:spacing w:before="60" w:after="60"/>
              <w:jc w:val="center"/>
              <w:rPr>
                <w:rFonts w:eastAsia="Calibri"/>
                <w:noProof/>
              </w:rPr>
            </w:pPr>
            <w:r>
              <w:rPr>
                <w:rFonts w:eastAsia="Calibri"/>
                <w:noProof/>
              </w:rPr>
              <w:t>Particular case: B=C</w:t>
            </w:r>
            <w:r>
              <w:rPr>
                <w:rFonts w:eastAsia="Calibri"/>
                <w:noProof/>
              </w:rPr>
              <w:br/>
              <w:t>(service provider and data in the same country)</w:t>
            </w:r>
          </w:p>
        </w:tc>
      </w:tr>
      <w:tr w:rsidR="001B65FF">
        <w:trPr>
          <w:trHeight w:val="300"/>
          <w:jc w:val="center"/>
        </w:trPr>
        <w:tc>
          <w:tcPr>
            <w:tcW w:w="1714" w:type="dxa"/>
            <w:noWrap/>
            <w:hideMark/>
          </w:tcPr>
          <w:p w:rsidR="001B65FF" w:rsidRDefault="003E4EF4">
            <w:pPr>
              <w:spacing w:before="60" w:after="60"/>
              <w:jc w:val="center"/>
              <w:rPr>
                <w:rFonts w:eastAsia="Calibri"/>
                <w:noProof/>
              </w:rPr>
            </w:pPr>
            <w:r>
              <w:rPr>
                <w:rFonts w:eastAsia="Calibri"/>
                <w:noProof/>
              </w:rPr>
              <w:t>Non-EU</w:t>
            </w:r>
          </w:p>
        </w:tc>
        <w:tc>
          <w:tcPr>
            <w:tcW w:w="1985" w:type="dxa"/>
            <w:noWrap/>
            <w:hideMark/>
          </w:tcPr>
          <w:p w:rsidR="001B65FF" w:rsidRDefault="003E4EF4">
            <w:pPr>
              <w:spacing w:before="60" w:after="60"/>
              <w:jc w:val="center"/>
              <w:rPr>
                <w:rFonts w:eastAsia="Calibri"/>
                <w:noProof/>
              </w:rPr>
            </w:pPr>
            <w:r>
              <w:rPr>
                <w:rFonts w:eastAsia="Calibri"/>
                <w:noProof/>
              </w:rPr>
              <w:t>EU</w:t>
            </w:r>
          </w:p>
        </w:tc>
        <w:tc>
          <w:tcPr>
            <w:tcW w:w="1417" w:type="dxa"/>
            <w:noWrap/>
            <w:hideMark/>
          </w:tcPr>
          <w:p w:rsidR="001B65FF" w:rsidRDefault="003E4EF4">
            <w:pPr>
              <w:spacing w:before="60" w:after="60"/>
              <w:jc w:val="center"/>
              <w:rPr>
                <w:rFonts w:eastAsia="Calibri"/>
                <w:noProof/>
              </w:rPr>
            </w:pPr>
            <w:r>
              <w:rPr>
                <w:rFonts w:eastAsia="Calibri"/>
                <w:noProof/>
              </w:rPr>
              <w:t>EU</w:t>
            </w:r>
          </w:p>
        </w:tc>
        <w:tc>
          <w:tcPr>
            <w:tcW w:w="3981" w:type="dxa"/>
            <w:vMerge w:val="restart"/>
            <w:vAlign w:val="center"/>
          </w:tcPr>
          <w:p w:rsidR="001B65FF" w:rsidRDefault="003E4EF4">
            <w:pPr>
              <w:spacing w:before="60" w:after="60"/>
              <w:jc w:val="center"/>
              <w:rPr>
                <w:rFonts w:eastAsia="Calibri"/>
                <w:noProof/>
              </w:rPr>
            </w:pPr>
            <w:r>
              <w:rPr>
                <w:rFonts w:eastAsia="Calibri"/>
                <w:noProof/>
              </w:rPr>
              <w:t>To be taken into account for potential reciprocity considerations</w:t>
            </w:r>
          </w:p>
        </w:tc>
      </w:tr>
      <w:tr w:rsidR="001B65FF">
        <w:trPr>
          <w:trHeight w:val="300"/>
          <w:jc w:val="center"/>
        </w:trPr>
        <w:tc>
          <w:tcPr>
            <w:tcW w:w="1714" w:type="dxa"/>
            <w:noWrap/>
            <w:hideMark/>
          </w:tcPr>
          <w:p w:rsidR="001B65FF" w:rsidRDefault="003E4EF4">
            <w:pPr>
              <w:spacing w:before="60" w:after="60"/>
              <w:jc w:val="center"/>
              <w:rPr>
                <w:rFonts w:eastAsia="Calibri"/>
                <w:noProof/>
              </w:rPr>
            </w:pPr>
            <w:r>
              <w:rPr>
                <w:rFonts w:eastAsia="Calibri"/>
                <w:noProof/>
              </w:rPr>
              <w:t>Non-EU</w:t>
            </w:r>
          </w:p>
        </w:tc>
        <w:tc>
          <w:tcPr>
            <w:tcW w:w="1985" w:type="dxa"/>
            <w:noWrap/>
            <w:hideMark/>
          </w:tcPr>
          <w:p w:rsidR="001B65FF" w:rsidRDefault="003E4EF4">
            <w:pPr>
              <w:spacing w:before="60" w:after="60"/>
              <w:jc w:val="center"/>
              <w:rPr>
                <w:rFonts w:eastAsia="Calibri"/>
                <w:noProof/>
              </w:rPr>
            </w:pPr>
            <w:r>
              <w:rPr>
                <w:rFonts w:eastAsia="Calibri"/>
                <w:noProof/>
              </w:rPr>
              <w:t>EU</w:t>
            </w:r>
          </w:p>
        </w:tc>
        <w:tc>
          <w:tcPr>
            <w:tcW w:w="1417" w:type="dxa"/>
            <w:noWrap/>
            <w:hideMark/>
          </w:tcPr>
          <w:p w:rsidR="001B65FF" w:rsidRDefault="003E4EF4">
            <w:pPr>
              <w:spacing w:before="60" w:after="60"/>
              <w:jc w:val="center"/>
              <w:rPr>
                <w:rFonts w:eastAsia="Calibri"/>
                <w:noProof/>
              </w:rPr>
            </w:pPr>
            <w:r>
              <w:rPr>
                <w:rFonts w:eastAsia="Calibri"/>
                <w:noProof/>
              </w:rPr>
              <w:t>Non-EU</w:t>
            </w:r>
          </w:p>
        </w:tc>
        <w:tc>
          <w:tcPr>
            <w:tcW w:w="3981" w:type="dxa"/>
            <w:vMerge/>
          </w:tcPr>
          <w:p w:rsidR="001B65FF" w:rsidRDefault="001B65FF">
            <w:pPr>
              <w:spacing w:before="240"/>
              <w:jc w:val="center"/>
              <w:rPr>
                <w:rFonts w:eastAsia="Calibri"/>
                <w:noProof/>
              </w:rPr>
            </w:pPr>
          </w:p>
        </w:tc>
      </w:tr>
      <w:tr w:rsidR="001B65FF">
        <w:trPr>
          <w:trHeight w:val="300"/>
          <w:jc w:val="center"/>
        </w:trPr>
        <w:tc>
          <w:tcPr>
            <w:tcW w:w="1714" w:type="dxa"/>
            <w:noWrap/>
            <w:hideMark/>
          </w:tcPr>
          <w:p w:rsidR="001B65FF" w:rsidRDefault="003E4EF4">
            <w:pPr>
              <w:spacing w:before="60" w:after="60"/>
              <w:jc w:val="center"/>
              <w:rPr>
                <w:rFonts w:eastAsia="Calibri"/>
                <w:noProof/>
              </w:rPr>
            </w:pPr>
            <w:r>
              <w:rPr>
                <w:rFonts w:eastAsia="Calibri"/>
                <w:noProof/>
              </w:rPr>
              <w:t>Non-EU</w:t>
            </w:r>
          </w:p>
        </w:tc>
        <w:tc>
          <w:tcPr>
            <w:tcW w:w="1985" w:type="dxa"/>
            <w:noWrap/>
            <w:hideMark/>
          </w:tcPr>
          <w:p w:rsidR="001B65FF" w:rsidRDefault="003E4EF4">
            <w:pPr>
              <w:spacing w:before="60" w:after="60"/>
              <w:jc w:val="center"/>
              <w:rPr>
                <w:rFonts w:eastAsia="Calibri"/>
                <w:noProof/>
              </w:rPr>
            </w:pPr>
            <w:r>
              <w:rPr>
                <w:rFonts w:eastAsia="Calibri"/>
                <w:noProof/>
              </w:rPr>
              <w:t>Non-EU</w:t>
            </w:r>
          </w:p>
        </w:tc>
        <w:tc>
          <w:tcPr>
            <w:tcW w:w="1417" w:type="dxa"/>
            <w:noWrap/>
            <w:hideMark/>
          </w:tcPr>
          <w:p w:rsidR="001B65FF" w:rsidRDefault="003E4EF4">
            <w:pPr>
              <w:spacing w:before="60" w:after="60"/>
              <w:jc w:val="center"/>
              <w:rPr>
                <w:rFonts w:eastAsia="Calibri"/>
                <w:noProof/>
              </w:rPr>
            </w:pPr>
            <w:r>
              <w:rPr>
                <w:rFonts w:eastAsia="Calibri"/>
                <w:noProof/>
              </w:rPr>
              <w:t>EU</w:t>
            </w:r>
          </w:p>
        </w:tc>
        <w:tc>
          <w:tcPr>
            <w:tcW w:w="3981" w:type="dxa"/>
            <w:vMerge/>
          </w:tcPr>
          <w:p w:rsidR="001B65FF" w:rsidRDefault="001B65FF">
            <w:pPr>
              <w:spacing w:before="240"/>
              <w:jc w:val="center"/>
              <w:rPr>
                <w:rFonts w:eastAsia="Calibri"/>
                <w:noProof/>
              </w:rPr>
            </w:pPr>
          </w:p>
        </w:tc>
      </w:tr>
      <w:tr w:rsidR="001B65FF">
        <w:trPr>
          <w:trHeight w:val="300"/>
          <w:jc w:val="center"/>
        </w:trPr>
        <w:tc>
          <w:tcPr>
            <w:tcW w:w="1714" w:type="dxa"/>
            <w:noWrap/>
            <w:hideMark/>
          </w:tcPr>
          <w:p w:rsidR="001B65FF" w:rsidRDefault="003E4EF4">
            <w:pPr>
              <w:spacing w:before="60" w:after="60"/>
              <w:jc w:val="center"/>
              <w:rPr>
                <w:rFonts w:eastAsia="Calibri"/>
                <w:noProof/>
              </w:rPr>
            </w:pPr>
            <w:r>
              <w:rPr>
                <w:rFonts w:eastAsia="Calibri"/>
                <w:noProof/>
              </w:rPr>
              <w:t>Non-EU</w:t>
            </w:r>
          </w:p>
        </w:tc>
        <w:tc>
          <w:tcPr>
            <w:tcW w:w="1985" w:type="dxa"/>
            <w:noWrap/>
            <w:hideMark/>
          </w:tcPr>
          <w:p w:rsidR="001B65FF" w:rsidRDefault="003E4EF4">
            <w:pPr>
              <w:spacing w:before="60" w:after="60"/>
              <w:jc w:val="center"/>
              <w:rPr>
                <w:rFonts w:eastAsia="Calibri"/>
                <w:noProof/>
              </w:rPr>
            </w:pPr>
            <w:r>
              <w:rPr>
                <w:rFonts w:eastAsia="Calibri"/>
                <w:noProof/>
              </w:rPr>
              <w:t>Non-EU</w:t>
            </w:r>
          </w:p>
        </w:tc>
        <w:tc>
          <w:tcPr>
            <w:tcW w:w="1417" w:type="dxa"/>
            <w:noWrap/>
            <w:hideMark/>
          </w:tcPr>
          <w:p w:rsidR="001B65FF" w:rsidRDefault="003E4EF4">
            <w:pPr>
              <w:spacing w:before="60" w:after="60"/>
              <w:jc w:val="center"/>
              <w:rPr>
                <w:rFonts w:eastAsia="Calibri"/>
                <w:noProof/>
              </w:rPr>
            </w:pPr>
            <w:r>
              <w:rPr>
                <w:rFonts w:eastAsia="Calibri"/>
                <w:noProof/>
              </w:rPr>
              <w:t>Non-EU</w:t>
            </w:r>
          </w:p>
        </w:tc>
        <w:tc>
          <w:tcPr>
            <w:tcW w:w="3981" w:type="dxa"/>
          </w:tcPr>
          <w:p w:rsidR="001B65FF" w:rsidRDefault="003E4EF4">
            <w:pPr>
              <w:spacing w:before="60" w:after="60"/>
              <w:jc w:val="center"/>
              <w:rPr>
                <w:rFonts w:eastAsia="Calibri"/>
                <w:noProof/>
              </w:rPr>
            </w:pPr>
            <w:r>
              <w:rPr>
                <w:rFonts w:eastAsia="Calibri"/>
                <w:noProof/>
              </w:rPr>
              <w:t>Out of scope</w:t>
            </w:r>
          </w:p>
        </w:tc>
      </w:tr>
    </w:tbl>
    <w:p w:rsidR="001B65FF" w:rsidRDefault="003E4EF4">
      <w:pPr>
        <w:tabs>
          <w:tab w:val="left" w:pos="90"/>
        </w:tabs>
        <w:spacing w:before="120" w:after="120"/>
        <w:jc w:val="both"/>
        <w:rPr>
          <w:rFonts w:ascii="Times New Roman" w:eastAsia="Calibri" w:hAnsi="Times New Roman" w:cs="Times New Roman"/>
          <w:noProof/>
          <w:sz w:val="24"/>
        </w:rPr>
      </w:pPr>
      <w:r>
        <w:rPr>
          <w:rFonts w:ascii="Times New Roman" w:eastAsia="Calibri" w:hAnsi="Times New Roman" w:cs="Times New Roman"/>
          <w:noProof/>
          <w:sz w:val="24"/>
        </w:rPr>
        <w:t xml:space="preserve">With regard to the location of the evidence (i.e. country C): </w:t>
      </w:r>
    </w:p>
    <w:p w:rsidR="001B65FF" w:rsidRDefault="003E4EF4">
      <w:pPr>
        <w:numPr>
          <w:ilvl w:val="0"/>
          <w:numId w:val="14"/>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it is not always known;</w:t>
      </w:r>
    </w:p>
    <w:p w:rsidR="001B65FF" w:rsidRDefault="003E4EF4">
      <w:pPr>
        <w:numPr>
          <w:ilvl w:val="0"/>
          <w:numId w:val="14"/>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data is volatile and can be moved quickly across borders, so country C can change rapidly, inside and outside the EU;</w:t>
      </w:r>
    </w:p>
    <w:p w:rsidR="001B65FF" w:rsidRDefault="003E4EF4">
      <w:pPr>
        <w:numPr>
          <w:ilvl w:val="0"/>
          <w:numId w:val="14"/>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data can be </w:t>
      </w:r>
      <w:r>
        <w:rPr>
          <w:rFonts w:ascii="Times New Roman" w:eastAsia="Calibri" w:hAnsi="Times New Roman" w:cs="Times New Roman"/>
          <w:noProof/>
          <w:sz w:val="24"/>
        </w:rPr>
        <w:t>split between countries (e.g. data shards, inside and outside the EU);</w:t>
      </w:r>
    </w:p>
    <w:p w:rsidR="001B65FF" w:rsidRDefault="003E4EF4">
      <w:pPr>
        <w:numPr>
          <w:ilvl w:val="0"/>
          <w:numId w:val="14"/>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there can be copies in multiple countries (inside and outside the EU).</w:t>
      </w:r>
    </w:p>
    <w:p w:rsidR="001B65FF" w:rsidRDefault="001B65FF">
      <w:pPr>
        <w:tabs>
          <w:tab w:val="left" w:pos="90"/>
        </w:tabs>
        <w:ind w:left="776"/>
        <w:contextualSpacing/>
        <w:jc w:val="both"/>
        <w:rPr>
          <w:rFonts w:ascii="Times New Roman" w:eastAsia="Calibri" w:hAnsi="Times New Roman" w:cs="Times New Roman"/>
          <w:noProof/>
          <w:sz w:val="24"/>
          <w:u w:val="single"/>
        </w:rPr>
      </w:pPr>
    </w:p>
    <w:p w:rsidR="001B65FF" w:rsidRDefault="003E4EF4">
      <w:pPr>
        <w:keepNext/>
        <w:tabs>
          <w:tab w:val="left" w:pos="90"/>
        </w:tabs>
        <w:jc w:val="both"/>
        <w:rPr>
          <w:rFonts w:ascii="Times New Roman" w:eastAsia="Calibri" w:hAnsi="Times New Roman" w:cs="Times New Roman"/>
          <w:noProof/>
          <w:sz w:val="24"/>
          <w:u w:val="single"/>
        </w:rPr>
      </w:pPr>
      <w:r>
        <w:rPr>
          <w:rFonts w:ascii="Times New Roman" w:eastAsia="Calibri" w:hAnsi="Times New Roman" w:cs="Times New Roman"/>
          <w:noProof/>
          <w:sz w:val="24"/>
          <w:u w:val="single"/>
        </w:rPr>
        <w:t>Scope of the problem</w:t>
      </w:r>
    </w:p>
    <w:p w:rsidR="001B65FF" w:rsidRDefault="003E4EF4">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problem affects </w:t>
      </w:r>
      <w:r>
        <w:rPr>
          <w:rFonts w:ascii="Times New Roman" w:eastAsia="Calibri" w:hAnsi="Times New Roman" w:cs="Times New Roman"/>
          <w:b/>
          <w:noProof/>
          <w:sz w:val="24"/>
        </w:rPr>
        <w:t>all types of data</w:t>
      </w:r>
      <w:r>
        <w:rPr>
          <w:rFonts w:ascii="Times New Roman" w:eastAsia="Calibri" w:hAnsi="Times New Roman" w:cs="Times New Roman"/>
          <w:noProof/>
          <w:sz w:val="24"/>
        </w:rPr>
        <w:t xml:space="preserve">, from basic information about the subscriber to a given service, to logs showing when a specific user or IP address accessed a service, to metadata and content data. They reflect different levels of </w:t>
      </w:r>
      <w:r>
        <w:rPr>
          <w:rFonts w:ascii="Times New Roman" w:eastAsia="Calibri" w:hAnsi="Times New Roman" w:cs="Times New Roman"/>
          <w:b/>
          <w:noProof/>
          <w:sz w:val="24"/>
        </w:rPr>
        <w:t xml:space="preserve">relevance </w:t>
      </w:r>
      <w:r>
        <w:rPr>
          <w:rFonts w:ascii="Times New Roman" w:eastAsia="Calibri" w:hAnsi="Times New Roman" w:cs="Times New Roman"/>
          <w:noProof/>
          <w:sz w:val="24"/>
        </w:rPr>
        <w:t>of the gathered e-evidence: subscriber data is</w:t>
      </w:r>
      <w:r>
        <w:rPr>
          <w:rFonts w:ascii="Times New Roman" w:eastAsia="Calibri" w:hAnsi="Times New Roman" w:cs="Times New Roman"/>
          <w:noProof/>
          <w:sz w:val="24"/>
        </w:rPr>
        <w:t xml:space="preserve"> useful to obtain leads in the investigation about the identity of a suspect; access logs can help connect a user to an action; metadata and content data can be most relevant as probatory material. Challenges affect both access to data at rest (stored data</w:t>
      </w:r>
      <w:r>
        <w:rPr>
          <w:rFonts w:ascii="Times New Roman" w:eastAsia="Calibri" w:hAnsi="Times New Roman" w:cs="Times New Roman"/>
          <w:noProof/>
          <w:sz w:val="24"/>
        </w:rPr>
        <w:t>) and to data in transit.</w:t>
      </w:r>
    </w:p>
    <w:p w:rsidR="001B65FF" w:rsidRDefault="003E4EF4">
      <w:pPr>
        <w:spacing w:after="120"/>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problem </w:t>
      </w:r>
      <w:r>
        <w:rPr>
          <w:rFonts w:ascii="Times New Roman" w:eastAsiaTheme="minorHAnsi" w:hAnsi="Times New Roman" w:cs="Times New Roman"/>
          <w:noProof/>
          <w:sz w:val="24"/>
        </w:rPr>
        <w:t>affects</w:t>
      </w:r>
      <w:r>
        <w:rPr>
          <w:rFonts w:ascii="Times New Roman" w:eastAsia="Calibri" w:hAnsi="Times New Roman" w:cs="Times New Roman"/>
          <w:noProof/>
          <w:sz w:val="24"/>
        </w:rPr>
        <w:t xml:space="preserve"> </w:t>
      </w:r>
      <w:r>
        <w:rPr>
          <w:rFonts w:ascii="Times New Roman" w:eastAsia="Calibri" w:hAnsi="Times New Roman" w:cs="Times New Roman"/>
          <w:b/>
          <w:noProof/>
          <w:sz w:val="24"/>
        </w:rPr>
        <w:t>all types of crime that can leave a digital trace:</w:t>
      </w:r>
      <w:r>
        <w:rPr>
          <w:rFonts w:ascii="Times New Roman" w:eastAsia="Calibri" w:hAnsi="Times New Roman" w:cs="Times New Roman"/>
          <w:noProof/>
          <w:sz w:val="24"/>
        </w:rPr>
        <w:t xml:space="preserve"> it is relevant for many types of serious crimes, but also for a number of lower-impact, high-volume crimes such as spreading of malicious software (e.g. ransom</w:t>
      </w:r>
      <w:r>
        <w:rPr>
          <w:rFonts w:ascii="Times New Roman" w:eastAsia="Calibri" w:hAnsi="Times New Roman" w:cs="Times New Roman"/>
          <w:noProof/>
          <w:sz w:val="24"/>
        </w:rPr>
        <w:t xml:space="preserve">ware), but also when the only digital element is some form of electronic communication. It is relevant for the gathering of evidence for specific and </w:t>
      </w:r>
      <w:r>
        <w:rPr>
          <w:rFonts w:ascii="Times New Roman" w:hAnsi="Times New Roman" w:cs="Times New Roman"/>
          <w:noProof/>
          <w:sz w:val="24"/>
        </w:rPr>
        <w:t>individual</w:t>
      </w:r>
      <w:r>
        <w:rPr>
          <w:rFonts w:ascii="Times New Roman" w:eastAsia="Calibri" w:hAnsi="Times New Roman" w:cs="Times New Roman"/>
          <w:noProof/>
          <w:sz w:val="24"/>
        </w:rPr>
        <w:t xml:space="preserve"> criminal investigations and for specific and limited data access, rather than for other purpose</w:t>
      </w:r>
      <w:r>
        <w:rPr>
          <w:rFonts w:ascii="Times New Roman" w:eastAsia="Calibri" w:hAnsi="Times New Roman" w:cs="Times New Roman"/>
          <w:noProof/>
          <w:sz w:val="24"/>
        </w:rPr>
        <w:t>s that might require bulk data access.</w:t>
      </w:r>
    </w:p>
    <w:p w:rsidR="001B65FF" w:rsidRDefault="003E4EF4">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Most of the relevant information is held by a number of </w:t>
      </w:r>
      <w:r>
        <w:rPr>
          <w:rFonts w:ascii="Times New Roman" w:eastAsia="Calibri" w:hAnsi="Times New Roman" w:cs="Times New Roman"/>
          <w:b/>
          <w:noProof/>
          <w:sz w:val="24"/>
        </w:rPr>
        <w:t>service providers</w:t>
      </w:r>
      <w:r>
        <w:rPr>
          <w:rFonts w:ascii="Times New Roman" w:eastAsia="Calibri" w:hAnsi="Times New Roman" w:cs="Times New Roman"/>
          <w:noProof/>
          <w:sz w:val="24"/>
        </w:rPr>
        <w:t xml:space="preserve"> including electronic communications service providers and information society service providers, providers of internet infrastructure services </w:t>
      </w:r>
      <w:r>
        <w:rPr>
          <w:rFonts w:ascii="Times New Roman" w:eastAsia="Calibri" w:hAnsi="Times New Roman" w:cs="Times New Roman"/>
          <w:noProof/>
          <w:sz w:val="24"/>
        </w:rPr>
        <w:t xml:space="preserve">and digital marketplaces. Both relevant data and relevant service providers could potentially be </w:t>
      </w:r>
      <w:r>
        <w:rPr>
          <w:rFonts w:ascii="Times New Roman" w:eastAsia="Calibri" w:hAnsi="Times New Roman" w:cs="Times New Roman"/>
          <w:b/>
          <w:noProof/>
          <w:sz w:val="24"/>
        </w:rPr>
        <w:t>anywhere in the world</w:t>
      </w:r>
      <w:r>
        <w:rPr>
          <w:rFonts w:ascii="Times New Roman" w:eastAsia="Calibri" w:hAnsi="Times New Roman" w:cs="Times New Roman"/>
          <w:noProof/>
          <w:sz w:val="24"/>
        </w:rPr>
        <w:t>, as the relevant services are provided at a distance and are independent of national borders.</w:t>
      </w:r>
    </w:p>
    <w:p w:rsidR="001B65FF" w:rsidRDefault="003E4EF4">
      <w:pPr>
        <w:jc w:val="both"/>
        <w:rPr>
          <w:noProof/>
          <w:szCs w:val="24"/>
        </w:rPr>
      </w:pPr>
      <w:r>
        <w:rPr>
          <w:rFonts w:ascii="Times New Roman" w:hAnsi="Times New Roman" w:cs="Times New Roman"/>
          <w:noProof/>
          <w:sz w:val="24"/>
        </w:rPr>
        <w:t>In this context, it is important to note th</w:t>
      </w:r>
      <w:r>
        <w:rPr>
          <w:rFonts w:ascii="Times New Roman" w:hAnsi="Times New Roman" w:cs="Times New Roman"/>
          <w:noProof/>
          <w:sz w:val="24"/>
        </w:rPr>
        <w:t>at the problems this initiative seeks to tackle have not been created by previous EU instruments. Rather, new technological developments require new answers (and may require them also in the future). The internet is largely privately owned and borderless f</w:t>
      </w:r>
      <w:r>
        <w:rPr>
          <w:rFonts w:ascii="Times New Roman" w:hAnsi="Times New Roman" w:cs="Times New Roman"/>
          <w:noProof/>
          <w:sz w:val="24"/>
        </w:rPr>
        <w:t>or everyone except authorities pursuing criminal investigations. States de facto have no control over data as it crosses borders into or from their territory. Accordingly, their purported sovereign interest in maintaining control over any authority's acces</w:t>
      </w:r>
      <w:r>
        <w:rPr>
          <w:rFonts w:ascii="Times New Roman" w:hAnsi="Times New Roman" w:cs="Times New Roman"/>
          <w:noProof/>
          <w:sz w:val="24"/>
        </w:rPr>
        <w:t>s to that data has been growing more and more limited over time.</w:t>
      </w:r>
      <w:r>
        <w:rPr>
          <w:noProof/>
          <w:szCs w:val="24"/>
        </w:rPr>
        <w:t xml:space="preserve"> </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szCs w:val="24"/>
        </w:rPr>
        <w:t>This fundamental challenge of data moving swiftly across jurisdictions is unrelated to any existing policy but rather a consequence of the business models of service providers that have evol</w:t>
      </w:r>
      <w:r>
        <w:rPr>
          <w:rFonts w:ascii="Times New Roman" w:hAnsi="Times New Roman" w:cs="Times New Roman"/>
          <w:noProof/>
          <w:sz w:val="24"/>
          <w:szCs w:val="24"/>
        </w:rPr>
        <w:t xml:space="preserve">ved organically. The data minimisation principle inherent in data protection laws and the lack of data retention obligations also result in less data being available for shorter periods of time.  Data protection rules also create requirements that must be </w:t>
      </w:r>
      <w:r>
        <w:rPr>
          <w:rFonts w:ascii="Times New Roman" w:hAnsi="Times New Roman" w:cs="Times New Roman"/>
          <w:noProof/>
          <w:sz w:val="24"/>
          <w:szCs w:val="24"/>
        </w:rPr>
        <w:t>satisfied, e.g. as regards user notification (which arise under the GDPR and the Police Directive).</w:t>
      </w:r>
    </w:p>
    <w:p w:rsidR="001B65FF" w:rsidRDefault="003E4EF4">
      <w:pPr>
        <w:keepNext/>
        <w:tabs>
          <w:tab w:val="left" w:pos="90"/>
        </w:tabs>
        <w:spacing w:after="120"/>
        <w:jc w:val="both"/>
        <w:rPr>
          <w:rFonts w:ascii="Times New Roman" w:eastAsia="Calibri" w:hAnsi="Times New Roman" w:cs="Times New Roman"/>
          <w:noProof/>
          <w:sz w:val="24"/>
          <w:u w:val="single"/>
        </w:rPr>
      </w:pPr>
      <w:r>
        <w:rPr>
          <w:rFonts w:ascii="Times New Roman" w:eastAsia="Calibri" w:hAnsi="Times New Roman" w:cs="Times New Roman"/>
          <w:noProof/>
          <w:sz w:val="24"/>
          <w:u w:val="single"/>
        </w:rPr>
        <w:t>Size of the problem</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It is not possible to determine </w:t>
      </w:r>
      <w:r>
        <w:rPr>
          <w:rFonts w:ascii="Times New Roman" w:hAnsi="Times New Roman" w:cs="Times New Roman"/>
          <w:b/>
          <w:noProof/>
          <w:sz w:val="24"/>
        </w:rPr>
        <w:t>exactly</w:t>
      </w:r>
      <w:r>
        <w:rPr>
          <w:rFonts w:ascii="Times New Roman" w:hAnsi="Times New Roman" w:cs="Times New Roman"/>
          <w:noProof/>
          <w:sz w:val="24"/>
        </w:rPr>
        <w:t xml:space="preserve"> the number of crimes that cannot be effectively investigated and prosecuted in the EU because of challenges in cross-border access to electronic evidence.</w:t>
      </w:r>
      <w:r>
        <w:rPr>
          <w:rFonts w:ascii="Times New Roman" w:hAnsi="Times New Roman" w:cs="Times New Roman"/>
          <w:b/>
          <w:noProof/>
          <w:sz w:val="24"/>
        </w:rPr>
        <w:t xml:space="preserve"> </w:t>
      </w:r>
      <w:r>
        <w:rPr>
          <w:rFonts w:ascii="Times New Roman" w:hAnsi="Times New Roman" w:cs="Times New Roman"/>
          <w:noProof/>
          <w:sz w:val="24"/>
        </w:rPr>
        <w:t xml:space="preserve">Data at this level of detail is </w:t>
      </w:r>
      <w:r>
        <w:rPr>
          <w:rFonts w:ascii="Times New Roman" w:hAnsi="Times New Roman" w:cs="Times New Roman"/>
          <w:b/>
          <w:noProof/>
          <w:sz w:val="24"/>
        </w:rPr>
        <w:t>not collected</w:t>
      </w:r>
      <w:r>
        <w:rPr>
          <w:rFonts w:ascii="Times New Roman" w:hAnsi="Times New Roman" w:cs="Times New Roman"/>
          <w:noProof/>
          <w:sz w:val="24"/>
        </w:rPr>
        <w:t xml:space="preserve"> by public authorities. There is no precise data availa</w:t>
      </w:r>
      <w:r>
        <w:rPr>
          <w:rFonts w:ascii="Times New Roman" w:hAnsi="Times New Roman" w:cs="Times New Roman"/>
          <w:noProof/>
          <w:sz w:val="24"/>
        </w:rPr>
        <w:t xml:space="preserve">ble on the number of requests for judicial cooperation, direct cooperation, direct access or WHOIS lookups. </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For </w:t>
      </w:r>
      <w:r>
        <w:rPr>
          <w:rFonts w:ascii="Times New Roman" w:hAnsi="Times New Roman" w:cs="Times New Roman"/>
          <w:b/>
          <w:noProof/>
          <w:sz w:val="24"/>
        </w:rPr>
        <w:t>judicial cooperation</w:t>
      </w:r>
      <w:r>
        <w:rPr>
          <w:rFonts w:ascii="Times New Roman" w:hAnsi="Times New Roman" w:cs="Times New Roman"/>
          <w:noProof/>
          <w:sz w:val="24"/>
        </w:rPr>
        <w:t xml:space="preserve"> requests, based on available data on the European Arrest Warrant and from the European Judicial Network, it can be estimat</w:t>
      </w:r>
      <w:r>
        <w:rPr>
          <w:rFonts w:ascii="Times New Roman" w:hAnsi="Times New Roman" w:cs="Times New Roman"/>
          <w:noProof/>
          <w:sz w:val="24"/>
        </w:rPr>
        <w:t xml:space="preserve">ed that there are around </w:t>
      </w:r>
      <w:r>
        <w:rPr>
          <w:rFonts w:ascii="Times New Roman" w:hAnsi="Times New Roman" w:cs="Times New Roman"/>
          <w:b/>
          <w:noProof/>
          <w:sz w:val="24"/>
        </w:rPr>
        <w:t>13,000</w:t>
      </w:r>
      <w:r>
        <w:rPr>
          <w:rFonts w:ascii="Times New Roman" w:hAnsi="Times New Roman" w:cs="Times New Roman"/>
          <w:noProof/>
          <w:sz w:val="24"/>
        </w:rPr>
        <w:t xml:space="preserve"> MLA/EIO requests per year on e-evidence between Member States (including all types of data). Also, based the figures collected during the 2016 EU-US MLA Review exercise, it can be estimated that the outgoing requests for e-e</w:t>
      </w:r>
      <w:r>
        <w:rPr>
          <w:rFonts w:ascii="Times New Roman" w:hAnsi="Times New Roman" w:cs="Times New Roman"/>
          <w:noProof/>
          <w:sz w:val="24"/>
        </w:rPr>
        <w:t xml:space="preserve">vidence by EU public authorities to the US authorities amount to approximately </w:t>
      </w:r>
      <w:r>
        <w:rPr>
          <w:rFonts w:ascii="Times New Roman" w:hAnsi="Times New Roman" w:cs="Times New Roman"/>
          <w:b/>
          <w:noProof/>
          <w:sz w:val="24"/>
        </w:rPr>
        <w:t>1300 per year</w:t>
      </w:r>
      <w:r>
        <w:rPr>
          <w:rFonts w:ascii="Times New Roman" w:hAnsi="Times New Roman" w:cs="Times New Roman"/>
          <w:noProof/>
          <w:sz w:val="24"/>
        </w:rPr>
        <w:t xml:space="preserve"> (mainly requests for content data). </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 xml:space="preserve">For </w:t>
      </w:r>
      <w:r>
        <w:rPr>
          <w:rFonts w:ascii="Times New Roman" w:hAnsi="Times New Roman" w:cs="Times New Roman"/>
          <w:b/>
          <w:noProof/>
          <w:sz w:val="24"/>
        </w:rPr>
        <w:t>direct cooperation</w:t>
      </w:r>
      <w:r>
        <w:rPr>
          <w:rFonts w:ascii="Times New Roman" w:hAnsi="Times New Roman" w:cs="Times New Roman"/>
          <w:noProof/>
          <w:sz w:val="24"/>
        </w:rPr>
        <w:t xml:space="preserve">, the main source of data is the </w:t>
      </w:r>
      <w:r>
        <w:rPr>
          <w:rFonts w:ascii="Times New Roman" w:hAnsi="Times New Roman" w:cs="Times New Roman"/>
          <w:b/>
          <w:noProof/>
          <w:sz w:val="24"/>
        </w:rPr>
        <w:t>transparency reports</w:t>
      </w:r>
      <w:r>
        <w:rPr>
          <w:rFonts w:ascii="Times New Roman" w:hAnsi="Times New Roman" w:cs="Times New Roman"/>
          <w:noProof/>
          <w:sz w:val="24"/>
        </w:rPr>
        <w:t xml:space="preserve"> that some service providers publish concerning the</w:t>
      </w:r>
      <w:r>
        <w:rPr>
          <w:rFonts w:ascii="Times New Roman" w:hAnsi="Times New Roman" w:cs="Times New Roman"/>
          <w:noProof/>
          <w:sz w:val="24"/>
        </w:rPr>
        <w:t xml:space="preserve"> requests they receive from public authorities. The transparency reports do not distinguish whether the request came directly from the Member State in which it originated (direct cooperation request) or it came from the public authorities of a Member State</w:t>
      </w:r>
      <w:r>
        <w:rPr>
          <w:rFonts w:ascii="Times New Roman" w:hAnsi="Times New Roman" w:cs="Times New Roman"/>
          <w:noProof/>
          <w:sz w:val="24"/>
        </w:rPr>
        <w:t xml:space="preserve"> that was asked to cooperate with the one in which the request originated (judicial cooperation request). They concern mostly requests for non-content data.</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 xml:space="preserve">Given these limitations, the Commission </w:t>
      </w:r>
      <w:r>
        <w:rPr>
          <w:rFonts w:ascii="Times New Roman" w:hAnsi="Times New Roman" w:cs="Times New Roman"/>
          <w:b/>
          <w:noProof/>
          <w:sz w:val="24"/>
        </w:rPr>
        <w:t xml:space="preserve">estimated </w:t>
      </w:r>
      <w:r>
        <w:rPr>
          <w:rFonts w:ascii="Times New Roman" w:hAnsi="Times New Roman" w:cs="Times New Roman"/>
          <w:noProof/>
          <w:sz w:val="24"/>
        </w:rPr>
        <w:t>the magnitude of the problem, using two main sour</w:t>
      </w:r>
      <w:r>
        <w:rPr>
          <w:rFonts w:ascii="Times New Roman" w:hAnsi="Times New Roman" w:cs="Times New Roman"/>
          <w:noProof/>
          <w:sz w:val="24"/>
        </w:rPr>
        <w:t>ces of information:</w:t>
      </w:r>
    </w:p>
    <w:p w:rsidR="001B65FF" w:rsidRDefault="003E4EF4">
      <w:pPr>
        <w:numPr>
          <w:ilvl w:val="0"/>
          <w:numId w:val="103"/>
        </w:numPr>
        <w:contextualSpacing/>
        <w:jc w:val="both"/>
        <w:rPr>
          <w:rFonts w:ascii="Times New Roman" w:hAnsi="Times New Roman" w:cs="Times New Roman"/>
          <w:noProof/>
          <w:sz w:val="24"/>
        </w:rPr>
      </w:pPr>
      <w:r>
        <w:rPr>
          <w:rFonts w:ascii="Times New Roman" w:hAnsi="Times New Roman" w:cs="Times New Roman"/>
          <w:noProof/>
          <w:sz w:val="24"/>
        </w:rPr>
        <w:t xml:space="preserve">a </w:t>
      </w:r>
      <w:r>
        <w:rPr>
          <w:rFonts w:ascii="Times New Roman" w:hAnsi="Times New Roman" w:cs="Times New Roman"/>
          <w:b/>
          <w:noProof/>
          <w:sz w:val="24"/>
        </w:rPr>
        <w:t>survey</w:t>
      </w:r>
      <w:r>
        <w:rPr>
          <w:rFonts w:ascii="Times New Roman" w:hAnsi="Times New Roman" w:cs="Times New Roman"/>
          <w:noProof/>
          <w:sz w:val="24"/>
        </w:rPr>
        <w:t xml:space="preserve"> addressed to </w:t>
      </w:r>
      <w:r>
        <w:rPr>
          <w:rFonts w:ascii="Times New Roman" w:hAnsi="Times New Roman" w:cs="Times New Roman"/>
          <w:b/>
          <w:noProof/>
          <w:sz w:val="24"/>
        </w:rPr>
        <w:t>public authorities</w:t>
      </w:r>
      <w:r>
        <w:rPr>
          <w:rFonts w:ascii="Times New Roman" w:hAnsi="Times New Roman" w:cs="Times New Roman"/>
          <w:noProof/>
          <w:sz w:val="24"/>
        </w:rPr>
        <w:t xml:space="preserve"> in Member States</w:t>
      </w:r>
      <w:r>
        <w:rPr>
          <w:rFonts w:ascii="Times New Roman" w:hAnsi="Times New Roman" w:cs="Times New Roman"/>
          <w:noProof/>
          <w:sz w:val="24"/>
          <w:vertAlign w:val="superscript"/>
        </w:rPr>
        <w:footnoteReference w:id="18"/>
      </w:r>
      <w:r>
        <w:rPr>
          <w:rFonts w:ascii="Times New Roman" w:hAnsi="Times New Roman" w:cs="Times New Roman"/>
          <w:noProof/>
          <w:sz w:val="24"/>
        </w:rPr>
        <w:t>; and</w:t>
      </w:r>
    </w:p>
    <w:p w:rsidR="001B65FF" w:rsidRDefault="003E4EF4">
      <w:pPr>
        <w:numPr>
          <w:ilvl w:val="0"/>
          <w:numId w:val="103"/>
        </w:numPr>
        <w:spacing w:after="0"/>
        <w:contextualSpacing/>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transparency reports</w:t>
      </w:r>
      <w:r>
        <w:rPr>
          <w:rFonts w:ascii="Times New Roman" w:hAnsi="Times New Roman" w:cs="Times New Roman"/>
          <w:noProof/>
          <w:sz w:val="24"/>
        </w:rPr>
        <w:t xml:space="preserve"> from the main service providers (Facebook, Google, Microsoft, Twitter and Apple</w:t>
      </w:r>
      <w:r>
        <w:rPr>
          <w:rFonts w:ascii="Times New Roman" w:hAnsi="Times New Roman" w:cs="Times New Roman"/>
          <w:noProof/>
          <w:sz w:val="24"/>
          <w:vertAlign w:val="superscript"/>
        </w:rPr>
        <w:footnoteReference w:id="19"/>
      </w:r>
      <w:r>
        <w:rPr>
          <w:rFonts w:ascii="Times New Roman" w:hAnsi="Times New Roman" w:cs="Times New Roman"/>
          <w:noProof/>
          <w:sz w:val="24"/>
        </w:rPr>
        <w:t>), which contain information on the number of requests received fro</w:t>
      </w:r>
      <w:r>
        <w:rPr>
          <w:rFonts w:ascii="Times New Roman" w:hAnsi="Times New Roman" w:cs="Times New Roman"/>
          <w:noProof/>
          <w:sz w:val="24"/>
        </w:rPr>
        <w:t>m public authorities and the percentage of requests fulfilled</w:t>
      </w:r>
      <w:r>
        <w:rPr>
          <w:rStyle w:val="FootnoteReference"/>
          <w:rFonts w:ascii="Times New Roman" w:hAnsi="Times New Roman" w:cs="Times New Roman"/>
          <w:noProof/>
          <w:sz w:val="24"/>
        </w:rPr>
        <w:footnoteReference w:id="20"/>
      </w:r>
      <w:r>
        <w:rPr>
          <w:rFonts w:ascii="Times New Roman" w:hAnsi="Times New Roman" w:cs="Times New Roman"/>
          <w:noProof/>
          <w:sz w:val="24"/>
        </w:rPr>
        <w:t xml:space="preserve">. </w:t>
      </w:r>
    </w:p>
    <w:p w:rsidR="001B65FF" w:rsidRDefault="003E4EF4">
      <w:pPr>
        <w:spacing w:before="120" w:after="120"/>
        <w:jc w:val="both"/>
        <w:rPr>
          <w:rFonts w:ascii="Times New Roman" w:hAnsi="Times New Roman" w:cs="Times New Roman"/>
          <w:noProof/>
          <w:sz w:val="24"/>
        </w:rPr>
      </w:pPr>
      <w:r>
        <w:rPr>
          <w:rFonts w:ascii="Times New Roman" w:hAnsi="Times New Roman" w:cs="Times New Roman"/>
          <w:noProof/>
          <w:sz w:val="24"/>
        </w:rPr>
        <w:t>The results were broken down in three stages:</w:t>
      </w:r>
    </w:p>
    <w:p w:rsidR="001B65FF" w:rsidRDefault="003E4EF4">
      <w:pPr>
        <w:numPr>
          <w:ilvl w:val="0"/>
          <w:numId w:val="105"/>
        </w:numPr>
        <w:spacing w:before="120" w:after="120"/>
        <w:jc w:val="both"/>
        <w:rPr>
          <w:rFonts w:ascii="Times New Roman" w:hAnsi="Times New Roman" w:cs="Times New Roman"/>
          <w:noProof/>
          <w:sz w:val="24"/>
        </w:rPr>
      </w:pPr>
      <w:r>
        <w:rPr>
          <w:rFonts w:ascii="Times New Roman" w:hAnsi="Times New Roman" w:cs="Times New Roman"/>
          <w:noProof/>
          <w:sz w:val="24"/>
        </w:rPr>
        <w:t xml:space="preserve">Percentage of investigations including a </w:t>
      </w:r>
      <w:r>
        <w:rPr>
          <w:rFonts w:ascii="Times New Roman" w:hAnsi="Times New Roman" w:cs="Times New Roman"/>
          <w:b/>
          <w:noProof/>
          <w:sz w:val="24"/>
        </w:rPr>
        <w:t>request</w:t>
      </w:r>
      <w:r>
        <w:rPr>
          <w:rFonts w:ascii="Times New Roman" w:hAnsi="Times New Roman" w:cs="Times New Roman"/>
          <w:noProof/>
          <w:sz w:val="24"/>
        </w:rPr>
        <w:t xml:space="preserve"> to cross-border access to e-evidence.</w:t>
      </w:r>
    </w:p>
    <w:p w:rsidR="001B65FF" w:rsidRDefault="003E4EF4">
      <w:pPr>
        <w:pBdr>
          <w:top w:val="single" w:sz="4" w:space="1" w:color="auto"/>
          <w:left w:val="single" w:sz="4" w:space="1" w:color="auto"/>
          <w:bottom w:val="single" w:sz="4" w:space="1" w:color="auto"/>
          <w:right w:val="single" w:sz="4" w:space="4" w:color="auto"/>
        </w:pBdr>
        <w:spacing w:after="120"/>
        <w:ind w:left="360"/>
        <w:jc w:val="center"/>
        <w:rPr>
          <w:rFonts w:ascii="Times New Roman" w:hAnsi="Times New Roman" w:cs="Times New Roman"/>
          <w:noProof/>
          <w:sz w:val="24"/>
        </w:rPr>
      </w:pPr>
      <w:r>
        <w:rPr>
          <w:rFonts w:ascii="Times New Roman" w:hAnsi="Times New Roman" w:cs="Times New Roman"/>
          <w:b/>
          <w:noProof/>
          <w:sz w:val="24"/>
        </w:rPr>
        <w:t xml:space="preserve">More than half </w:t>
      </w:r>
      <w:r>
        <w:rPr>
          <w:rFonts w:ascii="Times New Roman" w:hAnsi="Times New Roman" w:cs="Times New Roman"/>
          <w:noProof/>
          <w:sz w:val="24"/>
        </w:rPr>
        <w:t xml:space="preserve">of all investigations include a </w:t>
      </w:r>
      <w:r>
        <w:rPr>
          <w:rFonts w:ascii="Times New Roman" w:hAnsi="Times New Roman" w:cs="Times New Roman"/>
          <w:b/>
          <w:noProof/>
          <w:sz w:val="24"/>
        </w:rPr>
        <w:t xml:space="preserve">cross-border </w:t>
      </w:r>
      <w:r>
        <w:rPr>
          <w:rFonts w:ascii="Times New Roman" w:hAnsi="Times New Roman" w:cs="Times New Roman"/>
          <w:noProof/>
          <w:sz w:val="24"/>
        </w:rPr>
        <w:t xml:space="preserve">request to </w:t>
      </w:r>
      <w:r>
        <w:rPr>
          <w:rFonts w:ascii="Times New Roman" w:hAnsi="Times New Roman" w:cs="Times New Roman"/>
          <w:b/>
          <w:noProof/>
          <w:sz w:val="24"/>
        </w:rPr>
        <w:t>access e-evidence</w:t>
      </w:r>
      <w:r>
        <w:rPr>
          <w:rFonts w:ascii="Times New Roman" w:hAnsi="Times New Roman" w:cs="Times New Roman"/>
          <w:noProof/>
          <w:sz w:val="24"/>
        </w:rPr>
        <w:t>.</w:t>
      </w:r>
    </w:p>
    <w:p w:rsidR="001B65FF" w:rsidRDefault="003E4EF4">
      <w:pPr>
        <w:numPr>
          <w:ilvl w:val="0"/>
          <w:numId w:val="102"/>
        </w:numPr>
        <w:contextualSpacing/>
        <w:jc w:val="both"/>
        <w:rPr>
          <w:rFonts w:ascii="Times New Roman" w:hAnsi="Times New Roman" w:cs="Times New Roman"/>
          <w:noProof/>
          <w:sz w:val="24"/>
        </w:rPr>
      </w:pPr>
      <w:r>
        <w:rPr>
          <w:rFonts w:ascii="Times New Roman" w:hAnsi="Times New Roman" w:cs="Times New Roman"/>
          <w:noProof/>
          <w:sz w:val="24"/>
        </w:rPr>
        <w:t xml:space="preserve">E-evidence in any form is relevant in around </w:t>
      </w:r>
      <w:r>
        <w:rPr>
          <w:rFonts w:ascii="Times New Roman" w:hAnsi="Times New Roman" w:cs="Times New Roman"/>
          <w:b/>
          <w:noProof/>
          <w:sz w:val="24"/>
        </w:rPr>
        <w:t>85%</w:t>
      </w:r>
      <w:r>
        <w:rPr>
          <w:rFonts w:ascii="Times New Roman" w:hAnsi="Times New Roman" w:cs="Times New Roman"/>
          <w:noProof/>
          <w:sz w:val="24"/>
        </w:rPr>
        <w:t xml:space="preserve"> of total (criminal) investigations. </w:t>
      </w:r>
    </w:p>
    <w:p w:rsidR="001B65FF" w:rsidRDefault="003E4EF4">
      <w:pPr>
        <w:numPr>
          <w:ilvl w:val="0"/>
          <w:numId w:val="102"/>
        </w:numPr>
        <w:contextualSpacing/>
        <w:jc w:val="both"/>
        <w:rPr>
          <w:rFonts w:ascii="Times New Roman" w:hAnsi="Times New Roman" w:cs="Times New Roman"/>
          <w:noProof/>
          <w:sz w:val="24"/>
        </w:rPr>
      </w:pPr>
      <w:r>
        <w:rPr>
          <w:rFonts w:ascii="Times New Roman" w:hAnsi="Times New Roman" w:cs="Times New Roman"/>
          <w:noProof/>
          <w:sz w:val="24"/>
        </w:rPr>
        <w:t xml:space="preserve">In almost </w:t>
      </w:r>
      <w:r>
        <w:rPr>
          <w:rFonts w:ascii="Times New Roman" w:hAnsi="Times New Roman" w:cs="Times New Roman"/>
          <w:b/>
          <w:noProof/>
          <w:sz w:val="24"/>
        </w:rPr>
        <w:t xml:space="preserve">two thirds </w:t>
      </w:r>
      <w:r>
        <w:rPr>
          <w:rFonts w:ascii="Times New Roman" w:hAnsi="Times New Roman" w:cs="Times New Roman"/>
          <w:noProof/>
          <w:sz w:val="24"/>
        </w:rPr>
        <w:t xml:space="preserve">(65%) of the investigations where e-evidence is relevant, a request to service providers </w:t>
      </w:r>
      <w:r>
        <w:rPr>
          <w:rFonts w:ascii="Times New Roman" w:hAnsi="Times New Roman" w:cs="Times New Roman"/>
          <w:b/>
          <w:noProof/>
          <w:sz w:val="24"/>
        </w:rPr>
        <w:t>across borders</w:t>
      </w:r>
      <w:r>
        <w:rPr>
          <w:rFonts w:ascii="Times New Roman" w:hAnsi="Times New Roman" w:cs="Times New Roman"/>
          <w:noProof/>
          <w:sz w:val="24"/>
        </w:rPr>
        <w:t xml:space="preserve"> (b</w:t>
      </w:r>
      <w:r>
        <w:rPr>
          <w:rFonts w:ascii="Times New Roman" w:hAnsi="Times New Roman" w:cs="Times New Roman"/>
          <w:noProof/>
          <w:sz w:val="24"/>
        </w:rPr>
        <w:t>ased in another jurisdiction) is needed.</w:t>
      </w:r>
    </w:p>
    <w:p w:rsidR="001B65FF" w:rsidRDefault="003E4EF4">
      <w:pPr>
        <w:numPr>
          <w:ilvl w:val="0"/>
          <w:numId w:val="102"/>
        </w:numPr>
        <w:contextualSpacing/>
        <w:jc w:val="both"/>
        <w:rPr>
          <w:rFonts w:ascii="Times New Roman" w:hAnsi="Times New Roman" w:cs="Times New Roman"/>
          <w:noProof/>
          <w:sz w:val="24"/>
        </w:rPr>
      </w:pPr>
      <w:r>
        <w:rPr>
          <w:rFonts w:ascii="Times New Roman" w:hAnsi="Times New Roman" w:cs="Times New Roman"/>
          <w:noProof/>
          <w:sz w:val="24"/>
        </w:rPr>
        <w:t xml:space="preserve">Combining the two percentages above results in </w:t>
      </w:r>
      <w:r>
        <w:rPr>
          <w:rFonts w:ascii="Times New Roman" w:hAnsi="Times New Roman" w:cs="Times New Roman"/>
          <w:b/>
          <w:noProof/>
          <w:sz w:val="24"/>
        </w:rPr>
        <w:t>55%</w:t>
      </w:r>
      <w:r>
        <w:rPr>
          <w:rFonts w:ascii="Times New Roman" w:hAnsi="Times New Roman" w:cs="Times New Roman"/>
          <w:noProof/>
          <w:sz w:val="24"/>
        </w:rPr>
        <w:t xml:space="preserve"> of total investigations that include a request to </w:t>
      </w:r>
      <w:r>
        <w:rPr>
          <w:rFonts w:ascii="Times New Roman" w:hAnsi="Times New Roman" w:cs="Times New Roman"/>
          <w:b/>
          <w:noProof/>
          <w:sz w:val="24"/>
        </w:rPr>
        <w:t>cross-border access to e-evidence.</w:t>
      </w:r>
    </w:p>
    <w:p w:rsidR="001B65FF" w:rsidRDefault="003E4EF4">
      <w:pPr>
        <w:numPr>
          <w:ilvl w:val="0"/>
          <w:numId w:val="102"/>
        </w:numPr>
        <w:contextualSpacing/>
        <w:jc w:val="both"/>
        <w:rPr>
          <w:rFonts w:ascii="Times New Roman" w:hAnsi="Times New Roman" w:cs="Times New Roman"/>
          <w:noProof/>
          <w:sz w:val="24"/>
        </w:rPr>
      </w:pPr>
      <w:r>
        <w:rPr>
          <w:rFonts w:ascii="Times New Roman" w:hAnsi="Times New Roman" w:cs="Times New Roman"/>
          <w:noProof/>
          <w:sz w:val="24"/>
        </w:rPr>
        <w:t>Requests for non-content data outnumber those for content within the EU and bey</w:t>
      </w:r>
      <w:r>
        <w:rPr>
          <w:rFonts w:ascii="Times New Roman" w:hAnsi="Times New Roman" w:cs="Times New Roman"/>
          <w:noProof/>
          <w:sz w:val="24"/>
        </w:rPr>
        <w:t>ond. Non-content data from electronic communications is most commonly requested.</w:t>
      </w:r>
    </w:p>
    <w:p w:rsidR="001B65FF" w:rsidRDefault="003E4EF4">
      <w:pPr>
        <w:spacing w:before="120"/>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transparency reports</w:t>
      </w:r>
      <w:r>
        <w:rPr>
          <w:rFonts w:ascii="Times New Roman" w:hAnsi="Times New Roman" w:cs="Times New Roman"/>
          <w:noProof/>
          <w:sz w:val="24"/>
        </w:rPr>
        <w:t xml:space="preserve"> provide an idea of the </w:t>
      </w:r>
      <w:r>
        <w:rPr>
          <w:rFonts w:ascii="Times New Roman" w:hAnsi="Times New Roman" w:cs="Times New Roman"/>
          <w:b/>
          <w:noProof/>
          <w:sz w:val="24"/>
        </w:rPr>
        <w:t>number</w:t>
      </w:r>
      <w:r>
        <w:rPr>
          <w:rFonts w:ascii="Times New Roman" w:hAnsi="Times New Roman" w:cs="Times New Roman"/>
          <w:noProof/>
          <w:sz w:val="24"/>
        </w:rPr>
        <w:t xml:space="preserve"> of requests that the above percentages refer to. The figure below shows that the number of requests to the above service</w:t>
      </w:r>
      <w:r>
        <w:rPr>
          <w:rFonts w:ascii="Times New Roman" w:hAnsi="Times New Roman" w:cs="Times New Roman"/>
          <w:noProof/>
          <w:sz w:val="24"/>
        </w:rPr>
        <w:t xml:space="preserve"> providers has </w:t>
      </w:r>
      <w:r>
        <w:rPr>
          <w:rFonts w:ascii="Times New Roman" w:hAnsi="Times New Roman" w:cs="Times New Roman"/>
          <w:b/>
          <w:noProof/>
          <w:sz w:val="24"/>
        </w:rPr>
        <w:t>increased by 70%</w:t>
      </w:r>
      <w:r>
        <w:rPr>
          <w:rFonts w:ascii="Times New Roman" w:hAnsi="Times New Roman" w:cs="Times New Roman"/>
          <w:noProof/>
          <w:sz w:val="24"/>
        </w:rPr>
        <w:t xml:space="preserve"> in the last 4 years:</w:t>
      </w:r>
    </w:p>
    <w:p w:rsidR="001B65FF" w:rsidRDefault="003E4EF4">
      <w:pPr>
        <w:jc w:val="center"/>
        <w:rPr>
          <w:rFonts w:ascii="Times New Roman" w:hAnsi="Times New Roman" w:cs="Times New Roman"/>
          <w:noProof/>
          <w:sz w:val="24"/>
        </w:rPr>
      </w:pPr>
      <w:r>
        <w:rPr>
          <w:rFonts w:ascii="Times New Roman" w:hAnsi="Times New Roman" w:cs="Times New Roman"/>
          <w:i/>
          <w:noProof/>
          <w:sz w:val="24"/>
        </w:rPr>
        <w:t>Figure 2</w:t>
      </w:r>
      <w:r>
        <w:rPr>
          <w:rFonts w:ascii="Times New Roman" w:eastAsia="Calibri" w:hAnsi="Times New Roman" w:cs="Times New Roman"/>
          <w:i/>
          <w:noProof/>
          <w:sz w:val="24"/>
        </w:rPr>
        <w:t>: evolution of number of Member States' requests</w:t>
      </w:r>
      <w:r>
        <w:rPr>
          <w:rFonts w:ascii="Times New Roman" w:eastAsia="Calibri" w:hAnsi="Times New Roman" w:cs="Times New Roman"/>
          <w:i/>
          <w:noProof/>
          <w:sz w:val="24"/>
          <w:vertAlign w:val="superscript"/>
        </w:rPr>
        <w:footnoteReference w:id="21"/>
      </w:r>
      <w:r>
        <w:rPr>
          <w:rFonts w:ascii="Times New Roman" w:eastAsia="Calibri" w:hAnsi="Times New Roman" w:cs="Times New Roman"/>
          <w:i/>
          <w:noProof/>
          <w:sz w:val="24"/>
        </w:rPr>
        <w:t xml:space="preserve"> to the main service providers</w:t>
      </w:r>
      <w:r>
        <w:rPr>
          <w:rFonts w:ascii="Times New Roman" w:eastAsia="Calibri" w:hAnsi="Times New Roman" w:cs="Times New Roman"/>
          <w:i/>
          <w:noProof/>
          <w:sz w:val="24"/>
          <w:vertAlign w:val="superscript"/>
        </w:rPr>
        <w:footnoteReference w:id="22"/>
      </w:r>
      <w:r>
        <w:rPr>
          <w:rFonts w:ascii="Times New Roman" w:eastAsia="Calibri" w:hAnsi="Times New Roman" w:cs="Times New Roman"/>
          <w:i/>
          <w:noProof/>
          <w:sz w:val="24"/>
        </w:rPr>
        <w:t xml:space="preserve"> </w:t>
      </w:r>
      <w:r>
        <w:rPr>
          <w:rFonts w:ascii="Times New Roman" w:hAnsi="Times New Roman" w:cs="Times New Roman"/>
          <w:b/>
          <w:noProof/>
          <w:shd w:val="clear" w:color="auto" w:fill="4F81BD" w:themeFill="accent1"/>
          <w:lang w:eastAsia="en-GB"/>
        </w:rPr>
        <w:drawing>
          <wp:inline distT="0" distB="0" distL="0" distR="0" wp14:anchorId="48893462" wp14:editId="52AB60DA">
            <wp:extent cx="5759532" cy="2208810"/>
            <wp:effectExtent l="0" t="0" r="0" b="1270"/>
            <wp:docPr id="17" name="Chart 17" title="Submitted requests - EU28 to selected provid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Other insights from the transparency reports of these providers include (see Annex 11):</w:t>
      </w:r>
    </w:p>
    <w:p w:rsidR="001B65FF" w:rsidRDefault="003E4EF4">
      <w:pPr>
        <w:pStyle w:val="ListParagraph"/>
        <w:numPr>
          <w:ilvl w:val="0"/>
          <w:numId w:val="177"/>
        </w:numPr>
        <w:jc w:val="both"/>
        <w:rPr>
          <w:rFonts w:ascii="Times New Roman" w:hAnsi="Times New Roman" w:cs="Times New Roman"/>
          <w:noProof/>
          <w:sz w:val="24"/>
        </w:rPr>
      </w:pPr>
      <w:r>
        <w:rPr>
          <w:rFonts w:ascii="Times New Roman" w:hAnsi="Times New Roman" w:cs="Times New Roman"/>
          <w:noProof/>
          <w:sz w:val="24"/>
        </w:rPr>
        <w:t xml:space="preserve">Three Member States, </w:t>
      </w:r>
      <w:r>
        <w:rPr>
          <w:rFonts w:ascii="Times New Roman" w:hAnsi="Times New Roman" w:cs="Times New Roman"/>
          <w:b/>
          <w:noProof/>
          <w:sz w:val="24"/>
        </w:rPr>
        <w:t>Germany (35,271 requests), the UK (28,598) and France (27,268)</w:t>
      </w:r>
      <w:r>
        <w:rPr>
          <w:rFonts w:ascii="Times New Roman" w:hAnsi="Times New Roman" w:cs="Times New Roman"/>
          <w:noProof/>
          <w:sz w:val="24"/>
        </w:rPr>
        <w:t xml:space="preserve">, accounted for </w:t>
      </w:r>
      <w:r>
        <w:rPr>
          <w:rFonts w:ascii="Times New Roman" w:hAnsi="Times New Roman" w:cs="Times New Roman"/>
          <w:b/>
          <w:noProof/>
          <w:sz w:val="24"/>
        </w:rPr>
        <w:t>more than 75%</w:t>
      </w:r>
      <w:r>
        <w:rPr>
          <w:rFonts w:ascii="Times New Roman" w:hAnsi="Times New Roman" w:cs="Times New Roman"/>
          <w:noProof/>
          <w:sz w:val="24"/>
        </w:rPr>
        <w:t xml:space="preserve"> of the total number of requests from the EU to the five main service providers in the last year.</w:t>
      </w:r>
    </w:p>
    <w:p w:rsidR="001B65FF" w:rsidRDefault="003E4EF4">
      <w:pPr>
        <w:pStyle w:val="ListParagraph"/>
        <w:numPr>
          <w:ilvl w:val="0"/>
          <w:numId w:val="177"/>
        </w:numPr>
        <w:jc w:val="both"/>
        <w:rPr>
          <w:rFonts w:ascii="Times New Roman" w:hAnsi="Times New Roman" w:cs="Times New Roman"/>
          <w:noProof/>
          <w:sz w:val="24"/>
        </w:rPr>
      </w:pPr>
      <w:r>
        <w:rPr>
          <w:rFonts w:ascii="Times New Roman" w:hAnsi="Times New Roman" w:cs="Times New Roman"/>
          <w:b/>
          <w:noProof/>
          <w:sz w:val="24"/>
        </w:rPr>
        <w:t>Google and Facebook</w:t>
      </w:r>
      <w:r>
        <w:rPr>
          <w:rFonts w:ascii="Times New Roman" w:hAnsi="Times New Roman" w:cs="Times New Roman"/>
          <w:noProof/>
          <w:sz w:val="24"/>
        </w:rPr>
        <w:t xml:space="preserve"> accumulated </w:t>
      </w:r>
      <w:r>
        <w:rPr>
          <w:rFonts w:ascii="Times New Roman" w:hAnsi="Times New Roman" w:cs="Times New Roman"/>
          <w:b/>
          <w:noProof/>
          <w:sz w:val="24"/>
        </w:rPr>
        <w:t>more than 70%</w:t>
      </w:r>
      <w:r>
        <w:rPr>
          <w:rFonts w:ascii="Times New Roman" w:hAnsi="Times New Roman" w:cs="Times New Roman"/>
          <w:noProof/>
          <w:sz w:val="24"/>
        </w:rPr>
        <w:t xml:space="preserve"> of the total number o</w:t>
      </w:r>
      <w:r>
        <w:rPr>
          <w:rFonts w:ascii="Times New Roman" w:hAnsi="Times New Roman" w:cs="Times New Roman"/>
          <w:noProof/>
          <w:sz w:val="24"/>
        </w:rPr>
        <w:t>f requests from Member States to the five main service providers in the last year.</w:t>
      </w:r>
    </w:p>
    <w:p w:rsidR="001B65FF" w:rsidRDefault="003E4EF4">
      <w:pPr>
        <w:numPr>
          <w:ilvl w:val="0"/>
          <w:numId w:val="105"/>
        </w:numPr>
        <w:spacing w:after="0"/>
        <w:contextualSpacing/>
        <w:jc w:val="both"/>
        <w:rPr>
          <w:rFonts w:ascii="Times New Roman" w:hAnsi="Times New Roman" w:cs="Times New Roman"/>
          <w:noProof/>
          <w:sz w:val="24"/>
        </w:rPr>
      </w:pPr>
      <w:r>
        <w:rPr>
          <w:rFonts w:ascii="Times New Roman" w:hAnsi="Times New Roman" w:cs="Times New Roman"/>
          <w:noProof/>
          <w:sz w:val="24"/>
        </w:rPr>
        <w:t xml:space="preserve">Percentage of requests to </w:t>
      </w:r>
      <w:r>
        <w:rPr>
          <w:rFonts w:ascii="Times New Roman" w:hAnsi="Times New Roman" w:cs="Times New Roman"/>
          <w:b/>
          <w:noProof/>
          <w:sz w:val="24"/>
        </w:rPr>
        <w:t>service providers</w:t>
      </w:r>
      <w:r>
        <w:rPr>
          <w:rFonts w:ascii="Times New Roman" w:hAnsi="Times New Roman" w:cs="Times New Roman"/>
          <w:noProof/>
          <w:sz w:val="24"/>
        </w:rPr>
        <w:t xml:space="preserve"> that are </w:t>
      </w:r>
      <w:r>
        <w:rPr>
          <w:rFonts w:ascii="Times New Roman" w:hAnsi="Times New Roman" w:cs="Times New Roman"/>
          <w:b/>
          <w:noProof/>
          <w:sz w:val="24"/>
        </w:rPr>
        <w:t>fulfilled</w:t>
      </w:r>
      <w:r>
        <w:rPr>
          <w:rFonts w:ascii="Times New Roman" w:hAnsi="Times New Roman" w:cs="Times New Roman"/>
          <w:noProof/>
          <w:sz w:val="24"/>
        </w:rPr>
        <w:t>.</w:t>
      </w:r>
    </w:p>
    <w:p w:rsidR="001B65FF" w:rsidRDefault="003E4EF4">
      <w:pPr>
        <w:pBdr>
          <w:top w:val="single" w:sz="4" w:space="1" w:color="auto"/>
          <w:left w:val="single" w:sz="4" w:space="4" w:color="auto"/>
          <w:bottom w:val="single" w:sz="4" w:space="1" w:color="auto"/>
          <w:right w:val="single" w:sz="4" w:space="4" w:color="auto"/>
        </w:pBdr>
        <w:spacing w:before="240"/>
        <w:ind w:left="360"/>
        <w:jc w:val="center"/>
        <w:rPr>
          <w:rFonts w:ascii="Times New Roman" w:hAnsi="Times New Roman" w:cs="Times New Roman"/>
          <w:noProof/>
          <w:sz w:val="24"/>
        </w:rPr>
      </w:pPr>
      <w:r>
        <w:rPr>
          <w:rFonts w:ascii="Times New Roman" w:hAnsi="Times New Roman" w:cs="Times New Roman"/>
          <w:b/>
          <w:noProof/>
          <w:sz w:val="24"/>
        </w:rPr>
        <w:t xml:space="preserve">Less than half </w:t>
      </w:r>
      <w:r>
        <w:rPr>
          <w:rFonts w:ascii="Times New Roman" w:hAnsi="Times New Roman" w:cs="Times New Roman"/>
          <w:noProof/>
          <w:sz w:val="24"/>
        </w:rPr>
        <w:t xml:space="preserve">of all the requests to service providers are </w:t>
      </w:r>
      <w:r>
        <w:rPr>
          <w:rFonts w:ascii="Times New Roman" w:hAnsi="Times New Roman" w:cs="Times New Roman"/>
          <w:b/>
          <w:noProof/>
          <w:sz w:val="24"/>
        </w:rPr>
        <w:t>fulfilled.</w:t>
      </w:r>
    </w:p>
    <w:p w:rsidR="001B65FF" w:rsidRDefault="003E4EF4">
      <w:pPr>
        <w:numPr>
          <w:ilvl w:val="0"/>
          <w:numId w:val="106"/>
        </w:numPr>
        <w:spacing w:before="240"/>
        <w:contextualSpacing/>
        <w:jc w:val="both"/>
        <w:rPr>
          <w:rFonts w:ascii="Times New Roman" w:hAnsi="Times New Roman" w:cs="Times New Roman"/>
          <w:noProof/>
          <w:sz w:val="24"/>
        </w:rPr>
      </w:pPr>
      <w:r>
        <w:rPr>
          <w:rFonts w:ascii="Times New Roman" w:hAnsi="Times New Roman" w:cs="Times New Roman"/>
          <w:noProof/>
          <w:sz w:val="24"/>
        </w:rPr>
        <w:t xml:space="preserve">The table below summarises the responses to the </w:t>
      </w:r>
      <w:r>
        <w:rPr>
          <w:rFonts w:ascii="Times New Roman" w:hAnsi="Times New Roman" w:cs="Times New Roman"/>
          <w:b/>
          <w:noProof/>
          <w:sz w:val="24"/>
        </w:rPr>
        <w:t>survey</w:t>
      </w:r>
      <w:r>
        <w:rPr>
          <w:rFonts w:ascii="Times New Roman" w:hAnsi="Times New Roman" w:cs="Times New Roman"/>
          <w:noProof/>
          <w:sz w:val="24"/>
        </w:rPr>
        <w:t xml:space="preserve"> of public authorities in Member States on the percentage of investigations where the request to service providers was fulfilled, using judicial and direct cooperation channels.</w:t>
      </w:r>
    </w:p>
    <w:p w:rsidR="001B65FF" w:rsidRDefault="003E4EF4">
      <w:pPr>
        <w:numPr>
          <w:ilvl w:val="0"/>
          <w:numId w:val="106"/>
        </w:numPr>
        <w:spacing w:before="240"/>
        <w:contextualSpacing/>
        <w:jc w:val="both"/>
        <w:rPr>
          <w:rFonts w:ascii="Times New Roman" w:hAnsi="Times New Roman" w:cs="Times New Roman"/>
          <w:b/>
          <w:noProof/>
          <w:sz w:val="24"/>
        </w:rPr>
      </w:pPr>
      <w:r>
        <w:rPr>
          <w:rFonts w:ascii="Times New Roman" w:hAnsi="Times New Roman" w:cs="Times New Roman"/>
          <w:noProof/>
          <w:sz w:val="24"/>
        </w:rPr>
        <w:t>The table shows that the</w:t>
      </w:r>
      <w:r>
        <w:rPr>
          <w:rFonts w:ascii="Times New Roman" w:hAnsi="Times New Roman" w:cs="Times New Roman"/>
          <w:noProof/>
          <w:sz w:val="24"/>
        </w:rPr>
        <w:t xml:space="preserve"> requests for </w:t>
      </w:r>
      <w:r>
        <w:rPr>
          <w:rFonts w:ascii="Times New Roman" w:hAnsi="Times New Roman" w:cs="Times New Roman"/>
          <w:b/>
          <w:noProof/>
          <w:sz w:val="24"/>
        </w:rPr>
        <w:t xml:space="preserve">content </w:t>
      </w:r>
      <w:r>
        <w:rPr>
          <w:rFonts w:ascii="Times New Roman" w:hAnsi="Times New Roman" w:cs="Times New Roman"/>
          <w:noProof/>
          <w:sz w:val="24"/>
        </w:rPr>
        <w:t xml:space="preserve">are comparatively the </w:t>
      </w:r>
      <w:r>
        <w:rPr>
          <w:rFonts w:ascii="Times New Roman" w:hAnsi="Times New Roman" w:cs="Times New Roman"/>
          <w:b/>
          <w:noProof/>
          <w:sz w:val="24"/>
        </w:rPr>
        <w:t>most difficult</w:t>
      </w:r>
      <w:r>
        <w:rPr>
          <w:rFonts w:ascii="Times New Roman" w:hAnsi="Times New Roman" w:cs="Times New Roman"/>
          <w:noProof/>
          <w:sz w:val="24"/>
        </w:rPr>
        <w:t xml:space="preserve"> to fulfil and the requests for </w:t>
      </w:r>
      <w:r>
        <w:rPr>
          <w:rFonts w:ascii="Times New Roman" w:hAnsi="Times New Roman" w:cs="Times New Roman"/>
          <w:b/>
          <w:noProof/>
          <w:sz w:val="24"/>
        </w:rPr>
        <w:t>subscriber data</w:t>
      </w:r>
      <w:r>
        <w:rPr>
          <w:rFonts w:ascii="Times New Roman" w:hAnsi="Times New Roman" w:cs="Times New Roman"/>
          <w:noProof/>
          <w:sz w:val="24"/>
        </w:rPr>
        <w:t xml:space="preserve"> the least difficult to fulfil, regardless of whether the requests is within the EU or with non-EU countries. Nonetheless, even the requests for subscr</w:t>
      </w:r>
      <w:r>
        <w:rPr>
          <w:rFonts w:ascii="Times New Roman" w:hAnsi="Times New Roman" w:cs="Times New Roman"/>
          <w:noProof/>
          <w:sz w:val="24"/>
        </w:rPr>
        <w:t>iber data remain unfulfilled in a significant percentage of cases, more than half for requests to non-EU countries, which are particularly relevant, as shown in point 1) above.</w:t>
      </w:r>
    </w:p>
    <w:p w:rsidR="001B65FF" w:rsidRDefault="003E4EF4">
      <w:pPr>
        <w:numPr>
          <w:ilvl w:val="0"/>
          <w:numId w:val="106"/>
        </w:numPr>
        <w:spacing w:before="240" w:after="0"/>
        <w:contextualSpacing/>
        <w:jc w:val="both"/>
        <w:rPr>
          <w:rFonts w:ascii="Times New Roman" w:hAnsi="Times New Roman"/>
          <w:i/>
          <w:noProof/>
          <w:sz w:val="24"/>
        </w:rPr>
      </w:pPr>
      <w:r>
        <w:rPr>
          <w:rFonts w:ascii="Times New Roman" w:hAnsi="Times New Roman" w:cs="Times New Roman"/>
          <w:noProof/>
          <w:sz w:val="24"/>
        </w:rPr>
        <w:t>The table shows that the requests for access to e-evidence</w:t>
      </w:r>
      <w:r>
        <w:rPr>
          <w:rFonts w:ascii="Times New Roman" w:hAnsi="Times New Roman" w:cs="Times New Roman"/>
          <w:b/>
          <w:noProof/>
          <w:sz w:val="24"/>
        </w:rPr>
        <w:t xml:space="preserve"> within the EU</w:t>
      </w:r>
      <w:r>
        <w:rPr>
          <w:rFonts w:ascii="Times New Roman" w:hAnsi="Times New Roman" w:cs="Times New Roman"/>
          <w:noProof/>
          <w:sz w:val="24"/>
        </w:rPr>
        <w:t xml:space="preserve"> are comparatively fulfilled</w:t>
      </w:r>
      <w:r>
        <w:rPr>
          <w:rFonts w:ascii="Times New Roman" w:hAnsi="Times New Roman" w:cs="Times New Roman"/>
          <w:b/>
          <w:noProof/>
          <w:sz w:val="24"/>
        </w:rPr>
        <w:t xml:space="preserve"> more easily</w:t>
      </w:r>
      <w:r>
        <w:rPr>
          <w:rFonts w:ascii="Times New Roman" w:hAnsi="Times New Roman" w:cs="Times New Roman"/>
          <w:noProof/>
          <w:sz w:val="24"/>
        </w:rPr>
        <w:t xml:space="preserve"> than</w:t>
      </w:r>
      <w:r>
        <w:rPr>
          <w:rFonts w:ascii="Times New Roman" w:hAnsi="Times New Roman" w:cs="Times New Roman"/>
          <w:b/>
          <w:noProof/>
          <w:sz w:val="24"/>
        </w:rPr>
        <w:t xml:space="preserve"> with non-EU countries</w:t>
      </w:r>
      <w:r>
        <w:rPr>
          <w:rFonts w:ascii="Times New Roman" w:hAnsi="Times New Roman" w:cs="Times New Roman"/>
          <w:noProof/>
          <w:sz w:val="24"/>
        </w:rPr>
        <w:t>, regardless of the type of data.</w:t>
      </w:r>
    </w:p>
    <w:p w:rsidR="001B65FF" w:rsidRDefault="003E4EF4">
      <w:pPr>
        <w:spacing w:before="240"/>
        <w:jc w:val="center"/>
        <w:rPr>
          <w:rFonts w:ascii="Times New Roman" w:hAnsi="Times New Roman" w:cs="Times New Roman"/>
          <w:noProof/>
          <w:sz w:val="24"/>
        </w:rPr>
      </w:pPr>
      <w:r>
        <w:rPr>
          <w:rFonts w:ascii="Times New Roman" w:hAnsi="Times New Roman" w:cs="Times New Roman"/>
          <w:i/>
          <w:noProof/>
          <w:sz w:val="24"/>
        </w:rPr>
        <w:t>Table 3</w:t>
      </w:r>
      <w:r>
        <w:rPr>
          <w:rFonts w:ascii="Times New Roman" w:eastAsia="Calibri" w:hAnsi="Times New Roman" w:cs="Times New Roman"/>
          <w:i/>
          <w:noProof/>
          <w:sz w:val="24"/>
        </w:rPr>
        <w:t>: percentage of requests to service providers that are fulfilled (survey data)</w:t>
      </w:r>
    </w:p>
    <w:tbl>
      <w:tblPr>
        <w:tblStyle w:val="TableGrid"/>
        <w:tblW w:w="0" w:type="auto"/>
        <w:tblInd w:w="378" w:type="dxa"/>
        <w:tblLayout w:type="fixed"/>
        <w:tblLook w:val="04A0" w:firstRow="1" w:lastRow="0" w:firstColumn="1" w:lastColumn="0" w:noHBand="0" w:noVBand="1"/>
      </w:tblPr>
      <w:tblGrid>
        <w:gridCol w:w="1998"/>
        <w:gridCol w:w="1985"/>
        <w:gridCol w:w="1134"/>
        <w:gridCol w:w="1276"/>
        <w:gridCol w:w="1275"/>
        <w:gridCol w:w="1242"/>
      </w:tblGrid>
      <w:tr w:rsidR="001B65FF">
        <w:trPr>
          <w:trHeight w:val="300"/>
        </w:trPr>
        <w:tc>
          <w:tcPr>
            <w:tcW w:w="3983" w:type="dxa"/>
            <w:gridSpan w:val="2"/>
            <w:vMerge w:val="restart"/>
            <w:hideMark/>
          </w:tcPr>
          <w:p w:rsidR="001B65FF" w:rsidRDefault="003E4EF4">
            <w:pPr>
              <w:jc w:val="both"/>
              <w:rPr>
                <w:noProof/>
                <w:sz w:val="24"/>
              </w:rPr>
            </w:pPr>
            <w:r>
              <w:rPr>
                <w:noProof/>
                <w:sz w:val="24"/>
              </w:rPr>
              <w:t> </w:t>
            </w:r>
          </w:p>
        </w:tc>
        <w:tc>
          <w:tcPr>
            <w:tcW w:w="2410" w:type="dxa"/>
            <w:gridSpan w:val="2"/>
            <w:hideMark/>
          </w:tcPr>
          <w:p w:rsidR="001B65FF" w:rsidRDefault="003E4EF4">
            <w:pPr>
              <w:jc w:val="center"/>
              <w:rPr>
                <w:noProof/>
                <w:sz w:val="24"/>
              </w:rPr>
            </w:pPr>
            <w:r>
              <w:rPr>
                <w:noProof/>
                <w:sz w:val="24"/>
              </w:rPr>
              <w:t>Within the EU</w:t>
            </w:r>
          </w:p>
        </w:tc>
        <w:tc>
          <w:tcPr>
            <w:tcW w:w="2517" w:type="dxa"/>
            <w:gridSpan w:val="2"/>
            <w:hideMark/>
          </w:tcPr>
          <w:p w:rsidR="001B65FF" w:rsidRDefault="003E4EF4">
            <w:pPr>
              <w:jc w:val="center"/>
              <w:rPr>
                <w:noProof/>
                <w:sz w:val="24"/>
              </w:rPr>
            </w:pPr>
            <w:r>
              <w:rPr>
                <w:noProof/>
                <w:sz w:val="24"/>
              </w:rPr>
              <w:t>With non-EU countries</w:t>
            </w:r>
          </w:p>
        </w:tc>
      </w:tr>
      <w:tr w:rsidR="001B65FF">
        <w:trPr>
          <w:trHeight w:val="372"/>
        </w:trPr>
        <w:tc>
          <w:tcPr>
            <w:tcW w:w="3983" w:type="dxa"/>
            <w:gridSpan w:val="2"/>
            <w:vMerge/>
            <w:hideMark/>
          </w:tcPr>
          <w:p w:rsidR="001B65FF" w:rsidRDefault="001B65FF">
            <w:pPr>
              <w:jc w:val="both"/>
              <w:rPr>
                <w:noProof/>
                <w:sz w:val="24"/>
              </w:rPr>
            </w:pPr>
          </w:p>
        </w:tc>
        <w:tc>
          <w:tcPr>
            <w:tcW w:w="1134" w:type="dxa"/>
            <w:hideMark/>
          </w:tcPr>
          <w:p w:rsidR="001B65FF" w:rsidRDefault="003E4EF4">
            <w:pPr>
              <w:jc w:val="center"/>
              <w:rPr>
                <w:noProof/>
                <w:sz w:val="24"/>
              </w:rPr>
            </w:pPr>
            <w:r>
              <w:rPr>
                <w:noProof/>
                <w:sz w:val="24"/>
              </w:rPr>
              <w:t xml:space="preserve">Judicial </w:t>
            </w:r>
          </w:p>
        </w:tc>
        <w:tc>
          <w:tcPr>
            <w:tcW w:w="1276" w:type="dxa"/>
            <w:hideMark/>
          </w:tcPr>
          <w:p w:rsidR="001B65FF" w:rsidRDefault="003E4EF4">
            <w:pPr>
              <w:jc w:val="center"/>
              <w:rPr>
                <w:noProof/>
                <w:sz w:val="24"/>
              </w:rPr>
            </w:pPr>
            <w:r>
              <w:rPr>
                <w:noProof/>
                <w:sz w:val="24"/>
              </w:rPr>
              <w:t xml:space="preserve">Direct </w:t>
            </w:r>
          </w:p>
        </w:tc>
        <w:tc>
          <w:tcPr>
            <w:tcW w:w="1275" w:type="dxa"/>
            <w:hideMark/>
          </w:tcPr>
          <w:p w:rsidR="001B65FF" w:rsidRDefault="003E4EF4">
            <w:pPr>
              <w:jc w:val="center"/>
              <w:rPr>
                <w:noProof/>
                <w:sz w:val="24"/>
              </w:rPr>
            </w:pPr>
            <w:r>
              <w:rPr>
                <w:noProof/>
                <w:sz w:val="24"/>
              </w:rPr>
              <w:t xml:space="preserve">Judicial </w:t>
            </w:r>
          </w:p>
        </w:tc>
        <w:tc>
          <w:tcPr>
            <w:tcW w:w="1242" w:type="dxa"/>
            <w:hideMark/>
          </w:tcPr>
          <w:p w:rsidR="001B65FF" w:rsidRDefault="003E4EF4">
            <w:pPr>
              <w:jc w:val="center"/>
              <w:rPr>
                <w:noProof/>
                <w:sz w:val="24"/>
              </w:rPr>
            </w:pPr>
            <w:r>
              <w:rPr>
                <w:noProof/>
                <w:sz w:val="24"/>
              </w:rPr>
              <w:t xml:space="preserve">Direct </w:t>
            </w:r>
          </w:p>
        </w:tc>
      </w:tr>
      <w:tr w:rsidR="001B65FF">
        <w:trPr>
          <w:trHeight w:val="344"/>
        </w:trPr>
        <w:tc>
          <w:tcPr>
            <w:tcW w:w="1998" w:type="dxa"/>
            <w:vMerge w:val="restart"/>
            <w:hideMark/>
          </w:tcPr>
          <w:p w:rsidR="001B65FF" w:rsidRDefault="003E4EF4">
            <w:pPr>
              <w:jc w:val="both"/>
              <w:rPr>
                <w:noProof/>
                <w:sz w:val="24"/>
              </w:rPr>
            </w:pPr>
            <w:r>
              <w:rPr>
                <w:noProof/>
                <w:sz w:val="24"/>
              </w:rPr>
              <w:t>Non-content data</w:t>
            </w:r>
          </w:p>
        </w:tc>
        <w:tc>
          <w:tcPr>
            <w:tcW w:w="1985" w:type="dxa"/>
            <w:hideMark/>
          </w:tcPr>
          <w:p w:rsidR="001B65FF" w:rsidRDefault="003E4EF4">
            <w:pPr>
              <w:jc w:val="both"/>
              <w:rPr>
                <w:noProof/>
                <w:sz w:val="24"/>
              </w:rPr>
            </w:pPr>
            <w:r>
              <w:rPr>
                <w:noProof/>
                <w:sz w:val="24"/>
              </w:rPr>
              <w:t>Subscriber data</w:t>
            </w:r>
          </w:p>
        </w:tc>
        <w:tc>
          <w:tcPr>
            <w:tcW w:w="1134" w:type="dxa"/>
            <w:hideMark/>
          </w:tcPr>
          <w:p w:rsidR="001B65FF" w:rsidRDefault="003E4EF4">
            <w:pPr>
              <w:jc w:val="center"/>
              <w:rPr>
                <w:noProof/>
                <w:sz w:val="24"/>
              </w:rPr>
            </w:pPr>
            <w:r>
              <w:rPr>
                <w:noProof/>
                <w:sz w:val="24"/>
              </w:rPr>
              <w:t>75%</w:t>
            </w:r>
          </w:p>
        </w:tc>
        <w:tc>
          <w:tcPr>
            <w:tcW w:w="1276" w:type="dxa"/>
            <w:hideMark/>
          </w:tcPr>
          <w:p w:rsidR="001B65FF" w:rsidRDefault="003E4EF4">
            <w:pPr>
              <w:jc w:val="center"/>
              <w:rPr>
                <w:noProof/>
                <w:sz w:val="24"/>
              </w:rPr>
            </w:pPr>
            <w:r>
              <w:rPr>
                <w:noProof/>
                <w:sz w:val="24"/>
              </w:rPr>
              <w:t>55%</w:t>
            </w:r>
          </w:p>
        </w:tc>
        <w:tc>
          <w:tcPr>
            <w:tcW w:w="1275" w:type="dxa"/>
            <w:hideMark/>
          </w:tcPr>
          <w:p w:rsidR="001B65FF" w:rsidRDefault="003E4EF4">
            <w:pPr>
              <w:jc w:val="center"/>
              <w:rPr>
                <w:noProof/>
                <w:sz w:val="24"/>
              </w:rPr>
            </w:pPr>
            <w:r>
              <w:rPr>
                <w:noProof/>
                <w:sz w:val="24"/>
              </w:rPr>
              <w:t>45%</w:t>
            </w:r>
          </w:p>
        </w:tc>
        <w:tc>
          <w:tcPr>
            <w:tcW w:w="1242" w:type="dxa"/>
            <w:hideMark/>
          </w:tcPr>
          <w:p w:rsidR="001B65FF" w:rsidRDefault="003E4EF4">
            <w:pPr>
              <w:jc w:val="center"/>
              <w:rPr>
                <w:noProof/>
                <w:sz w:val="24"/>
              </w:rPr>
            </w:pPr>
            <w:r>
              <w:rPr>
                <w:noProof/>
                <w:sz w:val="24"/>
              </w:rPr>
              <w:t>45%</w:t>
            </w:r>
          </w:p>
        </w:tc>
      </w:tr>
      <w:tr w:rsidR="001B65FF">
        <w:trPr>
          <w:trHeight w:val="300"/>
        </w:trPr>
        <w:tc>
          <w:tcPr>
            <w:tcW w:w="1998" w:type="dxa"/>
            <w:vMerge/>
            <w:hideMark/>
          </w:tcPr>
          <w:p w:rsidR="001B65FF" w:rsidRDefault="001B65FF">
            <w:pPr>
              <w:jc w:val="both"/>
              <w:rPr>
                <w:noProof/>
                <w:sz w:val="24"/>
              </w:rPr>
            </w:pPr>
          </w:p>
        </w:tc>
        <w:tc>
          <w:tcPr>
            <w:tcW w:w="1985" w:type="dxa"/>
            <w:hideMark/>
          </w:tcPr>
          <w:p w:rsidR="001B65FF" w:rsidRDefault="003E4EF4">
            <w:pPr>
              <w:jc w:val="both"/>
              <w:rPr>
                <w:noProof/>
                <w:sz w:val="24"/>
              </w:rPr>
            </w:pPr>
            <w:r>
              <w:rPr>
                <w:noProof/>
                <w:sz w:val="24"/>
              </w:rPr>
              <w:t>Metadata</w:t>
            </w:r>
          </w:p>
        </w:tc>
        <w:tc>
          <w:tcPr>
            <w:tcW w:w="1134" w:type="dxa"/>
            <w:hideMark/>
          </w:tcPr>
          <w:p w:rsidR="001B65FF" w:rsidRDefault="003E4EF4">
            <w:pPr>
              <w:jc w:val="center"/>
              <w:rPr>
                <w:noProof/>
                <w:sz w:val="24"/>
              </w:rPr>
            </w:pPr>
            <w:r>
              <w:rPr>
                <w:noProof/>
                <w:sz w:val="24"/>
              </w:rPr>
              <w:t>60%</w:t>
            </w:r>
          </w:p>
        </w:tc>
        <w:tc>
          <w:tcPr>
            <w:tcW w:w="1276" w:type="dxa"/>
            <w:hideMark/>
          </w:tcPr>
          <w:p w:rsidR="001B65FF" w:rsidRDefault="003E4EF4">
            <w:pPr>
              <w:jc w:val="center"/>
              <w:rPr>
                <w:noProof/>
                <w:sz w:val="24"/>
              </w:rPr>
            </w:pPr>
            <w:r>
              <w:rPr>
                <w:noProof/>
                <w:sz w:val="24"/>
              </w:rPr>
              <w:t>45%</w:t>
            </w:r>
          </w:p>
        </w:tc>
        <w:tc>
          <w:tcPr>
            <w:tcW w:w="1275" w:type="dxa"/>
            <w:hideMark/>
          </w:tcPr>
          <w:p w:rsidR="001B65FF" w:rsidRDefault="003E4EF4">
            <w:pPr>
              <w:jc w:val="center"/>
              <w:rPr>
                <w:noProof/>
                <w:sz w:val="24"/>
              </w:rPr>
            </w:pPr>
            <w:r>
              <w:rPr>
                <w:noProof/>
                <w:sz w:val="24"/>
              </w:rPr>
              <w:t>35%</w:t>
            </w:r>
          </w:p>
        </w:tc>
        <w:tc>
          <w:tcPr>
            <w:tcW w:w="1242" w:type="dxa"/>
            <w:hideMark/>
          </w:tcPr>
          <w:p w:rsidR="001B65FF" w:rsidRDefault="003E4EF4">
            <w:pPr>
              <w:jc w:val="center"/>
              <w:rPr>
                <w:noProof/>
                <w:sz w:val="24"/>
              </w:rPr>
            </w:pPr>
            <w:r>
              <w:rPr>
                <w:noProof/>
                <w:sz w:val="24"/>
              </w:rPr>
              <w:t>35%</w:t>
            </w:r>
          </w:p>
        </w:tc>
      </w:tr>
      <w:tr w:rsidR="001B65FF">
        <w:trPr>
          <w:trHeight w:val="300"/>
        </w:trPr>
        <w:tc>
          <w:tcPr>
            <w:tcW w:w="3983" w:type="dxa"/>
            <w:gridSpan w:val="2"/>
            <w:hideMark/>
          </w:tcPr>
          <w:p w:rsidR="001B65FF" w:rsidRDefault="003E4EF4">
            <w:pPr>
              <w:jc w:val="both"/>
              <w:rPr>
                <w:noProof/>
                <w:sz w:val="24"/>
              </w:rPr>
            </w:pPr>
            <w:r>
              <w:rPr>
                <w:noProof/>
                <w:sz w:val="24"/>
              </w:rPr>
              <w:t>Content data</w:t>
            </w:r>
          </w:p>
        </w:tc>
        <w:tc>
          <w:tcPr>
            <w:tcW w:w="1134" w:type="dxa"/>
            <w:hideMark/>
          </w:tcPr>
          <w:p w:rsidR="001B65FF" w:rsidRDefault="003E4EF4">
            <w:pPr>
              <w:jc w:val="center"/>
              <w:rPr>
                <w:noProof/>
                <w:sz w:val="24"/>
              </w:rPr>
            </w:pPr>
            <w:r>
              <w:rPr>
                <w:noProof/>
                <w:sz w:val="24"/>
              </w:rPr>
              <w:t>55%</w:t>
            </w:r>
          </w:p>
        </w:tc>
        <w:tc>
          <w:tcPr>
            <w:tcW w:w="1276" w:type="dxa"/>
            <w:hideMark/>
          </w:tcPr>
          <w:p w:rsidR="001B65FF" w:rsidRDefault="003E4EF4">
            <w:pPr>
              <w:jc w:val="center"/>
              <w:rPr>
                <w:noProof/>
                <w:sz w:val="24"/>
              </w:rPr>
            </w:pPr>
            <w:r>
              <w:rPr>
                <w:noProof/>
                <w:sz w:val="24"/>
              </w:rPr>
              <w:t>N/A</w:t>
            </w:r>
            <w:r>
              <w:rPr>
                <w:noProof/>
                <w:sz w:val="24"/>
                <w:vertAlign w:val="superscript"/>
              </w:rPr>
              <w:footnoteReference w:id="23"/>
            </w:r>
          </w:p>
        </w:tc>
        <w:tc>
          <w:tcPr>
            <w:tcW w:w="1275" w:type="dxa"/>
            <w:hideMark/>
          </w:tcPr>
          <w:p w:rsidR="001B65FF" w:rsidRDefault="003E4EF4">
            <w:pPr>
              <w:jc w:val="center"/>
              <w:rPr>
                <w:noProof/>
                <w:sz w:val="24"/>
              </w:rPr>
            </w:pPr>
            <w:r>
              <w:rPr>
                <w:noProof/>
                <w:sz w:val="24"/>
              </w:rPr>
              <w:t>30%</w:t>
            </w:r>
          </w:p>
        </w:tc>
        <w:tc>
          <w:tcPr>
            <w:tcW w:w="1242" w:type="dxa"/>
            <w:hideMark/>
          </w:tcPr>
          <w:p w:rsidR="001B65FF" w:rsidRDefault="003E4EF4">
            <w:pPr>
              <w:jc w:val="center"/>
              <w:rPr>
                <w:noProof/>
                <w:sz w:val="24"/>
              </w:rPr>
            </w:pPr>
            <w:r>
              <w:rPr>
                <w:noProof/>
                <w:sz w:val="24"/>
              </w:rPr>
              <w:t>N/A</w:t>
            </w:r>
            <w:r>
              <w:rPr>
                <w:noProof/>
                <w:sz w:val="24"/>
                <w:vertAlign w:val="superscript"/>
              </w:rPr>
              <w:footnoteReference w:id="24"/>
            </w:r>
          </w:p>
        </w:tc>
      </w:tr>
    </w:tbl>
    <w:p w:rsidR="001B65FF" w:rsidRDefault="003E4EF4">
      <w:pPr>
        <w:numPr>
          <w:ilvl w:val="0"/>
          <w:numId w:val="106"/>
        </w:numPr>
        <w:spacing w:before="120" w:after="120"/>
        <w:ind w:left="714" w:hanging="357"/>
        <w:jc w:val="both"/>
        <w:rPr>
          <w:rFonts w:ascii="Times New Roman" w:hAnsi="Times New Roman" w:cs="Times New Roman"/>
          <w:b/>
          <w:noProof/>
          <w:sz w:val="24"/>
        </w:rPr>
      </w:pPr>
      <w:r>
        <w:rPr>
          <w:rFonts w:ascii="Times New Roman" w:hAnsi="Times New Roman" w:cs="Times New Roman"/>
          <w:noProof/>
          <w:sz w:val="24"/>
        </w:rPr>
        <w:t xml:space="preserve">The median of the above responses is </w:t>
      </w:r>
      <w:r>
        <w:rPr>
          <w:rFonts w:ascii="Times New Roman" w:hAnsi="Times New Roman" w:cs="Times New Roman"/>
          <w:b/>
          <w:noProof/>
          <w:sz w:val="24"/>
        </w:rPr>
        <w:t xml:space="preserve">45%. </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 xml:space="preserve">transparency reports </w:t>
      </w:r>
      <w:r>
        <w:rPr>
          <w:rFonts w:ascii="Times New Roman" w:hAnsi="Times New Roman" w:cs="Times New Roman"/>
          <w:noProof/>
          <w:sz w:val="24"/>
        </w:rPr>
        <w:t>include data on the requests from the Member States that are answered,</w:t>
      </w:r>
      <w:r>
        <w:rPr>
          <w:rFonts w:ascii="Times New Roman" w:hAnsi="Times New Roman" w:cs="Times New Roman"/>
          <w:noProof/>
          <w:sz w:val="24"/>
        </w:rPr>
        <w:t xml:space="preserve"> so it is possible to compare this data with the one from the survey:</w:t>
      </w:r>
    </w:p>
    <w:p w:rsidR="001B65FF" w:rsidRDefault="003E4EF4">
      <w:pPr>
        <w:jc w:val="center"/>
        <w:rPr>
          <w:rFonts w:ascii="Times New Roman" w:hAnsi="Times New Roman" w:cs="Times New Roman"/>
          <w:noProof/>
          <w:sz w:val="24"/>
        </w:rPr>
      </w:pPr>
      <w:r>
        <w:rPr>
          <w:rFonts w:ascii="Times New Roman" w:hAnsi="Times New Roman" w:cs="Times New Roman"/>
          <w:i/>
          <w:noProof/>
          <w:sz w:val="24"/>
        </w:rPr>
        <w:t>Figure 3</w:t>
      </w:r>
      <w:r>
        <w:rPr>
          <w:rFonts w:ascii="Times New Roman" w:eastAsia="Calibri" w:hAnsi="Times New Roman" w:cs="Times New Roman"/>
          <w:i/>
          <w:noProof/>
          <w:sz w:val="24"/>
        </w:rPr>
        <w:t>: evolution of the % of requests from Member States answered by service providers</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color w:val="FF0000"/>
          <w:lang w:eastAsia="en-GB"/>
        </w:rPr>
        <w:drawing>
          <wp:inline distT="0" distB="0" distL="0" distR="0" wp14:anchorId="13AF6F74" wp14:editId="4C5369F7">
            <wp:extent cx="5899868" cy="2266122"/>
            <wp:effectExtent l="0" t="0" r="5715"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B65FF" w:rsidRDefault="003E4EF4">
      <w:pPr>
        <w:numPr>
          <w:ilvl w:val="0"/>
          <w:numId w:val="107"/>
        </w:numPr>
        <w:spacing w:before="240"/>
        <w:contextualSpacing/>
        <w:jc w:val="both"/>
        <w:rPr>
          <w:rFonts w:ascii="Times New Roman" w:hAnsi="Times New Roman" w:cs="Times New Roman"/>
          <w:b/>
          <w:noProof/>
          <w:sz w:val="24"/>
        </w:rPr>
      </w:pPr>
      <w:r>
        <w:rPr>
          <w:rFonts w:ascii="Times New Roman" w:hAnsi="Times New Roman" w:cs="Times New Roman"/>
          <w:noProof/>
          <w:sz w:val="24"/>
        </w:rPr>
        <w:t xml:space="preserve">The graph above shows that the response rate has remained </w:t>
      </w:r>
      <w:r>
        <w:rPr>
          <w:rFonts w:ascii="Times New Roman" w:hAnsi="Times New Roman" w:cs="Times New Roman"/>
          <w:b/>
          <w:noProof/>
          <w:sz w:val="24"/>
        </w:rPr>
        <w:t>under 50%</w:t>
      </w:r>
      <w:r>
        <w:rPr>
          <w:rFonts w:ascii="Times New Roman" w:hAnsi="Times New Roman" w:cs="Times New Roman"/>
          <w:noProof/>
          <w:sz w:val="24"/>
        </w:rPr>
        <w:t xml:space="preserve"> in the 2013-2015 period an</w:t>
      </w:r>
      <w:r>
        <w:rPr>
          <w:rFonts w:ascii="Times New Roman" w:hAnsi="Times New Roman" w:cs="Times New Roman"/>
          <w:noProof/>
          <w:sz w:val="24"/>
        </w:rPr>
        <w:t xml:space="preserve">d was more than 50% only in 2016. </w:t>
      </w:r>
    </w:p>
    <w:p w:rsidR="001B65FF" w:rsidRDefault="003E4EF4">
      <w:pPr>
        <w:numPr>
          <w:ilvl w:val="0"/>
          <w:numId w:val="107"/>
        </w:numPr>
        <w:spacing w:before="240"/>
        <w:contextualSpacing/>
        <w:jc w:val="both"/>
        <w:rPr>
          <w:rFonts w:ascii="Times New Roman" w:hAnsi="Times New Roman" w:cs="Times New Roman"/>
          <w:b/>
          <w:noProof/>
          <w:sz w:val="24"/>
        </w:rPr>
      </w:pPr>
      <w:r>
        <w:rPr>
          <w:rFonts w:ascii="Times New Roman" w:hAnsi="Times New Roman" w:cs="Times New Roman"/>
          <w:noProof/>
          <w:sz w:val="24"/>
        </w:rPr>
        <w:t xml:space="preserve">The transparency reports contain information on the number of requests </w:t>
      </w:r>
      <w:r>
        <w:rPr>
          <w:rFonts w:ascii="Times New Roman" w:hAnsi="Times New Roman" w:cs="Times New Roman"/>
          <w:b/>
          <w:noProof/>
          <w:sz w:val="24"/>
        </w:rPr>
        <w:t>answered</w:t>
      </w:r>
      <w:r>
        <w:rPr>
          <w:rFonts w:ascii="Times New Roman" w:hAnsi="Times New Roman" w:cs="Times New Roman"/>
          <w:noProof/>
          <w:sz w:val="24"/>
        </w:rPr>
        <w:t xml:space="preserve">, which might not be necessarily the same as </w:t>
      </w:r>
      <w:r>
        <w:rPr>
          <w:rFonts w:ascii="Times New Roman" w:hAnsi="Times New Roman" w:cs="Times New Roman"/>
          <w:b/>
          <w:noProof/>
          <w:sz w:val="24"/>
        </w:rPr>
        <w:t xml:space="preserve">fulfilled. </w:t>
      </w:r>
      <w:r>
        <w:rPr>
          <w:rFonts w:ascii="Times New Roman" w:hAnsi="Times New Roman" w:cs="Times New Roman"/>
          <w:noProof/>
          <w:sz w:val="24"/>
        </w:rPr>
        <w:t xml:space="preserve">The percentage of requests fulfilled is likely to be </w:t>
      </w:r>
      <w:r>
        <w:rPr>
          <w:rFonts w:ascii="Times New Roman" w:hAnsi="Times New Roman" w:cs="Times New Roman"/>
          <w:b/>
          <w:noProof/>
          <w:sz w:val="24"/>
        </w:rPr>
        <w:t>lower</w:t>
      </w:r>
      <w:r>
        <w:rPr>
          <w:rFonts w:ascii="Times New Roman" w:hAnsi="Times New Roman" w:cs="Times New Roman"/>
          <w:noProof/>
          <w:sz w:val="24"/>
        </w:rPr>
        <w:t xml:space="preserve"> than the percentage of requ</w:t>
      </w:r>
      <w:r>
        <w:rPr>
          <w:rFonts w:ascii="Times New Roman" w:hAnsi="Times New Roman" w:cs="Times New Roman"/>
          <w:noProof/>
          <w:sz w:val="24"/>
        </w:rPr>
        <w:t>ests answered.</w:t>
      </w:r>
    </w:p>
    <w:p w:rsidR="001B65FF" w:rsidRDefault="003E4EF4">
      <w:pPr>
        <w:numPr>
          <w:ilvl w:val="0"/>
          <w:numId w:val="107"/>
        </w:numPr>
        <w:spacing w:before="240"/>
        <w:contextualSpacing/>
        <w:jc w:val="both"/>
        <w:rPr>
          <w:rFonts w:ascii="Times New Roman" w:hAnsi="Times New Roman" w:cs="Times New Roman"/>
          <w:noProof/>
          <w:sz w:val="24"/>
        </w:rPr>
      </w:pPr>
      <w:r>
        <w:rPr>
          <w:rFonts w:ascii="Times New Roman" w:hAnsi="Times New Roman" w:cs="Times New Roman"/>
          <w:noProof/>
          <w:sz w:val="24"/>
        </w:rPr>
        <w:t>The number of outgoing MLA requests to the US is still much smaller than the number of unsuccessful direct cooperation requests. This means that in case a direct cooperation request is unsuccessful, it is only rarely followed-up by a MLA req</w:t>
      </w:r>
      <w:r>
        <w:rPr>
          <w:rFonts w:ascii="Times New Roman" w:hAnsi="Times New Roman" w:cs="Times New Roman"/>
          <w:noProof/>
          <w:sz w:val="24"/>
        </w:rPr>
        <w:t>uest. In these situations, the evidence will not be available for the investigation.</w:t>
      </w:r>
    </w:p>
    <w:p w:rsidR="001B65FF" w:rsidRDefault="003E4EF4">
      <w:pPr>
        <w:numPr>
          <w:ilvl w:val="0"/>
          <w:numId w:val="107"/>
        </w:numPr>
        <w:spacing w:before="240" w:after="0"/>
        <w:contextualSpacing/>
        <w:jc w:val="both"/>
        <w:rPr>
          <w:rFonts w:ascii="Times New Roman" w:hAnsi="Times New Roman" w:cs="Times New Roman"/>
          <w:b/>
          <w:noProof/>
          <w:sz w:val="24"/>
        </w:rPr>
      </w:pPr>
      <w:r>
        <w:rPr>
          <w:rFonts w:ascii="Times New Roman" w:hAnsi="Times New Roman" w:cs="Times New Roman"/>
          <w:noProof/>
          <w:sz w:val="24"/>
        </w:rPr>
        <w:t xml:space="preserve">The period 2013-2016 is likely to have shaped the most the perception of public authorities and their responses to the survey. The median of the percentage of requests answered by service providers in the 2013-2016 period is </w:t>
      </w:r>
      <w:r>
        <w:rPr>
          <w:rFonts w:ascii="Times New Roman" w:hAnsi="Times New Roman" w:cs="Times New Roman"/>
          <w:b/>
          <w:noProof/>
          <w:sz w:val="24"/>
        </w:rPr>
        <w:t>45%</w:t>
      </w:r>
      <w:r>
        <w:rPr>
          <w:rFonts w:ascii="Times New Roman" w:hAnsi="Times New Roman" w:cs="Times New Roman"/>
          <w:noProof/>
          <w:sz w:val="24"/>
        </w:rPr>
        <w:t xml:space="preserve">, which is indeed the </w:t>
      </w:r>
      <w:r>
        <w:rPr>
          <w:rFonts w:ascii="Times New Roman" w:hAnsi="Times New Roman" w:cs="Times New Roman"/>
          <w:b/>
          <w:noProof/>
          <w:sz w:val="24"/>
        </w:rPr>
        <w:t>same e</w:t>
      </w:r>
      <w:r>
        <w:rPr>
          <w:rFonts w:ascii="Times New Roman" w:hAnsi="Times New Roman" w:cs="Times New Roman"/>
          <w:b/>
          <w:noProof/>
          <w:sz w:val="24"/>
        </w:rPr>
        <w:t>stimate</w:t>
      </w:r>
      <w:r>
        <w:rPr>
          <w:rFonts w:ascii="Times New Roman" w:hAnsi="Times New Roman" w:cs="Times New Roman"/>
          <w:noProof/>
          <w:sz w:val="24"/>
        </w:rPr>
        <w:t xml:space="preserve"> obtained in the survey.</w:t>
      </w:r>
    </w:p>
    <w:p w:rsidR="001B65FF" w:rsidRDefault="003E4EF4">
      <w:pPr>
        <w:spacing w:before="120" w:after="120"/>
        <w:jc w:val="both"/>
        <w:rPr>
          <w:rFonts w:ascii="Times New Roman" w:hAnsi="Times New Roman" w:cs="Times New Roman"/>
          <w:b/>
          <w:noProof/>
          <w:sz w:val="24"/>
        </w:rPr>
      </w:pPr>
      <w:r>
        <w:rPr>
          <w:rFonts w:ascii="Times New Roman" w:hAnsi="Times New Roman" w:cs="Times New Roman"/>
          <w:noProof/>
          <w:sz w:val="24"/>
        </w:rPr>
        <w:t xml:space="preserve">The transparency reports and the targeted survey to Member States indicate that a request could remain unfulfilled for a variety of reasons, including that the request is sent to a provider who does not hold the data, it is </w:t>
      </w:r>
      <w:r>
        <w:rPr>
          <w:rFonts w:ascii="Times New Roman" w:hAnsi="Times New Roman" w:cs="Times New Roman"/>
          <w:noProof/>
          <w:sz w:val="24"/>
        </w:rPr>
        <w:t>excessively broad or unclear, it fails to specify an (existing) account or sought information, it does not have a valid legal basis or the data sought no longer exists.</w:t>
      </w:r>
    </w:p>
    <w:p w:rsidR="001B65FF" w:rsidRDefault="003E4EF4">
      <w:pPr>
        <w:numPr>
          <w:ilvl w:val="0"/>
          <w:numId w:val="105"/>
        </w:numPr>
        <w:spacing w:after="120"/>
        <w:ind w:left="357" w:hanging="357"/>
        <w:jc w:val="both"/>
        <w:rPr>
          <w:rFonts w:ascii="Times New Roman" w:hAnsi="Times New Roman" w:cs="Times New Roman"/>
          <w:noProof/>
          <w:sz w:val="24"/>
        </w:rPr>
      </w:pPr>
      <w:r>
        <w:rPr>
          <w:rFonts w:ascii="Times New Roman" w:hAnsi="Times New Roman" w:cs="Times New Roman"/>
          <w:noProof/>
          <w:sz w:val="24"/>
        </w:rPr>
        <w:t xml:space="preserve">Percentage of crimes involving cross-border access to e-evidence that </w:t>
      </w:r>
      <w:r>
        <w:rPr>
          <w:rFonts w:ascii="Times New Roman" w:hAnsi="Times New Roman" w:cs="Times New Roman"/>
          <w:b/>
          <w:noProof/>
          <w:sz w:val="24"/>
        </w:rPr>
        <w:t>cannot be effecti</w:t>
      </w:r>
      <w:r>
        <w:rPr>
          <w:rFonts w:ascii="Times New Roman" w:hAnsi="Times New Roman" w:cs="Times New Roman"/>
          <w:b/>
          <w:noProof/>
          <w:sz w:val="24"/>
        </w:rPr>
        <w:t>vely investigated or prosecuted</w:t>
      </w:r>
      <w:r>
        <w:rPr>
          <w:rFonts w:ascii="Times New Roman" w:hAnsi="Times New Roman" w:cs="Times New Roman"/>
          <w:noProof/>
          <w:sz w:val="24"/>
        </w:rPr>
        <w:t>.</w:t>
      </w:r>
    </w:p>
    <w:p w:rsidR="001B65FF" w:rsidRDefault="003E4EF4">
      <w:pPr>
        <w:pBdr>
          <w:top w:val="single" w:sz="4" w:space="1" w:color="auto"/>
          <w:left w:val="single" w:sz="4" w:space="4" w:color="auto"/>
          <w:bottom w:val="single" w:sz="4" w:space="1" w:color="auto"/>
          <w:right w:val="single" w:sz="4" w:space="4" w:color="auto"/>
        </w:pBdr>
        <w:ind w:left="360"/>
        <w:jc w:val="center"/>
        <w:rPr>
          <w:rFonts w:ascii="Times New Roman" w:hAnsi="Times New Roman" w:cs="Times New Roman"/>
          <w:noProof/>
          <w:sz w:val="24"/>
        </w:rPr>
      </w:pPr>
      <w:r>
        <w:rPr>
          <w:rFonts w:ascii="Times New Roman" w:hAnsi="Times New Roman" w:cs="Times New Roman"/>
          <w:noProof/>
          <w:sz w:val="24"/>
        </w:rPr>
        <w:t xml:space="preserve">Almost </w:t>
      </w:r>
      <w:r>
        <w:rPr>
          <w:rFonts w:ascii="Times New Roman" w:hAnsi="Times New Roman" w:cs="Times New Roman"/>
          <w:b/>
          <w:noProof/>
          <w:sz w:val="24"/>
        </w:rPr>
        <w:t xml:space="preserve">two thirds </w:t>
      </w:r>
      <w:r>
        <w:rPr>
          <w:rFonts w:ascii="Times New Roman" w:hAnsi="Times New Roman" w:cs="Times New Roman"/>
          <w:noProof/>
          <w:sz w:val="24"/>
        </w:rPr>
        <w:t xml:space="preserve">of crimes involving cross-border access to e-evidence </w:t>
      </w:r>
      <w:r>
        <w:rPr>
          <w:rFonts w:ascii="Times New Roman" w:hAnsi="Times New Roman" w:cs="Times New Roman"/>
          <w:b/>
          <w:noProof/>
          <w:sz w:val="24"/>
        </w:rPr>
        <w:t>cannot be effectively investigated or prosecuted.</w:t>
      </w:r>
    </w:p>
    <w:p w:rsidR="001B65FF" w:rsidRDefault="003E4EF4">
      <w:pPr>
        <w:numPr>
          <w:ilvl w:val="0"/>
          <w:numId w:val="106"/>
        </w:numPr>
        <w:spacing w:before="240" w:after="240"/>
        <w:ind w:left="714" w:hanging="357"/>
        <w:contextualSpacing/>
        <w:jc w:val="both"/>
        <w:rPr>
          <w:rFonts w:ascii="Times New Roman" w:hAnsi="Times New Roman" w:cs="Times New Roman"/>
          <w:noProof/>
          <w:sz w:val="24"/>
        </w:rPr>
      </w:pPr>
      <w:r>
        <w:rPr>
          <w:rFonts w:ascii="Times New Roman" w:hAnsi="Times New Roman" w:cs="Times New Roman"/>
          <w:noProof/>
          <w:sz w:val="24"/>
        </w:rPr>
        <w:t xml:space="preserve">The table below summarises the responses to the </w:t>
      </w:r>
      <w:r>
        <w:rPr>
          <w:rFonts w:ascii="Times New Roman" w:hAnsi="Times New Roman" w:cs="Times New Roman"/>
          <w:b/>
          <w:noProof/>
          <w:sz w:val="24"/>
        </w:rPr>
        <w:t>survey</w:t>
      </w:r>
      <w:r>
        <w:rPr>
          <w:rFonts w:ascii="Times New Roman" w:hAnsi="Times New Roman" w:cs="Times New Roman"/>
          <w:noProof/>
          <w:sz w:val="24"/>
        </w:rPr>
        <w:t xml:space="preserve"> on the percentage of investigations involving requests to access e-evidence across borders that are negatively affected or cannot be pursued: </w:t>
      </w:r>
    </w:p>
    <w:p w:rsidR="001B65FF" w:rsidRDefault="001B65FF">
      <w:pPr>
        <w:spacing w:before="240" w:after="0"/>
        <w:jc w:val="center"/>
        <w:rPr>
          <w:rFonts w:ascii="Times New Roman" w:hAnsi="Times New Roman" w:cs="Times New Roman"/>
          <w:i/>
          <w:noProof/>
          <w:sz w:val="24"/>
        </w:rPr>
      </w:pPr>
    </w:p>
    <w:p w:rsidR="001B65FF" w:rsidRDefault="003E4EF4">
      <w:pPr>
        <w:spacing w:after="120"/>
        <w:jc w:val="center"/>
        <w:rPr>
          <w:rFonts w:ascii="Times New Roman" w:hAnsi="Times New Roman" w:cs="Times New Roman"/>
          <w:noProof/>
          <w:sz w:val="24"/>
        </w:rPr>
      </w:pPr>
      <w:r>
        <w:rPr>
          <w:rFonts w:ascii="Times New Roman" w:hAnsi="Times New Roman" w:cs="Times New Roman"/>
          <w:i/>
          <w:noProof/>
          <w:sz w:val="24"/>
        </w:rPr>
        <w:t>Table 4</w:t>
      </w:r>
      <w:r>
        <w:rPr>
          <w:rFonts w:ascii="Times New Roman" w:eastAsia="Calibri" w:hAnsi="Times New Roman" w:cs="Times New Roman"/>
          <w:i/>
          <w:noProof/>
          <w:sz w:val="24"/>
        </w:rPr>
        <w:t>: percentage of investigations involving requests to access e-evidence across borders that are negativel</w:t>
      </w:r>
      <w:r>
        <w:rPr>
          <w:rFonts w:ascii="Times New Roman" w:eastAsia="Calibri" w:hAnsi="Times New Roman" w:cs="Times New Roman"/>
          <w:i/>
          <w:noProof/>
          <w:sz w:val="24"/>
        </w:rPr>
        <w:t xml:space="preserve">y affected or cannot be pursued </w:t>
      </w:r>
    </w:p>
    <w:tbl>
      <w:tblPr>
        <w:tblStyle w:val="TableGrid"/>
        <w:tblW w:w="9090" w:type="dxa"/>
        <w:jc w:val="center"/>
        <w:tblInd w:w="320" w:type="dxa"/>
        <w:tblLook w:val="04A0" w:firstRow="1" w:lastRow="0" w:firstColumn="1" w:lastColumn="0" w:noHBand="0" w:noVBand="1"/>
      </w:tblPr>
      <w:tblGrid>
        <w:gridCol w:w="3270"/>
        <w:gridCol w:w="1417"/>
        <w:gridCol w:w="1418"/>
        <w:gridCol w:w="1417"/>
        <w:gridCol w:w="1568"/>
      </w:tblGrid>
      <w:tr w:rsidR="001B65FF">
        <w:trPr>
          <w:trHeight w:val="427"/>
          <w:jc w:val="center"/>
        </w:trPr>
        <w:tc>
          <w:tcPr>
            <w:tcW w:w="3270" w:type="dxa"/>
            <w:vMerge w:val="restart"/>
            <w:hideMark/>
          </w:tcPr>
          <w:p w:rsidR="001B65FF" w:rsidRDefault="001B65FF">
            <w:pPr>
              <w:jc w:val="center"/>
              <w:rPr>
                <w:noProof/>
                <w:sz w:val="24"/>
              </w:rPr>
            </w:pPr>
          </w:p>
          <w:p w:rsidR="001B65FF" w:rsidRDefault="001B65FF">
            <w:pPr>
              <w:jc w:val="both"/>
              <w:rPr>
                <w:noProof/>
                <w:sz w:val="24"/>
              </w:rPr>
            </w:pPr>
          </w:p>
          <w:p w:rsidR="001B65FF" w:rsidRDefault="003E4EF4">
            <w:pPr>
              <w:jc w:val="both"/>
              <w:rPr>
                <w:noProof/>
                <w:sz w:val="24"/>
              </w:rPr>
            </w:pPr>
            <w:r>
              <w:rPr>
                <w:noProof/>
                <w:sz w:val="24"/>
              </w:rPr>
              <w:t>Cause</w:t>
            </w:r>
          </w:p>
        </w:tc>
        <w:tc>
          <w:tcPr>
            <w:tcW w:w="2835" w:type="dxa"/>
            <w:gridSpan w:val="2"/>
            <w:hideMark/>
          </w:tcPr>
          <w:p w:rsidR="001B65FF" w:rsidRDefault="003E4EF4">
            <w:pPr>
              <w:jc w:val="center"/>
              <w:rPr>
                <w:noProof/>
                <w:sz w:val="24"/>
              </w:rPr>
            </w:pPr>
            <w:r>
              <w:rPr>
                <w:noProof/>
                <w:sz w:val="24"/>
              </w:rPr>
              <w:t>Within the EU</w:t>
            </w:r>
          </w:p>
        </w:tc>
        <w:tc>
          <w:tcPr>
            <w:tcW w:w="2985" w:type="dxa"/>
            <w:gridSpan w:val="2"/>
            <w:hideMark/>
          </w:tcPr>
          <w:p w:rsidR="001B65FF" w:rsidRDefault="003E4EF4">
            <w:pPr>
              <w:jc w:val="center"/>
              <w:rPr>
                <w:noProof/>
                <w:sz w:val="24"/>
              </w:rPr>
            </w:pPr>
            <w:r>
              <w:rPr>
                <w:noProof/>
                <w:sz w:val="24"/>
              </w:rPr>
              <w:t>With non-EU countries</w:t>
            </w:r>
          </w:p>
        </w:tc>
      </w:tr>
      <w:tr w:rsidR="001B65FF">
        <w:trPr>
          <w:trHeight w:val="384"/>
          <w:jc w:val="center"/>
        </w:trPr>
        <w:tc>
          <w:tcPr>
            <w:tcW w:w="3270" w:type="dxa"/>
            <w:vMerge/>
            <w:hideMark/>
          </w:tcPr>
          <w:p w:rsidR="001B65FF" w:rsidRDefault="001B65FF">
            <w:pPr>
              <w:jc w:val="both"/>
              <w:rPr>
                <w:noProof/>
                <w:sz w:val="24"/>
              </w:rPr>
            </w:pPr>
          </w:p>
        </w:tc>
        <w:tc>
          <w:tcPr>
            <w:tcW w:w="1417" w:type="dxa"/>
            <w:hideMark/>
          </w:tcPr>
          <w:p w:rsidR="001B65FF" w:rsidRDefault="003E4EF4">
            <w:pPr>
              <w:jc w:val="center"/>
              <w:rPr>
                <w:noProof/>
                <w:sz w:val="24"/>
              </w:rPr>
            </w:pPr>
            <w:r>
              <w:rPr>
                <w:noProof/>
                <w:sz w:val="24"/>
              </w:rPr>
              <w:t xml:space="preserve">Judicial </w:t>
            </w:r>
          </w:p>
        </w:tc>
        <w:tc>
          <w:tcPr>
            <w:tcW w:w="1418" w:type="dxa"/>
            <w:hideMark/>
          </w:tcPr>
          <w:p w:rsidR="001B65FF" w:rsidRDefault="003E4EF4">
            <w:pPr>
              <w:jc w:val="center"/>
              <w:rPr>
                <w:noProof/>
                <w:sz w:val="24"/>
              </w:rPr>
            </w:pPr>
            <w:r>
              <w:rPr>
                <w:noProof/>
                <w:sz w:val="24"/>
              </w:rPr>
              <w:t xml:space="preserve">Direct </w:t>
            </w:r>
          </w:p>
        </w:tc>
        <w:tc>
          <w:tcPr>
            <w:tcW w:w="1417" w:type="dxa"/>
            <w:hideMark/>
          </w:tcPr>
          <w:p w:rsidR="001B65FF" w:rsidRDefault="003E4EF4">
            <w:pPr>
              <w:jc w:val="center"/>
              <w:rPr>
                <w:noProof/>
                <w:sz w:val="24"/>
              </w:rPr>
            </w:pPr>
            <w:r>
              <w:rPr>
                <w:noProof/>
                <w:sz w:val="24"/>
              </w:rPr>
              <w:t xml:space="preserve">Judicial </w:t>
            </w:r>
          </w:p>
        </w:tc>
        <w:tc>
          <w:tcPr>
            <w:tcW w:w="1568" w:type="dxa"/>
            <w:hideMark/>
          </w:tcPr>
          <w:p w:rsidR="001B65FF" w:rsidRDefault="003E4EF4">
            <w:pPr>
              <w:jc w:val="center"/>
              <w:rPr>
                <w:noProof/>
                <w:sz w:val="24"/>
              </w:rPr>
            </w:pPr>
            <w:r>
              <w:rPr>
                <w:noProof/>
                <w:sz w:val="24"/>
              </w:rPr>
              <w:t xml:space="preserve">Direct </w:t>
            </w:r>
          </w:p>
        </w:tc>
      </w:tr>
      <w:tr w:rsidR="001B65FF">
        <w:trPr>
          <w:trHeight w:val="306"/>
          <w:jc w:val="center"/>
        </w:trPr>
        <w:tc>
          <w:tcPr>
            <w:tcW w:w="3270" w:type="dxa"/>
            <w:hideMark/>
          </w:tcPr>
          <w:p w:rsidR="001B65FF" w:rsidRDefault="003E4EF4">
            <w:pPr>
              <w:rPr>
                <w:noProof/>
                <w:sz w:val="24"/>
              </w:rPr>
            </w:pPr>
            <w:r>
              <w:rPr>
                <w:noProof/>
                <w:sz w:val="24"/>
              </w:rPr>
              <w:t>Lack of timely access</w:t>
            </w:r>
            <w:r>
              <w:rPr>
                <w:noProof/>
                <w:sz w:val="24"/>
                <w:vertAlign w:val="superscript"/>
              </w:rPr>
              <w:footnoteReference w:id="25"/>
            </w:r>
          </w:p>
        </w:tc>
        <w:tc>
          <w:tcPr>
            <w:tcW w:w="1417" w:type="dxa"/>
            <w:hideMark/>
          </w:tcPr>
          <w:p w:rsidR="001B65FF" w:rsidRDefault="003E4EF4">
            <w:pPr>
              <w:jc w:val="center"/>
              <w:rPr>
                <w:noProof/>
                <w:sz w:val="24"/>
              </w:rPr>
            </w:pPr>
            <w:r>
              <w:rPr>
                <w:noProof/>
                <w:sz w:val="24"/>
              </w:rPr>
              <w:t>35%</w:t>
            </w:r>
          </w:p>
        </w:tc>
        <w:tc>
          <w:tcPr>
            <w:tcW w:w="1418" w:type="dxa"/>
            <w:hideMark/>
          </w:tcPr>
          <w:p w:rsidR="001B65FF" w:rsidRDefault="003E4EF4">
            <w:pPr>
              <w:jc w:val="center"/>
              <w:rPr>
                <w:noProof/>
                <w:sz w:val="24"/>
              </w:rPr>
            </w:pPr>
            <w:r>
              <w:rPr>
                <w:noProof/>
                <w:sz w:val="24"/>
              </w:rPr>
              <w:t>25%</w:t>
            </w:r>
          </w:p>
        </w:tc>
        <w:tc>
          <w:tcPr>
            <w:tcW w:w="1417" w:type="dxa"/>
            <w:hideMark/>
          </w:tcPr>
          <w:p w:rsidR="001B65FF" w:rsidRDefault="003E4EF4">
            <w:pPr>
              <w:jc w:val="center"/>
              <w:rPr>
                <w:noProof/>
                <w:sz w:val="24"/>
              </w:rPr>
            </w:pPr>
            <w:r>
              <w:rPr>
                <w:noProof/>
                <w:sz w:val="24"/>
              </w:rPr>
              <w:t>45%</w:t>
            </w:r>
          </w:p>
        </w:tc>
        <w:tc>
          <w:tcPr>
            <w:tcW w:w="1568" w:type="dxa"/>
            <w:hideMark/>
          </w:tcPr>
          <w:p w:rsidR="001B65FF" w:rsidRDefault="003E4EF4">
            <w:pPr>
              <w:jc w:val="center"/>
              <w:rPr>
                <w:noProof/>
                <w:sz w:val="24"/>
              </w:rPr>
            </w:pPr>
            <w:r>
              <w:rPr>
                <w:noProof/>
                <w:sz w:val="24"/>
              </w:rPr>
              <w:t>15%</w:t>
            </w:r>
          </w:p>
        </w:tc>
      </w:tr>
      <w:tr w:rsidR="001B65FF">
        <w:trPr>
          <w:trHeight w:val="326"/>
          <w:jc w:val="center"/>
        </w:trPr>
        <w:tc>
          <w:tcPr>
            <w:tcW w:w="3270" w:type="dxa"/>
            <w:hideMark/>
          </w:tcPr>
          <w:p w:rsidR="001B65FF" w:rsidRDefault="003E4EF4">
            <w:pPr>
              <w:rPr>
                <w:noProof/>
                <w:sz w:val="24"/>
              </w:rPr>
            </w:pPr>
            <w:r>
              <w:rPr>
                <w:noProof/>
                <w:sz w:val="24"/>
              </w:rPr>
              <w:t>Lack of access (access denied)</w:t>
            </w:r>
          </w:p>
        </w:tc>
        <w:tc>
          <w:tcPr>
            <w:tcW w:w="1417" w:type="dxa"/>
            <w:hideMark/>
          </w:tcPr>
          <w:p w:rsidR="001B65FF" w:rsidRDefault="003E4EF4">
            <w:pPr>
              <w:jc w:val="center"/>
              <w:rPr>
                <w:noProof/>
                <w:sz w:val="24"/>
              </w:rPr>
            </w:pPr>
            <w:r>
              <w:rPr>
                <w:noProof/>
                <w:sz w:val="24"/>
              </w:rPr>
              <w:t>25%</w:t>
            </w:r>
          </w:p>
        </w:tc>
        <w:tc>
          <w:tcPr>
            <w:tcW w:w="1418" w:type="dxa"/>
            <w:hideMark/>
          </w:tcPr>
          <w:p w:rsidR="001B65FF" w:rsidRDefault="003E4EF4">
            <w:pPr>
              <w:jc w:val="center"/>
              <w:rPr>
                <w:noProof/>
                <w:sz w:val="24"/>
              </w:rPr>
            </w:pPr>
            <w:r>
              <w:rPr>
                <w:noProof/>
                <w:sz w:val="24"/>
              </w:rPr>
              <w:t>25%</w:t>
            </w:r>
          </w:p>
        </w:tc>
        <w:tc>
          <w:tcPr>
            <w:tcW w:w="1417" w:type="dxa"/>
            <w:hideMark/>
          </w:tcPr>
          <w:p w:rsidR="001B65FF" w:rsidRDefault="003E4EF4">
            <w:pPr>
              <w:jc w:val="center"/>
              <w:rPr>
                <w:noProof/>
                <w:sz w:val="24"/>
              </w:rPr>
            </w:pPr>
            <w:r>
              <w:rPr>
                <w:noProof/>
                <w:sz w:val="24"/>
              </w:rPr>
              <w:t>25%</w:t>
            </w:r>
          </w:p>
        </w:tc>
        <w:tc>
          <w:tcPr>
            <w:tcW w:w="1568" w:type="dxa"/>
            <w:hideMark/>
          </w:tcPr>
          <w:p w:rsidR="001B65FF" w:rsidRDefault="003E4EF4">
            <w:pPr>
              <w:jc w:val="center"/>
              <w:rPr>
                <w:noProof/>
                <w:sz w:val="24"/>
              </w:rPr>
            </w:pPr>
            <w:r>
              <w:rPr>
                <w:noProof/>
                <w:sz w:val="24"/>
              </w:rPr>
              <w:t>15%</w:t>
            </w:r>
          </w:p>
        </w:tc>
      </w:tr>
      <w:tr w:rsidR="001B65FF">
        <w:trPr>
          <w:trHeight w:val="300"/>
          <w:jc w:val="center"/>
        </w:trPr>
        <w:tc>
          <w:tcPr>
            <w:tcW w:w="3270" w:type="dxa"/>
            <w:hideMark/>
          </w:tcPr>
          <w:p w:rsidR="001B65FF" w:rsidRDefault="003E4EF4">
            <w:pPr>
              <w:jc w:val="both"/>
              <w:rPr>
                <w:noProof/>
                <w:sz w:val="24"/>
              </w:rPr>
            </w:pPr>
            <w:r>
              <w:rPr>
                <w:noProof/>
                <w:sz w:val="24"/>
              </w:rPr>
              <w:t>Other</w:t>
            </w:r>
          </w:p>
        </w:tc>
        <w:tc>
          <w:tcPr>
            <w:tcW w:w="1417" w:type="dxa"/>
            <w:hideMark/>
          </w:tcPr>
          <w:p w:rsidR="001B65FF" w:rsidRDefault="003E4EF4">
            <w:pPr>
              <w:jc w:val="center"/>
              <w:rPr>
                <w:noProof/>
                <w:sz w:val="24"/>
              </w:rPr>
            </w:pPr>
            <w:r>
              <w:rPr>
                <w:noProof/>
                <w:sz w:val="24"/>
              </w:rPr>
              <w:t>15%</w:t>
            </w:r>
          </w:p>
        </w:tc>
        <w:tc>
          <w:tcPr>
            <w:tcW w:w="1418" w:type="dxa"/>
            <w:hideMark/>
          </w:tcPr>
          <w:p w:rsidR="001B65FF" w:rsidRDefault="003E4EF4">
            <w:pPr>
              <w:jc w:val="center"/>
              <w:rPr>
                <w:noProof/>
                <w:sz w:val="24"/>
              </w:rPr>
            </w:pPr>
            <w:r>
              <w:rPr>
                <w:noProof/>
                <w:sz w:val="24"/>
              </w:rPr>
              <w:t>5%</w:t>
            </w:r>
          </w:p>
        </w:tc>
        <w:tc>
          <w:tcPr>
            <w:tcW w:w="1417" w:type="dxa"/>
            <w:hideMark/>
          </w:tcPr>
          <w:p w:rsidR="001B65FF" w:rsidRDefault="003E4EF4">
            <w:pPr>
              <w:jc w:val="center"/>
              <w:rPr>
                <w:noProof/>
                <w:sz w:val="24"/>
              </w:rPr>
            </w:pPr>
            <w:r>
              <w:rPr>
                <w:noProof/>
                <w:sz w:val="24"/>
              </w:rPr>
              <w:t>15%</w:t>
            </w:r>
          </w:p>
        </w:tc>
        <w:tc>
          <w:tcPr>
            <w:tcW w:w="1568" w:type="dxa"/>
            <w:hideMark/>
          </w:tcPr>
          <w:p w:rsidR="001B65FF" w:rsidRDefault="003E4EF4">
            <w:pPr>
              <w:jc w:val="center"/>
              <w:rPr>
                <w:noProof/>
                <w:sz w:val="24"/>
              </w:rPr>
            </w:pPr>
            <w:r>
              <w:rPr>
                <w:noProof/>
                <w:sz w:val="24"/>
              </w:rPr>
              <w:t>10%</w:t>
            </w:r>
          </w:p>
        </w:tc>
      </w:tr>
      <w:tr w:rsidR="001B65FF">
        <w:trPr>
          <w:trHeight w:val="151"/>
          <w:jc w:val="center"/>
        </w:trPr>
        <w:tc>
          <w:tcPr>
            <w:tcW w:w="3270" w:type="dxa"/>
            <w:hideMark/>
          </w:tcPr>
          <w:p w:rsidR="001B65FF" w:rsidRDefault="003E4EF4">
            <w:pPr>
              <w:jc w:val="right"/>
              <w:rPr>
                <w:b/>
                <w:noProof/>
                <w:sz w:val="24"/>
              </w:rPr>
            </w:pPr>
            <w:r>
              <w:rPr>
                <w:b/>
                <w:noProof/>
                <w:sz w:val="24"/>
              </w:rPr>
              <w:t>Total</w:t>
            </w:r>
          </w:p>
        </w:tc>
        <w:tc>
          <w:tcPr>
            <w:tcW w:w="1417" w:type="dxa"/>
            <w:noWrap/>
            <w:hideMark/>
          </w:tcPr>
          <w:p w:rsidR="001B65FF" w:rsidRDefault="003E4EF4">
            <w:pPr>
              <w:jc w:val="center"/>
              <w:rPr>
                <w:b/>
                <w:noProof/>
                <w:sz w:val="24"/>
              </w:rPr>
            </w:pPr>
            <w:r>
              <w:rPr>
                <w:b/>
                <w:noProof/>
                <w:sz w:val="24"/>
              </w:rPr>
              <w:t>75%</w:t>
            </w:r>
          </w:p>
        </w:tc>
        <w:tc>
          <w:tcPr>
            <w:tcW w:w="1418" w:type="dxa"/>
            <w:noWrap/>
            <w:hideMark/>
          </w:tcPr>
          <w:p w:rsidR="001B65FF" w:rsidRDefault="003E4EF4">
            <w:pPr>
              <w:jc w:val="center"/>
              <w:rPr>
                <w:b/>
                <w:noProof/>
                <w:sz w:val="24"/>
              </w:rPr>
            </w:pPr>
            <w:r>
              <w:rPr>
                <w:b/>
                <w:noProof/>
                <w:sz w:val="24"/>
              </w:rPr>
              <w:t>55%</w:t>
            </w:r>
          </w:p>
        </w:tc>
        <w:tc>
          <w:tcPr>
            <w:tcW w:w="1417" w:type="dxa"/>
            <w:noWrap/>
            <w:hideMark/>
          </w:tcPr>
          <w:p w:rsidR="001B65FF" w:rsidRDefault="003E4EF4">
            <w:pPr>
              <w:jc w:val="center"/>
              <w:rPr>
                <w:b/>
                <w:noProof/>
                <w:sz w:val="24"/>
              </w:rPr>
            </w:pPr>
            <w:r>
              <w:rPr>
                <w:b/>
                <w:noProof/>
                <w:sz w:val="24"/>
              </w:rPr>
              <w:t>85%</w:t>
            </w:r>
          </w:p>
        </w:tc>
        <w:tc>
          <w:tcPr>
            <w:tcW w:w="1568" w:type="dxa"/>
            <w:noWrap/>
            <w:hideMark/>
          </w:tcPr>
          <w:p w:rsidR="001B65FF" w:rsidRDefault="003E4EF4">
            <w:pPr>
              <w:jc w:val="center"/>
              <w:rPr>
                <w:b/>
                <w:noProof/>
                <w:sz w:val="24"/>
              </w:rPr>
            </w:pPr>
            <w:r>
              <w:rPr>
                <w:b/>
                <w:noProof/>
                <w:sz w:val="24"/>
              </w:rPr>
              <w:t>40%</w:t>
            </w:r>
          </w:p>
        </w:tc>
      </w:tr>
    </w:tbl>
    <w:p w:rsidR="001B65FF" w:rsidRDefault="003E4EF4">
      <w:pPr>
        <w:pStyle w:val="ListParagraph"/>
        <w:numPr>
          <w:ilvl w:val="0"/>
          <w:numId w:val="220"/>
        </w:numPr>
        <w:spacing w:before="240" w:after="0"/>
        <w:jc w:val="both"/>
        <w:rPr>
          <w:rFonts w:ascii="Times New Roman" w:hAnsi="Times New Roman"/>
          <w:b/>
          <w:noProof/>
          <w:sz w:val="24"/>
        </w:rPr>
      </w:pPr>
      <w:r>
        <w:rPr>
          <w:rFonts w:ascii="Times New Roman" w:hAnsi="Times New Roman"/>
          <w:noProof/>
          <w:sz w:val="24"/>
        </w:rPr>
        <w:t xml:space="preserve">The table shows that the </w:t>
      </w:r>
      <w:r>
        <w:rPr>
          <w:rFonts w:ascii="Times New Roman" w:hAnsi="Times New Roman"/>
          <w:b/>
          <w:noProof/>
          <w:sz w:val="24"/>
        </w:rPr>
        <w:t>lack of timely access</w:t>
      </w:r>
      <w:r>
        <w:rPr>
          <w:rFonts w:ascii="Times New Roman" w:hAnsi="Times New Roman"/>
          <w:noProof/>
          <w:sz w:val="24"/>
        </w:rPr>
        <w:t xml:space="preserve"> is more significant when using </w:t>
      </w:r>
      <w:r>
        <w:rPr>
          <w:rFonts w:ascii="Times New Roman" w:hAnsi="Times New Roman"/>
          <w:b/>
          <w:noProof/>
          <w:sz w:val="24"/>
        </w:rPr>
        <w:t>judicial cooperation</w:t>
      </w:r>
      <w:r>
        <w:rPr>
          <w:rFonts w:ascii="Times New Roman" w:hAnsi="Times New Roman"/>
          <w:noProof/>
          <w:sz w:val="24"/>
        </w:rPr>
        <w:t xml:space="preserve"> channels, in particular </w:t>
      </w:r>
      <w:r>
        <w:rPr>
          <w:rFonts w:ascii="Times New Roman" w:hAnsi="Times New Roman"/>
          <w:b/>
          <w:noProof/>
          <w:sz w:val="24"/>
        </w:rPr>
        <w:t>with non-EU</w:t>
      </w:r>
      <w:r>
        <w:rPr>
          <w:rFonts w:ascii="Times New Roman" w:hAnsi="Times New Roman"/>
          <w:noProof/>
          <w:sz w:val="24"/>
        </w:rPr>
        <w:t xml:space="preserve"> countries. </w:t>
      </w:r>
    </w:p>
    <w:p w:rsidR="001B65FF" w:rsidRDefault="003E4EF4">
      <w:pPr>
        <w:numPr>
          <w:ilvl w:val="0"/>
          <w:numId w:val="106"/>
        </w:numPr>
        <w:contextualSpacing/>
        <w:jc w:val="both"/>
        <w:rPr>
          <w:rFonts w:ascii="Times New Roman" w:hAnsi="Times New Roman" w:cs="Times New Roman"/>
          <w:b/>
          <w:noProof/>
          <w:sz w:val="24"/>
        </w:rPr>
      </w:pPr>
      <w:r>
        <w:rPr>
          <w:rFonts w:ascii="Times New Roman" w:hAnsi="Times New Roman" w:cs="Times New Roman"/>
          <w:noProof/>
          <w:sz w:val="24"/>
        </w:rPr>
        <w:t>Direct cooperation seems to be a more efficient channel than judicial cooperation, in particular with service</w:t>
      </w:r>
      <w:r>
        <w:rPr>
          <w:rFonts w:ascii="Times New Roman" w:hAnsi="Times New Roman" w:cs="Times New Roman"/>
          <w:noProof/>
          <w:sz w:val="24"/>
        </w:rPr>
        <w:t xml:space="preserve"> providers based in non-EU countries. Since this channel is based on </w:t>
      </w:r>
      <w:r>
        <w:rPr>
          <w:rFonts w:ascii="Times New Roman" w:hAnsi="Times New Roman" w:cs="Times New Roman"/>
          <w:b/>
          <w:noProof/>
          <w:sz w:val="24"/>
        </w:rPr>
        <w:t>voluntary</w:t>
      </w:r>
      <w:r>
        <w:rPr>
          <w:rFonts w:ascii="Times New Roman" w:hAnsi="Times New Roman" w:cs="Times New Roman"/>
          <w:noProof/>
          <w:sz w:val="24"/>
        </w:rPr>
        <w:t xml:space="preserve"> cooperation, public authorities indicated that they tend to limit their direct cooperation requests to the service providers that </w:t>
      </w:r>
      <w:r>
        <w:rPr>
          <w:rFonts w:ascii="Times New Roman" w:hAnsi="Times New Roman" w:cs="Times New Roman"/>
          <w:b/>
          <w:noProof/>
          <w:sz w:val="24"/>
        </w:rPr>
        <w:t>they know</w:t>
      </w:r>
      <w:r>
        <w:rPr>
          <w:rFonts w:ascii="Times New Roman" w:hAnsi="Times New Roman" w:cs="Times New Roman"/>
          <w:noProof/>
          <w:sz w:val="24"/>
        </w:rPr>
        <w:t xml:space="preserve"> are willing to cooperate, which might</w:t>
      </w:r>
      <w:r>
        <w:rPr>
          <w:rFonts w:ascii="Times New Roman" w:hAnsi="Times New Roman" w:cs="Times New Roman"/>
          <w:noProof/>
          <w:sz w:val="24"/>
        </w:rPr>
        <w:t xml:space="preserve"> also explain the relatively low percentage of investigations negatively affected. In the rest of the cases, judicial cooperation is the only channel left to request access to data across borders, which might also explain the higher percentage of investiga</w:t>
      </w:r>
      <w:r>
        <w:rPr>
          <w:rFonts w:ascii="Times New Roman" w:hAnsi="Times New Roman" w:cs="Times New Roman"/>
          <w:noProof/>
          <w:sz w:val="24"/>
        </w:rPr>
        <w:t>tions negatively affected.</w:t>
      </w:r>
    </w:p>
    <w:p w:rsidR="001B65FF" w:rsidRDefault="003E4EF4">
      <w:pPr>
        <w:numPr>
          <w:ilvl w:val="0"/>
          <w:numId w:val="106"/>
        </w:numPr>
        <w:spacing w:before="240"/>
        <w:contextualSpacing/>
        <w:jc w:val="both"/>
        <w:rPr>
          <w:rFonts w:ascii="Times New Roman" w:hAnsi="Times New Roman" w:cs="Times New Roman"/>
          <w:b/>
          <w:noProof/>
          <w:sz w:val="24"/>
        </w:rPr>
      </w:pPr>
      <w:r>
        <w:rPr>
          <w:rFonts w:ascii="Times New Roman" w:hAnsi="Times New Roman" w:cs="Times New Roman"/>
          <w:noProof/>
          <w:sz w:val="24"/>
        </w:rPr>
        <w:t xml:space="preserve">In addition, direct cooperation is typically limited to non-content requests, whereas judicial cooperation includes also content requests, which are more problematic (see the problem drivers in section 2.2.). </w:t>
      </w:r>
    </w:p>
    <w:p w:rsidR="001B65FF" w:rsidRDefault="003E4EF4">
      <w:pPr>
        <w:numPr>
          <w:ilvl w:val="0"/>
          <w:numId w:val="106"/>
        </w:numPr>
        <w:tabs>
          <w:tab w:val="left" w:pos="90"/>
        </w:tabs>
        <w:contextualSpacing/>
        <w:jc w:val="both"/>
        <w:rPr>
          <w:rFonts w:ascii="Times New Roman" w:eastAsia="Calibri" w:hAnsi="Times New Roman" w:cs="Times New Roman"/>
          <w:noProof/>
          <w:sz w:val="24"/>
        </w:rPr>
      </w:pPr>
      <w:r>
        <w:rPr>
          <w:rFonts w:ascii="Times New Roman" w:hAnsi="Times New Roman" w:cs="Times New Roman"/>
          <w:noProof/>
          <w:sz w:val="24"/>
        </w:rPr>
        <w:t>The median of the a</w:t>
      </w:r>
      <w:r>
        <w:rPr>
          <w:rFonts w:ascii="Times New Roman" w:hAnsi="Times New Roman" w:cs="Times New Roman"/>
          <w:noProof/>
          <w:sz w:val="24"/>
        </w:rPr>
        <w:t xml:space="preserve">bove responses is </w:t>
      </w:r>
      <w:r>
        <w:rPr>
          <w:rFonts w:ascii="Times New Roman" w:hAnsi="Times New Roman" w:cs="Times New Roman"/>
          <w:b/>
          <w:noProof/>
          <w:sz w:val="24"/>
        </w:rPr>
        <w:t>65%</w:t>
      </w:r>
      <w:r>
        <w:rPr>
          <w:rFonts w:ascii="Times New Roman" w:hAnsi="Times New Roman" w:cs="Times New Roman"/>
          <w:noProof/>
          <w:sz w:val="24"/>
        </w:rPr>
        <w:t>:</w:t>
      </w:r>
      <w:r>
        <w:rPr>
          <w:rFonts w:ascii="Times New Roman" w:hAnsi="Times New Roman" w:cs="Times New Roman"/>
          <w:b/>
          <w:noProof/>
          <w:sz w:val="24"/>
        </w:rPr>
        <w:t xml:space="preserve"> </w:t>
      </w:r>
      <w:r>
        <w:rPr>
          <w:rFonts w:ascii="Times New Roman" w:hAnsi="Times New Roman" w:cs="Times New Roman"/>
          <w:noProof/>
          <w:sz w:val="24"/>
        </w:rPr>
        <w:t xml:space="preserve">almost </w:t>
      </w:r>
      <w:r>
        <w:rPr>
          <w:rFonts w:ascii="Times New Roman" w:hAnsi="Times New Roman" w:cs="Times New Roman"/>
          <w:b/>
          <w:noProof/>
          <w:sz w:val="24"/>
        </w:rPr>
        <w:t xml:space="preserve">two thirds </w:t>
      </w:r>
      <w:r>
        <w:rPr>
          <w:rFonts w:ascii="Times New Roman" w:hAnsi="Times New Roman" w:cs="Times New Roman"/>
          <w:noProof/>
          <w:sz w:val="24"/>
        </w:rPr>
        <w:t>of crimes</w:t>
      </w:r>
      <w:r>
        <w:rPr>
          <w:rFonts w:ascii="Times New Roman" w:hAnsi="Times New Roman" w:cs="Times New Roman"/>
          <w:noProof/>
          <w:sz w:val="24"/>
          <w:vertAlign w:val="superscript"/>
        </w:rPr>
        <w:footnoteReference w:id="26"/>
      </w:r>
      <w:r>
        <w:rPr>
          <w:rFonts w:ascii="Times New Roman" w:hAnsi="Times New Roman" w:cs="Times New Roman"/>
          <w:noProof/>
          <w:sz w:val="24"/>
        </w:rPr>
        <w:t xml:space="preserve"> involving cross-border access to e-evidence </w:t>
      </w:r>
      <w:r>
        <w:rPr>
          <w:rFonts w:ascii="Times New Roman" w:hAnsi="Times New Roman" w:cs="Times New Roman"/>
          <w:b/>
          <w:noProof/>
          <w:sz w:val="24"/>
        </w:rPr>
        <w:t>cannot be effectively investigated or prosecuted.</w:t>
      </w:r>
    </w:p>
    <w:p w:rsidR="001B65FF" w:rsidRDefault="001B65FF">
      <w:pPr>
        <w:tabs>
          <w:tab w:val="left" w:pos="90"/>
        </w:tabs>
        <w:contextualSpacing/>
        <w:jc w:val="both"/>
        <w:rPr>
          <w:rFonts w:ascii="Times New Roman" w:eastAsia="Calibri" w:hAnsi="Times New Roman" w:cs="Times New Roman"/>
          <w:noProof/>
          <w:sz w:val="24"/>
        </w:rPr>
      </w:pPr>
    </w:p>
    <w:p w:rsidR="001B65FF" w:rsidRDefault="003E4EF4">
      <w:pPr>
        <w:keepNext/>
        <w:numPr>
          <w:ilvl w:val="2"/>
          <w:numId w:val="3"/>
        </w:numPr>
        <w:tabs>
          <w:tab w:val="clear" w:pos="1920"/>
        </w:tabs>
        <w:spacing w:after="240" w:line="240" w:lineRule="auto"/>
        <w:ind w:left="720"/>
        <w:jc w:val="both"/>
        <w:outlineLvl w:val="2"/>
        <w:rPr>
          <w:rFonts w:ascii="Times New Roman" w:eastAsia="Times New Roman" w:hAnsi="Times New Roman" w:cs="Times New Roman"/>
          <w:noProof/>
          <w:sz w:val="24"/>
          <w:szCs w:val="20"/>
        </w:rPr>
      </w:pPr>
      <w:bookmarkStart w:id="88" w:name="_Toc499128323"/>
      <w:bookmarkStart w:id="89" w:name="_Toc499129437"/>
      <w:bookmarkStart w:id="90" w:name="_Toc499129948"/>
      <w:bookmarkStart w:id="91" w:name="_Toc499134740"/>
      <w:bookmarkStart w:id="92" w:name="_Toc499138133"/>
      <w:bookmarkStart w:id="93" w:name="_Toc499138272"/>
      <w:bookmarkStart w:id="94" w:name="_Toc499138534"/>
      <w:bookmarkStart w:id="95" w:name="_Toc499140878"/>
      <w:bookmarkStart w:id="96" w:name="_Toc499141166"/>
      <w:bookmarkStart w:id="97" w:name="_Toc499142797"/>
      <w:bookmarkStart w:id="98" w:name="_Toc499143242"/>
      <w:bookmarkStart w:id="99" w:name="_Toc499128324"/>
      <w:bookmarkStart w:id="100" w:name="_Toc499129438"/>
      <w:bookmarkStart w:id="101" w:name="_Toc499129949"/>
      <w:bookmarkStart w:id="102" w:name="_Toc499134741"/>
      <w:bookmarkStart w:id="103" w:name="_Toc499138134"/>
      <w:bookmarkStart w:id="104" w:name="_Toc499138273"/>
      <w:bookmarkStart w:id="105" w:name="_Toc499138535"/>
      <w:bookmarkStart w:id="106" w:name="_Toc499140879"/>
      <w:bookmarkStart w:id="107" w:name="_Toc499141167"/>
      <w:bookmarkStart w:id="108" w:name="_Toc499142798"/>
      <w:bookmarkStart w:id="109" w:name="_Toc499143243"/>
      <w:bookmarkStart w:id="110" w:name="_Toc497927241"/>
      <w:bookmarkStart w:id="111" w:name="_Toc497927854"/>
      <w:bookmarkStart w:id="112" w:name="_Toc497928120"/>
      <w:bookmarkStart w:id="113" w:name="_Toc498509612"/>
      <w:bookmarkStart w:id="114" w:name="_Toc498521201"/>
      <w:bookmarkStart w:id="115" w:name="_Toc498701910"/>
      <w:bookmarkStart w:id="116" w:name="_Toc498704677"/>
      <w:bookmarkStart w:id="117" w:name="_Toc499020433"/>
      <w:bookmarkStart w:id="118" w:name="_Toc499030336"/>
      <w:bookmarkStart w:id="119" w:name="_Toc499044913"/>
      <w:bookmarkStart w:id="120" w:name="_Toc499051294"/>
      <w:bookmarkStart w:id="121" w:name="_Toc499133283"/>
      <w:bookmarkStart w:id="122" w:name="_Toc499142799"/>
      <w:bookmarkStart w:id="123" w:name="_Toc510952849"/>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ascii="Times New Roman" w:eastAsia="Times New Roman" w:hAnsi="Times New Roman" w:cs="Times New Roman"/>
          <w:noProof/>
          <w:sz w:val="24"/>
          <w:szCs w:val="20"/>
        </w:rPr>
        <w:t>Cross-border dimension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1B65FF" w:rsidRDefault="003E4EF4">
      <w:pPr>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This initiative covers a variety of crimes with an increasing cross-border dimension. </w:t>
      </w:r>
      <w:r>
        <w:rPr>
          <w:rFonts w:ascii="Times New Roman" w:eastAsia="Times New Roman" w:hAnsi="Times New Roman" w:cs="Times New Roman"/>
          <w:noProof/>
          <w:sz w:val="24"/>
          <w:szCs w:val="20"/>
        </w:rPr>
        <w:t>To illustrate this, consider Hans, a German prosecutor who has to deal with cases such as</w:t>
      </w:r>
      <w:r>
        <w:rPr>
          <w:rFonts w:ascii="Times New Roman" w:eastAsia="Times New Roman" w:hAnsi="Times New Roman" w:cs="Times New Roman"/>
          <w:noProof/>
          <w:sz w:val="24"/>
          <w:szCs w:val="20"/>
          <w:vertAlign w:val="superscript"/>
        </w:rPr>
        <w:footnoteReference w:id="27"/>
      </w:r>
      <w:r>
        <w:rPr>
          <w:rFonts w:ascii="Times New Roman" w:eastAsia="Times New Roman" w:hAnsi="Times New Roman" w:cs="Times New Roman"/>
          <w:noProof/>
          <w:sz w:val="24"/>
          <w:szCs w:val="20"/>
        </w:rPr>
        <w:t>:</w:t>
      </w:r>
    </w:p>
    <w:p w:rsidR="001B65FF" w:rsidRDefault="003E4EF4">
      <w:pPr>
        <w:numPr>
          <w:ilvl w:val="0"/>
          <w:numId w:val="17"/>
        </w:numPr>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u w:val="single"/>
        </w:rPr>
        <w:t>Terrorism</w:t>
      </w:r>
      <w:r>
        <w:rPr>
          <w:rFonts w:ascii="Times New Roman" w:eastAsia="Times New Roman" w:hAnsi="Times New Roman" w:cs="Times New Roman"/>
          <w:noProof/>
          <w:sz w:val="24"/>
          <w:szCs w:val="20"/>
        </w:rPr>
        <w:t xml:space="preserve">: after a terrorist attack in </w:t>
      </w:r>
      <w:r>
        <w:rPr>
          <w:rFonts w:ascii="Times New Roman" w:eastAsia="Times New Roman" w:hAnsi="Times New Roman" w:cs="Times New Roman"/>
          <w:b/>
          <w:noProof/>
          <w:sz w:val="24"/>
          <w:szCs w:val="20"/>
        </w:rPr>
        <w:t>Germany</w:t>
      </w:r>
      <w:r>
        <w:rPr>
          <w:rFonts w:ascii="Times New Roman" w:eastAsia="Times New Roman" w:hAnsi="Times New Roman" w:cs="Times New Roman"/>
          <w:noProof/>
          <w:sz w:val="24"/>
          <w:szCs w:val="20"/>
        </w:rPr>
        <w:t>, the German police find connections of the suspect terrorist to a cell that has been involved in other terrorist atta</w:t>
      </w:r>
      <w:r>
        <w:rPr>
          <w:rFonts w:ascii="Times New Roman" w:eastAsia="Times New Roman" w:hAnsi="Times New Roman" w:cs="Times New Roman"/>
          <w:noProof/>
          <w:sz w:val="24"/>
          <w:szCs w:val="20"/>
        </w:rPr>
        <w:t xml:space="preserve">cks in </w:t>
      </w:r>
      <w:r>
        <w:rPr>
          <w:rFonts w:ascii="Times New Roman" w:eastAsia="Times New Roman" w:hAnsi="Times New Roman" w:cs="Times New Roman"/>
          <w:b/>
          <w:noProof/>
          <w:sz w:val="24"/>
          <w:szCs w:val="20"/>
        </w:rPr>
        <w:t>France, Belgium and Spain</w:t>
      </w:r>
      <w:r>
        <w:rPr>
          <w:rFonts w:ascii="Times New Roman" w:eastAsia="Times New Roman" w:hAnsi="Times New Roman" w:cs="Times New Roman"/>
          <w:noProof/>
          <w:sz w:val="24"/>
          <w:szCs w:val="20"/>
        </w:rPr>
        <w:t xml:space="preserve">. The suspect has spent time in </w:t>
      </w:r>
      <w:r>
        <w:rPr>
          <w:rFonts w:ascii="Times New Roman" w:eastAsia="Times New Roman" w:hAnsi="Times New Roman" w:cs="Times New Roman"/>
          <w:b/>
          <w:noProof/>
          <w:sz w:val="24"/>
          <w:szCs w:val="20"/>
        </w:rPr>
        <w:t>Syria, Turkey and Morocco</w:t>
      </w:r>
      <w:r>
        <w:rPr>
          <w:rFonts w:ascii="Times New Roman" w:eastAsia="Times New Roman" w:hAnsi="Times New Roman" w:cs="Times New Roman"/>
          <w:noProof/>
          <w:sz w:val="24"/>
          <w:szCs w:val="20"/>
        </w:rPr>
        <w:t>. The German police have indications that the terrorists communicated through email drafts: one terrorist drafted an email and instead of sending it, saved it to the d</w:t>
      </w:r>
      <w:r>
        <w:rPr>
          <w:rFonts w:ascii="Times New Roman" w:eastAsia="Times New Roman" w:hAnsi="Times New Roman" w:cs="Times New Roman"/>
          <w:noProof/>
          <w:sz w:val="24"/>
          <w:szCs w:val="20"/>
        </w:rPr>
        <w:t xml:space="preserve">raft folder, accessible online from anywhere in the world. The other terrorist opened the same account and read the message. As the email was never sent, it was not possible to track. The Microsoft server hosting the account is in </w:t>
      </w:r>
      <w:r>
        <w:rPr>
          <w:rFonts w:ascii="Times New Roman" w:eastAsia="Times New Roman" w:hAnsi="Times New Roman" w:cs="Times New Roman"/>
          <w:b/>
          <w:noProof/>
          <w:sz w:val="24"/>
          <w:szCs w:val="20"/>
        </w:rPr>
        <w:t>Ireland</w:t>
      </w:r>
      <w:r>
        <w:rPr>
          <w:rFonts w:ascii="Times New Roman" w:eastAsia="Times New Roman" w:hAnsi="Times New Roman" w:cs="Times New Roman"/>
          <w:noProof/>
          <w:sz w:val="24"/>
          <w:szCs w:val="20"/>
        </w:rPr>
        <w:t>. Hans prepares an</w:t>
      </w:r>
      <w:r>
        <w:rPr>
          <w:rFonts w:ascii="Times New Roman" w:eastAsia="Times New Roman" w:hAnsi="Times New Roman" w:cs="Times New Roman"/>
          <w:noProof/>
          <w:sz w:val="24"/>
          <w:szCs w:val="20"/>
        </w:rPr>
        <w:t xml:space="preserve"> MLAT request to the Irish authorities in order to gather more information about the suspect terrorist’s email account contents. </w:t>
      </w:r>
    </w:p>
    <w:p w:rsidR="001B65FF" w:rsidRDefault="003E4EF4">
      <w:pPr>
        <w:numPr>
          <w:ilvl w:val="0"/>
          <w:numId w:val="17"/>
        </w:numPr>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u w:val="single"/>
        </w:rPr>
        <w:t>Child sexual abuse</w:t>
      </w:r>
      <w:r>
        <w:rPr>
          <w:rFonts w:ascii="Times New Roman" w:eastAsia="Times New Roman" w:hAnsi="Times New Roman" w:cs="Times New Roman"/>
          <w:noProof/>
          <w:sz w:val="24"/>
          <w:szCs w:val="20"/>
        </w:rPr>
        <w:t xml:space="preserve">: after having infiltrated a website for exchanging child sexual abuse material in the Darknet for more than a year, the </w:t>
      </w:r>
      <w:r>
        <w:rPr>
          <w:rFonts w:ascii="Times New Roman" w:eastAsia="Times New Roman" w:hAnsi="Times New Roman" w:cs="Times New Roman"/>
          <w:b/>
          <w:noProof/>
          <w:sz w:val="24"/>
          <w:szCs w:val="20"/>
        </w:rPr>
        <w:t>Australian</w:t>
      </w:r>
      <w:r>
        <w:rPr>
          <w:rFonts w:ascii="Times New Roman" w:eastAsia="Times New Roman" w:hAnsi="Times New Roman" w:cs="Times New Roman"/>
          <w:noProof/>
          <w:sz w:val="24"/>
          <w:szCs w:val="20"/>
        </w:rPr>
        <w:t xml:space="preserve"> police have gathered information on more than one million users </w:t>
      </w:r>
      <w:r>
        <w:rPr>
          <w:rFonts w:ascii="Times New Roman" w:eastAsia="Times New Roman" w:hAnsi="Times New Roman" w:cs="Times New Roman"/>
          <w:b/>
          <w:noProof/>
          <w:sz w:val="24"/>
          <w:szCs w:val="20"/>
        </w:rPr>
        <w:t>globally</w:t>
      </w:r>
      <w:r>
        <w:rPr>
          <w:rFonts w:ascii="Times New Roman" w:eastAsia="Times New Roman" w:hAnsi="Times New Roman" w:cs="Times New Roman"/>
          <w:noProof/>
          <w:sz w:val="24"/>
          <w:szCs w:val="20"/>
        </w:rPr>
        <w:t>, which they have started to distribute to law enfor</w:t>
      </w:r>
      <w:r>
        <w:rPr>
          <w:rFonts w:ascii="Times New Roman" w:eastAsia="Times New Roman" w:hAnsi="Times New Roman" w:cs="Times New Roman"/>
          <w:noProof/>
          <w:sz w:val="24"/>
          <w:szCs w:val="20"/>
        </w:rPr>
        <w:t xml:space="preserve">cement </w:t>
      </w:r>
      <w:r>
        <w:rPr>
          <w:rFonts w:ascii="Times New Roman" w:eastAsia="Times New Roman" w:hAnsi="Times New Roman" w:cs="Times New Roman"/>
          <w:b/>
          <w:noProof/>
          <w:sz w:val="24"/>
          <w:szCs w:val="20"/>
        </w:rPr>
        <w:t>around the world</w:t>
      </w:r>
      <w:r>
        <w:rPr>
          <w:rFonts w:ascii="Times New Roman" w:eastAsia="Times New Roman" w:hAnsi="Times New Roman" w:cs="Times New Roman"/>
          <w:noProof/>
          <w:sz w:val="24"/>
          <w:szCs w:val="20"/>
        </w:rPr>
        <w:t xml:space="preserve">. Some of the child victims appear to be in </w:t>
      </w:r>
      <w:r>
        <w:rPr>
          <w:rFonts w:ascii="Times New Roman" w:eastAsia="Times New Roman" w:hAnsi="Times New Roman" w:cs="Times New Roman"/>
          <w:b/>
          <w:noProof/>
          <w:sz w:val="24"/>
          <w:szCs w:val="20"/>
        </w:rPr>
        <w:t>Germany</w:t>
      </w:r>
      <w:r>
        <w:rPr>
          <w:rFonts w:ascii="Times New Roman" w:eastAsia="Times New Roman" w:hAnsi="Times New Roman" w:cs="Times New Roman"/>
          <w:noProof/>
          <w:sz w:val="24"/>
          <w:szCs w:val="20"/>
        </w:rPr>
        <w:t xml:space="preserve">. The investigation has revealed the offender's Facebook profile; Hans prepares a production request (direct cooperation) to Facebook (based in the </w:t>
      </w:r>
      <w:r>
        <w:rPr>
          <w:rFonts w:ascii="Times New Roman" w:eastAsia="Times New Roman" w:hAnsi="Times New Roman" w:cs="Times New Roman"/>
          <w:b/>
          <w:noProof/>
          <w:sz w:val="24"/>
          <w:szCs w:val="20"/>
        </w:rPr>
        <w:t>US</w:t>
      </w:r>
      <w:r>
        <w:rPr>
          <w:rFonts w:ascii="Times New Roman" w:eastAsia="Times New Roman" w:hAnsi="Times New Roman" w:cs="Times New Roman"/>
          <w:noProof/>
          <w:sz w:val="24"/>
          <w:szCs w:val="20"/>
        </w:rPr>
        <w:t>) in order to gather more inform</w:t>
      </w:r>
      <w:r>
        <w:rPr>
          <w:rFonts w:ascii="Times New Roman" w:eastAsia="Times New Roman" w:hAnsi="Times New Roman" w:cs="Times New Roman"/>
          <w:noProof/>
          <w:sz w:val="24"/>
          <w:szCs w:val="20"/>
        </w:rPr>
        <w:t>ation about the possible offender's exact location using his Facebook account.</w:t>
      </w:r>
    </w:p>
    <w:p w:rsidR="001B65FF" w:rsidRDefault="003E4EF4">
      <w:pPr>
        <w:numPr>
          <w:ilvl w:val="0"/>
          <w:numId w:val="17"/>
        </w:numPr>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u w:val="single"/>
        </w:rPr>
        <w:t>Human trafficking</w:t>
      </w:r>
      <w:r>
        <w:rPr>
          <w:rFonts w:ascii="Times New Roman" w:eastAsia="Times New Roman" w:hAnsi="Times New Roman" w:cs="Times New Roman"/>
          <w:noProof/>
          <w:sz w:val="24"/>
          <w:szCs w:val="20"/>
        </w:rPr>
        <w:t xml:space="preserve">: a </w:t>
      </w:r>
      <w:r>
        <w:rPr>
          <w:rFonts w:ascii="Times New Roman" w:eastAsia="Times New Roman" w:hAnsi="Times New Roman" w:cs="Times New Roman"/>
          <w:b/>
          <w:noProof/>
          <w:sz w:val="24"/>
          <w:szCs w:val="20"/>
        </w:rPr>
        <w:t>Syrian</w:t>
      </w:r>
      <w:r>
        <w:rPr>
          <w:rFonts w:ascii="Times New Roman" w:eastAsia="Times New Roman" w:hAnsi="Times New Roman" w:cs="Times New Roman"/>
          <w:noProof/>
          <w:sz w:val="24"/>
          <w:szCs w:val="20"/>
        </w:rPr>
        <w:t xml:space="preserve"> national is arrested in Germany, near the Austrian border, accused of human trafficking. The suspect was taking advantage of the refugee crisis to fa</w:t>
      </w:r>
      <w:r>
        <w:rPr>
          <w:rFonts w:ascii="Times New Roman" w:eastAsia="Times New Roman" w:hAnsi="Times New Roman" w:cs="Times New Roman"/>
          <w:noProof/>
          <w:sz w:val="24"/>
          <w:szCs w:val="20"/>
        </w:rPr>
        <w:t>cilitate illegal border crossing from Turkey to Germany through the Balkan route (</w:t>
      </w:r>
      <w:r>
        <w:rPr>
          <w:rFonts w:ascii="Times New Roman" w:eastAsia="Times New Roman" w:hAnsi="Times New Roman" w:cs="Times New Roman"/>
          <w:b/>
          <w:noProof/>
          <w:sz w:val="24"/>
          <w:szCs w:val="20"/>
        </w:rPr>
        <w:t>Turkey, Greece, Former Yugoslav Republic of Macedonia, Serbia, Croatia, Slovenia, Austria and Germany</w:t>
      </w:r>
      <w:r>
        <w:rPr>
          <w:rFonts w:ascii="Times New Roman" w:eastAsia="Times New Roman" w:hAnsi="Times New Roman" w:cs="Times New Roman"/>
          <w:noProof/>
          <w:sz w:val="24"/>
          <w:szCs w:val="20"/>
        </w:rPr>
        <w:t>). The smart phone of the human trafficker was seized by the German polic</w:t>
      </w:r>
      <w:r>
        <w:rPr>
          <w:rFonts w:ascii="Times New Roman" w:eastAsia="Times New Roman" w:hAnsi="Times New Roman" w:cs="Times New Roman"/>
          <w:noProof/>
          <w:sz w:val="24"/>
          <w:szCs w:val="20"/>
        </w:rPr>
        <w:t xml:space="preserve">e. It contains not only the contact information of other members of the criminal organisation he belongs to, but also indications that the human trafficker used WhatsApp. Although the WhatsApp conversations were deleted from the phone, a backup exists in </w:t>
      </w:r>
      <w:r>
        <w:rPr>
          <w:rFonts w:ascii="Times New Roman" w:eastAsia="Times New Roman" w:hAnsi="Times New Roman" w:cs="Times New Roman"/>
          <w:b/>
          <w:noProof/>
          <w:sz w:val="24"/>
          <w:szCs w:val="20"/>
        </w:rPr>
        <w:t>t</w:t>
      </w:r>
      <w:r>
        <w:rPr>
          <w:rFonts w:ascii="Times New Roman" w:eastAsia="Times New Roman" w:hAnsi="Times New Roman" w:cs="Times New Roman"/>
          <w:b/>
          <w:noProof/>
          <w:sz w:val="24"/>
          <w:szCs w:val="20"/>
        </w:rPr>
        <w:t xml:space="preserve">he cloud, </w:t>
      </w:r>
      <w:r>
        <w:rPr>
          <w:rFonts w:ascii="Times New Roman" w:eastAsia="Times New Roman" w:hAnsi="Times New Roman" w:cs="Times New Roman"/>
          <w:noProof/>
          <w:sz w:val="24"/>
          <w:szCs w:val="20"/>
        </w:rPr>
        <w:t>accessible via the seized mobile device.  The German police, under Hans' supervision, directly access these conversations to dismantle the organised crime network.</w:t>
      </w:r>
    </w:p>
    <w:p w:rsidR="001B65FF" w:rsidRDefault="003E4EF4">
      <w:pPr>
        <w:numPr>
          <w:ilvl w:val="0"/>
          <w:numId w:val="17"/>
        </w:numPr>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u w:val="single"/>
        </w:rPr>
        <w:t>Cybercrime</w:t>
      </w:r>
      <w:r>
        <w:rPr>
          <w:rFonts w:ascii="Times New Roman" w:eastAsia="Times New Roman" w:hAnsi="Times New Roman" w:cs="Times New Roman"/>
          <w:noProof/>
          <w:sz w:val="24"/>
          <w:szCs w:val="20"/>
        </w:rPr>
        <w:t>: a network of millions of infected computers worldwide is controlled by</w:t>
      </w:r>
      <w:r>
        <w:rPr>
          <w:rFonts w:ascii="Times New Roman" w:eastAsia="Times New Roman" w:hAnsi="Times New Roman" w:cs="Times New Roman"/>
          <w:noProof/>
          <w:sz w:val="24"/>
          <w:szCs w:val="20"/>
        </w:rPr>
        <w:t xml:space="preserve"> a central server (a so-called "command and control" server) and used to distribute spam and malicious software, such as ransomware and spyware, on victims' computers. The command and control server moves from one domain to the next every five minutes, </w:t>
      </w:r>
      <w:r>
        <w:rPr>
          <w:rFonts w:ascii="Times New Roman" w:eastAsia="Times New Roman" w:hAnsi="Times New Roman" w:cs="Times New Roman"/>
          <w:b/>
          <w:noProof/>
          <w:sz w:val="24"/>
          <w:szCs w:val="20"/>
        </w:rPr>
        <w:t>wit</w:t>
      </w:r>
      <w:r>
        <w:rPr>
          <w:rFonts w:ascii="Times New Roman" w:eastAsia="Times New Roman" w:hAnsi="Times New Roman" w:cs="Times New Roman"/>
          <w:b/>
          <w:noProof/>
          <w:sz w:val="24"/>
          <w:szCs w:val="20"/>
        </w:rPr>
        <w:t>hout regard to national boundaries</w:t>
      </w:r>
      <w:r>
        <w:rPr>
          <w:rFonts w:ascii="Times New Roman" w:eastAsia="Times New Roman" w:hAnsi="Times New Roman" w:cs="Times New Roman"/>
          <w:noProof/>
          <w:sz w:val="24"/>
          <w:szCs w:val="20"/>
        </w:rPr>
        <w:t>. In a first investigative step, Hans and his colleagues search the domain name WHOIS system to obtain information on the owners of the domain names used by the command and control server.</w:t>
      </w:r>
    </w:p>
    <w:p w:rsidR="001B65FF" w:rsidRDefault="003E4EF4">
      <w:pPr>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Even crimes that may appear as ha</w:t>
      </w:r>
      <w:r>
        <w:rPr>
          <w:rFonts w:ascii="Times New Roman" w:eastAsia="Times New Roman" w:hAnsi="Times New Roman" w:cs="Times New Roman"/>
          <w:noProof/>
          <w:sz w:val="24"/>
          <w:szCs w:val="20"/>
        </w:rPr>
        <w:t xml:space="preserve">ving no cross-border dimension can actually have one because of e-evidence. Consider for example an assault case in which a </w:t>
      </w:r>
      <w:r>
        <w:rPr>
          <w:rFonts w:ascii="Times New Roman" w:eastAsia="Times New Roman" w:hAnsi="Times New Roman" w:cs="Times New Roman"/>
          <w:b/>
          <w:noProof/>
          <w:sz w:val="24"/>
          <w:szCs w:val="20"/>
        </w:rPr>
        <w:t>German</w:t>
      </w:r>
      <w:r>
        <w:rPr>
          <w:rFonts w:ascii="Times New Roman" w:eastAsia="Times New Roman" w:hAnsi="Times New Roman" w:cs="Times New Roman"/>
          <w:noProof/>
          <w:sz w:val="24"/>
          <w:szCs w:val="20"/>
        </w:rPr>
        <w:t xml:space="preserve"> national assaults a </w:t>
      </w:r>
      <w:r>
        <w:rPr>
          <w:rFonts w:ascii="Times New Roman" w:eastAsia="Times New Roman" w:hAnsi="Times New Roman" w:cs="Times New Roman"/>
          <w:b/>
          <w:noProof/>
          <w:sz w:val="24"/>
          <w:szCs w:val="20"/>
        </w:rPr>
        <w:t>German</w:t>
      </w:r>
      <w:r>
        <w:rPr>
          <w:rFonts w:ascii="Times New Roman" w:eastAsia="Times New Roman" w:hAnsi="Times New Roman" w:cs="Times New Roman"/>
          <w:noProof/>
          <w:sz w:val="24"/>
          <w:szCs w:val="20"/>
        </w:rPr>
        <w:t xml:space="preserve"> victim in </w:t>
      </w:r>
      <w:r>
        <w:rPr>
          <w:rFonts w:ascii="Times New Roman" w:eastAsia="Times New Roman" w:hAnsi="Times New Roman" w:cs="Times New Roman"/>
          <w:b/>
          <w:noProof/>
          <w:sz w:val="24"/>
          <w:szCs w:val="20"/>
        </w:rPr>
        <w:t>Germany</w:t>
      </w:r>
      <w:r>
        <w:rPr>
          <w:rFonts w:ascii="Times New Roman" w:eastAsia="Times New Roman" w:hAnsi="Times New Roman" w:cs="Times New Roman"/>
          <w:noProof/>
          <w:sz w:val="24"/>
          <w:szCs w:val="20"/>
        </w:rPr>
        <w:t>. Hans investigates the case and arrests a suspect. A witness has doubts when ask</w:t>
      </w:r>
      <w:r>
        <w:rPr>
          <w:rFonts w:ascii="Times New Roman" w:eastAsia="Times New Roman" w:hAnsi="Times New Roman" w:cs="Times New Roman"/>
          <w:noProof/>
          <w:sz w:val="24"/>
          <w:szCs w:val="20"/>
        </w:rPr>
        <w:t>ed to identify the person arrested, but reports that she saw the perpetrator made selfies of himself and the assaulted victim lying on the ground with his mobile. Hans confiscates the suspect's phone but finds no relevant pictures on the mobile. The suspec</w:t>
      </w:r>
      <w:r>
        <w:rPr>
          <w:rFonts w:ascii="Times New Roman" w:eastAsia="Times New Roman" w:hAnsi="Times New Roman" w:cs="Times New Roman"/>
          <w:noProof/>
          <w:sz w:val="24"/>
          <w:szCs w:val="20"/>
        </w:rPr>
        <w:t xml:space="preserve">t had installed Dropbox and had secured it with a password. Hans needs access to those pictures which, he knows, are stored in the </w:t>
      </w:r>
      <w:r>
        <w:rPr>
          <w:rFonts w:ascii="Times New Roman" w:eastAsia="Times New Roman" w:hAnsi="Times New Roman" w:cs="Times New Roman"/>
          <w:b/>
          <w:noProof/>
          <w:sz w:val="24"/>
          <w:szCs w:val="20"/>
        </w:rPr>
        <w:t>US</w:t>
      </w:r>
      <w:r>
        <w:rPr>
          <w:rFonts w:ascii="Times New Roman" w:eastAsia="Times New Roman" w:hAnsi="Times New Roman" w:cs="Times New Roman"/>
          <w:noProof/>
          <w:sz w:val="24"/>
          <w:szCs w:val="20"/>
        </w:rPr>
        <w:t>. He prepares an MLA request to the US, as the German legislation does not allow him to access directly that data in the US</w:t>
      </w:r>
      <w:r>
        <w:rPr>
          <w:rFonts w:ascii="Times New Roman" w:eastAsia="Times New Roman" w:hAnsi="Times New Roman" w:cs="Times New Roman"/>
          <w:noProof/>
          <w:sz w:val="24"/>
          <w:szCs w:val="20"/>
        </w:rPr>
        <w:t>.</w:t>
      </w:r>
    </w:p>
    <w:p w:rsidR="001B65FF" w:rsidRDefault="003E4EF4">
      <w:pPr>
        <w:tabs>
          <w:tab w:val="left" w:pos="2302"/>
        </w:tabs>
        <w:spacing w:after="240"/>
        <w:jc w:val="both"/>
        <w:rPr>
          <w:rFonts w:ascii="Times New Roman" w:eastAsia="Times New Roman" w:hAnsi="Times New Roman" w:cs="Times New Roman"/>
          <w:noProof/>
          <w:sz w:val="24"/>
          <w:szCs w:val="20"/>
          <w:u w:val="single"/>
        </w:rPr>
      </w:pPr>
      <w:r>
        <w:rPr>
          <w:rFonts w:ascii="Times New Roman" w:hAnsi="Times New Roman" w:cs="Times New Roman"/>
          <w:noProof/>
          <w:sz w:val="24"/>
          <w:szCs w:val="24"/>
        </w:rPr>
        <w:t>In general, crime has an increasing cyber component, and with it an increasingly prominent cross-border dimension.</w:t>
      </w:r>
      <w:r>
        <w:rPr>
          <w:rFonts w:ascii="Times New Roman" w:eastAsia="Times New Roman" w:hAnsi="Times New Roman" w:cs="Times New Roman"/>
          <w:noProof/>
          <w:sz w:val="24"/>
          <w:szCs w:val="20"/>
        </w:rPr>
        <w:t xml:space="preserve"> Whereas the data storage location is still considered as a relevant factor to assert jurisdiction, it is determined for the vast majority of cases by the provider alone, on the basis of business considerations. This choice makes cross-border cooperation n</w:t>
      </w:r>
      <w:r>
        <w:rPr>
          <w:rFonts w:ascii="Times New Roman" w:eastAsia="Times New Roman" w:hAnsi="Times New Roman" w:cs="Times New Roman"/>
          <w:noProof/>
          <w:sz w:val="24"/>
          <w:szCs w:val="20"/>
        </w:rPr>
        <w:t>ecessary in cases which may have no other connection across borders.</w:t>
      </w:r>
    </w:p>
    <w:p w:rsidR="001B65FF" w:rsidRDefault="003E4EF4">
      <w:pPr>
        <w:keepNext/>
        <w:numPr>
          <w:ilvl w:val="2"/>
          <w:numId w:val="3"/>
        </w:numPr>
        <w:tabs>
          <w:tab w:val="clear" w:pos="1920"/>
        </w:tabs>
        <w:spacing w:after="240" w:line="240" w:lineRule="auto"/>
        <w:ind w:left="720"/>
        <w:jc w:val="both"/>
        <w:outlineLvl w:val="2"/>
        <w:rPr>
          <w:rFonts w:ascii="Times New Roman" w:eastAsia="Times New Roman" w:hAnsi="Times New Roman" w:cs="Times New Roman"/>
          <w:noProof/>
          <w:sz w:val="24"/>
          <w:szCs w:val="20"/>
        </w:rPr>
      </w:pPr>
      <w:bookmarkStart w:id="124" w:name="_Toc497927242"/>
      <w:bookmarkStart w:id="125" w:name="_Toc497927855"/>
      <w:bookmarkStart w:id="126" w:name="_Toc497928121"/>
      <w:bookmarkStart w:id="127" w:name="_Toc498509613"/>
      <w:bookmarkStart w:id="128" w:name="_Toc498521202"/>
      <w:bookmarkStart w:id="129" w:name="_Toc498701911"/>
      <w:bookmarkStart w:id="130" w:name="_Toc498704678"/>
      <w:bookmarkStart w:id="131" w:name="_Toc499020434"/>
      <w:bookmarkStart w:id="132" w:name="_Toc499030337"/>
      <w:bookmarkStart w:id="133" w:name="_Toc499044914"/>
      <w:bookmarkStart w:id="134" w:name="_Toc499051295"/>
      <w:bookmarkStart w:id="135" w:name="_Toc499133284"/>
      <w:bookmarkStart w:id="136" w:name="_Toc499142800"/>
      <w:bookmarkStart w:id="137" w:name="_Toc510952850"/>
      <w:r>
        <w:rPr>
          <w:rFonts w:ascii="Times New Roman" w:eastAsia="Times New Roman" w:hAnsi="Times New Roman" w:cs="Times New Roman"/>
          <w:noProof/>
          <w:sz w:val="24"/>
          <w:szCs w:val="20"/>
        </w:rPr>
        <w:t>Why is it a problem</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fact that some crimes cannot be effectively investigated and prosecuted in the EU is a problem because it results in </w:t>
      </w:r>
      <w:r>
        <w:rPr>
          <w:rFonts w:ascii="Times New Roman" w:hAnsi="Times New Roman"/>
          <w:noProof/>
          <w:sz w:val="24"/>
        </w:rPr>
        <w:t>criminals enjoying impunity, victims being les</w:t>
      </w:r>
      <w:r>
        <w:rPr>
          <w:rFonts w:ascii="Times New Roman" w:hAnsi="Times New Roman"/>
          <w:noProof/>
          <w:sz w:val="24"/>
        </w:rPr>
        <w:t xml:space="preserve">s protected and EU citizens </w:t>
      </w:r>
      <w:r>
        <w:rPr>
          <w:rFonts w:ascii="Times New Roman" w:hAnsi="Times New Roman" w:cs="Times New Roman"/>
          <w:noProof/>
          <w:sz w:val="24"/>
          <w:szCs w:val="24"/>
        </w:rPr>
        <w:t>may feel increasingly threatened by criminal activity</w:t>
      </w:r>
      <w:r>
        <w:rPr>
          <w:rStyle w:val="FootnoteReference"/>
          <w:rFonts w:ascii="Times New Roman" w:hAnsi="Times New Roman" w:cs="Times New Roman"/>
          <w:noProof/>
          <w:sz w:val="24"/>
          <w:szCs w:val="24"/>
        </w:rPr>
        <w:footnoteReference w:id="28"/>
      </w:r>
      <w:r>
        <w:rPr>
          <w:rFonts w:ascii="Times New Roman" w:hAnsi="Times New Roman"/>
          <w:noProof/>
          <w:sz w:val="24"/>
        </w:rPr>
        <w:t xml:space="preserve">. In general, it hinders the accomplishment of an area of </w:t>
      </w:r>
      <w:r>
        <w:rPr>
          <w:rFonts w:ascii="Times New Roman" w:hAnsi="Times New Roman"/>
          <w:b/>
          <w:noProof/>
          <w:sz w:val="24"/>
        </w:rPr>
        <w:t xml:space="preserve">freedom, security and justice </w:t>
      </w:r>
      <w:r>
        <w:rPr>
          <w:rFonts w:ascii="Times New Roman" w:hAnsi="Times New Roman"/>
          <w:noProof/>
          <w:sz w:val="24"/>
        </w:rPr>
        <w:t>in the EU.</w:t>
      </w:r>
    </w:p>
    <w:p w:rsidR="001B65FF" w:rsidRDefault="003E4EF4">
      <w:pPr>
        <w:jc w:val="both"/>
        <w:rPr>
          <w:rFonts w:ascii="Times New Roman" w:hAnsi="Times New Roman" w:cs="Times New Roman"/>
          <w:noProof/>
          <w:sz w:val="24"/>
        </w:rPr>
      </w:pPr>
      <w:r>
        <w:rPr>
          <w:rFonts w:ascii="Times New Roman" w:hAnsi="Times New Roman" w:cs="Times New Roman"/>
          <w:noProof/>
          <w:sz w:val="24"/>
        </w:rPr>
        <w:t>In particular, when some crimes cannot be effectively investigated and pros</w:t>
      </w:r>
      <w:r>
        <w:rPr>
          <w:rFonts w:ascii="Times New Roman" w:hAnsi="Times New Roman" w:cs="Times New Roman"/>
          <w:noProof/>
          <w:sz w:val="24"/>
        </w:rPr>
        <w:t>ecuted because of challenges in cross-border access to e-evidence, there are negative consequences at all stages:</w:t>
      </w:r>
    </w:p>
    <w:p w:rsidR="001B65FF" w:rsidRDefault="003E4EF4">
      <w:pPr>
        <w:numPr>
          <w:ilvl w:val="0"/>
          <w:numId w:val="18"/>
        </w:numPr>
        <w:contextualSpacing/>
        <w:jc w:val="both"/>
        <w:rPr>
          <w:rFonts w:ascii="Times New Roman" w:hAnsi="Times New Roman" w:cs="Times New Roman"/>
          <w:noProof/>
          <w:sz w:val="24"/>
        </w:rPr>
      </w:pPr>
      <w:r>
        <w:rPr>
          <w:rFonts w:ascii="Times New Roman" w:hAnsi="Times New Roman" w:cs="Times New Roman"/>
          <w:b/>
          <w:noProof/>
          <w:sz w:val="24"/>
        </w:rPr>
        <w:t>Before</w:t>
      </w:r>
      <w:r>
        <w:rPr>
          <w:rFonts w:ascii="Times New Roman" w:hAnsi="Times New Roman" w:cs="Times New Roman"/>
          <w:noProof/>
          <w:sz w:val="24"/>
        </w:rPr>
        <w:t xml:space="preserve"> the crime is committed: when electronic evidence is difficult to obtain across borders the perception of impunity is reinforced.</w:t>
      </w:r>
    </w:p>
    <w:p w:rsidR="001B65FF" w:rsidRDefault="003E4EF4">
      <w:pPr>
        <w:numPr>
          <w:ilvl w:val="0"/>
          <w:numId w:val="18"/>
        </w:numPr>
        <w:contextualSpacing/>
        <w:jc w:val="both"/>
        <w:rPr>
          <w:rFonts w:ascii="Times New Roman" w:hAnsi="Times New Roman" w:cs="Times New Roman"/>
          <w:noProof/>
          <w:sz w:val="24"/>
        </w:rPr>
      </w:pPr>
      <w:r>
        <w:rPr>
          <w:rFonts w:ascii="Times New Roman" w:hAnsi="Times New Roman" w:cs="Times New Roman"/>
          <w:b/>
          <w:noProof/>
          <w:sz w:val="24"/>
        </w:rPr>
        <w:t>While</w:t>
      </w:r>
      <w:r>
        <w:rPr>
          <w:rFonts w:ascii="Times New Roman" w:hAnsi="Times New Roman" w:cs="Times New Roman"/>
          <w:noProof/>
          <w:sz w:val="24"/>
        </w:rPr>
        <w:t xml:space="preserve"> </w:t>
      </w:r>
      <w:r>
        <w:rPr>
          <w:rFonts w:ascii="Times New Roman" w:hAnsi="Times New Roman" w:cs="Times New Roman"/>
          <w:noProof/>
          <w:sz w:val="24"/>
        </w:rPr>
        <w:t>the crime is being committed: when a crime is ongoing and public authorities are investigating it, effective and timely access to electronic evidence can save lives or prevent serious damage. For example, in terrorism cases with hostages or in ongoing chil</w:t>
      </w:r>
      <w:r>
        <w:rPr>
          <w:rFonts w:ascii="Times New Roman" w:hAnsi="Times New Roman" w:cs="Times New Roman"/>
          <w:noProof/>
          <w:sz w:val="24"/>
        </w:rPr>
        <w:t xml:space="preserve">d sexual abuse situations, the time that law enforcement requires to get to the victims can determine whether they survive or not. </w:t>
      </w:r>
    </w:p>
    <w:p w:rsidR="001B65FF" w:rsidRDefault="003E4EF4">
      <w:pPr>
        <w:numPr>
          <w:ilvl w:val="0"/>
          <w:numId w:val="18"/>
        </w:numPr>
        <w:spacing w:after="0"/>
        <w:contextualSpacing/>
        <w:jc w:val="both"/>
        <w:rPr>
          <w:rFonts w:ascii="Times New Roman" w:hAnsi="Times New Roman" w:cs="Times New Roman"/>
          <w:noProof/>
          <w:sz w:val="24"/>
        </w:rPr>
      </w:pPr>
      <w:r>
        <w:rPr>
          <w:rFonts w:ascii="Times New Roman" w:hAnsi="Times New Roman" w:cs="Times New Roman"/>
          <w:b/>
          <w:noProof/>
          <w:sz w:val="24"/>
        </w:rPr>
        <w:t>After</w:t>
      </w:r>
      <w:r>
        <w:rPr>
          <w:rFonts w:ascii="Times New Roman" w:hAnsi="Times New Roman" w:cs="Times New Roman"/>
          <w:noProof/>
          <w:sz w:val="24"/>
        </w:rPr>
        <w:t xml:space="preserve"> the crime has been committed: electronic evidence is volatile and can be transmitted, altered or deleted easily. Publi</w:t>
      </w:r>
      <w:r>
        <w:rPr>
          <w:rFonts w:ascii="Times New Roman" w:hAnsi="Times New Roman" w:cs="Times New Roman"/>
          <w:noProof/>
          <w:sz w:val="24"/>
        </w:rPr>
        <w:t>c authorities therefore need effective and timely access to it to be able to prosecute criminals and prevent future crimes. There are no mandatory data retention rules in the US (where some of the most important service providers are based) or at EU level,</w:t>
      </w:r>
      <w:r>
        <w:rPr>
          <w:rFonts w:ascii="Times New Roman" w:hAnsi="Times New Roman" w:cs="Times New Roman"/>
          <w:noProof/>
          <w:sz w:val="24"/>
        </w:rPr>
        <w:t xml:space="preserve"> since the Data Retention Directive</w:t>
      </w:r>
      <w:r>
        <w:rPr>
          <w:rFonts w:ascii="Times New Roman" w:hAnsi="Times New Roman" w:cs="Times New Roman"/>
          <w:noProof/>
          <w:sz w:val="24"/>
          <w:vertAlign w:val="superscript"/>
        </w:rPr>
        <w:footnoteReference w:id="29"/>
      </w:r>
      <w:r>
        <w:rPr>
          <w:rFonts w:ascii="Times New Roman" w:hAnsi="Times New Roman" w:cs="Times New Roman"/>
          <w:noProof/>
          <w:sz w:val="24"/>
        </w:rPr>
        <w:t xml:space="preserve"> was declared invalid by the European Court of Justice in 2014</w:t>
      </w:r>
      <w:r>
        <w:rPr>
          <w:rFonts w:ascii="Times New Roman" w:hAnsi="Times New Roman" w:cs="Times New Roman"/>
          <w:noProof/>
          <w:sz w:val="24"/>
          <w:vertAlign w:val="superscript"/>
        </w:rPr>
        <w:footnoteReference w:id="30"/>
      </w:r>
      <w:r>
        <w:rPr>
          <w:rFonts w:ascii="Times New Roman" w:hAnsi="Times New Roman" w:cs="Times New Roman"/>
          <w:noProof/>
          <w:sz w:val="24"/>
        </w:rPr>
        <w:t xml:space="preserve">. At the same time, data minimisation requirements force service providers to delete data more quickly. This contributes to the volatility of e-evidence and </w:t>
      </w:r>
      <w:r>
        <w:rPr>
          <w:rFonts w:ascii="Times New Roman" w:hAnsi="Times New Roman" w:cs="Times New Roman"/>
          <w:noProof/>
          <w:sz w:val="24"/>
        </w:rPr>
        <w:t xml:space="preserve">reinforces public authorities' need for timely access in criminal investigations. Timely access is also important as investigations often have to proceed step by step, identifying first leads and then following further indications provided by those leads, </w:t>
      </w:r>
      <w:r>
        <w:rPr>
          <w:rFonts w:ascii="Times New Roman" w:hAnsi="Times New Roman" w:cs="Times New Roman"/>
          <w:noProof/>
          <w:sz w:val="24"/>
        </w:rPr>
        <w:t>which often necessitate repeated, iterative requests for access to electronic evidence across different service providers and jurisdictions. If the first requests are fulfilled slowly, the chances to find any data in response to further requests decrease s</w:t>
      </w:r>
      <w:r>
        <w:rPr>
          <w:rFonts w:ascii="Times New Roman" w:hAnsi="Times New Roman" w:cs="Times New Roman"/>
          <w:noProof/>
          <w:sz w:val="24"/>
        </w:rPr>
        <w:t xml:space="preserve">ignificantly. </w:t>
      </w:r>
    </w:p>
    <w:p w:rsidR="001B65FF" w:rsidRDefault="003E4EF4">
      <w:pPr>
        <w:keepNext/>
        <w:numPr>
          <w:ilvl w:val="2"/>
          <w:numId w:val="3"/>
        </w:numPr>
        <w:tabs>
          <w:tab w:val="clear" w:pos="1920"/>
        </w:tabs>
        <w:spacing w:after="240" w:line="240" w:lineRule="auto"/>
        <w:ind w:left="720"/>
        <w:jc w:val="both"/>
        <w:outlineLvl w:val="2"/>
        <w:rPr>
          <w:rFonts w:ascii="Times New Roman" w:eastAsia="Times New Roman" w:hAnsi="Times New Roman" w:cs="Times New Roman"/>
          <w:noProof/>
          <w:sz w:val="24"/>
          <w:szCs w:val="20"/>
        </w:rPr>
      </w:pPr>
      <w:bookmarkStart w:id="138" w:name="_Toc497927243"/>
      <w:bookmarkStart w:id="139" w:name="_Toc497927856"/>
      <w:bookmarkStart w:id="140" w:name="_Toc497928122"/>
      <w:bookmarkStart w:id="141" w:name="_Toc498509614"/>
      <w:bookmarkStart w:id="142" w:name="_Toc498521203"/>
      <w:bookmarkStart w:id="143" w:name="_Toc498701912"/>
      <w:bookmarkStart w:id="144" w:name="_Toc498704679"/>
      <w:bookmarkStart w:id="145" w:name="_Toc499020435"/>
      <w:bookmarkStart w:id="146" w:name="_Toc499030338"/>
      <w:bookmarkStart w:id="147" w:name="_Toc499044915"/>
      <w:bookmarkStart w:id="148" w:name="_Toc499051296"/>
      <w:bookmarkStart w:id="149" w:name="_Toc499133285"/>
      <w:bookmarkStart w:id="150" w:name="_Toc499142801"/>
      <w:bookmarkStart w:id="151" w:name="_Toc510952851"/>
      <w:r>
        <w:rPr>
          <w:rFonts w:ascii="Times New Roman" w:eastAsia="Times New Roman" w:hAnsi="Times New Roman" w:cs="Times New Roman"/>
          <w:noProof/>
          <w:sz w:val="24"/>
          <w:szCs w:val="20"/>
        </w:rPr>
        <w:t>Who is affected and how</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The following parties are affected by the challenges in cross-border access to e-evidence in criminal matters:</w:t>
      </w:r>
    </w:p>
    <w:p w:rsidR="001B65FF" w:rsidRDefault="003E4EF4">
      <w:pPr>
        <w:numPr>
          <w:ilvl w:val="0"/>
          <w:numId w:val="23"/>
        </w:numPr>
        <w:contextualSpacing/>
        <w:jc w:val="both"/>
        <w:rPr>
          <w:rFonts w:ascii="Times New Roman" w:hAnsi="Times New Roman" w:cs="Times New Roman"/>
          <w:noProof/>
          <w:sz w:val="24"/>
        </w:rPr>
      </w:pPr>
      <w:r>
        <w:rPr>
          <w:rFonts w:ascii="Times New Roman" w:hAnsi="Times New Roman" w:cs="Times New Roman"/>
          <w:b/>
          <w:noProof/>
          <w:sz w:val="24"/>
          <w:szCs w:val="24"/>
        </w:rPr>
        <w:t>Society</w:t>
      </w:r>
      <w:r>
        <w:rPr>
          <w:rFonts w:ascii="Times New Roman" w:hAnsi="Times New Roman" w:cs="Times New Roman"/>
          <w:noProof/>
          <w:sz w:val="24"/>
          <w:szCs w:val="24"/>
        </w:rPr>
        <w:t xml:space="preserve"> in general: the fact that some crimes </w:t>
      </w:r>
      <w:r>
        <w:rPr>
          <w:rFonts w:ascii="Times New Roman" w:hAnsi="Times New Roman" w:cs="Times New Roman"/>
          <w:noProof/>
          <w:sz w:val="24"/>
        </w:rPr>
        <w:t xml:space="preserve">cannot be effectively investigated and prosecuted in the EU </w:t>
      </w:r>
      <w:r>
        <w:rPr>
          <w:rFonts w:ascii="Times New Roman" w:hAnsi="Times New Roman" w:cs="Times New Roman"/>
          <w:noProof/>
          <w:sz w:val="24"/>
        </w:rPr>
        <w:t xml:space="preserve">damages the secure environment and the effective application of the rule of law required for a society to thrive. </w:t>
      </w:r>
    </w:p>
    <w:p w:rsidR="001B65FF" w:rsidRDefault="003E4EF4">
      <w:pPr>
        <w:numPr>
          <w:ilvl w:val="0"/>
          <w:numId w:val="23"/>
        </w:numPr>
        <w:contextualSpacing/>
        <w:jc w:val="both"/>
        <w:rPr>
          <w:rFonts w:ascii="Times New Roman" w:hAnsi="Times New Roman" w:cs="Times New Roman"/>
          <w:noProof/>
          <w:sz w:val="24"/>
        </w:rPr>
      </w:pPr>
      <w:r>
        <w:rPr>
          <w:rFonts w:ascii="Times New Roman" w:hAnsi="Times New Roman" w:cs="Times New Roman"/>
          <w:b/>
          <w:noProof/>
          <w:sz w:val="24"/>
        </w:rPr>
        <w:t>Victims</w:t>
      </w:r>
      <w:r>
        <w:rPr>
          <w:rFonts w:ascii="Times New Roman" w:hAnsi="Times New Roman" w:cs="Times New Roman"/>
          <w:noProof/>
          <w:sz w:val="24"/>
        </w:rPr>
        <w:t xml:space="preserve"> of crime (natural and legal) suffer the negative consequences (e.g. economic, physical, psychological) of a delayed (or even an impos</w:t>
      </w:r>
      <w:r>
        <w:rPr>
          <w:rFonts w:ascii="Times New Roman" w:hAnsi="Times New Roman" w:cs="Times New Roman"/>
          <w:noProof/>
          <w:sz w:val="24"/>
        </w:rPr>
        <w:t>sible) investigation and prosecution of the crime they have become victims of.</w:t>
      </w:r>
    </w:p>
    <w:p w:rsidR="001B65FF" w:rsidRDefault="003E4EF4">
      <w:pPr>
        <w:numPr>
          <w:ilvl w:val="0"/>
          <w:numId w:val="23"/>
        </w:numPr>
        <w:contextualSpacing/>
        <w:jc w:val="both"/>
        <w:rPr>
          <w:rFonts w:ascii="Times New Roman" w:hAnsi="Times New Roman" w:cs="Times New Roman"/>
          <w:noProof/>
          <w:sz w:val="24"/>
        </w:rPr>
      </w:pPr>
      <w:r>
        <w:rPr>
          <w:rFonts w:ascii="Times New Roman" w:hAnsi="Times New Roman" w:cs="Times New Roman"/>
          <w:b/>
          <w:noProof/>
          <w:sz w:val="24"/>
        </w:rPr>
        <w:t>Suspects</w:t>
      </w:r>
      <w:r>
        <w:rPr>
          <w:rFonts w:ascii="Times New Roman" w:hAnsi="Times New Roman" w:cs="Times New Roman"/>
          <w:noProof/>
          <w:sz w:val="24"/>
        </w:rPr>
        <w:t xml:space="preserve"> in criminal investigations: the procedures that regulate cross-border access to electronic evidence must provide legal certainty, transparency, accountability and respe</w:t>
      </w:r>
      <w:r>
        <w:rPr>
          <w:rFonts w:ascii="Times New Roman" w:hAnsi="Times New Roman" w:cs="Times New Roman"/>
          <w:noProof/>
          <w:sz w:val="24"/>
        </w:rPr>
        <w:t>ct of fundamental rights and procedural guarantees of the suspects in criminal investigations.</w:t>
      </w:r>
    </w:p>
    <w:p w:rsidR="001B65FF" w:rsidRDefault="003E4EF4">
      <w:pPr>
        <w:numPr>
          <w:ilvl w:val="0"/>
          <w:numId w:val="23"/>
        </w:numPr>
        <w:contextualSpacing/>
        <w:jc w:val="both"/>
        <w:rPr>
          <w:rFonts w:ascii="Times New Roman" w:hAnsi="Times New Roman" w:cs="Times New Roman"/>
          <w:noProof/>
          <w:sz w:val="24"/>
        </w:rPr>
      </w:pPr>
      <w:r>
        <w:rPr>
          <w:rFonts w:ascii="Times New Roman" w:hAnsi="Times New Roman" w:cs="Times New Roman"/>
          <w:b/>
          <w:noProof/>
          <w:sz w:val="24"/>
        </w:rPr>
        <w:t xml:space="preserve">Users </w:t>
      </w:r>
      <w:r>
        <w:rPr>
          <w:rFonts w:ascii="Times New Roman" w:hAnsi="Times New Roman" w:cs="Times New Roman"/>
          <w:noProof/>
          <w:sz w:val="24"/>
        </w:rPr>
        <w:t xml:space="preserve">of the services offered by service providers: the procedures that regulate cross-border access to electronic evidence must provide legal certainty, </w:t>
      </w:r>
      <w:r>
        <w:rPr>
          <w:rFonts w:ascii="Times New Roman" w:hAnsi="Times New Roman" w:cs="Times New Roman"/>
          <w:noProof/>
          <w:sz w:val="24"/>
        </w:rPr>
        <w:t>transparency, accountability and respect of fundamental rights of the users of the services offered by service providers, to the extent that they may become part, inadvertently, of a criminal investigation.</w:t>
      </w:r>
    </w:p>
    <w:p w:rsidR="001B65FF" w:rsidRDefault="003E4EF4">
      <w:pPr>
        <w:numPr>
          <w:ilvl w:val="0"/>
          <w:numId w:val="23"/>
        </w:numPr>
        <w:contextualSpacing/>
        <w:jc w:val="both"/>
        <w:rPr>
          <w:rFonts w:ascii="Times New Roman" w:hAnsi="Times New Roman" w:cs="Times New Roman"/>
          <w:noProof/>
          <w:sz w:val="24"/>
        </w:rPr>
      </w:pPr>
      <w:r>
        <w:rPr>
          <w:rFonts w:ascii="Times New Roman" w:hAnsi="Times New Roman" w:cs="Times New Roman"/>
          <w:b/>
          <w:noProof/>
          <w:sz w:val="24"/>
        </w:rPr>
        <w:t xml:space="preserve">Service providers: </w:t>
      </w:r>
      <w:r>
        <w:rPr>
          <w:rFonts w:ascii="Times New Roman" w:hAnsi="Times New Roman" w:cs="Times New Roman"/>
          <w:noProof/>
          <w:sz w:val="24"/>
        </w:rPr>
        <w:t>as the parties with access to electronic evidence, they receive requests to access e-evidence from public authorities, either directly or through MLAT procedures. They invest resources in responding to those requests, which can be significant as the number</w:t>
      </w:r>
      <w:r>
        <w:rPr>
          <w:rFonts w:ascii="Times New Roman" w:hAnsi="Times New Roman" w:cs="Times New Roman"/>
          <w:noProof/>
          <w:sz w:val="24"/>
        </w:rPr>
        <w:t xml:space="preserve"> of requests keeps increasing and the framework to regulate cooperation with public authorities has room for improvement.  </w:t>
      </w:r>
    </w:p>
    <w:p w:rsidR="001B65FF" w:rsidRDefault="003E4EF4">
      <w:pPr>
        <w:numPr>
          <w:ilvl w:val="0"/>
          <w:numId w:val="23"/>
        </w:numPr>
        <w:contextualSpacing/>
        <w:jc w:val="both"/>
        <w:rPr>
          <w:rFonts w:ascii="Times New Roman" w:hAnsi="Times New Roman" w:cs="Times New Roman"/>
          <w:noProof/>
          <w:sz w:val="24"/>
        </w:rPr>
      </w:pPr>
      <w:r>
        <w:rPr>
          <w:rFonts w:ascii="Times New Roman" w:hAnsi="Times New Roman" w:cs="Times New Roman"/>
          <w:b/>
          <w:noProof/>
          <w:sz w:val="24"/>
        </w:rPr>
        <w:t>Public authorities</w:t>
      </w:r>
      <w:r>
        <w:rPr>
          <w:rFonts w:ascii="Times New Roman" w:hAnsi="Times New Roman" w:cs="Times New Roman"/>
          <w:noProof/>
          <w:sz w:val="24"/>
        </w:rPr>
        <w:t xml:space="preserve"> (judiciary, law enforcement) from the country issuing the request: they require access to e-evidence to investiga</w:t>
      </w:r>
      <w:r>
        <w:rPr>
          <w:rFonts w:ascii="Times New Roman" w:hAnsi="Times New Roman" w:cs="Times New Roman"/>
          <w:noProof/>
          <w:sz w:val="24"/>
        </w:rPr>
        <w:t>te or prosecute crimes. Often, electronic evidence is the only significant lead for investigators, so without access to that evidence the investigation may have to be abandoned, with the negative consequences that this brings for the victims, future victim</w:t>
      </w:r>
      <w:r>
        <w:rPr>
          <w:rFonts w:ascii="Times New Roman" w:hAnsi="Times New Roman" w:cs="Times New Roman"/>
          <w:noProof/>
          <w:sz w:val="24"/>
        </w:rPr>
        <w:t>s and society at large, due to the perception of impunity and the weakening of the rule of law.</w:t>
      </w:r>
    </w:p>
    <w:p w:rsidR="001B65FF" w:rsidRDefault="003E4EF4">
      <w:pPr>
        <w:ind w:left="720"/>
        <w:contextualSpacing/>
        <w:jc w:val="both"/>
        <w:rPr>
          <w:rFonts w:ascii="Times New Roman" w:hAnsi="Times New Roman" w:cs="Times New Roman"/>
          <w:noProof/>
          <w:sz w:val="24"/>
        </w:rPr>
      </w:pPr>
      <w:r>
        <w:rPr>
          <w:rFonts w:ascii="Times New Roman" w:hAnsi="Times New Roman" w:cs="Times New Roman"/>
          <w:noProof/>
          <w:sz w:val="24"/>
        </w:rPr>
        <w:t>Public authorities from the country receiving the MLAT request are also important parties in this process. As MLAT requests are likely to keep on increasing, th</w:t>
      </w:r>
      <w:r>
        <w:rPr>
          <w:rFonts w:ascii="Times New Roman" w:hAnsi="Times New Roman" w:cs="Times New Roman"/>
          <w:noProof/>
          <w:sz w:val="24"/>
        </w:rPr>
        <w:t>e improvement of the current procedures is important so that they can fulfil the requests for cooperation in a timely and effective manner.</w:t>
      </w:r>
    </w:p>
    <w:p w:rsidR="001B65FF" w:rsidRDefault="001B65FF">
      <w:pPr>
        <w:ind w:left="720"/>
        <w:contextualSpacing/>
        <w:jc w:val="both"/>
        <w:rPr>
          <w:rFonts w:ascii="Times New Roman" w:hAnsi="Times New Roman" w:cs="Times New Roman"/>
          <w:noProof/>
          <w:sz w:val="24"/>
        </w:rPr>
      </w:pPr>
    </w:p>
    <w:p w:rsidR="001B65FF" w:rsidRDefault="001B65FF">
      <w:pPr>
        <w:ind w:left="720"/>
        <w:contextualSpacing/>
        <w:jc w:val="both"/>
        <w:rPr>
          <w:rFonts w:ascii="Times New Roman" w:hAnsi="Times New Roman" w:cs="Times New Roman"/>
          <w:noProof/>
          <w:sz w:val="24"/>
        </w:rPr>
      </w:pPr>
    </w:p>
    <w:p w:rsidR="001B65FF" w:rsidRDefault="001B65FF">
      <w:pPr>
        <w:ind w:left="720"/>
        <w:contextualSpacing/>
        <w:jc w:val="both"/>
        <w:rPr>
          <w:rFonts w:ascii="Times New Roman" w:hAnsi="Times New Roman" w:cs="Times New Roman"/>
          <w:noProof/>
          <w:sz w:val="24"/>
        </w:rPr>
      </w:pPr>
    </w:p>
    <w:p w:rsidR="001B65FF" w:rsidRDefault="003E4EF4">
      <w:pPr>
        <w:keepNext/>
        <w:numPr>
          <w:ilvl w:val="1"/>
          <w:numId w:val="3"/>
        </w:numPr>
        <w:tabs>
          <w:tab w:val="clear" w:pos="1200"/>
          <w:tab w:val="num" w:pos="567"/>
        </w:tabs>
        <w:spacing w:after="0" w:line="240" w:lineRule="auto"/>
        <w:ind w:left="709"/>
        <w:jc w:val="both"/>
        <w:outlineLvl w:val="1"/>
        <w:rPr>
          <w:rFonts w:ascii="Times New Roman" w:eastAsia="Times New Roman" w:hAnsi="Times New Roman" w:cs="Times New Roman"/>
          <w:b/>
          <w:noProof/>
          <w:sz w:val="24"/>
          <w:szCs w:val="20"/>
        </w:rPr>
      </w:pPr>
      <w:bookmarkStart w:id="152" w:name="_Toc481484462"/>
      <w:bookmarkStart w:id="153" w:name="_Toc497927244"/>
      <w:bookmarkStart w:id="154" w:name="_Toc497927857"/>
      <w:bookmarkStart w:id="155" w:name="_Toc497928123"/>
      <w:bookmarkStart w:id="156" w:name="_Toc498509615"/>
      <w:bookmarkStart w:id="157" w:name="_Toc498521204"/>
      <w:bookmarkStart w:id="158" w:name="_Toc498701913"/>
      <w:bookmarkStart w:id="159" w:name="_Toc498704680"/>
      <w:bookmarkStart w:id="160" w:name="_Toc499020436"/>
      <w:bookmarkStart w:id="161" w:name="_Toc499030339"/>
      <w:bookmarkStart w:id="162" w:name="_Toc499044916"/>
      <w:bookmarkStart w:id="163" w:name="_Toc499051297"/>
      <w:bookmarkStart w:id="164" w:name="_Toc499133286"/>
      <w:bookmarkStart w:id="165" w:name="_Toc499142802"/>
      <w:bookmarkStart w:id="166" w:name="_Toc510952852"/>
      <w:r>
        <w:rPr>
          <w:rFonts w:ascii="Times New Roman" w:eastAsia="Times New Roman" w:hAnsi="Times New Roman" w:cs="Times New Roman"/>
          <w:b/>
          <w:noProof/>
          <w:sz w:val="24"/>
          <w:szCs w:val="20"/>
        </w:rPr>
        <w:t>What are the problem drivers?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1B65FF" w:rsidRDefault="003E4EF4">
      <w:pPr>
        <w:spacing w:before="240" w:after="0"/>
        <w:rPr>
          <w:rFonts w:ascii="Times New Roman" w:eastAsia="Times New Roman" w:hAnsi="Times New Roman" w:cs="Times New Roman"/>
          <w:noProof/>
          <w:sz w:val="24"/>
        </w:rPr>
      </w:pPr>
      <w:r>
        <w:rPr>
          <w:rFonts w:ascii="Times New Roman" w:eastAsia="Times New Roman" w:hAnsi="Times New Roman" w:cs="Times New Roman"/>
          <w:noProof/>
          <w:sz w:val="24"/>
        </w:rPr>
        <w:t>The three problem drivers identified are:</w:t>
      </w:r>
    </w:p>
    <w:p w:rsidR="001B65FF" w:rsidRDefault="003E4EF4">
      <w:pPr>
        <w:pStyle w:val="ListParagraph"/>
        <w:numPr>
          <w:ilvl w:val="0"/>
          <w:numId w:val="179"/>
        </w:numPr>
        <w:spacing w:after="0"/>
        <w:jc w:val="both"/>
        <w:rPr>
          <w:rFonts w:ascii="Times New Roman" w:hAnsi="Times New Roman" w:cs="Times New Roman"/>
          <w:noProof/>
          <w:sz w:val="24"/>
        </w:rPr>
      </w:pPr>
      <w:r>
        <w:rPr>
          <w:rFonts w:ascii="Times New Roman" w:hAnsi="Times New Roman" w:cs="Times New Roman"/>
          <w:noProof/>
          <w:sz w:val="24"/>
        </w:rPr>
        <w:t xml:space="preserve">It takes </w:t>
      </w:r>
      <w:r>
        <w:rPr>
          <w:rFonts w:ascii="Times New Roman" w:hAnsi="Times New Roman" w:cs="Times New Roman"/>
          <w:b/>
          <w:noProof/>
          <w:sz w:val="24"/>
        </w:rPr>
        <w:t>too long</w:t>
      </w:r>
      <w:r>
        <w:rPr>
          <w:rFonts w:ascii="Times New Roman" w:hAnsi="Times New Roman" w:cs="Times New Roman"/>
          <w:noProof/>
          <w:sz w:val="24"/>
        </w:rPr>
        <w:t xml:space="preserve"> to access e-evidence ac</w:t>
      </w:r>
      <w:r>
        <w:rPr>
          <w:rFonts w:ascii="Times New Roman" w:hAnsi="Times New Roman" w:cs="Times New Roman"/>
          <w:noProof/>
          <w:sz w:val="24"/>
        </w:rPr>
        <w:t xml:space="preserve">ross borders under existing </w:t>
      </w:r>
      <w:r>
        <w:rPr>
          <w:rFonts w:ascii="Times New Roman" w:hAnsi="Times New Roman" w:cs="Times New Roman"/>
          <w:b/>
          <w:noProof/>
          <w:sz w:val="24"/>
        </w:rPr>
        <w:t>judicial cooperation</w:t>
      </w:r>
      <w:r>
        <w:rPr>
          <w:rFonts w:ascii="Times New Roman" w:hAnsi="Times New Roman" w:cs="Times New Roman"/>
          <w:noProof/>
          <w:sz w:val="24"/>
        </w:rPr>
        <w:t xml:space="preserve"> procedures, rendering investigations and prosecutions less effective.</w:t>
      </w:r>
    </w:p>
    <w:p w:rsidR="001B65FF" w:rsidRDefault="003E4EF4">
      <w:pPr>
        <w:numPr>
          <w:ilvl w:val="0"/>
          <w:numId w:val="179"/>
        </w:numPr>
        <w:spacing w:after="0"/>
        <w:jc w:val="both"/>
        <w:rPr>
          <w:rFonts w:ascii="Times New Roman" w:hAnsi="Times New Roman" w:cs="Times New Roman"/>
          <w:noProof/>
          <w:sz w:val="24"/>
        </w:rPr>
      </w:pPr>
      <w:r>
        <w:rPr>
          <w:rFonts w:ascii="Times New Roman" w:hAnsi="Times New Roman" w:cs="Times New Roman"/>
          <w:noProof/>
          <w:sz w:val="24"/>
        </w:rPr>
        <w:t>Inefficiencies in</w:t>
      </w:r>
      <w:r>
        <w:rPr>
          <w:rFonts w:ascii="Times New Roman" w:hAnsi="Times New Roman" w:cs="Times New Roman"/>
          <w:b/>
          <w:noProof/>
          <w:sz w:val="24"/>
        </w:rPr>
        <w:t xml:space="preserve"> public-private cooperation</w:t>
      </w:r>
      <w:r>
        <w:rPr>
          <w:rFonts w:ascii="Times New Roman" w:hAnsi="Times New Roman" w:cs="Times New Roman"/>
          <w:noProof/>
          <w:sz w:val="24"/>
        </w:rPr>
        <w:t xml:space="preserve"> between service providers and public authorities hamper effective investigations and prosecu</w:t>
      </w:r>
      <w:r>
        <w:rPr>
          <w:rFonts w:ascii="Times New Roman" w:hAnsi="Times New Roman" w:cs="Times New Roman"/>
          <w:noProof/>
          <w:sz w:val="24"/>
        </w:rPr>
        <w:t>tions.</w:t>
      </w:r>
    </w:p>
    <w:p w:rsidR="001B65FF" w:rsidRDefault="003E4EF4">
      <w:pPr>
        <w:pStyle w:val="ListParagraph"/>
        <w:numPr>
          <w:ilvl w:val="0"/>
          <w:numId w:val="179"/>
        </w:numPr>
        <w:jc w:val="both"/>
        <w:rPr>
          <w:rFonts w:ascii="Times New Roman" w:hAnsi="Times New Roman" w:cs="Times New Roman"/>
          <w:noProof/>
          <w:sz w:val="24"/>
        </w:rPr>
      </w:pPr>
      <w:r>
        <w:rPr>
          <w:rFonts w:ascii="Times New Roman" w:hAnsi="Times New Roman" w:cs="Times New Roman"/>
          <w:noProof/>
          <w:sz w:val="24"/>
        </w:rPr>
        <w:t xml:space="preserve">Shortcomings in defining </w:t>
      </w:r>
      <w:r>
        <w:rPr>
          <w:rFonts w:ascii="Times New Roman" w:hAnsi="Times New Roman" w:cs="Times New Roman"/>
          <w:b/>
          <w:noProof/>
          <w:sz w:val="24"/>
        </w:rPr>
        <w:t>jurisdiction</w:t>
      </w:r>
      <w:r>
        <w:rPr>
          <w:rFonts w:ascii="Times New Roman" w:hAnsi="Times New Roman" w:cs="Times New Roman"/>
          <w:noProof/>
          <w:sz w:val="24"/>
        </w:rPr>
        <w:t xml:space="preserve"> can hinder effective cross-border investigations and prosecutions.</w:t>
      </w:r>
    </w:p>
    <w:p w:rsidR="001B65FF" w:rsidRDefault="003E4EF4">
      <w:pPr>
        <w:jc w:val="both"/>
        <w:rPr>
          <w:rFonts w:ascii="Times New Roman" w:hAnsi="Times New Roman" w:cs="Times New Roman"/>
          <w:noProof/>
          <w:sz w:val="28"/>
        </w:rPr>
      </w:pPr>
      <w:r>
        <w:rPr>
          <w:rFonts w:ascii="Times New Roman" w:hAnsi="Times New Roman" w:cs="Times New Roman"/>
          <w:noProof/>
          <w:sz w:val="24"/>
        </w:rPr>
        <w:t>The following sections summarise the analysis of the problem drivers. A deeper and more detailed analysis is available in Annex 6.</w:t>
      </w:r>
    </w:p>
    <w:p w:rsidR="001B65FF" w:rsidRDefault="003E4EF4">
      <w:pPr>
        <w:keepNext/>
        <w:numPr>
          <w:ilvl w:val="2"/>
          <w:numId w:val="3"/>
        </w:numPr>
        <w:tabs>
          <w:tab w:val="clear" w:pos="1920"/>
        </w:tabs>
        <w:spacing w:after="240" w:line="240" w:lineRule="auto"/>
        <w:ind w:left="720"/>
        <w:jc w:val="both"/>
        <w:outlineLvl w:val="2"/>
        <w:rPr>
          <w:rFonts w:ascii="Times New Roman" w:eastAsia="Times New Roman" w:hAnsi="Times New Roman" w:cs="Times New Roman"/>
          <w:noProof/>
          <w:sz w:val="24"/>
          <w:szCs w:val="20"/>
        </w:rPr>
      </w:pPr>
      <w:bookmarkStart w:id="167" w:name="_Toc497927245"/>
      <w:bookmarkStart w:id="168" w:name="_Toc497927858"/>
      <w:bookmarkStart w:id="169" w:name="_Toc497928124"/>
      <w:bookmarkStart w:id="170" w:name="_Toc498509616"/>
      <w:bookmarkStart w:id="171" w:name="_Toc498521205"/>
      <w:bookmarkStart w:id="172" w:name="_Toc498701914"/>
      <w:bookmarkStart w:id="173" w:name="_Toc498704681"/>
      <w:bookmarkStart w:id="174" w:name="_Toc499020437"/>
      <w:bookmarkStart w:id="175" w:name="_Toc499030340"/>
      <w:bookmarkStart w:id="176" w:name="_Toc499044917"/>
      <w:bookmarkStart w:id="177" w:name="_Toc499051298"/>
      <w:bookmarkStart w:id="178" w:name="_Toc499133287"/>
      <w:bookmarkStart w:id="179" w:name="_Toc499142803"/>
      <w:bookmarkStart w:id="180" w:name="_Toc510952853"/>
      <w:r>
        <w:rPr>
          <w:rFonts w:ascii="Times New Roman" w:eastAsia="Times New Roman" w:hAnsi="Times New Roman" w:cs="Times New Roman"/>
          <w:noProof/>
          <w:sz w:val="24"/>
          <w:szCs w:val="20"/>
        </w:rPr>
        <w:t xml:space="preserve">It takes too </w:t>
      </w:r>
      <w:r>
        <w:rPr>
          <w:rFonts w:ascii="Times New Roman" w:eastAsia="Times New Roman" w:hAnsi="Times New Roman" w:cs="Times New Roman"/>
          <w:noProof/>
          <w:sz w:val="24"/>
          <w:szCs w:val="20"/>
        </w:rPr>
        <w:t>long to access e-evidence across borders under the current judicial cooperation procedures, rendering investigations and prosecutions</w:t>
      </w:r>
      <w:bookmarkEnd w:id="167"/>
      <w:bookmarkEnd w:id="168"/>
      <w:bookmarkEnd w:id="169"/>
      <w:bookmarkEnd w:id="170"/>
      <w:bookmarkEnd w:id="171"/>
      <w:bookmarkEnd w:id="172"/>
      <w:bookmarkEnd w:id="173"/>
      <w:bookmarkEnd w:id="174"/>
      <w:bookmarkEnd w:id="175"/>
      <w:bookmarkEnd w:id="176"/>
      <w:bookmarkEnd w:id="177"/>
      <w:bookmarkEnd w:id="178"/>
      <w:bookmarkEnd w:id="179"/>
      <w:r>
        <w:rPr>
          <w:rFonts w:ascii="Times New Roman" w:eastAsia="Times New Roman" w:hAnsi="Times New Roman" w:cs="Times New Roman"/>
          <w:noProof/>
          <w:sz w:val="24"/>
          <w:szCs w:val="20"/>
        </w:rPr>
        <w:t xml:space="preserve"> less effective</w:t>
      </w:r>
      <w:bookmarkEnd w:id="180"/>
      <w:r>
        <w:rPr>
          <w:rFonts w:ascii="Times New Roman" w:eastAsia="Times New Roman" w:hAnsi="Times New Roman" w:cs="Times New Roman"/>
          <w:noProof/>
          <w:sz w:val="24"/>
          <w:szCs w:val="20"/>
        </w:rPr>
        <w:t xml:space="preserve"> </w:t>
      </w:r>
    </w:p>
    <w:p w:rsidR="001B65FF" w:rsidRDefault="003E4EF4">
      <w:pPr>
        <w:tabs>
          <w:tab w:val="left" w:pos="2302"/>
        </w:tabs>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Judicial cooperation procedures were designed to ensure respect for the sovereignty of foreign countries o</w:t>
      </w:r>
      <w:r>
        <w:rPr>
          <w:rFonts w:ascii="Times New Roman" w:eastAsia="Times New Roman" w:hAnsi="Times New Roman" w:cs="Times New Roman"/>
          <w:noProof/>
          <w:sz w:val="24"/>
          <w:szCs w:val="20"/>
        </w:rPr>
        <w:t>n whose territory an investigative or enforcement action needed to be performed. Usually there was a substantial connection to that territory. This substantial connection has become increasingly virtual in the context of e-evidence. Sometimes, the data sto</w:t>
      </w:r>
      <w:r>
        <w:rPr>
          <w:rFonts w:ascii="Times New Roman" w:eastAsia="Times New Roman" w:hAnsi="Times New Roman" w:cs="Times New Roman"/>
          <w:noProof/>
          <w:sz w:val="24"/>
          <w:szCs w:val="20"/>
        </w:rPr>
        <w:t xml:space="preserve">rage location in a server park or the establishment of a service provider is the only factor connecting an investigation to a </w:t>
      </w:r>
      <w:r>
        <w:rPr>
          <w:rFonts w:ascii="Times New Roman" w:hAnsi="Times New Roman" w:cs="Times New Roman"/>
          <w:noProof/>
          <w:sz w:val="24"/>
        </w:rPr>
        <w:t>given</w:t>
      </w:r>
      <w:r>
        <w:rPr>
          <w:rFonts w:ascii="Times New Roman" w:eastAsia="Times New Roman" w:hAnsi="Times New Roman" w:cs="Times New Roman"/>
          <w:noProof/>
          <w:sz w:val="24"/>
          <w:szCs w:val="20"/>
        </w:rPr>
        <w:t xml:space="preserve"> foreign country. </w:t>
      </w:r>
    </w:p>
    <w:p w:rsidR="001B65FF" w:rsidRDefault="003E4EF4">
      <w:pPr>
        <w:tabs>
          <w:tab w:val="left" w:pos="2302"/>
        </w:tabs>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many cases, data is no longer stored on a user's device but made available on cloud-based infrastructure for access from anywhere. Service providers do not need to be established or to have servers in every jurisdiction but rather use centralised system</w:t>
      </w:r>
      <w:r>
        <w:rPr>
          <w:rFonts w:ascii="Times New Roman" w:eastAsia="Times New Roman" w:hAnsi="Times New Roman" w:cs="Times New Roman"/>
          <w:noProof/>
          <w:sz w:val="24"/>
          <w:szCs w:val="20"/>
        </w:rPr>
        <w:t xml:space="preserve">s to provide their services. Cross-border requests have multiplied accordingly, resulting in increased delays in responses. </w:t>
      </w:r>
      <w:r>
        <w:rPr>
          <w:rFonts w:ascii="Times New Roman" w:hAnsi="Times New Roman" w:cs="Times New Roman"/>
          <w:noProof/>
          <w:sz w:val="24"/>
          <w:szCs w:val="24"/>
        </w:rPr>
        <w:t xml:space="preserve">At the same time, data minimisation requirements </w:t>
      </w:r>
      <w:r>
        <w:rPr>
          <w:rFonts w:ascii="Times New Roman" w:eastAsia="Times New Roman" w:hAnsi="Times New Roman" w:cs="Times New Roman"/>
          <w:noProof/>
          <w:sz w:val="24"/>
          <w:szCs w:val="20"/>
        </w:rPr>
        <w:t>lead</w:t>
      </w:r>
      <w:r>
        <w:rPr>
          <w:rFonts w:ascii="Times New Roman" w:hAnsi="Times New Roman" w:cs="Times New Roman"/>
          <w:noProof/>
          <w:sz w:val="24"/>
          <w:szCs w:val="24"/>
        </w:rPr>
        <w:t xml:space="preserve"> to shorter data storage periods for some types of data; delayed requests risk </w:t>
      </w:r>
      <w:r>
        <w:rPr>
          <w:rFonts w:ascii="Times New Roman" w:hAnsi="Times New Roman" w:cs="Times New Roman"/>
          <w:noProof/>
          <w:sz w:val="24"/>
          <w:szCs w:val="24"/>
        </w:rPr>
        <w:t>not finding any data left.</w:t>
      </w:r>
    </w:p>
    <w:p w:rsidR="001B65FF" w:rsidRDefault="003E4EF4">
      <w:pPr>
        <w:tabs>
          <w:tab w:val="left" w:pos="2302"/>
        </w:tabs>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parallel, a number of countries are questioning the appropriateness and usefulness of mutual legal assistance procedures in these circumstances, especially when it comes to less sensitive data categories. Some have not </w:t>
      </w:r>
      <w:r>
        <w:rPr>
          <w:rFonts w:ascii="Times New Roman" w:eastAsia="Times New Roman" w:hAnsi="Times New Roman" w:cs="Times New Roman"/>
          <w:noProof/>
          <w:sz w:val="24"/>
          <w:szCs w:val="20"/>
        </w:rPr>
        <w:t>invested sufficient resources to keep up with the growth in foreign demand, given that there is no own interest in the relevant investigations and the service is provided out of courtesy to the foreign country. This has further contributed to the delays in</w:t>
      </w:r>
      <w:r>
        <w:rPr>
          <w:rFonts w:ascii="Times New Roman" w:eastAsia="Times New Roman" w:hAnsi="Times New Roman" w:cs="Times New Roman"/>
          <w:noProof/>
          <w:sz w:val="24"/>
          <w:szCs w:val="20"/>
        </w:rPr>
        <w:t xml:space="preserve"> responses.</w:t>
      </w:r>
    </w:p>
    <w:p w:rsidR="001B65FF" w:rsidRDefault="001B65FF">
      <w:pPr>
        <w:tabs>
          <w:tab w:val="left" w:pos="2302"/>
        </w:tabs>
        <w:spacing w:before="240" w:after="240" w:line="240" w:lineRule="auto"/>
        <w:jc w:val="both"/>
        <w:rPr>
          <w:rFonts w:ascii="Times New Roman" w:eastAsia="Times New Roman" w:hAnsi="Times New Roman" w:cs="Times New Roman"/>
          <w:noProof/>
          <w:sz w:val="24"/>
          <w:szCs w:val="20"/>
          <w:u w:val="single"/>
        </w:rPr>
      </w:pPr>
    </w:p>
    <w:p w:rsidR="001B65FF" w:rsidRDefault="001B65FF">
      <w:pPr>
        <w:tabs>
          <w:tab w:val="left" w:pos="2302"/>
        </w:tabs>
        <w:spacing w:before="240" w:after="240" w:line="240" w:lineRule="auto"/>
        <w:jc w:val="both"/>
        <w:rPr>
          <w:rFonts w:ascii="Times New Roman" w:eastAsia="Times New Roman" w:hAnsi="Times New Roman" w:cs="Times New Roman"/>
          <w:noProof/>
          <w:sz w:val="24"/>
          <w:szCs w:val="20"/>
          <w:u w:val="single"/>
        </w:rPr>
      </w:pPr>
    </w:p>
    <w:p w:rsidR="001B65FF" w:rsidRDefault="001B65FF">
      <w:pPr>
        <w:tabs>
          <w:tab w:val="left" w:pos="2302"/>
        </w:tabs>
        <w:spacing w:before="240" w:after="240" w:line="240" w:lineRule="auto"/>
        <w:jc w:val="both"/>
        <w:rPr>
          <w:rFonts w:ascii="Times New Roman" w:eastAsia="Times New Roman" w:hAnsi="Times New Roman" w:cs="Times New Roman"/>
          <w:noProof/>
          <w:sz w:val="24"/>
          <w:szCs w:val="20"/>
          <w:u w:val="single"/>
        </w:rPr>
      </w:pPr>
    </w:p>
    <w:p w:rsidR="001B65FF" w:rsidRDefault="003E4EF4">
      <w:pPr>
        <w:tabs>
          <w:tab w:val="left" w:pos="2302"/>
        </w:tabs>
        <w:spacing w:before="240" w:after="240" w:line="240" w:lineRule="auto"/>
        <w:jc w:val="both"/>
        <w:rPr>
          <w:rFonts w:ascii="Times New Roman" w:eastAsia="Times New Roman" w:hAnsi="Times New Roman" w:cs="Times New Roman"/>
          <w:noProof/>
          <w:sz w:val="24"/>
          <w:szCs w:val="20"/>
          <w:u w:val="single"/>
        </w:rPr>
      </w:pPr>
      <w:r>
        <w:rPr>
          <w:rFonts w:ascii="Times New Roman" w:eastAsia="Times New Roman" w:hAnsi="Times New Roman" w:cs="Times New Roman"/>
          <w:noProof/>
          <w:sz w:val="24"/>
          <w:szCs w:val="20"/>
          <w:u w:val="single"/>
        </w:rPr>
        <w:t>Within the EU</w:t>
      </w:r>
    </w:p>
    <w:p w:rsidR="001B65FF" w:rsidRDefault="003E4EF4">
      <w:pPr>
        <w:spacing w:before="240"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EIO Directive, in application since May 2017, covers the </w:t>
      </w:r>
      <w:r>
        <w:rPr>
          <w:rFonts w:ascii="Times New Roman" w:eastAsia="Times New Roman" w:hAnsi="Times New Roman" w:cs="Times New Roman"/>
          <w:b/>
          <w:noProof/>
          <w:sz w:val="24"/>
          <w:szCs w:val="20"/>
        </w:rPr>
        <w:t>gathering and transfer of evidence</w:t>
      </w:r>
      <w:r>
        <w:rPr>
          <w:rFonts w:ascii="Times New Roman" w:eastAsia="Times New Roman" w:hAnsi="Times New Roman" w:cs="Times New Roman"/>
          <w:noProof/>
          <w:sz w:val="24"/>
          <w:szCs w:val="20"/>
        </w:rPr>
        <w:t xml:space="preserve"> between Member States, based on </w:t>
      </w:r>
      <w:r>
        <w:rPr>
          <w:rFonts w:ascii="Times New Roman" w:eastAsia="Times New Roman" w:hAnsi="Times New Roman" w:cs="Times New Roman"/>
          <w:b/>
          <w:noProof/>
          <w:sz w:val="24"/>
          <w:szCs w:val="20"/>
        </w:rPr>
        <w:t>mutual recognition</w:t>
      </w:r>
      <w:r>
        <w:rPr>
          <w:rFonts w:ascii="Times New Roman" w:eastAsia="Times New Roman" w:hAnsi="Times New Roman" w:cs="Times New Roman"/>
          <w:noProof/>
          <w:sz w:val="24"/>
          <w:szCs w:val="20"/>
        </w:rPr>
        <w:t xml:space="preserve"> of judicial decisions. The EIO Directive provides for </w:t>
      </w:r>
      <w:r>
        <w:rPr>
          <w:rFonts w:ascii="Times New Roman" w:eastAsia="Times New Roman" w:hAnsi="Times New Roman" w:cs="Times New Roman"/>
          <w:b/>
          <w:noProof/>
          <w:sz w:val="24"/>
          <w:szCs w:val="20"/>
        </w:rPr>
        <w:t>deadlines of 120 days</w:t>
      </w:r>
      <w:r>
        <w:rPr>
          <w:rFonts w:ascii="Times New Roman" w:eastAsia="Times New Roman" w:hAnsi="Times New Roman" w:cs="Times New Roman"/>
          <w:noProof/>
          <w:sz w:val="24"/>
          <w:szCs w:val="20"/>
        </w:rPr>
        <w:t xml:space="preserve"> (30 </w:t>
      </w:r>
      <w:r>
        <w:rPr>
          <w:rFonts w:ascii="Times New Roman" w:eastAsia="Times New Roman" w:hAnsi="Times New Roman" w:cs="Times New Roman"/>
          <w:noProof/>
          <w:sz w:val="24"/>
          <w:szCs w:val="20"/>
        </w:rPr>
        <w:t>days for the executing authority to make a decision on the recognition or execution of the EIO and 90 days to carry out the investigative measure</w:t>
      </w:r>
      <w:r>
        <w:rPr>
          <w:rFonts w:ascii="Times New Roman" w:eastAsia="Times New Roman" w:hAnsi="Times New Roman" w:cs="Times New Roman"/>
          <w:noProof/>
          <w:sz w:val="24"/>
          <w:szCs w:val="20"/>
          <w:vertAlign w:val="superscript"/>
        </w:rPr>
        <w:footnoteReference w:id="31"/>
      </w:r>
      <w:r>
        <w:rPr>
          <w:rFonts w:ascii="Times New Roman" w:eastAsia="Times New Roman" w:hAnsi="Times New Roman" w:cs="Times New Roman"/>
          <w:noProof/>
          <w:sz w:val="24"/>
          <w:szCs w:val="20"/>
        </w:rPr>
        <w:t xml:space="preserve">), which is faster than the MLA procedure. This improvement is still considered </w:t>
      </w:r>
      <w:r>
        <w:rPr>
          <w:rFonts w:ascii="Times New Roman" w:eastAsia="Times New Roman" w:hAnsi="Times New Roman" w:cs="Times New Roman"/>
          <w:b/>
          <w:noProof/>
          <w:sz w:val="24"/>
          <w:szCs w:val="20"/>
        </w:rPr>
        <w:t>insufficient</w:t>
      </w:r>
      <w:r>
        <w:rPr>
          <w:rFonts w:ascii="Times New Roman" w:eastAsia="Times New Roman" w:hAnsi="Times New Roman" w:cs="Times New Roman"/>
          <w:noProof/>
          <w:sz w:val="24"/>
          <w:szCs w:val="20"/>
        </w:rPr>
        <w:t xml:space="preserve"> by Member States’</w:t>
      </w:r>
      <w:r>
        <w:rPr>
          <w:rFonts w:ascii="Times New Roman" w:eastAsia="Times New Roman" w:hAnsi="Times New Roman" w:cs="Times New Roman"/>
          <w:noProof/>
          <w:sz w:val="24"/>
          <w:szCs w:val="20"/>
        </w:rPr>
        <w:t xml:space="preserve"> experts for accessing e-evidence in criminal investigations, for which the EIO process would still be too long and therefore ineffective.</w:t>
      </w:r>
    </w:p>
    <w:p w:rsidR="001B65FF" w:rsidRDefault="003E4EF4">
      <w:pPr>
        <w:spacing w:before="240" w:after="120"/>
        <w:jc w:val="both"/>
        <w:rPr>
          <w:rFonts w:ascii="Times New Roman" w:hAnsi="Times New Roman"/>
          <w:noProof/>
          <w:sz w:val="24"/>
        </w:rPr>
      </w:pPr>
      <w:r>
        <w:rPr>
          <w:rFonts w:ascii="Times New Roman" w:hAnsi="Times New Roman"/>
          <w:noProof/>
          <w:sz w:val="24"/>
        </w:rPr>
        <w:t xml:space="preserve">The time for accessing electronic evidence is a crucial factor in any investigation: </w:t>
      </w:r>
    </w:p>
    <w:p w:rsidR="001B65FF" w:rsidRDefault="003E4EF4">
      <w:pPr>
        <w:pStyle w:val="ListParagraph"/>
        <w:numPr>
          <w:ilvl w:val="0"/>
          <w:numId w:val="243"/>
        </w:numPr>
        <w:spacing w:after="240"/>
        <w:ind w:left="567" w:hanging="567"/>
        <w:jc w:val="both"/>
        <w:rPr>
          <w:rFonts w:ascii="Times New Roman" w:hAnsi="Times New Roman"/>
          <w:noProof/>
          <w:sz w:val="24"/>
        </w:rPr>
      </w:pPr>
      <w:r>
        <w:rPr>
          <w:rFonts w:ascii="Times New Roman" w:hAnsi="Times New Roman"/>
          <w:noProof/>
          <w:sz w:val="24"/>
        </w:rPr>
        <w:t>In the absence of retention obl</w:t>
      </w:r>
      <w:r>
        <w:rPr>
          <w:rFonts w:ascii="Times New Roman" w:hAnsi="Times New Roman"/>
          <w:noProof/>
          <w:sz w:val="24"/>
        </w:rPr>
        <w:t xml:space="preserve">igations, providers have no incentive to store data – in particular metadata – for longer than necessary. Data storage is a cost factor. </w:t>
      </w:r>
    </w:p>
    <w:p w:rsidR="001B65FF" w:rsidRDefault="003E4EF4">
      <w:pPr>
        <w:pStyle w:val="ListParagraph"/>
        <w:numPr>
          <w:ilvl w:val="0"/>
          <w:numId w:val="243"/>
        </w:numPr>
        <w:spacing w:after="240"/>
        <w:ind w:left="567" w:hanging="567"/>
        <w:jc w:val="both"/>
        <w:rPr>
          <w:rFonts w:ascii="Times New Roman" w:hAnsi="Times New Roman"/>
          <w:noProof/>
          <w:sz w:val="24"/>
        </w:rPr>
      </w:pPr>
      <w:r>
        <w:rPr>
          <w:rFonts w:ascii="Times New Roman" w:hAnsi="Times New Roman"/>
          <w:noProof/>
          <w:sz w:val="24"/>
        </w:rPr>
        <w:t xml:space="preserve">The data minimisation principle inherent in data protection rules obliges providers to store data only for as long as </w:t>
      </w:r>
      <w:r>
        <w:rPr>
          <w:rFonts w:ascii="Times New Roman" w:hAnsi="Times New Roman"/>
          <w:noProof/>
          <w:sz w:val="24"/>
        </w:rPr>
        <w:t>it is necessary.</w:t>
      </w:r>
    </w:p>
    <w:p w:rsidR="001B65FF" w:rsidRDefault="003E4EF4">
      <w:pPr>
        <w:pStyle w:val="ListParagraph"/>
        <w:numPr>
          <w:ilvl w:val="0"/>
          <w:numId w:val="243"/>
        </w:numPr>
        <w:spacing w:after="240"/>
        <w:ind w:left="567" w:hanging="567"/>
        <w:jc w:val="both"/>
        <w:rPr>
          <w:rFonts w:ascii="Times New Roman" w:hAnsi="Times New Roman"/>
          <w:noProof/>
          <w:sz w:val="24"/>
        </w:rPr>
      </w:pPr>
      <w:r>
        <w:rPr>
          <w:rFonts w:ascii="Times New Roman" w:hAnsi="Times New Roman"/>
          <w:noProof/>
          <w:sz w:val="24"/>
        </w:rPr>
        <w:t>Investigations proceed in an iterative manner. In a typical case, an authority might first contact a service provider to obtain an IP address used to access a service, then turn to the internet access provider to determine who used that IP</w:t>
      </w:r>
      <w:r>
        <w:rPr>
          <w:rFonts w:ascii="Times New Roman" w:hAnsi="Times New Roman"/>
          <w:noProof/>
          <w:sz w:val="24"/>
        </w:rPr>
        <w:t xml:space="preserve"> address at the relevant point in time. If the first step takes more than a few days, then the information on who used the IP address will most likely have been deleted already.</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szCs w:val="24"/>
        </w:rPr>
        <w:t>In certain cases the EIO Directive allows for shorter time-limits. The issuing</w:t>
      </w:r>
      <w:r>
        <w:rPr>
          <w:rFonts w:ascii="Times New Roman" w:hAnsi="Times New Roman" w:cs="Times New Roman"/>
          <w:noProof/>
          <w:sz w:val="24"/>
          <w:szCs w:val="24"/>
        </w:rPr>
        <w:t xml:space="preserve"> authority can indicate in the EIO that a shorter deadline is necessary "due to procedural deadlines, the seriousness of the offence or other particularly urgent circumstances" (cf. Art. 12(2)). Article 32(2) provides for a 24-hour deadline to decide on pr</w:t>
      </w:r>
      <w:r>
        <w:rPr>
          <w:rFonts w:ascii="Times New Roman" w:hAnsi="Times New Roman" w:cs="Times New Roman"/>
          <w:noProof/>
          <w:sz w:val="24"/>
          <w:szCs w:val="24"/>
        </w:rPr>
        <w:t>ovisional measures. Nevertheless, these shorter deadlines cannot address the specific needs of e-evidence with its high relevance for criminal investigations: the first is an exception rather than the general rule, requiring reasons for urgency in every ca</w:t>
      </w:r>
      <w:r>
        <w:rPr>
          <w:rFonts w:ascii="Times New Roman" w:hAnsi="Times New Roman" w:cs="Times New Roman"/>
          <w:noProof/>
          <w:sz w:val="24"/>
          <w:szCs w:val="24"/>
        </w:rPr>
        <w:t xml:space="preserve">se, and the second is specifically aimed at preservation of the data only. Preservation of data alone would not solve the issue: </w:t>
      </w:r>
      <w:r>
        <w:rPr>
          <w:rFonts w:ascii="Times New Roman" w:hAnsi="Times New Roman" w:cs="Times New Roman"/>
          <w:noProof/>
          <w:sz w:val="24"/>
        </w:rPr>
        <w:t>timely access is important as outlined above.</w:t>
      </w:r>
    </w:p>
    <w:p w:rsidR="001B65FF" w:rsidRDefault="003E4EF4">
      <w:p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Requests for mutual legal assistance (currently up to 5000 per year</w:t>
      </w:r>
      <w:r>
        <w:rPr>
          <w:rFonts w:ascii="Times New Roman" w:eastAsia="Times New Roman" w:hAnsi="Times New Roman" w:cs="Times New Roman"/>
          <w:noProof/>
          <w:sz w:val="24"/>
          <w:szCs w:val="20"/>
          <w:vertAlign w:val="superscript"/>
        </w:rPr>
        <w:footnoteReference w:id="32"/>
      </w:r>
      <w:r>
        <w:rPr>
          <w:rFonts w:ascii="Times New Roman" w:eastAsia="Times New Roman" w:hAnsi="Times New Roman" w:cs="Times New Roman"/>
          <w:noProof/>
          <w:sz w:val="24"/>
          <w:szCs w:val="20"/>
        </w:rPr>
        <w:t xml:space="preserve">) and for </w:t>
      </w:r>
      <w:r>
        <w:rPr>
          <w:rFonts w:ascii="Times New Roman" w:eastAsia="Times New Roman" w:hAnsi="Times New Roman" w:cs="Times New Roman"/>
          <w:noProof/>
          <w:sz w:val="24"/>
          <w:szCs w:val="20"/>
        </w:rPr>
        <w:t>recognition and execution of the EIO, follow-up correspondence and enquiries for information are often still sent by traditional means, i.e. by post or fax, contributing to the time the current process takes.</w:t>
      </w:r>
    </w:p>
    <w:p w:rsidR="001B65FF" w:rsidRDefault="003E4EF4">
      <w:pPr>
        <w:spacing w:after="120"/>
        <w:jc w:val="both"/>
        <w:rPr>
          <w:rFonts w:ascii="Times New Roman" w:hAnsi="Times New Roman" w:cs="Times New Roman"/>
          <w:noProof/>
          <w:sz w:val="24"/>
          <w:szCs w:val="24"/>
        </w:rPr>
      </w:pPr>
      <w:r>
        <w:rPr>
          <w:rFonts w:ascii="Times New Roman" w:eastAsia="Times New Roman" w:hAnsi="Times New Roman" w:cs="Times New Roman"/>
          <w:noProof/>
          <w:sz w:val="24"/>
          <w:szCs w:val="20"/>
        </w:rPr>
        <w:t>All Member States participate in the EIO Direct</w:t>
      </w:r>
      <w:r>
        <w:rPr>
          <w:rFonts w:ascii="Times New Roman" w:eastAsia="Times New Roman" w:hAnsi="Times New Roman" w:cs="Times New Roman"/>
          <w:noProof/>
          <w:sz w:val="24"/>
          <w:szCs w:val="20"/>
        </w:rPr>
        <w:t>ive except Ireland and Denmark, which continue to rely on MLA channels</w:t>
      </w:r>
      <w:r>
        <w:rPr>
          <w:rFonts w:ascii="Times New Roman" w:eastAsia="Times New Roman" w:hAnsi="Times New Roman" w:cs="Times New Roman"/>
          <w:noProof/>
          <w:sz w:val="24"/>
          <w:szCs w:val="20"/>
          <w:vertAlign w:val="superscript"/>
        </w:rPr>
        <w:footnoteReference w:id="33"/>
      </w:r>
      <w:r>
        <w:rPr>
          <w:rFonts w:ascii="Times New Roman" w:eastAsia="Times New Roman" w:hAnsi="Times New Roman" w:cs="Times New Roman"/>
          <w:noProof/>
          <w:sz w:val="24"/>
          <w:szCs w:val="20"/>
        </w:rPr>
        <w:t>. For Ireland, where a number of service providers have their European headquarters, stakeholders have reported an increase in the time needed to access e-evidence, presumably due to th</w:t>
      </w:r>
      <w:r>
        <w:rPr>
          <w:rFonts w:ascii="Times New Roman" w:eastAsia="Times New Roman" w:hAnsi="Times New Roman" w:cs="Times New Roman"/>
          <w:noProof/>
          <w:sz w:val="24"/>
          <w:szCs w:val="20"/>
        </w:rPr>
        <w:t>e high number of requests to Irish authorities. Since the EIO deadlines do not apply, this increase might continue to grow.</w:t>
      </w:r>
      <w:r>
        <w:rPr>
          <w:rFonts w:ascii="Times New Roman" w:hAnsi="Times New Roman" w:cs="Times New Roman"/>
          <w:noProof/>
          <w:sz w:val="24"/>
          <w:szCs w:val="24"/>
        </w:rPr>
        <w:t xml:space="preserve"> </w:t>
      </w:r>
    </w:p>
    <w:p w:rsidR="001B65FF" w:rsidRDefault="003E4EF4">
      <w:pPr>
        <w:tabs>
          <w:tab w:val="left" w:pos="2302"/>
        </w:tabs>
        <w:spacing w:after="240"/>
        <w:jc w:val="both"/>
        <w:rPr>
          <w:rFonts w:ascii="Times New Roman" w:eastAsia="Times New Roman" w:hAnsi="Times New Roman" w:cs="Times New Roman"/>
          <w:noProof/>
          <w:sz w:val="24"/>
          <w:szCs w:val="20"/>
        </w:rPr>
      </w:pPr>
      <w:r>
        <w:rPr>
          <w:rFonts w:ascii="Times New Roman" w:hAnsi="Times New Roman" w:cs="Times New Roman"/>
          <w:noProof/>
          <w:sz w:val="24"/>
          <w:szCs w:val="24"/>
        </w:rPr>
        <w:t>The problem to access electronic evidence has become so pressing that despite the imminent entry into force of the EIO Directive, t</w:t>
      </w:r>
      <w:r>
        <w:rPr>
          <w:rFonts w:ascii="Times New Roman" w:hAnsi="Times New Roman" w:cs="Times New Roman"/>
          <w:noProof/>
          <w:sz w:val="24"/>
          <w:szCs w:val="24"/>
        </w:rPr>
        <w:t>he Council has repeatedly called upon the Commission in 2016 to take action.</w:t>
      </w:r>
    </w:p>
    <w:p w:rsidR="001B65FF" w:rsidRDefault="003E4EF4">
      <w:pPr>
        <w:tabs>
          <w:tab w:val="left" w:pos="2302"/>
        </w:tabs>
        <w:spacing w:after="120"/>
        <w:jc w:val="both"/>
        <w:rPr>
          <w:rFonts w:ascii="Times New Roman" w:eastAsia="Times New Roman" w:hAnsi="Times New Roman" w:cs="Times New Roman"/>
          <w:noProof/>
          <w:sz w:val="24"/>
          <w:szCs w:val="20"/>
          <w:u w:val="single"/>
        </w:rPr>
      </w:pPr>
      <w:r>
        <w:rPr>
          <w:rFonts w:ascii="Times New Roman" w:eastAsia="Times New Roman" w:hAnsi="Times New Roman" w:cs="Times New Roman"/>
          <w:noProof/>
          <w:sz w:val="24"/>
          <w:szCs w:val="20"/>
          <w:u w:val="single"/>
        </w:rPr>
        <w:t>With non-EU countries</w:t>
      </w:r>
    </w:p>
    <w:p w:rsidR="001B65FF" w:rsidRDefault="003E4EF4">
      <w:p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main legal instruments that Member States use to request access to e-evidence stored in non-EU countries are MLA requests. These formal procedures ensure</w:t>
      </w:r>
      <w:r>
        <w:rPr>
          <w:rFonts w:ascii="Times New Roman" w:eastAsia="Times New Roman" w:hAnsi="Times New Roman" w:cs="Times New Roman"/>
          <w:noProof/>
          <w:sz w:val="24"/>
          <w:szCs w:val="20"/>
        </w:rPr>
        <w:t xml:space="preserve"> that the right authorities are involved and that appropriate safeguards are taken into account in both countries when there is a sovereign interest of more than one country. The procedures were designed at a time before the internet, when volumes of reque</w:t>
      </w:r>
      <w:r>
        <w:rPr>
          <w:rFonts w:ascii="Times New Roman" w:eastAsia="Times New Roman" w:hAnsi="Times New Roman" w:cs="Times New Roman"/>
          <w:noProof/>
          <w:sz w:val="24"/>
          <w:szCs w:val="20"/>
        </w:rPr>
        <w:t>sts were a fraction of today’s, and are ill equipped to handle today’s numbers</w:t>
      </w:r>
      <w:r>
        <w:rPr>
          <w:rStyle w:val="FootnoteReference"/>
          <w:rFonts w:ascii="Times New Roman" w:eastAsia="Times New Roman" w:hAnsi="Times New Roman" w:cs="Times New Roman"/>
          <w:noProof/>
          <w:sz w:val="24"/>
          <w:szCs w:val="20"/>
        </w:rPr>
        <w:footnoteReference w:id="34"/>
      </w:r>
      <w:r>
        <w:rPr>
          <w:rFonts w:ascii="Times New Roman" w:eastAsia="Times New Roman" w:hAnsi="Times New Roman" w:cs="Times New Roman"/>
          <w:noProof/>
          <w:sz w:val="24"/>
          <w:szCs w:val="20"/>
        </w:rPr>
        <w:t xml:space="preserve">. In addition, the legal framework for mutual legal assistance is fragmented and complex: practitioners are faced with a high number of bi-lateral and multi-lateral conventions </w:t>
      </w:r>
      <w:r>
        <w:rPr>
          <w:rFonts w:ascii="Times New Roman" w:eastAsia="Times New Roman" w:hAnsi="Times New Roman" w:cs="Times New Roman"/>
          <w:noProof/>
          <w:sz w:val="24"/>
          <w:szCs w:val="20"/>
        </w:rPr>
        <w:t>and have to ensure compliance with the specific requirements of recipient countries’ legal systems that they are often less familiar with (e.g. probable cause in the US, as will be explained below).</w:t>
      </w:r>
    </w:p>
    <w:p w:rsidR="001B65FF" w:rsidRDefault="003E4EF4">
      <w:pPr>
        <w:spacing w:after="60"/>
        <w:jc w:val="center"/>
        <w:rPr>
          <w:rFonts w:ascii="Times New Roman" w:hAnsi="Times New Roman" w:cs="Times New Roman"/>
          <w:i/>
          <w:noProof/>
          <w:sz w:val="24"/>
          <w:lang w:eastAsia="en-GB"/>
        </w:rPr>
      </w:pPr>
      <w:r>
        <w:rPr>
          <w:rFonts w:ascii="Times New Roman" w:hAnsi="Times New Roman" w:cs="Times New Roman"/>
          <w:i/>
          <w:noProof/>
          <w:sz w:val="24"/>
          <w:lang w:eastAsia="en-GB"/>
        </w:rPr>
        <w:t>Box 1: judicial cooperation on e-evidence</w:t>
      </w:r>
    </w:p>
    <w:tbl>
      <w:tblPr>
        <w:tblW w:w="9072" w:type="dxa"/>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72"/>
      </w:tblGrid>
      <w:tr w:rsidR="001B65FF">
        <w:tc>
          <w:tcPr>
            <w:tcW w:w="9072" w:type="dxa"/>
            <w:shd w:val="clear" w:color="auto" w:fill="F2F2F2" w:themeFill="background1" w:themeFillShade="F2"/>
            <w:hideMark/>
          </w:tcPr>
          <w:p w:rsidR="001B65FF" w:rsidRDefault="003E4EF4">
            <w:pPr>
              <w:spacing w:after="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Judicial cooperation requires a significant investment on the part of both the requesting and the receiving countries. </w:t>
            </w:r>
          </w:p>
          <w:p w:rsidR="001B65FF" w:rsidRDefault="003E4EF4">
            <w:pPr>
              <w:pStyle w:val="ListParagraph"/>
              <w:numPr>
                <w:ilvl w:val="0"/>
                <w:numId w:val="112"/>
              </w:numPr>
              <w:spacing w:after="0"/>
              <w:ind w:left="885" w:right="252"/>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On the side of the </w:t>
            </w:r>
            <w:r>
              <w:rPr>
                <w:rFonts w:ascii="Times New Roman" w:hAnsi="Times New Roman" w:cs="Times New Roman"/>
                <w:b/>
                <w:noProof/>
                <w:sz w:val="24"/>
                <w:lang w:eastAsia="en-GB"/>
              </w:rPr>
              <w:t>requesting country</w:t>
            </w:r>
            <w:r>
              <w:rPr>
                <w:rFonts w:ascii="Times New Roman" w:hAnsi="Times New Roman" w:cs="Times New Roman"/>
                <w:noProof/>
                <w:sz w:val="24"/>
                <w:lang w:eastAsia="en-GB"/>
              </w:rPr>
              <w:t>, besides the requirements of the domestic procedural and substantive laws, the specific conditions of the judicial cooperation instruments and the foreign law have to be met; translations need to be obtained, and a significant number of formal approvals h</w:t>
            </w:r>
            <w:r>
              <w:rPr>
                <w:rFonts w:ascii="Times New Roman" w:hAnsi="Times New Roman" w:cs="Times New Roman"/>
                <w:noProof/>
                <w:sz w:val="24"/>
                <w:lang w:eastAsia="en-GB"/>
              </w:rPr>
              <w:t xml:space="preserve">ave to be granted. </w:t>
            </w:r>
          </w:p>
          <w:p w:rsidR="001B65FF" w:rsidRDefault="003E4EF4">
            <w:pPr>
              <w:pStyle w:val="ListParagraph"/>
              <w:numPr>
                <w:ilvl w:val="0"/>
                <w:numId w:val="112"/>
              </w:numPr>
              <w:spacing w:after="0"/>
              <w:ind w:left="885" w:right="252"/>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w:t>
            </w:r>
            <w:r>
              <w:rPr>
                <w:rFonts w:ascii="Times New Roman" w:hAnsi="Times New Roman" w:cs="Times New Roman"/>
                <w:b/>
                <w:noProof/>
                <w:sz w:val="24"/>
                <w:lang w:eastAsia="en-GB"/>
              </w:rPr>
              <w:t>receiving authority</w:t>
            </w:r>
            <w:r>
              <w:rPr>
                <w:rFonts w:ascii="Times New Roman" w:hAnsi="Times New Roman" w:cs="Times New Roman"/>
                <w:noProof/>
                <w:sz w:val="24"/>
                <w:lang w:eastAsia="en-GB"/>
              </w:rPr>
              <w:t xml:space="preserve"> has to check the validity of the request and the absence of any obstacles under national law, and then use the necessary national tools for enforcement. The receiving country regularly has to make this investment</w:t>
            </w:r>
            <w:r>
              <w:rPr>
                <w:rFonts w:ascii="Times New Roman" w:hAnsi="Times New Roman" w:cs="Times New Roman"/>
                <w:noProof/>
                <w:sz w:val="24"/>
                <w:lang w:eastAsia="en-GB"/>
              </w:rPr>
              <w:t xml:space="preserve"> without any own interest in the solving of the case at hand, based on a spirit of mutual cooperation and on the assumption that the same courtesy would be afforded in return by the country that is now requesting, if roles are reversed. However, in particu</w:t>
            </w:r>
            <w:r>
              <w:rPr>
                <w:rFonts w:ascii="Times New Roman" w:hAnsi="Times New Roman" w:cs="Times New Roman"/>
                <w:noProof/>
                <w:sz w:val="24"/>
                <w:lang w:eastAsia="en-GB"/>
              </w:rPr>
              <w:t xml:space="preserve">lar in cases relating to e-evidence, this balance of </w:t>
            </w:r>
            <w:r>
              <w:rPr>
                <w:rFonts w:ascii="Times New Roman" w:eastAsiaTheme="minorHAnsi" w:hAnsi="Times New Roman" w:cs="Times New Roman"/>
                <w:i/>
                <w:noProof/>
                <w:sz w:val="24"/>
                <w:lang w:eastAsia="en-GB"/>
              </w:rPr>
              <w:t>mutual</w:t>
            </w:r>
            <w:r>
              <w:rPr>
                <w:rFonts w:ascii="Times New Roman" w:hAnsi="Times New Roman" w:cs="Times New Roman"/>
                <w:noProof/>
                <w:sz w:val="24"/>
                <w:lang w:eastAsia="en-GB"/>
              </w:rPr>
              <w:t xml:space="preserve"> legal assistance has become </w:t>
            </w:r>
            <w:r>
              <w:rPr>
                <w:rFonts w:ascii="Times New Roman" w:hAnsi="Times New Roman" w:cs="Times New Roman"/>
                <w:b/>
                <w:noProof/>
                <w:sz w:val="24"/>
                <w:lang w:eastAsia="en-GB"/>
              </w:rPr>
              <w:t>skewed</w:t>
            </w:r>
            <w:r>
              <w:rPr>
                <w:rFonts w:ascii="Times New Roman" w:hAnsi="Times New Roman" w:cs="Times New Roman"/>
                <w:noProof/>
                <w:sz w:val="24"/>
                <w:lang w:eastAsia="en-GB"/>
              </w:rPr>
              <w:t>, as the dominant service providers congregate in a small number of jurisdictions. As a result, these countries receive a disproportionate volume of requests that</w:t>
            </w:r>
            <w:r>
              <w:rPr>
                <w:rFonts w:ascii="Times New Roman" w:hAnsi="Times New Roman" w:cs="Times New Roman"/>
                <w:noProof/>
                <w:sz w:val="24"/>
                <w:lang w:eastAsia="en-GB"/>
              </w:rPr>
              <w:t xml:space="preserve"> can outnumber their own outgoing requests by a factor of 10, as is the case for the US.</w:t>
            </w:r>
          </w:p>
        </w:tc>
      </w:tr>
    </w:tbl>
    <w:p w:rsidR="001B65FF" w:rsidRDefault="001B65FF">
      <w:pPr>
        <w:tabs>
          <w:tab w:val="left" w:pos="2302"/>
        </w:tabs>
        <w:spacing w:after="0"/>
        <w:jc w:val="both"/>
        <w:rPr>
          <w:rFonts w:ascii="Times New Roman" w:eastAsia="Times New Roman" w:hAnsi="Times New Roman" w:cs="Times New Roman"/>
          <w:noProof/>
          <w:sz w:val="24"/>
          <w:szCs w:val="20"/>
        </w:rPr>
      </w:pPr>
    </w:p>
    <w:p w:rsidR="001B65FF" w:rsidRDefault="003E4EF4">
      <w:p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main recipient of MLAT requests from Member States (and from around the world) for access to e-evidence is the US, where the largest service providers are headqu</w:t>
      </w:r>
      <w:r>
        <w:rPr>
          <w:rFonts w:ascii="Times New Roman" w:eastAsia="Times New Roman" w:hAnsi="Times New Roman" w:cs="Times New Roman"/>
          <w:noProof/>
          <w:sz w:val="24"/>
          <w:szCs w:val="20"/>
        </w:rPr>
        <w:t xml:space="preserve">artered. This is why the impact assessment focuses on the US situation, but many of the structural problems of MLA cooperation are similar when it comes to other non-EU countries. In many cases, the requests received have little or no connection to the US </w:t>
      </w:r>
      <w:r>
        <w:rPr>
          <w:rFonts w:ascii="Times New Roman" w:eastAsia="Times New Roman" w:hAnsi="Times New Roman" w:cs="Times New Roman"/>
          <w:noProof/>
          <w:sz w:val="24"/>
          <w:szCs w:val="20"/>
        </w:rPr>
        <w:t>besides the seat of the service provider. This forces US authorities to provide thousands of full checks for cases, giving them essentially the same attention as domestic cases, in the absence of any specific US interest in the solving of that concrete cri</w:t>
      </w:r>
      <w:r>
        <w:rPr>
          <w:rFonts w:ascii="Times New Roman" w:eastAsia="Times New Roman" w:hAnsi="Times New Roman" w:cs="Times New Roman"/>
          <w:noProof/>
          <w:sz w:val="24"/>
          <w:szCs w:val="20"/>
        </w:rPr>
        <w:t>me.</w:t>
      </w:r>
    </w:p>
    <w:p w:rsidR="001B65FF" w:rsidRDefault="003E4EF4">
      <w:p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MLAT process with the US takes an average of </w:t>
      </w:r>
      <w:r>
        <w:rPr>
          <w:rFonts w:ascii="Times New Roman" w:eastAsia="Times New Roman" w:hAnsi="Times New Roman" w:cs="Times New Roman"/>
          <w:b/>
          <w:noProof/>
          <w:sz w:val="24"/>
          <w:szCs w:val="20"/>
        </w:rPr>
        <w:t>10 months</w:t>
      </w:r>
      <w:r>
        <w:rPr>
          <w:rFonts w:ascii="Times New Roman" w:eastAsia="Times New Roman" w:hAnsi="Times New Roman" w:cs="Times New Roman"/>
          <w:noProof/>
          <w:sz w:val="24"/>
          <w:szCs w:val="20"/>
          <w:vertAlign w:val="superscript"/>
        </w:rPr>
        <w:footnoteReference w:id="35"/>
      </w:r>
      <w:r>
        <w:rPr>
          <w:rFonts w:ascii="Times New Roman" w:eastAsia="Times New Roman" w:hAnsi="Times New Roman" w:cs="Times New Roman"/>
          <w:noProof/>
          <w:sz w:val="24"/>
          <w:szCs w:val="20"/>
        </w:rPr>
        <w:t xml:space="preserve">, which is considered as </w:t>
      </w:r>
      <w:r>
        <w:rPr>
          <w:rFonts w:ascii="Times New Roman" w:eastAsia="Times New Roman" w:hAnsi="Times New Roman" w:cs="Times New Roman"/>
          <w:b/>
          <w:noProof/>
          <w:sz w:val="24"/>
          <w:szCs w:val="20"/>
        </w:rPr>
        <w:t>too much time</w:t>
      </w:r>
      <w:r>
        <w:rPr>
          <w:rFonts w:ascii="Times New Roman" w:eastAsia="Times New Roman" w:hAnsi="Times New Roman" w:cs="Times New Roman"/>
          <w:noProof/>
          <w:sz w:val="24"/>
          <w:szCs w:val="20"/>
        </w:rPr>
        <w:t xml:space="preserve"> by all stakeholders. There have been repeated calls for reform within the stakeholder consultation for this initiative and before</w:t>
      </w:r>
      <w:r>
        <w:rPr>
          <w:rFonts w:ascii="Times New Roman" w:eastAsia="Times New Roman" w:hAnsi="Times New Roman" w:cs="Times New Roman"/>
          <w:noProof/>
          <w:sz w:val="24"/>
          <w:szCs w:val="20"/>
          <w:vertAlign w:val="superscript"/>
        </w:rPr>
        <w:footnoteReference w:id="36"/>
      </w:r>
      <w:r>
        <w:rPr>
          <w:rFonts w:ascii="Times New Roman" w:eastAsia="Times New Roman" w:hAnsi="Times New Roman" w:cs="Times New Roman"/>
          <w:noProof/>
          <w:sz w:val="24"/>
          <w:szCs w:val="20"/>
        </w:rPr>
        <w:t xml:space="preserve">. </w:t>
      </w:r>
    </w:p>
    <w:p w:rsidR="001B65FF" w:rsidRDefault="003E4EF4">
      <w:p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There were extensive </w:t>
      </w:r>
      <w:r>
        <w:rPr>
          <w:rFonts w:ascii="Times New Roman" w:eastAsia="Times New Roman" w:hAnsi="Times New Roman" w:cs="Times New Roman"/>
          <w:noProof/>
          <w:sz w:val="24"/>
          <w:szCs w:val="20"/>
        </w:rPr>
        <w:t xml:space="preserve">consultations in the EU and the US to determine the reasons that explain the long duration of the MLAT process. The stakeholders identified the </w:t>
      </w:r>
      <w:r>
        <w:rPr>
          <w:rFonts w:ascii="Times New Roman" w:eastAsia="Times New Roman" w:hAnsi="Times New Roman" w:cs="Times New Roman"/>
          <w:b/>
          <w:noProof/>
          <w:sz w:val="24"/>
          <w:szCs w:val="20"/>
        </w:rPr>
        <w:t>high volume of requests</w:t>
      </w:r>
      <w:r>
        <w:rPr>
          <w:rFonts w:ascii="Times New Roman" w:eastAsia="Times New Roman" w:hAnsi="Times New Roman" w:cs="Times New Roman"/>
          <w:noProof/>
          <w:sz w:val="24"/>
          <w:szCs w:val="20"/>
        </w:rPr>
        <w:t xml:space="preserve"> to access e-evidence as the main factor that has put the MLAT system under enormous stra</w:t>
      </w:r>
      <w:r>
        <w:rPr>
          <w:rFonts w:ascii="Times New Roman" w:eastAsia="Times New Roman" w:hAnsi="Times New Roman" w:cs="Times New Roman"/>
          <w:noProof/>
          <w:sz w:val="24"/>
          <w:szCs w:val="20"/>
        </w:rPr>
        <w:t>in, and has shown its weakness to deal effectively with the current needs. The number of requests has increased 10 fold over the last decade, reaching around 1600 MLA requests from around the world last year, most of which come from the EU.</w:t>
      </w:r>
    </w:p>
    <w:p w:rsidR="001B65FF" w:rsidRDefault="003E4EF4">
      <w:p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Other reasons t</w:t>
      </w:r>
      <w:r>
        <w:rPr>
          <w:rFonts w:ascii="Times New Roman" w:eastAsia="Times New Roman" w:hAnsi="Times New Roman" w:cs="Times New Roman"/>
          <w:noProof/>
          <w:sz w:val="24"/>
          <w:szCs w:val="20"/>
        </w:rPr>
        <w:t>hat the stakeholder identified are:</w:t>
      </w:r>
    </w:p>
    <w:p w:rsidR="001B65FF" w:rsidRDefault="003E4EF4">
      <w:pPr>
        <w:pStyle w:val="ListParagraph"/>
        <w:numPr>
          <w:ilvl w:val="0"/>
          <w:numId w:val="181"/>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Quality</w:t>
      </w:r>
      <w:r>
        <w:rPr>
          <w:rFonts w:ascii="Times New Roman" w:eastAsia="Times New Roman" w:hAnsi="Times New Roman" w:cs="Times New Roman"/>
          <w:noProof/>
          <w:sz w:val="24"/>
          <w:szCs w:val="20"/>
        </w:rPr>
        <w:t xml:space="preserve"> of the request, which can make the response time vary significantly. The higher the quality, the fewer the iterations required between the two countries, and the faster the process can be. The most common issue i</w:t>
      </w:r>
      <w:r>
        <w:rPr>
          <w:rFonts w:ascii="Times New Roman" w:eastAsia="Times New Roman" w:hAnsi="Times New Roman" w:cs="Times New Roman"/>
          <w:noProof/>
          <w:sz w:val="24"/>
          <w:szCs w:val="20"/>
        </w:rPr>
        <w:t xml:space="preserve">s unclear </w:t>
      </w:r>
      <w:r>
        <w:rPr>
          <w:rFonts w:ascii="Times New Roman" w:eastAsia="Times New Roman" w:hAnsi="Times New Roman" w:cs="Times New Roman"/>
          <w:b/>
          <w:noProof/>
          <w:sz w:val="24"/>
          <w:szCs w:val="20"/>
        </w:rPr>
        <w:t>probable cause</w:t>
      </w:r>
      <w:r>
        <w:rPr>
          <w:rFonts w:ascii="Times New Roman" w:eastAsia="Times New Roman" w:hAnsi="Times New Roman" w:cs="Times New Roman"/>
          <w:noProof/>
          <w:sz w:val="24"/>
          <w:szCs w:val="20"/>
        </w:rPr>
        <w:t xml:space="preserve"> (e.g. the connection between the criminal activity and the account) for requests for content and other missing information such as the </w:t>
      </w:r>
      <w:r>
        <w:rPr>
          <w:rFonts w:ascii="Times New Roman" w:eastAsia="Times New Roman" w:hAnsi="Times New Roman" w:cs="Times New Roman"/>
          <w:b/>
          <w:noProof/>
          <w:sz w:val="24"/>
          <w:szCs w:val="20"/>
        </w:rPr>
        <w:t>timeframe</w:t>
      </w:r>
      <w:r>
        <w:rPr>
          <w:rFonts w:ascii="Times New Roman" w:eastAsia="Times New Roman" w:hAnsi="Times New Roman" w:cs="Times New Roman"/>
          <w:noProof/>
          <w:sz w:val="24"/>
          <w:szCs w:val="20"/>
        </w:rPr>
        <w:t xml:space="preserve"> relevant to the e-evidence sought.</w:t>
      </w:r>
    </w:p>
    <w:p w:rsidR="001B65FF" w:rsidRDefault="003E4EF4">
      <w:pPr>
        <w:pStyle w:val="ListParagraph"/>
        <w:numPr>
          <w:ilvl w:val="0"/>
          <w:numId w:val="181"/>
        </w:numPr>
        <w:tabs>
          <w:tab w:val="left" w:pos="2302"/>
        </w:tabs>
        <w:spacing w:before="240" w:after="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 xml:space="preserve">Type </w:t>
      </w:r>
      <w:r>
        <w:rPr>
          <w:rFonts w:ascii="Times New Roman" w:eastAsia="Times New Roman" w:hAnsi="Times New Roman" w:cs="Times New Roman"/>
          <w:noProof/>
          <w:sz w:val="24"/>
          <w:szCs w:val="20"/>
        </w:rPr>
        <w:t xml:space="preserve">of request: the requests for </w:t>
      </w:r>
      <w:r>
        <w:rPr>
          <w:rFonts w:ascii="Times New Roman" w:eastAsia="Times New Roman" w:hAnsi="Times New Roman" w:cs="Times New Roman"/>
          <w:b/>
          <w:noProof/>
          <w:sz w:val="24"/>
          <w:szCs w:val="20"/>
        </w:rPr>
        <w:t xml:space="preserve">content </w:t>
      </w:r>
      <w:r>
        <w:rPr>
          <w:rFonts w:ascii="Times New Roman" w:eastAsia="Times New Roman" w:hAnsi="Times New Roman" w:cs="Times New Roman"/>
          <w:noProof/>
          <w:sz w:val="24"/>
          <w:szCs w:val="20"/>
        </w:rPr>
        <w:t>take much</w:t>
      </w:r>
      <w:r>
        <w:rPr>
          <w:rFonts w:ascii="Times New Roman" w:eastAsia="Times New Roman" w:hAnsi="Times New Roman" w:cs="Times New Roman"/>
          <w:noProof/>
          <w:sz w:val="24"/>
          <w:szCs w:val="20"/>
        </w:rPr>
        <w:t xml:space="preserve"> longer than the requests for non-content, as the former require higher standards such as proving probable cause and undergo more complex procedures such as search warrant and filtering or data minimisation (review of all the content to determine what is r</w:t>
      </w:r>
      <w:r>
        <w:rPr>
          <w:rFonts w:ascii="Times New Roman" w:eastAsia="Times New Roman" w:hAnsi="Times New Roman" w:cs="Times New Roman"/>
          <w:noProof/>
          <w:sz w:val="24"/>
          <w:szCs w:val="20"/>
        </w:rPr>
        <w:t>elevant to the offence and can be forwarded to the requesting country).</w:t>
      </w:r>
    </w:p>
    <w:p w:rsidR="001B65FF" w:rsidRDefault="003E4EF4">
      <w:pPr>
        <w:pStyle w:val="ListParagraph"/>
        <w:tabs>
          <w:tab w:val="left" w:pos="2302"/>
        </w:tabs>
        <w:spacing w:after="0"/>
        <w:jc w:val="both"/>
        <w:rPr>
          <w:rFonts w:ascii="Times New Roman" w:eastAsia="Times New Roman" w:hAnsi="Times New Roman" w:cs="Times New Roman"/>
          <w:noProof/>
          <w:color w:val="000000"/>
          <w:sz w:val="24"/>
          <w:szCs w:val="20"/>
        </w:rPr>
      </w:pPr>
      <w:r>
        <w:rPr>
          <w:rFonts w:ascii="Times New Roman" w:eastAsia="Times New Roman" w:hAnsi="Times New Roman" w:cs="Times New Roman"/>
          <w:b/>
          <w:noProof/>
          <w:sz w:val="24"/>
          <w:szCs w:val="20"/>
        </w:rPr>
        <w:t>Emergency</w:t>
      </w:r>
      <w:r>
        <w:rPr>
          <w:rFonts w:ascii="Times New Roman" w:eastAsia="Times New Roman" w:hAnsi="Times New Roman" w:cs="Times New Roman"/>
          <w:noProof/>
          <w:sz w:val="24"/>
          <w:szCs w:val="20"/>
        </w:rPr>
        <w:t xml:space="preserve"> requests usually can be answered effectively, within 24h. The problem is that </w:t>
      </w:r>
      <w:r>
        <w:rPr>
          <w:rFonts w:ascii="Times New Roman" w:eastAsia="Times New Roman" w:hAnsi="Times New Roman" w:cs="Times New Roman"/>
          <w:noProof/>
          <w:color w:val="000000"/>
          <w:sz w:val="24"/>
          <w:szCs w:val="20"/>
        </w:rPr>
        <w:t xml:space="preserve">authorities in the EU are unfamiliar with </w:t>
      </w:r>
      <w:r>
        <w:rPr>
          <w:rFonts w:ascii="Times New Roman" w:eastAsia="Times New Roman" w:hAnsi="Times New Roman" w:cs="Times New Roman"/>
          <w:noProof/>
          <w:sz w:val="24"/>
          <w:szCs w:val="20"/>
        </w:rPr>
        <w:t>the mechanism</w:t>
      </w:r>
      <w:r>
        <w:rPr>
          <w:rFonts w:ascii="Times New Roman" w:eastAsia="Times New Roman" w:hAnsi="Times New Roman" w:cs="Times New Roman"/>
          <w:noProof/>
          <w:color w:val="000000"/>
          <w:sz w:val="24"/>
          <w:szCs w:val="24"/>
          <w:vertAlign w:val="superscript"/>
        </w:rPr>
        <w:footnoteReference w:id="37"/>
      </w:r>
      <w:r>
        <w:rPr>
          <w:rFonts w:ascii="Times New Roman" w:eastAsia="Times New Roman" w:hAnsi="Times New Roman" w:cs="Times New Roman"/>
          <w:noProof/>
          <w:color w:val="000000"/>
          <w:sz w:val="24"/>
          <w:szCs w:val="20"/>
        </w:rPr>
        <w:t>.</w:t>
      </w:r>
    </w:p>
    <w:p w:rsidR="001B65FF" w:rsidRDefault="003E4EF4">
      <w:pPr>
        <w:pStyle w:val="ListParagraph"/>
        <w:numPr>
          <w:ilvl w:val="0"/>
          <w:numId w:val="181"/>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Service providers’ internal procedures</w:t>
      </w:r>
      <w:r>
        <w:rPr>
          <w:rFonts w:ascii="Times New Roman" w:eastAsia="Times New Roman" w:hAnsi="Times New Roman" w:cs="Times New Roman"/>
          <w:noProof/>
          <w:sz w:val="24"/>
          <w:szCs w:val="20"/>
        </w:rPr>
        <w:t xml:space="preserve">. The time that a service provider takes to process a request varies depending on its internal procedures. Member State authorities pointed out the </w:t>
      </w:r>
      <w:r>
        <w:rPr>
          <w:rFonts w:ascii="Times New Roman" w:eastAsia="Times New Roman" w:hAnsi="Times New Roman" w:cs="Times New Roman"/>
          <w:b/>
          <w:noProof/>
          <w:sz w:val="24"/>
          <w:szCs w:val="20"/>
        </w:rPr>
        <w:t>lack of transparency</w:t>
      </w:r>
      <w:r>
        <w:rPr>
          <w:rFonts w:ascii="Times New Roman" w:eastAsia="Times New Roman" w:hAnsi="Times New Roman" w:cs="Times New Roman"/>
          <w:noProof/>
          <w:sz w:val="24"/>
          <w:szCs w:val="20"/>
        </w:rPr>
        <w:t xml:space="preserve"> of these procedures.</w:t>
      </w:r>
    </w:p>
    <w:p w:rsidR="001B65FF" w:rsidRDefault="001B65FF">
      <w:pPr>
        <w:pStyle w:val="ListParagraph"/>
        <w:tabs>
          <w:tab w:val="left" w:pos="2302"/>
        </w:tabs>
        <w:spacing w:before="240" w:after="0"/>
        <w:jc w:val="both"/>
        <w:rPr>
          <w:rFonts w:ascii="Times New Roman" w:eastAsia="Times New Roman" w:hAnsi="Times New Roman" w:cs="Times New Roman"/>
          <w:noProof/>
          <w:sz w:val="24"/>
          <w:szCs w:val="20"/>
        </w:rPr>
      </w:pPr>
    </w:p>
    <w:p w:rsidR="001B65FF" w:rsidRDefault="003E4EF4">
      <w:pPr>
        <w:keepNext/>
        <w:numPr>
          <w:ilvl w:val="2"/>
          <w:numId w:val="3"/>
        </w:numPr>
        <w:tabs>
          <w:tab w:val="clear" w:pos="1920"/>
        </w:tabs>
        <w:spacing w:after="240" w:line="240" w:lineRule="auto"/>
        <w:ind w:left="720"/>
        <w:jc w:val="both"/>
        <w:outlineLvl w:val="2"/>
        <w:rPr>
          <w:rFonts w:ascii="Times New Roman" w:eastAsia="Times New Roman" w:hAnsi="Times New Roman" w:cs="Times New Roman"/>
          <w:noProof/>
          <w:sz w:val="24"/>
          <w:szCs w:val="20"/>
        </w:rPr>
      </w:pPr>
      <w:bookmarkStart w:id="181" w:name="_Toc497927246"/>
      <w:bookmarkStart w:id="182" w:name="_Toc497927859"/>
      <w:bookmarkStart w:id="183" w:name="_Toc497928125"/>
      <w:bookmarkStart w:id="184" w:name="_Toc498509617"/>
      <w:bookmarkStart w:id="185" w:name="_Toc498521206"/>
      <w:bookmarkStart w:id="186" w:name="_Toc498701915"/>
      <w:bookmarkStart w:id="187" w:name="_Toc498704682"/>
      <w:bookmarkStart w:id="188" w:name="_Toc499020438"/>
      <w:bookmarkStart w:id="189" w:name="_Toc499030341"/>
      <w:bookmarkStart w:id="190" w:name="_Toc499044918"/>
      <w:bookmarkStart w:id="191" w:name="_Toc499051299"/>
      <w:bookmarkStart w:id="192" w:name="_Toc499133288"/>
      <w:bookmarkStart w:id="193" w:name="_Toc499142804"/>
      <w:bookmarkStart w:id="194" w:name="_Toc510952854"/>
      <w:r>
        <w:rPr>
          <w:rFonts w:ascii="Times New Roman" w:eastAsia="Times New Roman" w:hAnsi="Times New Roman" w:cs="Times New Roman"/>
          <w:noProof/>
          <w:sz w:val="24"/>
          <w:szCs w:val="20"/>
        </w:rPr>
        <w:t>Inefficiencies in public-private cooperation between service prov</w:t>
      </w:r>
      <w:r>
        <w:rPr>
          <w:rFonts w:ascii="Times New Roman" w:eastAsia="Times New Roman" w:hAnsi="Times New Roman" w:cs="Times New Roman"/>
          <w:noProof/>
          <w:sz w:val="24"/>
          <w:szCs w:val="20"/>
        </w:rPr>
        <w:t>iders and public authorities hamper effective investigations and prosecutions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1B65FF" w:rsidRDefault="003E4EF4">
      <w:p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4"/>
        </w:rPr>
        <w:t xml:space="preserve">Given the limitations of the judicial cooperation channel described above, Member States regularly obtain </w:t>
      </w:r>
      <w:r>
        <w:rPr>
          <w:rFonts w:ascii="Times New Roman" w:eastAsia="Times New Roman" w:hAnsi="Times New Roman" w:cs="Times New Roman"/>
          <w:b/>
          <w:noProof/>
          <w:sz w:val="24"/>
          <w:szCs w:val="24"/>
        </w:rPr>
        <w:t>non-content</w:t>
      </w:r>
      <w:r>
        <w:rPr>
          <w:rFonts w:ascii="Times New Roman" w:eastAsia="Times New Roman" w:hAnsi="Times New Roman" w:cs="Times New Roman"/>
          <w:noProof/>
          <w:sz w:val="24"/>
          <w:szCs w:val="24"/>
        </w:rPr>
        <w:t xml:space="preserve"> data through direct cooperation with service providers on a </w:t>
      </w:r>
      <w:r>
        <w:rPr>
          <w:rFonts w:ascii="Times New Roman" w:eastAsia="Times New Roman" w:hAnsi="Times New Roman" w:cs="Times New Roman"/>
          <w:b/>
          <w:noProof/>
          <w:sz w:val="24"/>
          <w:szCs w:val="24"/>
        </w:rPr>
        <w:t>voluntary</w:t>
      </w:r>
      <w:r>
        <w:rPr>
          <w:rFonts w:ascii="Times New Roman" w:eastAsia="Times New Roman" w:hAnsi="Times New Roman" w:cs="Times New Roman"/>
          <w:noProof/>
          <w:sz w:val="24"/>
          <w:szCs w:val="24"/>
          <w:vertAlign w:val="superscript"/>
        </w:rPr>
        <w:footnoteReference w:id="38"/>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basis. This option is supported by the US Department of Justice (DOJ) as the preferred one, as evidenced by letters from the DOJ to Member States. D</w:t>
      </w:r>
      <w:r>
        <w:rPr>
          <w:rFonts w:ascii="Times New Roman" w:eastAsia="Times New Roman" w:hAnsi="Times New Roman" w:cs="Times New Roman"/>
          <w:noProof/>
          <w:sz w:val="24"/>
          <w:szCs w:val="20"/>
        </w:rPr>
        <w:t xml:space="preserve">irect cooperation has become the main channel for authorities to obtain </w:t>
      </w:r>
      <w:r>
        <w:rPr>
          <w:rFonts w:ascii="Times New Roman" w:eastAsia="Times New Roman" w:hAnsi="Times New Roman" w:cs="Times New Roman"/>
          <w:b/>
          <w:noProof/>
          <w:sz w:val="24"/>
          <w:szCs w:val="20"/>
        </w:rPr>
        <w:t>non-content</w:t>
      </w:r>
      <w:r>
        <w:rPr>
          <w:rFonts w:ascii="Times New Roman" w:eastAsia="Times New Roman" w:hAnsi="Times New Roman" w:cs="Times New Roman"/>
          <w:noProof/>
          <w:sz w:val="24"/>
          <w:szCs w:val="20"/>
        </w:rPr>
        <w:t xml:space="preserve"> data, as both</w:t>
      </w:r>
      <w:r>
        <w:rPr>
          <w:rFonts w:ascii="Times New Roman" w:eastAsia="Times New Roman" w:hAnsi="Times New Roman" w:cs="Times New Roman"/>
          <w:noProof/>
          <w:sz w:val="24"/>
          <w:szCs w:val="20"/>
        </w:rPr>
        <w:t xml:space="preserve"> authorities and service providers acknowledged during the consultations, and as reflected by the significant number of this type of requests (more than </w:t>
      </w:r>
      <w:r>
        <w:rPr>
          <w:rFonts w:ascii="Times New Roman" w:eastAsia="Times New Roman" w:hAnsi="Times New Roman" w:cs="Times New Roman"/>
          <w:b/>
          <w:noProof/>
          <w:sz w:val="24"/>
          <w:szCs w:val="20"/>
        </w:rPr>
        <w:t>120 000</w:t>
      </w:r>
      <w:r>
        <w:rPr>
          <w:rFonts w:ascii="Times New Roman" w:eastAsia="Times New Roman" w:hAnsi="Times New Roman" w:cs="Times New Roman"/>
          <w:noProof/>
          <w:sz w:val="24"/>
          <w:szCs w:val="20"/>
        </w:rPr>
        <w:t xml:space="preserve"> in 2016)</w:t>
      </w:r>
      <w:r>
        <w:rPr>
          <w:rFonts w:ascii="Times New Roman" w:eastAsia="Times New Roman" w:hAnsi="Times New Roman" w:cs="Times New Roman"/>
          <w:noProof/>
          <w:sz w:val="24"/>
          <w:szCs w:val="20"/>
          <w:vertAlign w:val="superscript"/>
        </w:rPr>
        <w:footnoteReference w:id="39"/>
      </w:r>
      <w:r>
        <w:rPr>
          <w:rFonts w:ascii="Times New Roman" w:eastAsia="Times New Roman" w:hAnsi="Times New Roman" w:cs="Times New Roman"/>
          <w:noProof/>
          <w:sz w:val="24"/>
          <w:szCs w:val="20"/>
        </w:rPr>
        <w:t>.</w:t>
      </w:r>
    </w:p>
    <w:p w:rsidR="001B65FF" w:rsidRDefault="003E4EF4">
      <w:pPr>
        <w:tabs>
          <w:tab w:val="left" w:pos="2302"/>
        </w:tabs>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This section analyses the inefficiencies in this type of public-private cooperation, which prevent direct cooperation from being a fully satisfactory solution. </w:t>
      </w:r>
    </w:p>
    <w:p w:rsidR="001B65FF" w:rsidRDefault="003E4EF4">
      <w:pPr>
        <w:tabs>
          <w:tab w:val="left" w:pos="2302"/>
        </w:tabs>
        <w:spacing w:after="240" w:line="240" w:lineRule="auto"/>
        <w:jc w:val="both"/>
        <w:rPr>
          <w:rFonts w:ascii="Times New Roman" w:eastAsia="Times New Roman" w:hAnsi="Times New Roman" w:cs="Times New Roman"/>
          <w:noProof/>
          <w:sz w:val="24"/>
          <w:szCs w:val="20"/>
          <w:u w:val="single"/>
        </w:rPr>
      </w:pPr>
      <w:r>
        <w:rPr>
          <w:rFonts w:ascii="Times New Roman" w:eastAsia="Times New Roman" w:hAnsi="Times New Roman" w:cs="Times New Roman"/>
          <w:noProof/>
          <w:sz w:val="24"/>
          <w:szCs w:val="20"/>
          <w:u w:val="single"/>
        </w:rPr>
        <w:t>Within the EU</w:t>
      </w:r>
    </w:p>
    <w:p w:rsidR="001B65FF" w:rsidRDefault="003E4EF4">
      <w:pPr>
        <w:tabs>
          <w:tab w:val="left" w:pos="2302"/>
        </w:tabs>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close to all EU Member States, the telecommunications framework prohibits nati</w:t>
      </w:r>
      <w:r>
        <w:rPr>
          <w:rFonts w:ascii="Times New Roman" w:eastAsia="Times New Roman" w:hAnsi="Times New Roman" w:cs="Times New Roman"/>
          <w:noProof/>
          <w:sz w:val="24"/>
          <w:szCs w:val="20"/>
        </w:rPr>
        <w:t>onal telecommunications providers from responding directly to requests from foreign authorities. In addition, there is no legal framework allowing direct cooperation in other communication sectors. Therefore, it is rare to non-existent and mainly used in e</w:t>
      </w:r>
      <w:r>
        <w:rPr>
          <w:rFonts w:ascii="Times New Roman" w:eastAsia="Times New Roman" w:hAnsi="Times New Roman" w:cs="Times New Roman"/>
          <w:noProof/>
          <w:sz w:val="24"/>
          <w:szCs w:val="20"/>
        </w:rPr>
        <w:t xml:space="preserve">mergency situations. Only service providers based in Ireland provide </w:t>
      </w:r>
      <w:r>
        <w:rPr>
          <w:rFonts w:ascii="Times New Roman" w:eastAsia="Times New Roman" w:hAnsi="Times New Roman" w:cs="Times New Roman"/>
          <w:b/>
          <w:noProof/>
          <w:sz w:val="24"/>
          <w:szCs w:val="20"/>
        </w:rPr>
        <w:t>non-content</w:t>
      </w:r>
      <w:r>
        <w:rPr>
          <w:rFonts w:ascii="Times New Roman" w:eastAsia="Times New Roman" w:hAnsi="Times New Roman" w:cs="Times New Roman"/>
          <w:noProof/>
          <w:sz w:val="24"/>
          <w:szCs w:val="20"/>
        </w:rPr>
        <w:t xml:space="preserve"> data on a </w:t>
      </w:r>
      <w:r>
        <w:rPr>
          <w:rFonts w:ascii="Times New Roman" w:eastAsia="Times New Roman" w:hAnsi="Times New Roman" w:cs="Times New Roman"/>
          <w:b/>
          <w:noProof/>
          <w:sz w:val="24"/>
          <w:szCs w:val="20"/>
        </w:rPr>
        <w:t>voluntary</w:t>
      </w:r>
      <w:r>
        <w:rPr>
          <w:rFonts w:ascii="Times New Roman" w:eastAsia="Times New Roman" w:hAnsi="Times New Roman" w:cs="Times New Roman"/>
          <w:noProof/>
          <w:sz w:val="24"/>
          <w:szCs w:val="20"/>
        </w:rPr>
        <w:t xml:space="preserve"> basis. When public authorities address requests for direct cooperation to US service providers operating in the EU, unless the service providers are based </w:t>
      </w:r>
      <w:r>
        <w:rPr>
          <w:rFonts w:ascii="Times New Roman" w:eastAsia="Times New Roman" w:hAnsi="Times New Roman" w:cs="Times New Roman"/>
          <w:noProof/>
          <w:sz w:val="24"/>
          <w:szCs w:val="20"/>
        </w:rPr>
        <w:t xml:space="preserve">in Ireland, they typically get redirected to the US, where the service provider holds the data or where the management of these requests within the company takes place. </w:t>
      </w:r>
    </w:p>
    <w:p w:rsidR="001B65FF" w:rsidRDefault="003E4EF4">
      <w:pPr>
        <w:tabs>
          <w:tab w:val="left" w:pos="2302"/>
        </w:tabs>
        <w:spacing w:after="240" w:line="240" w:lineRule="auto"/>
        <w:jc w:val="both"/>
        <w:rPr>
          <w:rFonts w:ascii="Times New Roman" w:eastAsia="Times New Roman" w:hAnsi="Times New Roman" w:cs="Times New Roman"/>
          <w:noProof/>
          <w:sz w:val="24"/>
          <w:szCs w:val="20"/>
          <w:u w:val="single"/>
        </w:rPr>
      </w:pPr>
      <w:r>
        <w:rPr>
          <w:rFonts w:ascii="Times New Roman" w:eastAsia="Times New Roman" w:hAnsi="Times New Roman" w:cs="Times New Roman"/>
          <w:noProof/>
          <w:sz w:val="24"/>
          <w:szCs w:val="20"/>
          <w:u w:val="single"/>
        </w:rPr>
        <w:t>With non-EU countries</w:t>
      </w:r>
    </w:p>
    <w:p w:rsidR="001B65FF" w:rsidRDefault="003E4EF4">
      <w:pPr>
        <w:tabs>
          <w:tab w:val="left" w:pos="2302"/>
        </w:tabs>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Given the inefficiencies of the current MLA procedures, the 2016</w:t>
      </w:r>
      <w:r>
        <w:rPr>
          <w:rFonts w:ascii="Times New Roman" w:eastAsia="Times New Roman" w:hAnsi="Times New Roman" w:cs="Times New Roman"/>
          <w:noProof/>
          <w:sz w:val="24"/>
          <w:szCs w:val="24"/>
        </w:rPr>
        <w:t xml:space="preserve"> Review Report of the EU-US MLA Agreement encouraged Member States to cooperate directly with US service providers in order to secure and obtain e-evidence more quickly and effectively. This approach is actively supported by US authorities, as mentioned ab</w:t>
      </w:r>
      <w:r>
        <w:rPr>
          <w:rFonts w:ascii="Times New Roman" w:eastAsia="Times New Roman" w:hAnsi="Times New Roman" w:cs="Times New Roman"/>
          <w:noProof/>
          <w:sz w:val="24"/>
          <w:szCs w:val="24"/>
        </w:rPr>
        <w:t>ove.</w:t>
      </w:r>
    </w:p>
    <w:p w:rsidR="001B65FF" w:rsidRDefault="003E4EF4">
      <w:pPr>
        <w:tabs>
          <w:tab w:val="left" w:pos="2302"/>
        </w:tabs>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US law that allows US based service providers to cooperate directly with European public authorities</w:t>
      </w:r>
      <w:r>
        <w:rPr>
          <w:rFonts w:ascii="Times New Roman" w:eastAsia="Times New Roman" w:hAnsi="Times New Roman" w:cs="Times New Roman"/>
          <w:noProof/>
          <w:sz w:val="24"/>
          <w:szCs w:val="24"/>
          <w:vertAlign w:val="superscript"/>
        </w:rPr>
        <w:footnoteReference w:id="40"/>
      </w:r>
      <w:r>
        <w:rPr>
          <w:rFonts w:ascii="Times New Roman" w:eastAsia="Times New Roman" w:hAnsi="Times New Roman" w:cs="Times New Roman"/>
          <w:noProof/>
          <w:sz w:val="24"/>
          <w:szCs w:val="24"/>
        </w:rPr>
        <w:t xml:space="preserve"> with regard to </w:t>
      </w:r>
      <w:r>
        <w:rPr>
          <w:rFonts w:ascii="Times New Roman" w:eastAsia="Times New Roman" w:hAnsi="Times New Roman" w:cs="Times New Roman"/>
          <w:b/>
          <w:noProof/>
          <w:sz w:val="24"/>
          <w:szCs w:val="24"/>
        </w:rPr>
        <w:t>non-content data</w:t>
      </w:r>
      <w:r>
        <w:rPr>
          <w:rFonts w:ascii="Times New Roman" w:eastAsia="Times New Roman" w:hAnsi="Times New Roman" w:cs="Times New Roman"/>
          <w:noProof/>
          <w:sz w:val="24"/>
          <w:szCs w:val="24"/>
          <w:vertAlign w:val="superscript"/>
        </w:rPr>
        <w:footnoteReference w:id="41"/>
      </w:r>
      <w:r>
        <w:rPr>
          <w:rFonts w:ascii="Times New Roman" w:eastAsia="Times New Roman" w:hAnsi="Times New Roman" w:cs="Times New Roman"/>
          <w:noProof/>
          <w:sz w:val="24"/>
          <w:szCs w:val="24"/>
        </w:rPr>
        <w:t xml:space="preserve"> is </w:t>
      </w:r>
      <w:r>
        <w:rPr>
          <w:rFonts w:ascii="Times New Roman" w:eastAsia="Times New Roman" w:hAnsi="Times New Roman" w:cs="Times New Roman"/>
          <w:noProof/>
          <w:sz w:val="24"/>
          <w:szCs w:val="20"/>
        </w:rPr>
        <w:t>s</w:t>
      </w:r>
      <w:r>
        <w:rPr>
          <w:rFonts w:ascii="Times New Roman" w:eastAsia="Times New Roman" w:hAnsi="Times New Roman" w:cs="Times New Roman"/>
          <w:noProof/>
          <w:sz w:val="24"/>
          <w:szCs w:val="24"/>
        </w:rPr>
        <w:t xml:space="preserve">ection 2701(2) of the Electronic Communications and </w:t>
      </w:r>
      <w:r>
        <w:rPr>
          <w:rFonts w:ascii="Times New Roman" w:eastAsia="Times New Roman" w:hAnsi="Times New Roman" w:cs="Times New Roman"/>
          <w:noProof/>
          <w:sz w:val="24"/>
          <w:szCs w:val="20"/>
        </w:rPr>
        <w:t>Privacy</w:t>
      </w:r>
      <w:r>
        <w:rPr>
          <w:rFonts w:ascii="Times New Roman" w:eastAsia="Times New Roman" w:hAnsi="Times New Roman" w:cs="Times New Roman"/>
          <w:noProof/>
          <w:sz w:val="24"/>
          <w:szCs w:val="24"/>
        </w:rPr>
        <w:t xml:space="preserve"> Act 1986 (ECPA)</w:t>
      </w:r>
      <w:r>
        <w:rPr>
          <w:rFonts w:ascii="Times New Roman" w:eastAsia="Times New Roman" w:hAnsi="Times New Roman" w:cs="Times New Roman"/>
          <w:noProof/>
          <w:sz w:val="24"/>
          <w:szCs w:val="24"/>
          <w:vertAlign w:val="superscript"/>
        </w:rPr>
        <w:footnoteReference w:id="42"/>
      </w:r>
      <w:r>
        <w:rPr>
          <w:rFonts w:ascii="Times New Roman" w:eastAsia="Times New Roman" w:hAnsi="Times New Roman" w:cs="Times New Roman"/>
          <w:noProof/>
          <w:sz w:val="24"/>
          <w:szCs w:val="24"/>
        </w:rPr>
        <w:t xml:space="preserve">. This cooperation is </w:t>
      </w:r>
      <w:r>
        <w:rPr>
          <w:rFonts w:ascii="Times New Roman" w:eastAsia="Times New Roman" w:hAnsi="Times New Roman" w:cs="Times New Roman"/>
          <w:b/>
          <w:noProof/>
          <w:sz w:val="24"/>
          <w:szCs w:val="24"/>
        </w:rPr>
        <w:t>voluntary</w:t>
      </w:r>
      <w:r>
        <w:rPr>
          <w:rFonts w:ascii="Times New Roman" w:eastAsia="Times New Roman" w:hAnsi="Times New Roman" w:cs="Times New Roman"/>
          <w:noProof/>
          <w:sz w:val="24"/>
          <w:szCs w:val="24"/>
          <w:vertAlign w:val="superscript"/>
        </w:rPr>
        <w:footnoteReference w:id="43"/>
      </w:r>
      <w:r>
        <w:rPr>
          <w:rFonts w:ascii="Times New Roman" w:eastAsia="Times New Roman" w:hAnsi="Times New Roman" w:cs="Times New Roman"/>
          <w:noProof/>
          <w:sz w:val="24"/>
          <w:szCs w:val="24"/>
        </w:rPr>
        <w:t>. Thus, providers have created their own policies or decide on a case-by-case basis on whether and how to cooperate. The analysis below reflects the main concerns raised by stakeholders from their various perspectives. It necessarily abstracts from compani</w:t>
      </w:r>
      <w:r>
        <w:rPr>
          <w:rFonts w:ascii="Times New Roman" w:eastAsia="Times New Roman" w:hAnsi="Times New Roman" w:cs="Times New Roman"/>
          <w:noProof/>
          <w:sz w:val="24"/>
          <w:szCs w:val="24"/>
        </w:rPr>
        <w:t>es' individual policies and procedures and may therefore not apply to all situations in an identical manner</w:t>
      </w:r>
      <w:r>
        <w:rPr>
          <w:rFonts w:ascii="Times New Roman" w:eastAsia="Times New Roman" w:hAnsi="Times New Roman" w:cs="Times New Roman"/>
          <w:noProof/>
          <w:sz w:val="24"/>
          <w:szCs w:val="24"/>
          <w:vertAlign w:val="superscript"/>
        </w:rPr>
        <w:footnoteReference w:id="44"/>
      </w:r>
      <w:r>
        <w:rPr>
          <w:rFonts w:ascii="Times New Roman" w:eastAsia="Times New Roman" w:hAnsi="Times New Roman" w:cs="Times New Roman"/>
          <w:noProof/>
          <w:sz w:val="24"/>
          <w:szCs w:val="24"/>
        </w:rPr>
        <w:t xml:space="preserve">.  </w:t>
      </w:r>
    </w:p>
    <w:p w:rsidR="001B65FF" w:rsidRDefault="003E4EF4">
      <w:p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Stakeholders expressed general and practical concerns:</w:t>
      </w:r>
    </w:p>
    <w:p w:rsidR="001B65FF" w:rsidRDefault="003E4EF4">
      <w:pPr>
        <w:numPr>
          <w:ilvl w:val="0"/>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General:</w:t>
      </w:r>
    </w:p>
    <w:p w:rsidR="001B65FF" w:rsidRDefault="003E4EF4">
      <w:pPr>
        <w:numPr>
          <w:ilvl w:val="1"/>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transparency of the process;</w:t>
      </w:r>
    </w:p>
    <w:p w:rsidR="001B65FF" w:rsidRDefault="003E4EF4">
      <w:pPr>
        <w:numPr>
          <w:ilvl w:val="1"/>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reliability of stakeholders;</w:t>
      </w:r>
    </w:p>
    <w:p w:rsidR="001B65FF" w:rsidRDefault="003E4EF4">
      <w:pPr>
        <w:numPr>
          <w:ilvl w:val="1"/>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accountability of </w:t>
      </w:r>
      <w:r>
        <w:rPr>
          <w:rFonts w:ascii="Times New Roman" w:eastAsia="Times New Roman" w:hAnsi="Times New Roman" w:cs="Times New Roman"/>
          <w:noProof/>
          <w:sz w:val="24"/>
          <w:szCs w:val="24"/>
        </w:rPr>
        <w:t>stakeholders;</w:t>
      </w:r>
    </w:p>
    <w:p w:rsidR="001B65FF" w:rsidRDefault="003E4EF4">
      <w:pPr>
        <w:numPr>
          <w:ilvl w:val="1"/>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admissibility of evidence;</w:t>
      </w:r>
    </w:p>
    <w:p w:rsidR="001B65FF" w:rsidRDefault="003E4EF4">
      <w:pPr>
        <w:numPr>
          <w:ilvl w:val="1"/>
          <w:numId w:val="49"/>
        </w:numPr>
        <w:spacing w:after="0"/>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unequal treatment of Member States;</w:t>
      </w:r>
    </w:p>
    <w:p w:rsidR="001B65FF" w:rsidRDefault="003E4EF4">
      <w:pPr>
        <w:numPr>
          <w:ilvl w:val="1"/>
          <w:numId w:val="49"/>
        </w:numPr>
        <w:spacing w:after="0"/>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reimbursement of service providers’ costs;</w:t>
      </w:r>
    </w:p>
    <w:p w:rsidR="001B65FF" w:rsidRDefault="001B65FF">
      <w:pPr>
        <w:spacing w:after="0"/>
        <w:ind w:left="1440"/>
        <w:contextualSpacing/>
        <w:rPr>
          <w:rFonts w:ascii="Times New Roman" w:eastAsia="Times New Roman" w:hAnsi="Times New Roman" w:cs="Times New Roman"/>
          <w:noProof/>
          <w:sz w:val="24"/>
          <w:szCs w:val="24"/>
        </w:rPr>
      </w:pPr>
    </w:p>
    <w:p w:rsidR="001B65FF" w:rsidRDefault="003E4EF4">
      <w:pPr>
        <w:numPr>
          <w:ilvl w:val="0"/>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Practical:</w:t>
      </w:r>
    </w:p>
    <w:p w:rsidR="001B65FF" w:rsidRDefault="003E4EF4">
      <w:pPr>
        <w:numPr>
          <w:ilvl w:val="0"/>
          <w:numId w:val="56"/>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for authorities, how to identify and contact the relevant service provider;</w:t>
      </w:r>
    </w:p>
    <w:p w:rsidR="001B65FF" w:rsidRDefault="003E4EF4">
      <w:pPr>
        <w:numPr>
          <w:ilvl w:val="0"/>
          <w:numId w:val="56"/>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for service providers, how to assess authenticit</w:t>
      </w:r>
      <w:r>
        <w:rPr>
          <w:rFonts w:ascii="Times New Roman" w:eastAsia="Times New Roman" w:hAnsi="Times New Roman" w:cs="Times New Roman"/>
          <w:noProof/>
          <w:sz w:val="24"/>
          <w:szCs w:val="24"/>
        </w:rPr>
        <w:t>y and legitimacy of requests.</w:t>
      </w:r>
    </w:p>
    <w:p w:rsidR="001B65FF" w:rsidRDefault="003E4EF4">
      <w:pPr>
        <w:tabs>
          <w:tab w:val="left" w:pos="2302"/>
        </w:tabs>
        <w:spacing w:before="240"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Annex 6 contains a detailed analysis of each of these concerns.</w:t>
      </w:r>
    </w:p>
    <w:p w:rsidR="001B65FF" w:rsidRDefault="001B65FF">
      <w:pPr>
        <w:tabs>
          <w:tab w:val="left" w:pos="2302"/>
        </w:tabs>
        <w:spacing w:after="0"/>
        <w:jc w:val="both"/>
        <w:rPr>
          <w:rFonts w:ascii="Times New Roman" w:eastAsia="Times New Roman" w:hAnsi="Times New Roman" w:cs="Times New Roman"/>
          <w:noProof/>
          <w:sz w:val="24"/>
          <w:szCs w:val="24"/>
        </w:rPr>
      </w:pPr>
    </w:p>
    <w:p w:rsidR="001B65FF" w:rsidRDefault="003E4EF4">
      <w:pPr>
        <w:keepNext/>
        <w:numPr>
          <w:ilvl w:val="2"/>
          <w:numId w:val="3"/>
        </w:numPr>
        <w:tabs>
          <w:tab w:val="clear" w:pos="1920"/>
        </w:tabs>
        <w:spacing w:after="240" w:line="240" w:lineRule="auto"/>
        <w:ind w:left="720"/>
        <w:jc w:val="both"/>
        <w:outlineLvl w:val="2"/>
        <w:rPr>
          <w:rFonts w:ascii="Times New Roman" w:eastAsia="Times New Roman" w:hAnsi="Times New Roman" w:cs="Times New Roman"/>
          <w:noProof/>
          <w:sz w:val="24"/>
          <w:szCs w:val="20"/>
        </w:rPr>
      </w:pPr>
      <w:bookmarkStart w:id="195" w:name="_Toc497927247"/>
      <w:bookmarkStart w:id="196" w:name="_Toc497927860"/>
      <w:bookmarkStart w:id="197" w:name="_Toc497928126"/>
      <w:bookmarkStart w:id="198" w:name="_Toc498509618"/>
      <w:bookmarkStart w:id="199" w:name="_Toc498521207"/>
      <w:bookmarkStart w:id="200" w:name="_Toc498701916"/>
      <w:bookmarkStart w:id="201" w:name="_Toc498704683"/>
      <w:bookmarkStart w:id="202" w:name="_Toc499020439"/>
      <w:bookmarkStart w:id="203" w:name="_Toc499030342"/>
      <w:bookmarkStart w:id="204" w:name="_Toc499044919"/>
      <w:bookmarkStart w:id="205" w:name="_Toc499051300"/>
      <w:bookmarkStart w:id="206" w:name="_Toc499133289"/>
      <w:bookmarkStart w:id="207" w:name="_Toc499142805"/>
      <w:bookmarkStart w:id="208" w:name="_Toc510952855"/>
      <w:r>
        <w:rPr>
          <w:rFonts w:ascii="Times New Roman" w:eastAsia="Times New Roman" w:hAnsi="Times New Roman" w:cs="Times New Roman"/>
          <w:noProof/>
          <w:sz w:val="24"/>
          <w:szCs w:val="20"/>
        </w:rPr>
        <w:t>Shortcomings in defining jurisdiction can hinder effective cross-border investigation and prosecution</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1B65FF" w:rsidRDefault="003E4EF4">
      <w:pPr>
        <w:autoSpaceDE w:val="0"/>
        <w:autoSpaceDN w:val="0"/>
        <w:adjustRightInd w:val="0"/>
        <w:spacing w:after="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previous two drivers have shown, respectively, the chal</w:t>
      </w:r>
      <w:r>
        <w:rPr>
          <w:rFonts w:ascii="Times New Roman" w:hAnsi="Times New Roman" w:cs="Times New Roman"/>
          <w:noProof/>
          <w:color w:val="000000"/>
          <w:sz w:val="24"/>
          <w:szCs w:val="24"/>
        </w:rPr>
        <w:t xml:space="preserve">lenges that the judicial cooperation and direct (voluntary) cooperation with service providers present for Member States when trying to access e-evidence across borders. These challenges prevent these channels from working properly and being sufficient to </w:t>
      </w:r>
      <w:r>
        <w:rPr>
          <w:rFonts w:ascii="Times New Roman" w:hAnsi="Times New Roman" w:cs="Times New Roman"/>
          <w:noProof/>
          <w:color w:val="000000"/>
          <w:sz w:val="24"/>
          <w:szCs w:val="24"/>
        </w:rPr>
        <w:t xml:space="preserve">address the current needs. </w:t>
      </w:r>
    </w:p>
    <w:p w:rsidR="001B65FF" w:rsidRDefault="003E4EF4">
      <w:pPr>
        <w:autoSpaceDE w:val="0"/>
        <w:autoSpaceDN w:val="0"/>
        <w:adjustRightInd w:val="0"/>
        <w:spacing w:before="240" w:after="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the face of these challenges, Member States have developed two mechanisms to define their jurisdiction over the e-evidence and try to access it across borders: </w:t>
      </w:r>
    </w:p>
    <w:p w:rsidR="001B65FF" w:rsidRDefault="003E4EF4">
      <w:pPr>
        <w:numPr>
          <w:ilvl w:val="0"/>
          <w:numId w:val="46"/>
        </w:numPr>
        <w:autoSpaceDE w:val="0"/>
        <w:autoSpaceDN w:val="0"/>
        <w:adjustRightInd w:val="0"/>
        <w:spacing w:before="240" w:after="0"/>
        <w:contextualSpacing/>
        <w:jc w:val="both"/>
        <w:rPr>
          <w:rFonts w:ascii="Times New Roman" w:hAnsi="Times New Roman" w:cs="Times New Roman"/>
          <w:noProof/>
          <w:color w:val="000000"/>
          <w:sz w:val="24"/>
          <w:szCs w:val="24"/>
        </w:rPr>
      </w:pPr>
      <w:r>
        <w:rPr>
          <w:rFonts w:ascii="Times New Roman" w:hAnsi="Times New Roman" w:cs="Times New Roman"/>
          <w:b/>
          <w:noProof/>
          <w:color w:val="000000"/>
          <w:sz w:val="24"/>
          <w:szCs w:val="24"/>
        </w:rPr>
        <w:t>Domestic production orders</w:t>
      </w:r>
      <w:r>
        <w:rPr>
          <w:rFonts w:ascii="Times New Roman" w:hAnsi="Times New Roman" w:cs="Times New Roman"/>
          <w:noProof/>
          <w:color w:val="000000"/>
          <w:sz w:val="24"/>
          <w:szCs w:val="24"/>
        </w:rPr>
        <w:t xml:space="preserve">, in which the Member State asserts jurisdiction through various </w:t>
      </w:r>
      <w:r>
        <w:rPr>
          <w:rFonts w:ascii="Times New Roman" w:hAnsi="Times New Roman" w:cs="Times New Roman"/>
          <w:b/>
          <w:noProof/>
          <w:color w:val="000000"/>
          <w:sz w:val="24"/>
          <w:szCs w:val="24"/>
        </w:rPr>
        <w:t>connecting factors</w:t>
      </w:r>
      <w:r>
        <w:rPr>
          <w:rFonts w:ascii="Times New Roman" w:hAnsi="Times New Roman" w:cs="Times New Roman"/>
          <w:noProof/>
          <w:color w:val="000000"/>
          <w:sz w:val="24"/>
          <w:szCs w:val="24"/>
        </w:rPr>
        <w:t xml:space="preserve"> over the data held by a service provider and mandates it to release the data.</w:t>
      </w:r>
    </w:p>
    <w:p w:rsidR="001B65FF" w:rsidRDefault="003E4EF4">
      <w:pPr>
        <w:numPr>
          <w:ilvl w:val="0"/>
          <w:numId w:val="46"/>
        </w:numPr>
        <w:autoSpaceDE w:val="0"/>
        <w:autoSpaceDN w:val="0"/>
        <w:adjustRightInd w:val="0"/>
        <w:spacing w:before="240" w:after="0"/>
        <w:contextualSpacing/>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Direct access </w:t>
      </w:r>
      <w:r>
        <w:rPr>
          <w:rFonts w:ascii="Times New Roman" w:hAnsi="Times New Roman" w:cs="Times New Roman"/>
          <w:noProof/>
          <w:color w:val="000000"/>
          <w:sz w:val="24"/>
          <w:szCs w:val="24"/>
        </w:rPr>
        <w:t>to data, in which the Member State asserts jurisdiction over data for which it i</w:t>
      </w:r>
      <w:r>
        <w:rPr>
          <w:rFonts w:ascii="Times New Roman" w:hAnsi="Times New Roman" w:cs="Times New Roman"/>
          <w:noProof/>
          <w:color w:val="000000"/>
          <w:sz w:val="24"/>
          <w:szCs w:val="24"/>
        </w:rPr>
        <w:t xml:space="preserve">s not possible to determine its location, and accesses it </w:t>
      </w:r>
      <w:r>
        <w:rPr>
          <w:rFonts w:ascii="Times New Roman" w:hAnsi="Times New Roman" w:cs="Times New Roman"/>
          <w:noProof/>
          <w:sz w:val="24"/>
        </w:rPr>
        <w:t xml:space="preserve">directly from an information system within its territory, without the assistance of an intermediary (e.g. a service provider or other public authorities). </w:t>
      </w:r>
    </w:p>
    <w:p w:rsidR="001B65FF" w:rsidRDefault="003E4EF4">
      <w:pPr>
        <w:autoSpaceDE w:val="0"/>
        <w:autoSpaceDN w:val="0"/>
        <w:adjustRightInd w:val="0"/>
        <w:spacing w:before="240" w:after="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These measures are partially grounded in </w:t>
      </w:r>
      <w:r>
        <w:rPr>
          <w:rFonts w:ascii="Times New Roman" w:hAnsi="Times New Roman" w:cs="Times New Roman"/>
          <w:noProof/>
          <w:color w:val="000000"/>
          <w:sz w:val="24"/>
          <w:szCs w:val="24"/>
        </w:rPr>
        <w:t>the conviction, apparent throughout the expert consultations, that a case presenting no links to the country/countries where the service provider has its main seat or where it has chosen to store the relevant data does not necessitate (full) involvement of</w:t>
      </w:r>
      <w:r>
        <w:rPr>
          <w:rFonts w:ascii="Times New Roman" w:hAnsi="Times New Roman" w:cs="Times New Roman"/>
          <w:noProof/>
          <w:color w:val="000000"/>
          <w:sz w:val="24"/>
          <w:szCs w:val="24"/>
        </w:rPr>
        <w:t xml:space="preserve"> that country's authorities.</w:t>
      </w:r>
    </w:p>
    <w:p w:rsidR="001B65FF" w:rsidRDefault="001B65FF">
      <w:pPr>
        <w:autoSpaceDE w:val="0"/>
        <w:autoSpaceDN w:val="0"/>
        <w:adjustRightInd w:val="0"/>
        <w:spacing w:after="0"/>
        <w:jc w:val="both"/>
        <w:rPr>
          <w:rFonts w:ascii="Times New Roman" w:hAnsi="Times New Roman" w:cs="Times New Roman"/>
          <w:noProof/>
          <w:color w:val="000000"/>
          <w:sz w:val="24"/>
          <w:szCs w:val="24"/>
        </w:rPr>
      </w:pPr>
    </w:p>
    <w:p w:rsidR="001B65FF" w:rsidRDefault="003E4EF4">
      <w:pPr>
        <w:numPr>
          <w:ilvl w:val="0"/>
          <w:numId w:val="47"/>
        </w:numPr>
        <w:autoSpaceDE w:val="0"/>
        <w:autoSpaceDN w:val="0"/>
        <w:adjustRightInd w:val="0"/>
        <w:spacing w:before="240"/>
        <w:contextualSpacing/>
        <w:jc w:val="both"/>
        <w:rPr>
          <w:rFonts w:ascii="Times New Roman" w:hAnsi="Times New Roman" w:cs="Times New Roman"/>
          <w:noProof/>
          <w:color w:val="000000"/>
          <w:sz w:val="24"/>
          <w:szCs w:val="24"/>
          <w:u w:val="single"/>
        </w:rPr>
      </w:pPr>
      <w:r>
        <w:rPr>
          <w:rFonts w:ascii="Times New Roman" w:hAnsi="Times New Roman" w:cs="Times New Roman"/>
          <w:noProof/>
          <w:color w:val="000000"/>
          <w:sz w:val="24"/>
          <w:szCs w:val="24"/>
          <w:u w:val="single"/>
        </w:rPr>
        <w:t>Domestic production orders: connecting factors</w:t>
      </w:r>
      <w:r>
        <w:rPr>
          <w:rStyle w:val="FootnoteReference"/>
          <w:rFonts w:ascii="Times New Roman" w:hAnsi="Times New Roman" w:cs="Times New Roman"/>
          <w:noProof/>
          <w:color w:val="000000"/>
          <w:sz w:val="24"/>
          <w:szCs w:val="24"/>
          <w:u w:val="single"/>
        </w:rPr>
        <w:footnoteReference w:id="45"/>
      </w:r>
    </w:p>
    <w:p w:rsidR="001B65FF" w:rsidRDefault="003E4EF4">
      <w:pPr>
        <w:autoSpaceDE w:val="0"/>
        <w:autoSpaceDN w:val="0"/>
        <w:adjustRightInd w:val="0"/>
        <w:spacing w:after="0"/>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 fundamental challenge highlighted by stakeholders across all three channels to access electronic evidence lies in the fact that stakeholders and legal frameworks disagree as to</w:t>
      </w:r>
      <w:r>
        <w:rPr>
          <w:rFonts w:ascii="Times New Roman" w:hAnsi="Times New Roman" w:cs="Times New Roman"/>
          <w:noProof/>
          <w:color w:val="000000"/>
          <w:sz w:val="24"/>
          <w:szCs w:val="24"/>
        </w:rPr>
        <w:t xml:space="preserve"> </w:t>
      </w:r>
      <w:r>
        <w:rPr>
          <w:rFonts w:ascii="Times New Roman" w:hAnsi="Times New Roman" w:cs="Times New Roman"/>
          <w:b/>
          <w:noProof/>
          <w:color w:val="000000"/>
          <w:sz w:val="24"/>
          <w:szCs w:val="24"/>
        </w:rPr>
        <w:t xml:space="preserve">what constitutes a "cross-border" situation, </w:t>
      </w:r>
      <w:r>
        <w:rPr>
          <w:rFonts w:ascii="Times New Roman" w:hAnsi="Times New Roman" w:cs="Times New Roman"/>
          <w:noProof/>
          <w:color w:val="000000"/>
          <w:sz w:val="24"/>
          <w:szCs w:val="24"/>
        </w:rPr>
        <w:t xml:space="preserve">which makes it difficult to determine when a country can exercise jurisdiction. </w:t>
      </w:r>
    </w:p>
    <w:p w:rsidR="001B65FF" w:rsidRDefault="003E4EF4">
      <w:pPr>
        <w:autoSpaceDE w:val="0"/>
        <w:autoSpaceDN w:val="0"/>
        <w:adjustRightInd w:val="0"/>
        <w:spacing w:after="0"/>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Based on the results of a questionnaire to Member States, the most common </w:t>
      </w:r>
      <w:r>
        <w:rPr>
          <w:rFonts w:ascii="Times New Roman" w:hAnsi="Times New Roman" w:cs="Times New Roman"/>
          <w:b/>
          <w:noProof/>
          <w:color w:val="000000"/>
          <w:sz w:val="24"/>
          <w:szCs w:val="24"/>
        </w:rPr>
        <w:t>connecting factors</w:t>
      </w:r>
      <w:r>
        <w:rPr>
          <w:rFonts w:ascii="Times New Roman" w:hAnsi="Times New Roman" w:cs="Times New Roman"/>
          <w:noProof/>
          <w:color w:val="000000"/>
          <w:sz w:val="24"/>
          <w:szCs w:val="24"/>
        </w:rPr>
        <w:t xml:space="preserve"> used include:</w:t>
      </w:r>
    </w:p>
    <w:p w:rsidR="001B65FF" w:rsidRDefault="003E4EF4">
      <w:pPr>
        <w:numPr>
          <w:ilvl w:val="0"/>
          <w:numId w:val="48"/>
        </w:numPr>
        <w:autoSpaceDE w:val="0"/>
        <w:autoSpaceDN w:val="0"/>
        <w:adjustRightInd w:val="0"/>
        <w:spacing w:after="0"/>
        <w:contextualSpacing/>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rPr>
        <w:t>the storage or process</w:t>
      </w:r>
      <w:r>
        <w:rPr>
          <w:rFonts w:ascii="Times New Roman" w:hAnsi="Times New Roman" w:cs="Times New Roman"/>
          <w:noProof/>
          <w:color w:val="000000"/>
          <w:sz w:val="24"/>
          <w:szCs w:val="24"/>
        </w:rPr>
        <w:t>ing location of the data</w:t>
      </w:r>
      <w:r>
        <w:rPr>
          <w:rFonts w:ascii="Times New Roman" w:hAnsi="Times New Roman" w:cs="Times New Roman"/>
          <w:noProof/>
          <w:color w:val="000000"/>
          <w:sz w:val="24"/>
          <w:szCs w:val="24"/>
          <w:vertAlign w:val="superscript"/>
        </w:rPr>
        <w:footnoteReference w:id="46"/>
      </w:r>
      <w:r>
        <w:rPr>
          <w:rFonts w:ascii="Times New Roman" w:hAnsi="Times New Roman" w:cs="Times New Roman"/>
          <w:noProof/>
          <w:color w:val="000000"/>
          <w:sz w:val="24"/>
          <w:szCs w:val="24"/>
        </w:rPr>
        <w:t xml:space="preserve"> (i.e. where the infrastructure used for the storage or processing of the data is located)</w:t>
      </w:r>
      <w:r>
        <w:rPr>
          <w:rFonts w:ascii="Times New Roman" w:hAnsi="Times New Roman" w:cs="Times New Roman"/>
          <w:noProof/>
          <w:color w:val="000000"/>
          <w:sz w:val="24"/>
          <w:szCs w:val="24"/>
          <w:vertAlign w:val="superscript"/>
        </w:rPr>
        <w:t xml:space="preserve"> </w:t>
      </w:r>
      <w:r>
        <w:rPr>
          <w:rFonts w:ascii="Times New Roman" w:hAnsi="Times New Roman" w:cs="Times New Roman"/>
          <w:noProof/>
          <w:color w:val="000000"/>
          <w:sz w:val="24"/>
          <w:szCs w:val="24"/>
          <w:vertAlign w:val="superscript"/>
        </w:rPr>
        <w:footnoteReference w:id="47"/>
      </w:r>
      <w:r>
        <w:rPr>
          <w:rFonts w:ascii="Times New Roman" w:hAnsi="Times New Roman" w:cs="Times New Roman"/>
          <w:noProof/>
          <w:color w:val="000000"/>
          <w:sz w:val="24"/>
          <w:szCs w:val="24"/>
        </w:rPr>
        <w:t>. While most Member States’ laws attach importance to the storage location of the data, this has proven very difficult in practice as a con</w:t>
      </w:r>
      <w:r>
        <w:rPr>
          <w:rFonts w:ascii="Times New Roman" w:hAnsi="Times New Roman" w:cs="Times New Roman"/>
          <w:noProof/>
          <w:color w:val="000000"/>
          <w:sz w:val="24"/>
          <w:szCs w:val="24"/>
        </w:rPr>
        <w:t>necting factor (e.g. while Facebook operates a large data centre in northern Sweden, Sweden has always been asked to send its request to Facebook’s headquarters in the United States). As a result, there has been a trend to move away from data storage locat</w:t>
      </w:r>
      <w:r>
        <w:rPr>
          <w:rFonts w:ascii="Times New Roman" w:hAnsi="Times New Roman" w:cs="Times New Roman"/>
          <w:noProof/>
          <w:color w:val="000000"/>
          <w:sz w:val="24"/>
          <w:szCs w:val="24"/>
        </w:rPr>
        <w:t xml:space="preserve">ion </w:t>
      </w:r>
      <w:r>
        <w:rPr>
          <w:rFonts w:ascii="Times New Roman" w:hAnsi="Times New Roman" w:cs="Times New Roman"/>
          <w:noProof/>
          <w:sz w:val="24"/>
          <w:szCs w:val="24"/>
        </w:rPr>
        <w:t>in several Member States and internationally</w:t>
      </w:r>
      <w:r>
        <w:rPr>
          <w:rFonts w:ascii="Times New Roman" w:hAnsi="Times New Roman" w:cs="Times New Roman"/>
          <w:noProof/>
          <w:sz w:val="24"/>
          <w:szCs w:val="24"/>
          <w:vertAlign w:val="superscript"/>
        </w:rPr>
        <w:footnoteReference w:id="48"/>
      </w:r>
      <w:r>
        <w:rPr>
          <w:rFonts w:ascii="Times New Roman" w:hAnsi="Times New Roman" w:cs="Times New Roman"/>
          <w:noProof/>
          <w:sz w:val="24"/>
          <w:szCs w:val="24"/>
        </w:rPr>
        <w:t>. This is also the preliminary result of a global multi-stakeholder exercise to determine principles for cross-border access to data</w:t>
      </w:r>
      <w:r>
        <w:rPr>
          <w:rFonts w:ascii="Times New Roman" w:hAnsi="Times New Roman" w:cs="Times New Roman"/>
          <w:noProof/>
          <w:sz w:val="24"/>
          <w:szCs w:val="24"/>
          <w:vertAlign w:val="superscript"/>
        </w:rPr>
        <w:footnoteReference w:id="49"/>
      </w:r>
      <w:r>
        <w:rPr>
          <w:rFonts w:ascii="Times New Roman" w:hAnsi="Times New Roman" w:cs="Times New Roman"/>
          <w:noProof/>
          <w:sz w:val="24"/>
          <w:szCs w:val="24"/>
        </w:rPr>
        <w:t>;</w:t>
      </w:r>
    </w:p>
    <w:p w:rsidR="001B65FF" w:rsidRDefault="003E4EF4">
      <w:pPr>
        <w:numPr>
          <w:ilvl w:val="0"/>
          <w:numId w:val="48"/>
        </w:numPr>
        <w:autoSpaceDE w:val="0"/>
        <w:autoSpaceDN w:val="0"/>
        <w:adjustRightInd w:val="0"/>
        <w:spacing w:after="0"/>
        <w:contextualSpacing/>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rPr>
        <w:t>the location of the seat of a service provider;</w:t>
      </w:r>
    </w:p>
    <w:p w:rsidR="001B65FF" w:rsidRDefault="003E4EF4">
      <w:pPr>
        <w:numPr>
          <w:ilvl w:val="0"/>
          <w:numId w:val="48"/>
        </w:numPr>
        <w:autoSpaceDE w:val="0"/>
        <w:autoSpaceDN w:val="0"/>
        <w:adjustRightInd w:val="0"/>
        <w:spacing w:after="0"/>
        <w:contextualSpacing/>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 xml:space="preserve">the place where a service provider has any another establishment; </w:t>
      </w:r>
    </w:p>
    <w:p w:rsidR="001B65FF" w:rsidRDefault="003E4EF4">
      <w:pPr>
        <w:numPr>
          <w:ilvl w:val="0"/>
          <w:numId w:val="48"/>
        </w:numPr>
        <w:autoSpaceDE w:val="0"/>
        <w:autoSpaceDN w:val="0"/>
        <w:adjustRightInd w:val="0"/>
        <w:spacing w:after="0"/>
        <w:contextualSpacing/>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the place where a service provider is offering services</w:t>
      </w:r>
      <w:r>
        <w:rPr>
          <w:rFonts w:ascii="Times New Roman" w:hAnsi="Times New Roman" w:cs="Times New Roman"/>
          <w:noProof/>
          <w:color w:val="000000"/>
          <w:sz w:val="24"/>
          <w:szCs w:val="24"/>
          <w:vertAlign w:val="superscript"/>
          <w:lang w:val="en-US"/>
        </w:rPr>
        <w:footnoteReference w:id="50"/>
      </w:r>
      <w:r>
        <w:rPr>
          <w:rFonts w:ascii="Times New Roman" w:hAnsi="Times New Roman" w:cs="Times New Roman"/>
          <w:noProof/>
          <w:color w:val="000000"/>
          <w:sz w:val="24"/>
          <w:szCs w:val="24"/>
          <w:lang w:val="en-US"/>
        </w:rPr>
        <w:t>;</w:t>
      </w:r>
    </w:p>
    <w:p w:rsidR="001B65FF" w:rsidRDefault="001B65FF">
      <w:pPr>
        <w:autoSpaceDE w:val="0"/>
        <w:autoSpaceDN w:val="0"/>
        <w:adjustRightInd w:val="0"/>
        <w:spacing w:after="0"/>
        <w:ind w:firstLine="720"/>
        <w:jc w:val="both"/>
        <w:rPr>
          <w:rFonts w:ascii="Times New Roman" w:hAnsi="Times New Roman" w:cs="Times New Roman"/>
          <w:noProof/>
          <w:color w:val="000000"/>
          <w:sz w:val="24"/>
          <w:szCs w:val="24"/>
          <w:lang w:val="en-US"/>
        </w:rPr>
      </w:pPr>
    </w:p>
    <w:p w:rsidR="001B65FF" w:rsidRDefault="003E4EF4">
      <w:pPr>
        <w:autoSpaceDE w:val="0"/>
        <w:autoSpaceDN w:val="0"/>
        <w:adjustRightInd w:val="0"/>
        <w:spacing w:after="120"/>
        <w:ind w:left="360"/>
        <w:jc w:val="both"/>
        <w:rPr>
          <w:rFonts w:ascii="Times New Roman" w:hAnsi="Times New Roman" w:cs="Times New Roman"/>
          <w:noProof/>
          <w:color w:val="000000"/>
          <w:sz w:val="23"/>
          <w:szCs w:val="23"/>
          <w:u w:val="single"/>
          <w:lang w:val="en-US"/>
        </w:rPr>
      </w:pPr>
      <w:r>
        <w:rPr>
          <w:rFonts w:ascii="Times New Roman" w:hAnsi="Times New Roman" w:cs="Times New Roman"/>
          <w:noProof/>
          <w:color w:val="000000"/>
          <w:sz w:val="24"/>
          <w:szCs w:val="24"/>
          <w:lang w:val="en-US"/>
        </w:rPr>
        <w:t>Other connecting factors that have been considered include the nationality of the suspect and the nationality of the victim</w:t>
      </w:r>
      <w:r>
        <w:rPr>
          <w:rFonts w:ascii="Times New Roman" w:hAnsi="Times New Roman" w:cs="Times New Roman"/>
          <w:noProof/>
          <w:color w:val="000000"/>
          <w:sz w:val="24"/>
          <w:szCs w:val="24"/>
          <w:vertAlign w:val="superscript"/>
          <w:lang w:val="en-US"/>
        </w:rPr>
        <w:footnoteReference w:id="51"/>
      </w:r>
      <w:r>
        <w:rPr>
          <w:rFonts w:ascii="Times New Roman" w:hAnsi="Times New Roman" w:cs="Times New Roman"/>
          <w:noProof/>
          <w:color w:val="000000"/>
          <w:sz w:val="24"/>
          <w:szCs w:val="24"/>
          <w:lang w:val="en-US"/>
        </w:rPr>
        <w:t xml:space="preserve">. </w:t>
      </w:r>
    </w:p>
    <w:p w:rsidR="001B65FF" w:rsidRDefault="003E4EF4">
      <w:pPr>
        <w:spacing w:after="120"/>
        <w:ind w:left="360"/>
        <w:jc w:val="both"/>
        <w:rPr>
          <w:rFonts w:ascii="Times New Roman" w:eastAsia="Calibri" w:hAnsi="Times New Roman" w:cs="Times New Roman"/>
          <w:noProof/>
          <w:sz w:val="24"/>
          <w:szCs w:val="20"/>
        </w:rPr>
      </w:pPr>
      <w:r>
        <w:rPr>
          <w:rFonts w:ascii="Times New Roman" w:eastAsia="Calibri" w:hAnsi="Times New Roman" w:cs="Times New Roman"/>
          <w:noProof/>
          <w:sz w:val="24"/>
          <w:szCs w:val="20"/>
        </w:rPr>
        <w:t xml:space="preserve">The use of different connecting factors not only creates </w:t>
      </w:r>
      <w:r>
        <w:rPr>
          <w:rFonts w:ascii="Times New Roman" w:eastAsia="Calibri" w:hAnsi="Times New Roman" w:cs="Times New Roman"/>
          <w:b/>
          <w:noProof/>
          <w:sz w:val="24"/>
          <w:szCs w:val="20"/>
        </w:rPr>
        <w:t>legal uncertainty</w:t>
      </w:r>
      <w:r>
        <w:rPr>
          <w:rFonts w:ascii="Times New Roman" w:eastAsia="Calibri" w:hAnsi="Times New Roman" w:cs="Times New Roman"/>
          <w:noProof/>
          <w:sz w:val="24"/>
          <w:szCs w:val="20"/>
        </w:rPr>
        <w:t xml:space="preserve"> for authorities, but also for service providers receiving the requests. In particular, service providers active in multiple countries highlighted during the consultations </w:t>
      </w:r>
      <w:r>
        <w:rPr>
          <w:rFonts w:ascii="Times New Roman" w:eastAsia="Calibri" w:hAnsi="Times New Roman" w:cs="Times New Roman"/>
          <w:b/>
          <w:noProof/>
          <w:sz w:val="24"/>
          <w:szCs w:val="20"/>
        </w:rPr>
        <w:t>conflictin</w:t>
      </w:r>
      <w:r>
        <w:rPr>
          <w:rFonts w:ascii="Times New Roman" w:eastAsia="Calibri" w:hAnsi="Times New Roman" w:cs="Times New Roman"/>
          <w:b/>
          <w:noProof/>
          <w:sz w:val="24"/>
          <w:szCs w:val="20"/>
        </w:rPr>
        <w:t>g regulations</w:t>
      </w:r>
      <w:r>
        <w:rPr>
          <w:rFonts w:ascii="Times New Roman" w:eastAsia="Calibri" w:hAnsi="Times New Roman" w:cs="Times New Roman"/>
          <w:noProof/>
          <w:sz w:val="24"/>
          <w:szCs w:val="20"/>
        </w:rPr>
        <w:t xml:space="preserve"> of those different countries. It is not always obvious to the service providers which legal regime applies and at times the service providers might be unable to produce data due to conflicting laws between countries</w:t>
      </w:r>
      <w:r>
        <w:rPr>
          <w:rFonts w:ascii="Times New Roman" w:eastAsia="Calibri" w:hAnsi="Times New Roman" w:cs="Times New Roman"/>
          <w:noProof/>
          <w:sz w:val="24"/>
          <w:szCs w:val="20"/>
          <w:vertAlign w:val="superscript"/>
        </w:rPr>
        <w:footnoteReference w:id="52"/>
      </w:r>
      <w:r>
        <w:rPr>
          <w:rFonts w:ascii="Times New Roman" w:eastAsia="Calibri" w:hAnsi="Times New Roman" w:cs="Times New Roman"/>
          <w:noProof/>
          <w:sz w:val="24"/>
          <w:szCs w:val="20"/>
        </w:rPr>
        <w:t xml:space="preserve">. As a result, service </w:t>
      </w:r>
      <w:r>
        <w:rPr>
          <w:rFonts w:ascii="Times New Roman" w:eastAsia="Calibri" w:hAnsi="Times New Roman" w:cs="Times New Roman"/>
          <w:noProof/>
          <w:sz w:val="24"/>
          <w:szCs w:val="20"/>
        </w:rPr>
        <w:t>providers called for a more streamlined process, facilitating lawful access to data in ways that ensure protection of fundamental rights, and reducing situations where they are faced with conflicting rules</w:t>
      </w:r>
      <w:r>
        <w:rPr>
          <w:rFonts w:ascii="Times New Roman" w:eastAsia="Calibri" w:hAnsi="Times New Roman" w:cs="Times New Roman"/>
          <w:noProof/>
          <w:sz w:val="24"/>
          <w:szCs w:val="20"/>
          <w:vertAlign w:val="superscript"/>
        </w:rPr>
        <w:footnoteReference w:id="53"/>
      </w:r>
      <w:r>
        <w:rPr>
          <w:rFonts w:ascii="Times New Roman" w:eastAsia="Calibri" w:hAnsi="Times New Roman" w:cs="Times New Roman"/>
          <w:noProof/>
          <w:sz w:val="24"/>
          <w:szCs w:val="20"/>
        </w:rPr>
        <w:t>. As it is unclear to what extent a service provid</w:t>
      </w:r>
      <w:r>
        <w:rPr>
          <w:rFonts w:ascii="Times New Roman" w:eastAsia="Calibri" w:hAnsi="Times New Roman" w:cs="Times New Roman"/>
          <w:noProof/>
          <w:sz w:val="24"/>
          <w:szCs w:val="20"/>
        </w:rPr>
        <w:t xml:space="preserve">er is obliged to respond to a request based on different connecting factors, the legal uncertainty may also interfere with </w:t>
      </w:r>
      <w:r>
        <w:rPr>
          <w:rFonts w:ascii="Times New Roman" w:eastAsia="Calibri" w:hAnsi="Times New Roman" w:cs="Times New Roman"/>
          <w:b/>
          <w:noProof/>
          <w:sz w:val="24"/>
          <w:szCs w:val="20"/>
        </w:rPr>
        <w:t>rights of the persons</w:t>
      </w:r>
      <w:r>
        <w:rPr>
          <w:rFonts w:ascii="Times New Roman" w:eastAsia="Calibri" w:hAnsi="Times New Roman" w:cs="Times New Roman"/>
          <w:noProof/>
          <w:sz w:val="24"/>
          <w:szCs w:val="20"/>
        </w:rPr>
        <w:t xml:space="preserve"> to which the requested evidence relates, including their right to privacy.</w:t>
      </w:r>
      <w:r>
        <w:rPr>
          <w:rFonts w:ascii="Times New Roman" w:eastAsia="Calibri" w:hAnsi="Times New Roman" w:cs="Times New Roman"/>
          <w:noProof/>
          <w:sz w:val="24"/>
        </w:rPr>
        <w:t xml:space="preserve"> A number of legislative instruments </w:t>
      </w:r>
      <w:r>
        <w:rPr>
          <w:rFonts w:ascii="Times New Roman" w:eastAsia="Calibri" w:hAnsi="Times New Roman" w:cs="Times New Roman"/>
          <w:noProof/>
          <w:sz w:val="24"/>
        </w:rPr>
        <w:t>even employ different connecting factors depending on the</w:t>
      </w:r>
      <w:r>
        <w:rPr>
          <w:rFonts w:ascii="Times New Roman" w:eastAsia="Calibri" w:hAnsi="Times New Roman" w:cs="Times New Roman"/>
          <w:b/>
          <w:noProof/>
          <w:sz w:val="24"/>
        </w:rPr>
        <w:t xml:space="preserve"> type of e-evidence</w:t>
      </w:r>
      <w:r>
        <w:rPr>
          <w:rFonts w:ascii="Times New Roman" w:eastAsia="Calibri" w:hAnsi="Times New Roman" w:cs="Times New Roman"/>
          <w:noProof/>
          <w:sz w:val="24"/>
        </w:rPr>
        <w:t xml:space="preserve">, usually granting larger domestic competences for non-content data than for content data. At the same time, there is </w:t>
      </w:r>
      <w:r>
        <w:rPr>
          <w:rFonts w:ascii="Times New Roman" w:eastAsia="Calibri" w:hAnsi="Times New Roman" w:cs="Times New Roman"/>
          <w:b/>
          <w:noProof/>
          <w:sz w:val="24"/>
          <w:szCs w:val="20"/>
        </w:rPr>
        <w:t xml:space="preserve">no common understanding </w:t>
      </w:r>
      <w:r>
        <w:rPr>
          <w:rFonts w:ascii="Times New Roman" w:eastAsia="Calibri" w:hAnsi="Times New Roman" w:cs="Times New Roman"/>
          <w:noProof/>
          <w:sz w:val="24"/>
          <w:szCs w:val="20"/>
        </w:rPr>
        <w:t>of how to categorise the specific type</w:t>
      </w:r>
      <w:r>
        <w:rPr>
          <w:rFonts w:ascii="Times New Roman" w:eastAsia="Calibri" w:hAnsi="Times New Roman" w:cs="Times New Roman"/>
          <w:noProof/>
          <w:sz w:val="24"/>
          <w:szCs w:val="20"/>
        </w:rPr>
        <w:t>s of e-evidence</w:t>
      </w:r>
      <w:r>
        <w:rPr>
          <w:rStyle w:val="FootnoteReference"/>
          <w:rFonts w:ascii="Times New Roman" w:eastAsia="Calibri" w:hAnsi="Times New Roman" w:cs="Times New Roman"/>
          <w:noProof/>
          <w:sz w:val="24"/>
          <w:szCs w:val="20"/>
        </w:rPr>
        <w:footnoteReference w:id="54"/>
      </w:r>
      <w:r>
        <w:rPr>
          <w:rFonts w:ascii="Times New Roman" w:eastAsia="Calibri" w:hAnsi="Times New Roman" w:cs="Times New Roman"/>
          <w:noProof/>
          <w:sz w:val="24"/>
          <w:szCs w:val="20"/>
        </w:rPr>
        <w:t>. For example, while some service providers consider the IP address used at the time of creation of an account as basic subscriber information, others view it as transactional data. Other types of electronic evidence for which no legal defi</w:t>
      </w:r>
      <w:r>
        <w:rPr>
          <w:rFonts w:ascii="Times New Roman" w:eastAsia="Calibri" w:hAnsi="Times New Roman" w:cs="Times New Roman"/>
          <w:noProof/>
          <w:sz w:val="24"/>
          <w:szCs w:val="20"/>
        </w:rPr>
        <w:t>nitions are available may also be of relevance for criminal investigations, including data unrelated to communications. All of these categories may contain personal data</w:t>
      </w:r>
      <w:r>
        <w:rPr>
          <w:rFonts w:ascii="Times New Roman" w:eastAsia="Calibri" w:hAnsi="Times New Roman" w:cs="Times New Roman"/>
          <w:noProof/>
          <w:sz w:val="24"/>
          <w:szCs w:val="20"/>
          <w:vertAlign w:val="superscript"/>
        </w:rPr>
        <w:footnoteReference w:id="55"/>
      </w:r>
      <w:r>
        <w:rPr>
          <w:rFonts w:ascii="Times New Roman" w:eastAsia="Calibri" w:hAnsi="Times New Roman" w:cs="Times New Roman"/>
          <w:noProof/>
          <w:sz w:val="24"/>
          <w:szCs w:val="20"/>
        </w:rPr>
        <w:t>.</w:t>
      </w:r>
    </w:p>
    <w:p w:rsidR="001B65FF" w:rsidRDefault="003E4EF4">
      <w:pPr>
        <w:autoSpaceDE w:val="0"/>
        <w:autoSpaceDN w:val="0"/>
        <w:adjustRightInd w:val="0"/>
        <w:spacing w:after="120"/>
        <w:ind w:left="360"/>
        <w:jc w:val="both"/>
        <w:rPr>
          <w:rFonts w:ascii="Times New Roman" w:eastAsia="Calibri" w:hAnsi="Times New Roman" w:cs="Times New Roman"/>
          <w:noProof/>
          <w:sz w:val="24"/>
          <w:szCs w:val="20"/>
        </w:rPr>
      </w:pPr>
      <w:r>
        <w:rPr>
          <w:rFonts w:ascii="Times New Roman" w:eastAsia="Calibri" w:hAnsi="Times New Roman" w:cs="Times New Roman"/>
          <w:noProof/>
          <w:sz w:val="24"/>
          <w:szCs w:val="20"/>
        </w:rPr>
        <w:t xml:space="preserve">The absence of certainty as to which data category applies can lead to an </w:t>
      </w:r>
      <w:r>
        <w:rPr>
          <w:rFonts w:ascii="Times New Roman" w:eastAsia="Calibri" w:hAnsi="Times New Roman" w:cs="Times New Roman"/>
          <w:b/>
          <w:noProof/>
          <w:sz w:val="24"/>
          <w:szCs w:val="20"/>
        </w:rPr>
        <w:t>uneven app</w:t>
      </w:r>
      <w:r>
        <w:rPr>
          <w:rFonts w:ascii="Times New Roman" w:eastAsia="Calibri" w:hAnsi="Times New Roman" w:cs="Times New Roman"/>
          <w:b/>
          <w:noProof/>
          <w:sz w:val="24"/>
          <w:szCs w:val="20"/>
        </w:rPr>
        <w:t>lication of procedural safeguards</w:t>
      </w:r>
      <w:r>
        <w:rPr>
          <w:rFonts w:ascii="Times New Roman" w:eastAsia="Calibri" w:hAnsi="Times New Roman" w:cs="Times New Roman"/>
          <w:noProof/>
          <w:sz w:val="24"/>
          <w:szCs w:val="20"/>
        </w:rPr>
        <w:t>, as legal procedures and safeguards vary across different categories of e-evidence. It may also result in conflicts of law as regards the scope of measures. At a more practical level, it may lead to misunderstandings betwe</w:t>
      </w:r>
      <w:r>
        <w:rPr>
          <w:rFonts w:ascii="Times New Roman" w:eastAsia="Calibri" w:hAnsi="Times New Roman" w:cs="Times New Roman"/>
          <w:noProof/>
          <w:sz w:val="24"/>
          <w:szCs w:val="20"/>
        </w:rPr>
        <w:t>en requesting authority and executing authority or service provider addressed.</w:t>
      </w:r>
    </w:p>
    <w:p w:rsidR="001B65FF" w:rsidRDefault="003E4EF4">
      <w:pPr>
        <w:autoSpaceDE w:val="0"/>
        <w:autoSpaceDN w:val="0"/>
        <w:adjustRightInd w:val="0"/>
        <w:spacing w:after="120"/>
        <w:ind w:left="360"/>
        <w:jc w:val="both"/>
        <w:rPr>
          <w:rFonts w:ascii="Times New Roman" w:eastAsia="Calibri" w:hAnsi="Times New Roman" w:cs="Times New Roman"/>
          <w:noProof/>
          <w:sz w:val="24"/>
        </w:rPr>
      </w:pPr>
      <w:r>
        <w:rPr>
          <w:rFonts w:ascii="Times New Roman" w:eastAsia="Calibri" w:hAnsi="Times New Roman" w:cs="Times New Roman"/>
          <w:noProof/>
          <w:sz w:val="24"/>
          <w:szCs w:val="20"/>
        </w:rPr>
        <w:t>In general, the use of different connecting factors in different countries can be an obstacle to cross-border investigations and prosecutions and create tensions between countri</w:t>
      </w:r>
      <w:r>
        <w:rPr>
          <w:rFonts w:ascii="Times New Roman" w:eastAsia="Calibri" w:hAnsi="Times New Roman" w:cs="Times New Roman"/>
          <w:noProof/>
          <w:sz w:val="24"/>
          <w:szCs w:val="20"/>
        </w:rPr>
        <w:t>es.</w:t>
      </w:r>
    </w:p>
    <w:p w:rsidR="001B65FF" w:rsidRDefault="003E4EF4">
      <w:pPr>
        <w:autoSpaceDE w:val="0"/>
        <w:autoSpaceDN w:val="0"/>
        <w:adjustRightInd w:val="0"/>
        <w:spacing w:after="120"/>
        <w:ind w:left="360"/>
        <w:jc w:val="both"/>
        <w:rPr>
          <w:rFonts w:ascii="Times New Roman" w:hAnsi="Times New Roman" w:cs="Times New Roman"/>
          <w:noProof/>
          <w:color w:val="000000"/>
          <w:sz w:val="24"/>
          <w:szCs w:val="23"/>
          <w:lang w:val="en-US"/>
        </w:rPr>
      </w:pPr>
      <w:r>
        <w:rPr>
          <w:rFonts w:ascii="Times New Roman" w:hAnsi="Times New Roman" w:cs="Times New Roman"/>
          <w:noProof/>
          <w:color w:val="000000"/>
          <w:sz w:val="24"/>
          <w:szCs w:val="23"/>
          <w:lang w:val="en-US"/>
        </w:rPr>
        <w:t xml:space="preserve">The use of different connecting factors and the resulting challenges led the Parties to the Council of Europe Budapest Convention on Cybercrime to initiate discussions on an </w:t>
      </w:r>
      <w:r>
        <w:rPr>
          <w:rFonts w:ascii="Times New Roman" w:hAnsi="Times New Roman" w:cs="Times New Roman"/>
          <w:b/>
          <w:noProof/>
          <w:color w:val="000000"/>
          <w:sz w:val="24"/>
          <w:szCs w:val="23"/>
          <w:lang w:val="en-US"/>
        </w:rPr>
        <w:t>additional protocol</w:t>
      </w:r>
      <w:r>
        <w:rPr>
          <w:rFonts w:ascii="Times New Roman" w:hAnsi="Times New Roman" w:cs="Times New Roman"/>
          <w:noProof/>
          <w:color w:val="000000"/>
          <w:sz w:val="24"/>
          <w:szCs w:val="23"/>
          <w:lang w:val="en-US"/>
        </w:rPr>
        <w:t xml:space="preserve"> to the Convention (see policy measure 3 in section 5).</w:t>
      </w:r>
    </w:p>
    <w:p w:rsidR="001B65FF" w:rsidRDefault="003E4EF4">
      <w:pPr>
        <w:autoSpaceDE w:val="0"/>
        <w:autoSpaceDN w:val="0"/>
        <w:adjustRightInd w:val="0"/>
        <w:spacing w:after="120"/>
        <w:ind w:left="360"/>
        <w:jc w:val="both"/>
        <w:rPr>
          <w:rFonts w:ascii="Times New Roman" w:hAnsi="Times New Roman" w:cs="Times New Roman"/>
          <w:noProof/>
          <w:color w:val="000000"/>
          <w:sz w:val="24"/>
          <w:szCs w:val="23"/>
          <w:lang w:val="en-US"/>
        </w:rPr>
      </w:pPr>
      <w:r>
        <w:rPr>
          <w:rFonts w:ascii="Times New Roman" w:hAnsi="Times New Roman" w:cs="Times New Roman"/>
          <w:noProof/>
          <w:color w:val="000000"/>
          <w:sz w:val="24"/>
          <w:szCs w:val="23"/>
          <w:lang w:val="en-US"/>
        </w:rPr>
        <w:t xml:space="preserve">Although the use of the approaches outlined above to address cross-border situations may provide for a domestic legal mandate for direct cooperation of a service provider, it does not necessarily provide for effective means to oblige a service provider to </w:t>
      </w:r>
      <w:r>
        <w:rPr>
          <w:rFonts w:ascii="Times New Roman" w:hAnsi="Times New Roman" w:cs="Times New Roman"/>
          <w:noProof/>
          <w:color w:val="000000"/>
          <w:sz w:val="24"/>
          <w:szCs w:val="23"/>
          <w:lang w:val="en-US"/>
        </w:rPr>
        <w:t xml:space="preserve">execute it. </w:t>
      </w:r>
      <w:r>
        <w:rPr>
          <w:rFonts w:ascii="Times New Roman" w:hAnsi="Times New Roman" w:cs="Times New Roman"/>
          <w:noProof/>
          <w:color w:val="000000"/>
          <w:sz w:val="24"/>
          <w:szCs w:val="23"/>
        </w:rPr>
        <w:t>Despite a few court decisions</w:t>
      </w:r>
      <w:r>
        <w:rPr>
          <w:rFonts w:ascii="Times New Roman" w:hAnsi="Times New Roman" w:cs="Times New Roman"/>
          <w:noProof/>
          <w:color w:val="000000"/>
          <w:sz w:val="24"/>
          <w:szCs w:val="23"/>
          <w:vertAlign w:val="superscript"/>
        </w:rPr>
        <w:footnoteReference w:id="56"/>
      </w:r>
      <w:r>
        <w:rPr>
          <w:rFonts w:ascii="Times New Roman" w:hAnsi="Times New Roman" w:cs="Times New Roman"/>
          <w:noProof/>
          <w:color w:val="000000"/>
          <w:sz w:val="24"/>
          <w:szCs w:val="23"/>
        </w:rPr>
        <w:t xml:space="preserve"> about the obligations of service providers, </w:t>
      </w:r>
      <w:r>
        <w:rPr>
          <w:rFonts w:ascii="Times New Roman" w:hAnsi="Times New Roman" w:cs="Times New Roman"/>
          <w:b/>
          <w:noProof/>
          <w:color w:val="000000"/>
          <w:sz w:val="24"/>
          <w:szCs w:val="23"/>
        </w:rPr>
        <w:t xml:space="preserve">execution in case of non-compliance </w:t>
      </w:r>
      <w:r>
        <w:rPr>
          <w:rFonts w:ascii="Times New Roman" w:hAnsi="Times New Roman" w:cs="Times New Roman"/>
          <w:noProof/>
          <w:color w:val="000000"/>
          <w:sz w:val="24"/>
          <w:szCs w:val="23"/>
        </w:rPr>
        <w:t>remains a challenge unless the service provider is established in the relevant country.</w:t>
      </w:r>
      <w:r>
        <w:rPr>
          <w:rFonts w:ascii="Times New Roman" w:hAnsi="Times New Roman" w:cs="Times New Roman"/>
          <w:noProof/>
          <w:color w:val="000000"/>
          <w:sz w:val="24"/>
          <w:szCs w:val="23"/>
          <w:lang w:val="en-US"/>
        </w:rPr>
        <w:t xml:space="preserve"> National authorities rely on conventional enf</w:t>
      </w:r>
      <w:r>
        <w:rPr>
          <w:rFonts w:ascii="Times New Roman" w:hAnsi="Times New Roman" w:cs="Times New Roman"/>
          <w:noProof/>
          <w:color w:val="000000"/>
          <w:sz w:val="24"/>
          <w:szCs w:val="23"/>
          <w:lang w:val="en-US"/>
        </w:rPr>
        <w:t>orcement mechanisms, including issuing fines and criminal penalties at national level where non-compliant service providers are located in another country. They also may rely on the country where the relevant service provider is established to ensure the e</w:t>
      </w:r>
      <w:r>
        <w:rPr>
          <w:rFonts w:ascii="Times New Roman" w:hAnsi="Times New Roman" w:cs="Times New Roman"/>
          <w:noProof/>
          <w:color w:val="000000"/>
          <w:sz w:val="24"/>
          <w:szCs w:val="23"/>
          <w:lang w:val="en-US"/>
        </w:rPr>
        <w:t>xecution of the domestic production order, using MLAT, which contradicts the original intention behind the use of a domestic production order (i.e. to be an alternative to MLAT procedures).</w:t>
      </w:r>
    </w:p>
    <w:p w:rsidR="001B65FF" w:rsidRDefault="003E4EF4">
      <w:pPr>
        <w:autoSpaceDE w:val="0"/>
        <w:autoSpaceDN w:val="0"/>
        <w:adjustRightInd w:val="0"/>
        <w:spacing w:after="0"/>
        <w:ind w:left="360"/>
        <w:jc w:val="both"/>
        <w:rPr>
          <w:rFonts w:ascii="Times New Roman" w:hAnsi="Times New Roman" w:cs="Times New Roman"/>
          <w:noProof/>
          <w:color w:val="000000"/>
          <w:sz w:val="24"/>
          <w:szCs w:val="23"/>
          <w:lang w:val="en-US"/>
        </w:rPr>
      </w:pPr>
      <w:r>
        <w:rPr>
          <w:rFonts w:ascii="Times New Roman" w:hAnsi="Times New Roman" w:cs="Times New Roman"/>
          <w:noProof/>
          <w:color w:val="000000"/>
          <w:sz w:val="24"/>
          <w:szCs w:val="23"/>
          <w:lang w:val="en-US"/>
        </w:rPr>
        <w:t>For the specific case of WHOIS data that is made available by serv</w:t>
      </w:r>
      <w:r>
        <w:rPr>
          <w:rFonts w:ascii="Times New Roman" w:hAnsi="Times New Roman" w:cs="Times New Roman"/>
          <w:noProof/>
          <w:color w:val="000000"/>
          <w:sz w:val="24"/>
          <w:szCs w:val="23"/>
          <w:lang w:val="en-US"/>
        </w:rPr>
        <w:t>ice providers through a credentialed-access system, domestic legislation might not provide for this possibility. Stakeholders highlighted the importance of swift access for investigative purposes. One head of a Member State national cybercrime unit estimat</w:t>
      </w:r>
      <w:r>
        <w:rPr>
          <w:rFonts w:ascii="Times New Roman" w:hAnsi="Times New Roman" w:cs="Times New Roman"/>
          <w:noProof/>
          <w:color w:val="000000"/>
          <w:sz w:val="24"/>
          <w:szCs w:val="23"/>
          <w:lang w:val="en-US"/>
        </w:rPr>
        <w:t>ed that his team alone makes around 50,000 WHOIS look-ups per week.</w:t>
      </w:r>
    </w:p>
    <w:p w:rsidR="001B65FF" w:rsidRDefault="001B65FF">
      <w:pPr>
        <w:autoSpaceDE w:val="0"/>
        <w:autoSpaceDN w:val="0"/>
        <w:adjustRightInd w:val="0"/>
        <w:spacing w:before="240" w:after="120"/>
        <w:ind w:left="360"/>
        <w:jc w:val="center"/>
        <w:rPr>
          <w:rFonts w:ascii="Times New Roman" w:hAnsi="Times New Roman" w:cs="Times New Roman"/>
          <w:i/>
          <w:noProof/>
          <w:color w:val="000000"/>
          <w:sz w:val="24"/>
          <w:lang w:val="en-US"/>
        </w:rPr>
      </w:pPr>
    </w:p>
    <w:p w:rsidR="001B65FF" w:rsidRDefault="003E4EF4">
      <w:pPr>
        <w:autoSpaceDE w:val="0"/>
        <w:autoSpaceDN w:val="0"/>
        <w:adjustRightInd w:val="0"/>
        <w:spacing w:before="240" w:after="120"/>
        <w:ind w:left="360"/>
        <w:jc w:val="center"/>
        <w:rPr>
          <w:rFonts w:ascii="Times New Roman" w:hAnsi="Times New Roman" w:cs="Times New Roman"/>
          <w:i/>
          <w:noProof/>
          <w:color w:val="000000"/>
          <w:sz w:val="24"/>
          <w:szCs w:val="23"/>
          <w:lang w:val="en-US"/>
        </w:rPr>
      </w:pPr>
      <w:r>
        <w:rPr>
          <w:rFonts w:ascii="Times New Roman" w:hAnsi="Times New Roman" w:cs="Times New Roman"/>
          <w:i/>
          <w:noProof/>
          <w:color w:val="000000"/>
          <w:sz w:val="24"/>
          <w:lang w:val="en-US"/>
        </w:rPr>
        <w:t xml:space="preserve">Box 2: </w:t>
      </w:r>
      <w:r>
        <w:rPr>
          <w:rFonts w:ascii="Times New Roman" w:hAnsi="Times New Roman" w:cs="Times New Roman"/>
          <w:i/>
          <w:noProof/>
          <w:color w:val="000000"/>
          <w:sz w:val="24"/>
          <w:szCs w:val="23"/>
          <w:lang w:val="en-US"/>
        </w:rPr>
        <w:t>The</w:t>
      </w:r>
      <w:r>
        <w:rPr>
          <w:rFonts w:ascii="Times New Roman" w:hAnsi="Times New Roman" w:cs="Times New Roman"/>
          <w:i/>
          <w:noProof/>
          <w:color w:val="000000"/>
          <w:sz w:val="24"/>
          <w:lang w:val="en-US"/>
        </w:rPr>
        <w:t xml:space="preserve"> Domain Name WHOIS System</w:t>
      </w:r>
    </w:p>
    <w:tbl>
      <w:tblPr>
        <w:tblStyle w:val="TableGrid"/>
        <w:tblW w:w="0" w:type="auto"/>
        <w:tblInd w:w="252" w:type="dxa"/>
        <w:tblLook w:val="04A0" w:firstRow="1" w:lastRow="0" w:firstColumn="1" w:lastColumn="0" w:noHBand="0" w:noVBand="1"/>
      </w:tblPr>
      <w:tblGrid>
        <w:gridCol w:w="9036"/>
      </w:tblGrid>
      <w:tr w:rsidR="001B65FF">
        <w:tc>
          <w:tcPr>
            <w:tcW w:w="9036" w:type="dxa"/>
            <w:shd w:val="clear" w:color="auto" w:fill="F2F2F2" w:themeFill="background1" w:themeFillShade="F2"/>
          </w:tcPr>
          <w:p w:rsidR="001B65FF" w:rsidRDefault="003E4EF4">
            <w:pPr>
              <w:autoSpaceDE w:val="0"/>
              <w:autoSpaceDN w:val="0"/>
              <w:adjustRightInd w:val="0"/>
              <w:spacing w:before="120" w:after="120"/>
              <w:ind w:left="162" w:right="162"/>
              <w:jc w:val="both"/>
              <w:rPr>
                <w:noProof/>
                <w:sz w:val="24"/>
              </w:rPr>
            </w:pPr>
            <w:r>
              <w:rPr>
                <w:noProof/>
                <w:sz w:val="24"/>
              </w:rPr>
              <w:t>The term</w:t>
            </w:r>
            <w:r>
              <w:rPr>
                <w:b/>
                <w:noProof/>
                <w:sz w:val="24"/>
              </w:rPr>
              <w:t xml:space="preserve"> "WHOIS"</w:t>
            </w:r>
            <w:r>
              <w:rPr>
                <w:noProof/>
                <w:sz w:val="24"/>
              </w:rPr>
              <w:t xml:space="preserve"> refers to a system of databases that provide information on who owns a domain name. Every year, millions of individuals, businesses, organisations and governments register domain names. Each one must </w:t>
            </w:r>
            <w:r>
              <w:rPr>
                <w:noProof/>
                <w:color w:val="000000"/>
                <w:sz w:val="24"/>
                <w:szCs w:val="24"/>
                <w:lang w:val="en-US"/>
              </w:rPr>
              <w:t>provide</w:t>
            </w:r>
            <w:r>
              <w:rPr>
                <w:noProof/>
                <w:sz w:val="24"/>
              </w:rPr>
              <w:t xml:space="preserve"> </w:t>
            </w:r>
            <w:r>
              <w:rPr>
                <w:b/>
                <w:noProof/>
                <w:sz w:val="24"/>
              </w:rPr>
              <w:t>identifying and contact information</w:t>
            </w:r>
            <w:r>
              <w:rPr>
                <w:noProof/>
                <w:sz w:val="24"/>
              </w:rPr>
              <w:t xml:space="preserve"> which may i</w:t>
            </w:r>
            <w:r>
              <w:rPr>
                <w:noProof/>
                <w:sz w:val="24"/>
              </w:rPr>
              <w:t xml:space="preserve">nclude: name, address, email, phone number, and administrative and technical contacts. A large part of the WHOIS is currently publicly available, e.g. via </w:t>
            </w:r>
            <w:hyperlink r:id="rId33" w:history="1">
              <w:r>
                <w:rPr>
                  <w:rStyle w:val="Hyperlink"/>
                  <w:noProof/>
                  <w:sz w:val="24"/>
                </w:rPr>
                <w:t>WHOIS.icann.org</w:t>
              </w:r>
            </w:hyperlink>
            <w:r>
              <w:rPr>
                <w:noProof/>
                <w:sz w:val="24"/>
              </w:rPr>
              <w:t>, but a number of registries already operat</w:t>
            </w:r>
            <w:r>
              <w:rPr>
                <w:noProof/>
                <w:sz w:val="24"/>
              </w:rPr>
              <w:t>e closed systems using credentialed access. In the course of ensuring compliance with data protection principles, this trend is likely to expand to the remaining WHOIS system (see Annex 12).</w:t>
            </w:r>
          </w:p>
        </w:tc>
      </w:tr>
    </w:tbl>
    <w:p w:rsidR="001B65FF" w:rsidRDefault="001B65FF">
      <w:pPr>
        <w:autoSpaceDE w:val="0"/>
        <w:autoSpaceDN w:val="0"/>
        <w:adjustRightInd w:val="0"/>
        <w:spacing w:after="0"/>
        <w:ind w:left="360"/>
        <w:jc w:val="both"/>
        <w:rPr>
          <w:rFonts w:ascii="Times New Roman" w:hAnsi="Times New Roman" w:cs="Times New Roman"/>
          <w:noProof/>
          <w:color w:val="000000"/>
          <w:sz w:val="24"/>
          <w:szCs w:val="23"/>
          <w:lang w:val="en-US"/>
        </w:rPr>
      </w:pPr>
    </w:p>
    <w:p w:rsidR="001B65FF" w:rsidRDefault="003E4EF4">
      <w:pPr>
        <w:keepNext/>
        <w:numPr>
          <w:ilvl w:val="0"/>
          <w:numId w:val="47"/>
        </w:numPr>
        <w:autoSpaceDE w:val="0"/>
        <w:autoSpaceDN w:val="0"/>
        <w:adjustRightInd w:val="0"/>
        <w:spacing w:after="0" w:line="240" w:lineRule="auto"/>
        <w:contextualSpacing/>
        <w:rPr>
          <w:rFonts w:ascii="Times New Roman" w:hAnsi="Times New Roman" w:cs="Times New Roman"/>
          <w:noProof/>
          <w:color w:val="000000"/>
          <w:sz w:val="24"/>
          <w:szCs w:val="23"/>
          <w:u w:val="single"/>
          <w:lang w:val="en-US"/>
        </w:rPr>
      </w:pPr>
      <w:r>
        <w:rPr>
          <w:rFonts w:ascii="Times New Roman" w:hAnsi="Times New Roman" w:cs="Times New Roman"/>
          <w:noProof/>
          <w:color w:val="000000"/>
          <w:sz w:val="24"/>
          <w:szCs w:val="23"/>
          <w:u w:val="single"/>
          <w:lang w:val="en-US"/>
        </w:rPr>
        <w:t xml:space="preserve">Direct access to data: asserting jurisdiction </w:t>
      </w:r>
    </w:p>
    <w:p w:rsidR="001B65FF" w:rsidRDefault="003E4EF4">
      <w:pPr>
        <w:autoSpaceDE w:val="0"/>
        <w:autoSpaceDN w:val="0"/>
        <w:adjustRightInd w:val="0"/>
        <w:spacing w:before="120" w:after="120"/>
        <w:ind w:left="360"/>
        <w:jc w:val="both"/>
        <w:rPr>
          <w:rFonts w:ascii="Times New Roman" w:hAnsi="Times New Roman" w:cs="Times New Roman"/>
          <w:noProof/>
          <w:color w:val="000000"/>
          <w:sz w:val="24"/>
          <w:szCs w:val="23"/>
        </w:rPr>
      </w:pPr>
      <w:r>
        <w:rPr>
          <w:rFonts w:ascii="Times New Roman" w:hAnsi="Times New Roman" w:cs="Times New Roman"/>
          <w:noProof/>
          <w:color w:val="000000"/>
          <w:sz w:val="24"/>
          <w:szCs w:val="23"/>
        </w:rPr>
        <w:t>For direct access to e-evidence, public authorities require no technical help from a service provider or other public authorities. Data is now regularly stored not on the local device but on servers in a different location, possibly outside of the Member S</w:t>
      </w:r>
      <w:r>
        <w:rPr>
          <w:rFonts w:ascii="Times New Roman" w:hAnsi="Times New Roman" w:cs="Times New Roman"/>
          <w:noProof/>
          <w:color w:val="000000"/>
          <w:sz w:val="24"/>
          <w:szCs w:val="23"/>
        </w:rPr>
        <w:t>tate concerned or even outside of the EU, possibly using dynamic storage systems and rotating locations. Often, it is neither feasible nor possible for an authority to determine the location of the data (i.e. "loss of knowledge of location" or “loss of loc</w:t>
      </w:r>
      <w:r>
        <w:rPr>
          <w:rFonts w:ascii="Times New Roman" w:hAnsi="Times New Roman" w:cs="Times New Roman"/>
          <w:noProof/>
          <w:color w:val="000000"/>
          <w:sz w:val="24"/>
          <w:szCs w:val="23"/>
        </w:rPr>
        <w:t xml:space="preserve">ation”). </w:t>
      </w:r>
    </w:p>
    <w:p w:rsidR="001B65FF" w:rsidRDefault="003E4EF4">
      <w:pPr>
        <w:spacing w:after="60"/>
        <w:jc w:val="center"/>
        <w:rPr>
          <w:rFonts w:ascii="Times New Roman" w:hAnsi="Times New Roman" w:cs="Times New Roman"/>
          <w:i/>
          <w:noProof/>
          <w:sz w:val="24"/>
          <w:lang w:eastAsia="en-GB"/>
        </w:rPr>
      </w:pPr>
      <w:r>
        <w:rPr>
          <w:rFonts w:ascii="Times New Roman" w:hAnsi="Times New Roman" w:cs="Times New Roman"/>
          <w:i/>
          <w:noProof/>
          <w:sz w:val="24"/>
          <w:lang w:eastAsia="en-GB"/>
        </w:rPr>
        <w:t xml:space="preserve">Box 3: What is </w:t>
      </w:r>
      <w:r>
        <w:rPr>
          <w:rFonts w:ascii="Times New Roman" w:hAnsi="Times New Roman" w:cs="Times New Roman"/>
          <w:b/>
          <w:i/>
          <w:noProof/>
          <w:sz w:val="24"/>
          <w:lang w:eastAsia="en-GB"/>
        </w:rPr>
        <w:t>loss of location</w:t>
      </w:r>
      <w:r>
        <w:rPr>
          <w:rFonts w:ascii="Times New Roman" w:hAnsi="Times New Roman" w:cs="Times New Roman"/>
          <w:i/>
          <w:noProof/>
          <w:sz w:val="24"/>
          <w:lang w:eastAsia="en-GB"/>
        </w:rPr>
        <w:t xml:space="preserve"> and why does it matter?</w:t>
      </w:r>
    </w:p>
    <w:tbl>
      <w:tblPr>
        <w:tblW w:w="8730" w:type="dxa"/>
        <w:tblInd w:w="46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730"/>
      </w:tblGrid>
      <w:tr w:rsidR="001B65FF">
        <w:tc>
          <w:tcPr>
            <w:tcW w:w="8730" w:type="dxa"/>
            <w:shd w:val="clear" w:color="auto" w:fill="F2F2F2" w:themeFill="background1" w:themeFillShade="F2"/>
            <w:hideMark/>
          </w:tcPr>
          <w:p w:rsidR="001B65FF" w:rsidRDefault="003E4EF4">
            <w:pPr>
              <w:autoSpaceDE w:val="0"/>
              <w:autoSpaceDN w:val="0"/>
              <w:adjustRightInd w:val="0"/>
              <w:spacing w:before="120" w:after="120"/>
              <w:ind w:left="162" w:right="162"/>
              <w:jc w:val="both"/>
              <w:rPr>
                <w:rFonts w:ascii="Times New Roman" w:hAnsi="Times New Roman" w:cs="Times New Roman"/>
                <w:noProof/>
                <w:color w:val="000000"/>
                <w:sz w:val="24"/>
                <w:szCs w:val="23"/>
                <w:u w:val="single"/>
                <w:lang w:val="en-US"/>
              </w:rPr>
            </w:pPr>
            <w:r>
              <w:rPr>
                <w:rFonts w:ascii="Times New Roman" w:hAnsi="Times New Roman" w:cs="Times New Roman"/>
                <w:noProof/>
                <w:color w:val="000000"/>
                <w:sz w:val="24"/>
                <w:szCs w:val="24"/>
                <w:lang w:val="en-US"/>
              </w:rPr>
              <w:t xml:space="preserve">“Loss of location” refers to a situation where law enforcement cannot establish the physical location of the perpetrator, the criminal infrastructure or electronic evidence. In the case of </w:t>
            </w:r>
            <w:r>
              <w:rPr>
                <w:rFonts w:ascii="Times New Roman" w:hAnsi="Times New Roman" w:cs="Times New Roman"/>
                <w:noProof/>
                <w:color w:val="000000"/>
                <w:sz w:val="24"/>
                <w:szCs w:val="24"/>
                <w:lang w:val="en-US"/>
              </w:rPr>
              <w:t>data, the growing use of cloud-based storage and services means that data stored in the cloud could be physically located in different jurisdictions</w:t>
            </w:r>
            <w:r>
              <w:rPr>
                <w:rFonts w:ascii="Times New Roman" w:hAnsi="Times New Roman" w:cs="Times New Roman"/>
                <w:noProof/>
                <w:color w:val="000000"/>
                <w:sz w:val="24"/>
                <w:szCs w:val="24"/>
                <w:vertAlign w:val="superscript"/>
                <w:lang w:val="en-US"/>
              </w:rPr>
              <w:footnoteReference w:id="57"/>
            </w:r>
            <w:r>
              <w:rPr>
                <w:rFonts w:ascii="Times New Roman" w:hAnsi="Times New Roman" w:cs="Times New Roman"/>
                <w:noProof/>
                <w:color w:val="000000"/>
                <w:sz w:val="24"/>
                <w:szCs w:val="24"/>
                <w:lang w:val="en-US"/>
              </w:rPr>
              <w:t>. Furthermore, recent trends such as the Darknet</w:t>
            </w:r>
            <w:r>
              <w:rPr>
                <w:rFonts w:ascii="Times New Roman" w:hAnsi="Times New Roman" w:cs="Times New Roman"/>
                <w:b/>
                <w:bCs/>
                <w:noProof/>
                <w:color w:val="000000"/>
                <w:sz w:val="24"/>
                <w:szCs w:val="24"/>
                <w:lang w:val="en-US"/>
              </w:rPr>
              <w:t xml:space="preserve"> </w:t>
            </w:r>
            <w:r>
              <w:rPr>
                <w:rFonts w:ascii="Times New Roman" w:hAnsi="Times New Roman" w:cs="Times New Roman"/>
                <w:noProof/>
                <w:color w:val="000000"/>
                <w:sz w:val="24"/>
                <w:szCs w:val="24"/>
                <w:lang w:val="en-US"/>
              </w:rPr>
              <w:t>have contributed to facilitate hiding data location</w:t>
            </w:r>
            <w:r>
              <w:rPr>
                <w:rFonts w:ascii="Times New Roman" w:hAnsi="Times New Roman" w:cs="Times New Roman"/>
                <w:noProof/>
                <w:color w:val="000000"/>
                <w:sz w:val="24"/>
                <w:szCs w:val="23"/>
                <w:vertAlign w:val="superscript"/>
              </w:rPr>
              <w:footnoteReference w:id="58"/>
            </w:r>
            <w:r>
              <w:rPr>
                <w:rFonts w:ascii="Times New Roman" w:hAnsi="Times New Roman" w:cs="Times New Roman"/>
                <w:noProof/>
                <w:color w:val="000000"/>
                <w:sz w:val="24"/>
                <w:szCs w:val="24"/>
                <w:lang w:val="en-US"/>
              </w:rPr>
              <w:t>.</w:t>
            </w:r>
          </w:p>
        </w:tc>
      </w:tr>
    </w:tbl>
    <w:p w:rsidR="001B65FF" w:rsidRDefault="003E4EF4">
      <w:pPr>
        <w:autoSpaceDE w:val="0"/>
        <w:autoSpaceDN w:val="0"/>
        <w:adjustRightInd w:val="0"/>
        <w:spacing w:before="120" w:after="120"/>
        <w:ind w:right="164"/>
        <w:jc w:val="both"/>
        <w:rPr>
          <w:rFonts w:ascii="Times New Roman" w:hAnsi="Times New Roman" w:cs="Times New Roman"/>
          <w:noProof/>
          <w:color w:val="000000"/>
          <w:sz w:val="24"/>
          <w:szCs w:val="23"/>
        </w:rPr>
      </w:pPr>
      <w:r>
        <w:rPr>
          <w:rFonts w:ascii="Times New Roman" w:hAnsi="Times New Roman" w:cs="Times New Roman"/>
          <w:noProof/>
          <w:color w:val="000000"/>
          <w:sz w:val="24"/>
          <w:szCs w:val="23"/>
        </w:rPr>
        <w:t xml:space="preserve">In </w:t>
      </w:r>
      <w:r>
        <w:rPr>
          <w:rFonts w:ascii="Times New Roman" w:hAnsi="Times New Roman" w:cs="Times New Roman"/>
          <w:noProof/>
          <w:color w:val="000000"/>
          <w:sz w:val="24"/>
          <w:szCs w:val="23"/>
        </w:rPr>
        <w:t>these situations, when law enforcement has access to the data without knowing its precise location, there can be a risk of losing it as it may be moved or deleted</w:t>
      </w:r>
      <w:r>
        <w:rPr>
          <w:rFonts w:ascii="Times New Roman" w:eastAsia="Calibri" w:hAnsi="Times New Roman" w:cs="Times New Roman"/>
          <w:noProof/>
          <w:sz w:val="24"/>
        </w:rPr>
        <w:t>. Also, w</w:t>
      </w:r>
      <w:r>
        <w:rPr>
          <w:rFonts w:ascii="Times New Roman" w:hAnsi="Times New Roman" w:cs="Times New Roman"/>
          <w:noProof/>
          <w:sz w:val="24"/>
        </w:rPr>
        <w:t>hen the data subject is made aware of the investigation, as is typically the case for</w:t>
      </w:r>
      <w:r>
        <w:rPr>
          <w:rFonts w:ascii="Times New Roman" w:hAnsi="Times New Roman" w:cs="Times New Roman"/>
          <w:noProof/>
          <w:sz w:val="24"/>
        </w:rPr>
        <w:t xml:space="preserve"> an open search </w:t>
      </w:r>
      <w:r>
        <w:rPr>
          <w:rFonts w:ascii="Times New Roman" w:hAnsi="Times New Roman" w:cs="Times New Roman"/>
          <w:noProof/>
          <w:color w:val="000000"/>
          <w:sz w:val="24"/>
          <w:szCs w:val="23"/>
        </w:rPr>
        <w:t>measure</w:t>
      </w:r>
      <w:r>
        <w:rPr>
          <w:rFonts w:ascii="Times New Roman" w:hAnsi="Times New Roman" w:cs="Times New Roman"/>
          <w:noProof/>
          <w:sz w:val="24"/>
        </w:rPr>
        <w:t xml:space="preserve">, he or she can delete the data from another device within seconds. </w:t>
      </w:r>
      <w:r>
        <w:rPr>
          <w:rFonts w:ascii="Times New Roman" w:hAnsi="Times New Roman" w:cs="Times New Roman"/>
          <w:noProof/>
          <w:color w:val="000000"/>
          <w:sz w:val="24"/>
          <w:szCs w:val="23"/>
        </w:rPr>
        <w:t>In addition, the circumstances of a particular investigation may not allow timely determination of the location of infrastructure for the storage or processing of e-</w:t>
      </w:r>
      <w:r>
        <w:rPr>
          <w:rFonts w:ascii="Times New Roman" w:hAnsi="Times New Roman" w:cs="Times New Roman"/>
          <w:noProof/>
          <w:color w:val="000000"/>
          <w:sz w:val="24"/>
          <w:szCs w:val="23"/>
        </w:rPr>
        <w:t>evidence, for instance in emergency situations.</w:t>
      </w:r>
    </w:p>
    <w:p w:rsidR="001B65FF" w:rsidRDefault="003E4EF4">
      <w:pPr>
        <w:autoSpaceDE w:val="0"/>
        <w:autoSpaceDN w:val="0"/>
        <w:adjustRightInd w:val="0"/>
        <w:spacing w:before="120" w:after="0"/>
        <w:ind w:left="360"/>
        <w:jc w:val="both"/>
        <w:rPr>
          <w:rFonts w:ascii="Times New Roman" w:hAnsi="Times New Roman" w:cs="Times New Roman"/>
          <w:noProof/>
          <w:color w:val="000000"/>
          <w:sz w:val="24"/>
          <w:szCs w:val="23"/>
        </w:rPr>
      </w:pPr>
      <w:r>
        <w:rPr>
          <w:rFonts w:ascii="Times New Roman" w:hAnsi="Times New Roman" w:cs="Times New Roman"/>
          <w:noProof/>
          <w:color w:val="000000"/>
          <w:sz w:val="24"/>
          <w:szCs w:val="23"/>
        </w:rPr>
        <w:t>Based on the responses to a questionnaire (targeted survey 1), Member States have developed or considered two types of direct access to e-evidence:</w:t>
      </w:r>
    </w:p>
    <w:p w:rsidR="001B65FF" w:rsidRDefault="003E4EF4">
      <w:pPr>
        <w:numPr>
          <w:ilvl w:val="0"/>
          <w:numId w:val="43"/>
        </w:numPr>
        <w:autoSpaceDE w:val="0"/>
        <w:autoSpaceDN w:val="0"/>
        <w:adjustRightInd w:val="0"/>
        <w:spacing w:before="240" w:after="0"/>
        <w:contextualSpacing/>
        <w:jc w:val="both"/>
        <w:rPr>
          <w:rFonts w:ascii="Times New Roman" w:hAnsi="Times New Roman" w:cs="Times New Roman"/>
          <w:noProof/>
          <w:color w:val="000000"/>
          <w:sz w:val="24"/>
          <w:szCs w:val="23"/>
        </w:rPr>
      </w:pPr>
      <w:r>
        <w:rPr>
          <w:rFonts w:ascii="Times New Roman" w:hAnsi="Times New Roman" w:cs="Times New Roman"/>
          <w:b/>
          <w:noProof/>
          <w:color w:val="000000"/>
          <w:sz w:val="24"/>
          <w:szCs w:val="23"/>
        </w:rPr>
        <w:t>Extended</w:t>
      </w:r>
      <w:r>
        <w:rPr>
          <w:rFonts w:ascii="Times New Roman" w:hAnsi="Times New Roman" w:cs="Times New Roman"/>
          <w:noProof/>
          <w:color w:val="000000"/>
          <w:sz w:val="24"/>
          <w:szCs w:val="23"/>
        </w:rPr>
        <w:t xml:space="preserve"> access, i.e. use of a device of a suspect or witness seized as part of an investigation (e.g. with a search and seizure warrant) to access the data accessible from the device (which can include the cloud). Most Member States allow their public authorities</w:t>
      </w:r>
      <w:r>
        <w:rPr>
          <w:rFonts w:ascii="Times New Roman" w:hAnsi="Times New Roman" w:cs="Times New Roman"/>
          <w:noProof/>
          <w:color w:val="000000"/>
          <w:sz w:val="24"/>
          <w:szCs w:val="23"/>
        </w:rPr>
        <w:t xml:space="preserve"> to carry out this type of direct access.</w:t>
      </w:r>
    </w:p>
    <w:p w:rsidR="001B65FF" w:rsidRDefault="003E4EF4">
      <w:pPr>
        <w:numPr>
          <w:ilvl w:val="0"/>
          <w:numId w:val="43"/>
        </w:numPr>
        <w:autoSpaceDE w:val="0"/>
        <w:autoSpaceDN w:val="0"/>
        <w:adjustRightInd w:val="0"/>
        <w:spacing w:before="240" w:after="0"/>
        <w:contextualSpacing/>
        <w:jc w:val="both"/>
        <w:rPr>
          <w:rFonts w:ascii="Times New Roman" w:hAnsi="Times New Roman" w:cs="Times New Roman"/>
          <w:noProof/>
          <w:color w:val="000000"/>
          <w:sz w:val="24"/>
          <w:szCs w:val="23"/>
        </w:rPr>
      </w:pPr>
      <w:r>
        <w:rPr>
          <w:rFonts w:ascii="Times New Roman" w:hAnsi="Times New Roman" w:cs="Times New Roman"/>
          <w:b/>
          <w:noProof/>
          <w:color w:val="000000"/>
          <w:sz w:val="24"/>
          <w:szCs w:val="23"/>
        </w:rPr>
        <w:t>Remote</w:t>
      </w:r>
      <w:r>
        <w:rPr>
          <w:rFonts w:ascii="Times New Roman" w:hAnsi="Times New Roman" w:cs="Times New Roman"/>
          <w:noProof/>
          <w:color w:val="000000"/>
          <w:sz w:val="24"/>
          <w:szCs w:val="23"/>
        </w:rPr>
        <w:t xml:space="preserve"> access to data with lawfully obtained credentials, i.e. a search from an authority's computer, usually not disclosed to the target until later. Only a few Member States allow their authorities to perform rem</w:t>
      </w:r>
      <w:r>
        <w:rPr>
          <w:rFonts w:ascii="Times New Roman" w:hAnsi="Times New Roman" w:cs="Times New Roman"/>
          <w:noProof/>
          <w:color w:val="000000"/>
          <w:sz w:val="24"/>
          <w:szCs w:val="23"/>
        </w:rPr>
        <w:t>ote searches, although the number is increasing. Remote searches are often relevant in the context of investigations on the dark web, where there are no legitimate service providers whose cooperation could be obtained.</w:t>
      </w:r>
    </w:p>
    <w:p w:rsidR="001B65FF" w:rsidRDefault="003E4EF4">
      <w:pPr>
        <w:autoSpaceDE w:val="0"/>
        <w:autoSpaceDN w:val="0"/>
        <w:adjustRightInd w:val="0"/>
        <w:spacing w:before="120" w:after="0"/>
        <w:ind w:left="360"/>
        <w:jc w:val="both"/>
        <w:rPr>
          <w:rFonts w:ascii="Times New Roman" w:hAnsi="Times New Roman" w:cs="Times New Roman"/>
          <w:noProof/>
          <w:color w:val="000000"/>
          <w:sz w:val="24"/>
          <w:szCs w:val="23"/>
        </w:rPr>
      </w:pPr>
      <w:r>
        <w:rPr>
          <w:rFonts w:ascii="Times New Roman" w:hAnsi="Times New Roman" w:cs="Times New Roman"/>
          <w:noProof/>
          <w:color w:val="000000"/>
          <w:sz w:val="24"/>
          <w:szCs w:val="23"/>
        </w:rPr>
        <w:t xml:space="preserve">Although the use of extended or </w:t>
      </w:r>
      <w:r>
        <w:rPr>
          <w:rFonts w:ascii="Times New Roman" w:hAnsi="Times New Roman" w:cs="Times New Roman"/>
          <w:noProof/>
          <w:color w:val="000000"/>
          <w:sz w:val="24"/>
          <w:szCs w:val="23"/>
        </w:rPr>
        <w:t xml:space="preserve">remote access as an investigative measure can be strictly domestic in nature, a cross-border situation is likely, e.g. where the infrastructure used for the data processing or the provider are in another country. The expert consultation process found that </w:t>
      </w:r>
      <w:r>
        <w:rPr>
          <w:rFonts w:ascii="Times New Roman" w:hAnsi="Times New Roman" w:cs="Times New Roman"/>
          <w:noProof/>
          <w:color w:val="000000"/>
          <w:sz w:val="24"/>
          <w:szCs w:val="23"/>
        </w:rPr>
        <w:t>Member States have adopted different approaches to balancing the need for effective investigations of crime and possible extraterritoriality:</w:t>
      </w:r>
    </w:p>
    <w:p w:rsidR="001B65FF" w:rsidRDefault="003E4EF4">
      <w:pPr>
        <w:numPr>
          <w:ilvl w:val="0"/>
          <w:numId w:val="95"/>
        </w:numPr>
        <w:tabs>
          <w:tab w:val="left" w:pos="90"/>
        </w:tabs>
        <w:autoSpaceDE w:val="0"/>
        <w:autoSpaceDN w:val="0"/>
        <w:adjustRightInd w:val="0"/>
        <w:spacing w:after="0"/>
        <w:contextualSpacing/>
        <w:jc w:val="both"/>
        <w:rPr>
          <w:rFonts w:ascii="Times New Roman" w:hAnsi="Times New Roman" w:cs="Times New Roman"/>
          <w:noProof/>
          <w:color w:val="000000"/>
          <w:sz w:val="24"/>
          <w:szCs w:val="23"/>
        </w:rPr>
      </w:pPr>
      <w:r>
        <w:rPr>
          <w:rFonts w:ascii="Times New Roman" w:eastAsia="Calibri" w:hAnsi="Times New Roman" w:cs="Times New Roman"/>
          <w:noProof/>
          <w:sz w:val="24"/>
        </w:rPr>
        <w:t>when</w:t>
      </w:r>
      <w:r>
        <w:rPr>
          <w:rFonts w:ascii="Times New Roman" w:hAnsi="Times New Roman" w:cs="Times New Roman"/>
          <w:noProof/>
          <w:color w:val="000000"/>
          <w:sz w:val="24"/>
          <w:szCs w:val="23"/>
        </w:rPr>
        <w:t xml:space="preserve"> the storage location is </w:t>
      </w:r>
      <w:r>
        <w:rPr>
          <w:rFonts w:ascii="Times New Roman" w:hAnsi="Times New Roman" w:cs="Times New Roman"/>
          <w:b/>
          <w:noProof/>
          <w:color w:val="000000"/>
          <w:sz w:val="24"/>
          <w:szCs w:val="23"/>
        </w:rPr>
        <w:t>unknown</w:t>
      </w:r>
      <w:r>
        <w:rPr>
          <w:rFonts w:ascii="Times New Roman" w:hAnsi="Times New Roman" w:cs="Times New Roman"/>
          <w:noProof/>
          <w:color w:val="000000"/>
          <w:sz w:val="24"/>
          <w:szCs w:val="23"/>
        </w:rPr>
        <w:t xml:space="preserve">, (i.e. when there is </w:t>
      </w:r>
      <w:r>
        <w:rPr>
          <w:rFonts w:ascii="Times New Roman" w:hAnsi="Times New Roman" w:cs="Times New Roman"/>
          <w:b/>
          <w:noProof/>
          <w:color w:val="000000"/>
          <w:sz w:val="24"/>
          <w:szCs w:val="23"/>
        </w:rPr>
        <w:t xml:space="preserve">loss of location </w:t>
      </w:r>
      <w:r>
        <w:rPr>
          <w:rFonts w:ascii="Times New Roman" w:hAnsi="Times New Roman" w:cs="Times New Roman"/>
          <w:noProof/>
          <w:color w:val="000000"/>
          <w:sz w:val="24"/>
          <w:szCs w:val="23"/>
        </w:rPr>
        <w:t>and it is not possible to determine whe</w:t>
      </w:r>
      <w:r>
        <w:rPr>
          <w:rFonts w:ascii="Times New Roman" w:hAnsi="Times New Roman" w:cs="Times New Roman"/>
          <w:noProof/>
          <w:color w:val="000000"/>
          <w:sz w:val="24"/>
          <w:szCs w:val="23"/>
        </w:rPr>
        <w:t xml:space="preserve">ther access to data would have a cross-border component), several Member States assume that the direct access takes place in a purely </w:t>
      </w:r>
      <w:r>
        <w:rPr>
          <w:rFonts w:ascii="Times New Roman" w:hAnsi="Times New Roman" w:cs="Times New Roman"/>
          <w:b/>
          <w:noProof/>
          <w:color w:val="000000"/>
          <w:sz w:val="24"/>
          <w:szCs w:val="23"/>
        </w:rPr>
        <w:t>domestic</w:t>
      </w:r>
      <w:r>
        <w:rPr>
          <w:rFonts w:ascii="Times New Roman" w:hAnsi="Times New Roman" w:cs="Times New Roman"/>
          <w:noProof/>
          <w:color w:val="000000"/>
          <w:sz w:val="24"/>
          <w:szCs w:val="23"/>
        </w:rPr>
        <w:t xml:space="preserve"> context and permit securing the data, e.g. by copying it</w:t>
      </w:r>
      <w:r>
        <w:rPr>
          <w:rFonts w:ascii="Times New Roman" w:hAnsi="Times New Roman" w:cs="Times New Roman"/>
          <w:noProof/>
          <w:vertAlign w:val="superscript"/>
        </w:rPr>
        <w:footnoteReference w:id="59"/>
      </w:r>
      <w:r>
        <w:rPr>
          <w:rFonts w:ascii="Times New Roman" w:hAnsi="Times New Roman" w:cs="Times New Roman"/>
          <w:noProof/>
          <w:color w:val="000000"/>
          <w:sz w:val="24"/>
          <w:szCs w:val="23"/>
        </w:rPr>
        <w:t>; other Member States take the opposite approach and ass</w:t>
      </w:r>
      <w:r>
        <w:rPr>
          <w:rFonts w:ascii="Times New Roman" w:hAnsi="Times New Roman" w:cs="Times New Roman"/>
          <w:noProof/>
          <w:color w:val="000000"/>
          <w:sz w:val="24"/>
          <w:szCs w:val="23"/>
        </w:rPr>
        <w:t xml:space="preserve">ume that the data is elsewhere and that access may have an </w:t>
      </w:r>
      <w:r>
        <w:rPr>
          <w:rFonts w:ascii="Times New Roman" w:hAnsi="Times New Roman" w:cs="Times New Roman"/>
          <w:b/>
          <w:noProof/>
          <w:color w:val="000000"/>
          <w:sz w:val="24"/>
          <w:szCs w:val="23"/>
        </w:rPr>
        <w:t>effect in another country</w:t>
      </w:r>
      <w:r>
        <w:rPr>
          <w:rFonts w:ascii="Times New Roman" w:hAnsi="Times New Roman" w:cs="Times New Roman"/>
          <w:noProof/>
          <w:color w:val="000000"/>
          <w:sz w:val="24"/>
          <w:szCs w:val="23"/>
        </w:rPr>
        <w:t xml:space="preserve"> (although the data might in fact be domestically available)</w:t>
      </w:r>
      <w:r>
        <w:rPr>
          <w:rFonts w:ascii="Times New Roman" w:hAnsi="Times New Roman" w:cs="Times New Roman"/>
          <w:noProof/>
          <w:vertAlign w:val="superscript"/>
        </w:rPr>
        <w:footnoteReference w:id="60"/>
      </w:r>
      <w:r>
        <w:rPr>
          <w:rFonts w:ascii="Times New Roman" w:hAnsi="Times New Roman" w:cs="Times New Roman"/>
          <w:noProof/>
          <w:color w:val="000000"/>
          <w:sz w:val="24"/>
          <w:szCs w:val="23"/>
        </w:rPr>
        <w:t>. T</w:t>
      </w:r>
      <w:r>
        <w:rPr>
          <w:rFonts w:ascii="Times New Roman" w:hAnsi="Times New Roman" w:cs="Times New Roman"/>
          <w:noProof/>
          <w:sz w:val="24"/>
        </w:rPr>
        <w:t>hey will use an MLA request if able to identify the correct country.</w:t>
      </w:r>
    </w:p>
    <w:p w:rsidR="001B65FF" w:rsidRDefault="003E4EF4">
      <w:pPr>
        <w:numPr>
          <w:ilvl w:val="0"/>
          <w:numId w:val="93"/>
        </w:numPr>
        <w:tabs>
          <w:tab w:val="left" w:pos="90"/>
        </w:tabs>
        <w:spacing w:after="0"/>
        <w:contextualSpacing/>
        <w:jc w:val="both"/>
        <w:rPr>
          <w:rFonts w:ascii="Times New Roman" w:hAnsi="Times New Roman" w:cs="Times New Roman"/>
          <w:noProof/>
          <w:color w:val="000000"/>
          <w:sz w:val="24"/>
          <w:szCs w:val="23"/>
        </w:rPr>
      </w:pPr>
      <w:r>
        <w:rPr>
          <w:rFonts w:ascii="Times New Roman" w:hAnsi="Times New Roman" w:cs="Times New Roman"/>
          <w:noProof/>
          <w:color w:val="000000"/>
          <w:sz w:val="24"/>
          <w:szCs w:val="23"/>
        </w:rPr>
        <w:t xml:space="preserve">when the storage </w:t>
      </w:r>
      <w:r>
        <w:rPr>
          <w:rFonts w:ascii="Times New Roman" w:eastAsia="Calibri" w:hAnsi="Times New Roman" w:cs="Times New Roman"/>
          <w:noProof/>
          <w:sz w:val="24"/>
        </w:rPr>
        <w:t>location</w:t>
      </w:r>
      <w:r>
        <w:rPr>
          <w:rFonts w:ascii="Times New Roman" w:hAnsi="Times New Roman" w:cs="Times New Roman"/>
          <w:noProof/>
          <w:color w:val="000000"/>
          <w:sz w:val="24"/>
          <w:szCs w:val="23"/>
        </w:rPr>
        <w:t xml:space="preserve"> </w:t>
      </w:r>
      <w:r>
        <w:rPr>
          <w:rFonts w:ascii="Times New Roman" w:eastAsia="Calibri" w:hAnsi="Times New Roman" w:cs="Times New Roman"/>
          <w:noProof/>
          <w:sz w:val="24"/>
        </w:rPr>
        <w:t>abroad</w:t>
      </w:r>
      <w:r>
        <w:rPr>
          <w:rFonts w:ascii="Times New Roman" w:hAnsi="Times New Roman" w:cs="Times New Roman"/>
          <w:noProof/>
          <w:color w:val="000000"/>
          <w:sz w:val="24"/>
          <w:szCs w:val="23"/>
        </w:rPr>
        <w:t xml:space="preserve"> is </w:t>
      </w:r>
      <w:r>
        <w:rPr>
          <w:rFonts w:ascii="Times New Roman" w:hAnsi="Times New Roman" w:cs="Times New Roman"/>
          <w:b/>
          <w:noProof/>
          <w:color w:val="000000"/>
          <w:sz w:val="24"/>
          <w:szCs w:val="23"/>
        </w:rPr>
        <w:t>kno</w:t>
      </w:r>
      <w:r>
        <w:rPr>
          <w:rFonts w:ascii="Times New Roman" w:hAnsi="Times New Roman" w:cs="Times New Roman"/>
          <w:b/>
          <w:noProof/>
          <w:color w:val="000000"/>
          <w:sz w:val="24"/>
          <w:szCs w:val="23"/>
        </w:rPr>
        <w:t>wn</w:t>
      </w:r>
      <w:r>
        <w:rPr>
          <w:rFonts w:ascii="Times New Roman" w:hAnsi="Times New Roman" w:cs="Times New Roman"/>
          <w:noProof/>
          <w:color w:val="000000"/>
          <w:sz w:val="24"/>
          <w:szCs w:val="23"/>
        </w:rPr>
        <w:t xml:space="preserve">, a few Member States allow their authorities to access the data stored remotely </w:t>
      </w:r>
      <w:r>
        <w:rPr>
          <w:rFonts w:ascii="Times New Roman" w:hAnsi="Times New Roman" w:cs="Times New Roman"/>
          <w:b/>
          <w:noProof/>
          <w:color w:val="000000"/>
          <w:sz w:val="24"/>
          <w:szCs w:val="23"/>
        </w:rPr>
        <w:t>regardless</w:t>
      </w:r>
      <w:r>
        <w:rPr>
          <w:rFonts w:ascii="Times New Roman" w:hAnsi="Times New Roman" w:cs="Times New Roman"/>
          <w:noProof/>
          <w:color w:val="000000"/>
          <w:sz w:val="24"/>
          <w:szCs w:val="23"/>
        </w:rPr>
        <w:t xml:space="preserve"> of the place of storage</w:t>
      </w:r>
      <w:r>
        <w:rPr>
          <w:rFonts w:ascii="Times New Roman" w:hAnsi="Times New Roman" w:cs="Times New Roman"/>
          <w:noProof/>
          <w:color w:val="000000"/>
          <w:sz w:val="24"/>
          <w:szCs w:val="23"/>
          <w:vertAlign w:val="superscript"/>
        </w:rPr>
        <w:footnoteReference w:id="61"/>
      </w:r>
      <w:r>
        <w:rPr>
          <w:rFonts w:ascii="Times New Roman" w:hAnsi="Times New Roman" w:cs="Times New Roman"/>
          <w:noProof/>
          <w:color w:val="000000"/>
          <w:sz w:val="24"/>
          <w:szCs w:val="23"/>
        </w:rPr>
        <w:t xml:space="preserve">; several Member States access the data and </w:t>
      </w:r>
      <w:r>
        <w:rPr>
          <w:rFonts w:ascii="Times New Roman" w:hAnsi="Times New Roman" w:cs="Times New Roman"/>
          <w:b/>
          <w:noProof/>
          <w:color w:val="000000"/>
          <w:sz w:val="24"/>
          <w:szCs w:val="23"/>
        </w:rPr>
        <w:t>contact or notify</w:t>
      </w:r>
      <w:r>
        <w:rPr>
          <w:rFonts w:ascii="Times New Roman" w:hAnsi="Times New Roman" w:cs="Times New Roman"/>
          <w:noProof/>
          <w:color w:val="000000"/>
          <w:sz w:val="24"/>
          <w:szCs w:val="23"/>
        </w:rPr>
        <w:t xml:space="preserve"> the authorities of the other country before </w:t>
      </w:r>
      <w:r>
        <w:rPr>
          <w:rFonts w:ascii="Times New Roman" w:hAnsi="Times New Roman" w:cs="Times New Roman"/>
          <w:noProof/>
          <w:sz w:val="24"/>
          <w:szCs w:val="23"/>
        </w:rPr>
        <w:t xml:space="preserve">deciding on how to proceed with </w:t>
      </w:r>
      <w:r>
        <w:rPr>
          <w:rFonts w:ascii="Times New Roman" w:hAnsi="Times New Roman" w:cs="Times New Roman"/>
          <w:noProof/>
          <w:sz w:val="24"/>
          <w:szCs w:val="23"/>
        </w:rPr>
        <w:t>the data</w:t>
      </w:r>
      <w:r>
        <w:rPr>
          <w:rFonts w:ascii="Times New Roman" w:hAnsi="Times New Roman" w:cs="Times New Roman"/>
          <w:noProof/>
          <w:color w:val="000000"/>
          <w:sz w:val="24"/>
          <w:szCs w:val="23"/>
          <w:vertAlign w:val="superscript"/>
        </w:rPr>
        <w:t xml:space="preserve"> </w:t>
      </w:r>
      <w:r>
        <w:rPr>
          <w:rFonts w:ascii="Times New Roman" w:hAnsi="Times New Roman" w:cs="Times New Roman"/>
          <w:noProof/>
          <w:color w:val="000000"/>
          <w:sz w:val="24"/>
          <w:szCs w:val="23"/>
          <w:vertAlign w:val="superscript"/>
        </w:rPr>
        <w:footnoteReference w:id="62"/>
      </w:r>
      <w:r>
        <w:rPr>
          <w:rFonts w:ascii="Times New Roman" w:hAnsi="Times New Roman" w:cs="Times New Roman"/>
          <w:noProof/>
          <w:color w:val="000000"/>
          <w:sz w:val="24"/>
          <w:szCs w:val="23"/>
        </w:rPr>
        <w:t>; and other Member States do not access the data directly and use formal or direct cooperation channels</w:t>
      </w:r>
      <w:r>
        <w:rPr>
          <w:rFonts w:ascii="Times New Roman" w:hAnsi="Times New Roman" w:cs="Times New Roman"/>
          <w:noProof/>
          <w:color w:val="000000"/>
          <w:sz w:val="24"/>
          <w:szCs w:val="23"/>
          <w:vertAlign w:val="superscript"/>
        </w:rPr>
        <w:footnoteReference w:id="63"/>
      </w:r>
      <w:r>
        <w:rPr>
          <w:rFonts w:ascii="Times New Roman" w:hAnsi="Times New Roman" w:cs="Times New Roman"/>
          <w:noProof/>
          <w:color w:val="000000"/>
          <w:sz w:val="24"/>
          <w:szCs w:val="23"/>
        </w:rPr>
        <w:t>.</w:t>
      </w:r>
    </w:p>
    <w:p w:rsidR="001B65FF" w:rsidRDefault="003E4EF4">
      <w:pPr>
        <w:numPr>
          <w:ilvl w:val="0"/>
          <w:numId w:val="14"/>
        </w:numPr>
        <w:tabs>
          <w:tab w:val="left" w:pos="90"/>
        </w:tabs>
        <w:spacing w:after="120"/>
        <w:ind w:left="771" w:hanging="357"/>
        <w:jc w:val="both"/>
        <w:rPr>
          <w:rFonts w:ascii="Times New Roman" w:eastAsia="Calibri" w:hAnsi="Times New Roman" w:cs="Times New Roman"/>
          <w:noProof/>
          <w:sz w:val="24"/>
        </w:rPr>
      </w:pPr>
      <w:r>
        <w:rPr>
          <w:rFonts w:ascii="Times New Roman" w:hAnsi="Times New Roman" w:cs="Times New Roman"/>
          <w:noProof/>
          <w:color w:val="000000"/>
          <w:sz w:val="24"/>
          <w:szCs w:val="23"/>
        </w:rPr>
        <w:t xml:space="preserve">Member States also have different approaches to </w:t>
      </w:r>
      <w:r>
        <w:rPr>
          <w:rFonts w:ascii="Times New Roman" w:hAnsi="Times New Roman" w:cs="Times New Roman"/>
          <w:b/>
          <w:noProof/>
          <w:color w:val="000000"/>
          <w:sz w:val="24"/>
          <w:szCs w:val="23"/>
        </w:rPr>
        <w:t>conditions and</w:t>
      </w:r>
      <w:r>
        <w:rPr>
          <w:rFonts w:ascii="Times New Roman" w:hAnsi="Times New Roman" w:cs="Times New Roman"/>
          <w:noProof/>
          <w:color w:val="000000"/>
          <w:sz w:val="24"/>
          <w:szCs w:val="23"/>
        </w:rPr>
        <w:t xml:space="preserve"> </w:t>
      </w:r>
      <w:r>
        <w:rPr>
          <w:rFonts w:ascii="Times New Roman" w:hAnsi="Times New Roman" w:cs="Times New Roman"/>
          <w:b/>
          <w:noProof/>
          <w:color w:val="000000"/>
          <w:sz w:val="24"/>
          <w:szCs w:val="23"/>
        </w:rPr>
        <w:t>safeguards</w:t>
      </w:r>
      <w:r>
        <w:rPr>
          <w:rFonts w:ascii="Times New Roman" w:hAnsi="Times New Roman" w:cs="Times New Roman"/>
          <w:noProof/>
          <w:color w:val="000000"/>
          <w:sz w:val="24"/>
          <w:szCs w:val="23"/>
        </w:rPr>
        <w:t xml:space="preserve">. </w:t>
      </w:r>
      <w:r>
        <w:rPr>
          <w:rFonts w:ascii="Times New Roman" w:eastAsia="Calibri" w:hAnsi="Times New Roman" w:cs="Times New Roman"/>
          <w:noProof/>
          <w:sz w:val="24"/>
        </w:rPr>
        <w:t xml:space="preserve">While </w:t>
      </w:r>
      <w:r>
        <w:rPr>
          <w:rFonts w:ascii="Times New Roman" w:eastAsia="Calibri" w:hAnsi="Times New Roman" w:cs="Times New Roman"/>
          <w:b/>
          <w:noProof/>
          <w:sz w:val="24"/>
        </w:rPr>
        <w:t>all</w:t>
      </w:r>
      <w:r>
        <w:rPr>
          <w:rFonts w:ascii="Times New Roman" w:eastAsia="Calibri" w:hAnsi="Times New Roman" w:cs="Times New Roman"/>
          <w:noProof/>
          <w:sz w:val="24"/>
        </w:rPr>
        <w:t xml:space="preserve"> require judicial authorisation, conditions vary and can include a limit to cases of specific, e.g. serious forms of crime, reasonable grounds to assume that traces of a criminal act may be found on the device. These conditions also extend to the actions p</w:t>
      </w:r>
      <w:r>
        <w:rPr>
          <w:rFonts w:ascii="Times New Roman" w:eastAsia="Calibri" w:hAnsi="Times New Roman" w:cs="Times New Roman"/>
          <w:noProof/>
          <w:sz w:val="24"/>
        </w:rPr>
        <w:t xml:space="preserve">ermitted: while all Member States permitting direct access allow for copying of the evidence, in some countries data may not be removed or only in exceptional cases. </w:t>
      </w:r>
    </w:p>
    <w:p w:rsidR="001B65FF" w:rsidRDefault="003E4EF4">
      <w:pPr>
        <w:autoSpaceDE w:val="0"/>
        <w:autoSpaceDN w:val="0"/>
        <w:adjustRightInd w:val="0"/>
        <w:spacing w:before="120" w:after="0"/>
        <w:ind w:left="357"/>
        <w:jc w:val="both"/>
        <w:rPr>
          <w:rFonts w:ascii="Times New Roman" w:hAnsi="Times New Roman" w:cs="Times New Roman"/>
          <w:i/>
          <w:noProof/>
          <w:sz w:val="24"/>
          <w:lang w:eastAsia="en-GB"/>
        </w:rPr>
      </w:pPr>
      <w:r>
        <w:rPr>
          <w:rFonts w:ascii="Times New Roman" w:hAnsi="Times New Roman" w:cs="Times New Roman"/>
          <w:noProof/>
          <w:color w:val="000000"/>
          <w:sz w:val="24"/>
          <w:szCs w:val="23"/>
        </w:rPr>
        <w:t>While this diversity may reflect different legal cultures, it becomes an issue when a Mem</w:t>
      </w:r>
      <w:r>
        <w:rPr>
          <w:rFonts w:ascii="Times New Roman" w:hAnsi="Times New Roman" w:cs="Times New Roman"/>
          <w:noProof/>
          <w:color w:val="000000"/>
          <w:sz w:val="24"/>
          <w:szCs w:val="23"/>
        </w:rPr>
        <w:t xml:space="preserve">ber State allows its authorities to access data in a way that is perceived by another State as affecting its sovereignty/territoriality. Moreover, the level of rights of the persons whose data is accessed also varies considerably. </w:t>
      </w:r>
      <w:r>
        <w:rPr>
          <w:rFonts w:ascii="Times New Roman" w:eastAsia="Calibri" w:hAnsi="Times New Roman" w:cs="Times New Roman"/>
          <w:noProof/>
          <w:sz w:val="24"/>
          <w:szCs w:val="20"/>
        </w:rPr>
        <w:t>In general, these differe</w:t>
      </w:r>
      <w:r>
        <w:rPr>
          <w:rFonts w:ascii="Times New Roman" w:eastAsia="Calibri" w:hAnsi="Times New Roman" w:cs="Times New Roman"/>
          <w:noProof/>
          <w:sz w:val="24"/>
          <w:szCs w:val="20"/>
        </w:rPr>
        <w:t>nt approaches to direct access in different countries may hamper investigations and prosecutions.</w:t>
      </w:r>
    </w:p>
    <w:p w:rsidR="001B65FF" w:rsidRDefault="001B65FF">
      <w:pPr>
        <w:autoSpaceDE w:val="0"/>
        <w:autoSpaceDN w:val="0"/>
        <w:adjustRightInd w:val="0"/>
        <w:spacing w:after="0" w:line="240" w:lineRule="auto"/>
        <w:rPr>
          <w:rFonts w:ascii="Times New Roman" w:hAnsi="Times New Roman" w:cs="Times New Roman"/>
          <w:noProof/>
          <w:color w:val="000000"/>
          <w:sz w:val="23"/>
          <w:szCs w:val="23"/>
          <w:u w:val="single"/>
          <w:lang w:val="en-US"/>
        </w:rPr>
      </w:pPr>
    </w:p>
    <w:p w:rsidR="001B65FF" w:rsidRDefault="003E4EF4">
      <w:pPr>
        <w:keepNext/>
        <w:numPr>
          <w:ilvl w:val="1"/>
          <w:numId w:val="3"/>
        </w:numPr>
        <w:tabs>
          <w:tab w:val="clear" w:pos="1200"/>
          <w:tab w:val="num" w:pos="567"/>
        </w:tabs>
        <w:spacing w:after="120" w:line="240" w:lineRule="auto"/>
        <w:ind w:left="709"/>
        <w:jc w:val="both"/>
        <w:outlineLvl w:val="1"/>
        <w:rPr>
          <w:rFonts w:ascii="Times New Roman" w:eastAsia="Times New Roman" w:hAnsi="Times New Roman" w:cs="Times New Roman"/>
          <w:b/>
          <w:noProof/>
          <w:sz w:val="24"/>
          <w:szCs w:val="20"/>
        </w:rPr>
      </w:pPr>
      <w:bookmarkStart w:id="209" w:name="_Toc481484463"/>
      <w:bookmarkStart w:id="210" w:name="_Toc497927248"/>
      <w:bookmarkStart w:id="211" w:name="_Toc497927861"/>
      <w:bookmarkStart w:id="212" w:name="_Toc497928127"/>
      <w:bookmarkStart w:id="213" w:name="_Toc498509619"/>
      <w:bookmarkStart w:id="214" w:name="_Toc498521208"/>
      <w:bookmarkStart w:id="215" w:name="_Toc498701917"/>
      <w:bookmarkStart w:id="216" w:name="_Toc498704684"/>
      <w:bookmarkStart w:id="217" w:name="_Toc499020440"/>
      <w:bookmarkStart w:id="218" w:name="_Toc499030343"/>
      <w:bookmarkStart w:id="219" w:name="_Toc499044920"/>
      <w:bookmarkStart w:id="220" w:name="_Toc499051301"/>
      <w:bookmarkStart w:id="221" w:name="_Toc499133290"/>
      <w:bookmarkStart w:id="222" w:name="_Toc499142806"/>
      <w:bookmarkStart w:id="223" w:name="_Toc510952856"/>
      <w:r>
        <w:rPr>
          <w:rFonts w:ascii="Times New Roman" w:eastAsia="Times New Roman" w:hAnsi="Times New Roman" w:cs="Times New Roman"/>
          <w:b/>
          <w:noProof/>
          <w:sz w:val="24"/>
          <w:szCs w:val="20"/>
        </w:rPr>
        <w:t>How will the problem evolve?</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The main factors that will determine the evolution of the problem are the exponential growth of electronic data, the increasing need to access e-evidence across borders and changing systems for accessing data that would require updates to legislation. </w:t>
      </w:r>
    </w:p>
    <w:p w:rsidR="001B65FF" w:rsidRDefault="003E4EF4">
      <w:pPr>
        <w:spacing w:after="120"/>
        <w:rPr>
          <w:rFonts w:ascii="Times New Roman" w:hAnsi="Times New Roman" w:cs="Times New Roman"/>
          <w:noProof/>
          <w:sz w:val="24"/>
        </w:rPr>
      </w:pPr>
      <w:r>
        <w:rPr>
          <w:rFonts w:ascii="Times New Roman" w:hAnsi="Times New Roman" w:cs="Times New Roman"/>
          <w:noProof/>
          <w:sz w:val="24"/>
        </w:rPr>
        <w:t xml:space="preserve">1) </w:t>
      </w:r>
      <w:r>
        <w:rPr>
          <w:rFonts w:ascii="Times New Roman" w:hAnsi="Times New Roman" w:cs="Times New Roman"/>
          <w:noProof/>
          <w:sz w:val="24"/>
        </w:rPr>
        <w:t>The exponential growth of electronic data.</w:t>
      </w:r>
    </w:p>
    <w:p w:rsidR="001B65FF" w:rsidRDefault="003E4EF4">
      <w:pPr>
        <w:ind w:left="270"/>
        <w:rPr>
          <w:rFonts w:ascii="Times New Roman" w:hAnsi="Times New Roman" w:cs="Times New Roman"/>
          <w:noProof/>
        </w:rPr>
      </w:pPr>
      <w:r>
        <w:rPr>
          <w:rFonts w:ascii="Times New Roman" w:hAnsi="Times New Roman" w:cs="Times New Roman"/>
          <w:noProof/>
          <w:sz w:val="24"/>
          <w:lang w:eastAsia="en-GB"/>
        </w:rPr>
        <w:t xml:space="preserve">The digital age has brought exponential growth of electronic data: </w:t>
      </w:r>
    </w:p>
    <w:p w:rsidR="001B65FF" w:rsidRDefault="003E4EF4">
      <w:pPr>
        <w:spacing w:before="60"/>
        <w:jc w:val="both"/>
        <w:rPr>
          <w:rFonts w:ascii="Times New Roman" w:hAnsi="Times New Roman" w:cs="Times New Roman"/>
          <w:i/>
          <w:noProof/>
          <w:sz w:val="24"/>
          <w:lang w:eastAsia="en-GB"/>
        </w:rPr>
      </w:pPr>
      <w:r>
        <w:rPr>
          <w:rFonts w:ascii="Times New Roman" w:hAnsi="Times New Roman" w:cs="Times New Roman"/>
          <w:noProof/>
          <w:sz w:val="24"/>
          <w:lang w:eastAsia="en-GB"/>
        </w:rPr>
        <w:t xml:space="preserve">  </w:t>
      </w:r>
      <w:r>
        <w:rPr>
          <w:rFonts w:ascii="Times New Roman" w:hAnsi="Times New Roman" w:cs="Times New Roman"/>
          <w:noProof/>
          <w:sz w:val="24"/>
          <w:lang w:eastAsia="en-GB"/>
        </w:rPr>
        <w:tab/>
      </w:r>
      <w:r>
        <w:rPr>
          <w:rFonts w:ascii="Times New Roman" w:hAnsi="Times New Roman" w:cs="Times New Roman"/>
          <w:i/>
          <w:noProof/>
          <w:sz w:val="24"/>
          <w:lang w:eastAsia="en-GB"/>
        </w:rPr>
        <w:t>Figure 4: estimated worldwide data storage in zettabytes (trillions of gigabytes)</w:t>
      </w:r>
    </w:p>
    <w:p w:rsidR="001B65FF" w:rsidRDefault="003E4EF4">
      <w:pPr>
        <w:spacing w:after="0"/>
        <w:jc w:val="center"/>
        <w:rPr>
          <w:rFonts w:ascii="Times New Roman" w:hAnsi="Times New Roman" w:cs="Times New Roman"/>
          <w:noProof/>
          <w:sz w:val="24"/>
          <w:u w:val="single"/>
          <w:lang w:eastAsia="en-GB"/>
        </w:rPr>
      </w:pPr>
      <w:r>
        <w:rPr>
          <w:rFonts w:ascii="Times New Roman" w:hAnsi="Times New Roman" w:cs="Times New Roman"/>
          <w:noProof/>
          <w:sz w:val="24"/>
          <w:u w:val="single"/>
          <w:lang w:eastAsia="en-GB"/>
        </w:rPr>
        <mc:AlternateContent>
          <mc:Choice Requires="wps">
            <w:drawing>
              <wp:anchor distT="0" distB="0" distL="114300" distR="114300" simplePos="0" relativeHeight="251658252" behindDoc="0" locked="0" layoutInCell="1" allowOverlap="1" wp14:anchorId="371504BE" wp14:editId="3C63C8F6">
                <wp:simplePos x="0" y="0"/>
                <wp:positionH relativeFrom="column">
                  <wp:posOffset>245687</wp:posOffset>
                </wp:positionH>
                <wp:positionV relativeFrom="paragraph">
                  <wp:posOffset>110672</wp:posOffset>
                </wp:positionV>
                <wp:extent cx="838200" cy="266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rPr>
                            </w:pPr>
                            <w:r>
                              <w:rPr>
                                <w:rFonts w:ascii="Times New Roman" w:hAnsi="Times New Roman" w:cs="Times New Roman"/>
                              </w:rPr>
                              <w:t>Zettabytes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35pt;margin-top:8.7pt;width:66pt;height:2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" stroked="f">
                <v:textbox>
                  <w:txbxContent>
                    <w:p w:rsidR="001B65FF" w:rsidRDefault="003E4EF4">
                      <w:pPr>
                        <w:rPr>
                          <w:rFonts w:ascii="Times New Roman" w:hAnsi="Times New Roman" w:cs="Times New Roman"/>
                        </w:rPr>
                      </w:pPr>
                      <w:r>
                        <w:rPr>
                          <w:rFonts w:ascii="Times New Roman" w:hAnsi="Times New Roman" w:cs="Times New Roman"/>
                        </w:rPr>
                        <w:t>Zettabytes</w:t>
                      </w:r>
                    </w:p>
                  </w:txbxContent>
                </v:textbox>
              </v:shape>
            </w:pict>
          </mc:Fallback>
        </mc:AlternateContent>
      </w:r>
      <w:r>
        <w:rPr>
          <w:rFonts w:ascii="Times New Roman" w:hAnsi="Times New Roman" w:cs="Times New Roman"/>
          <w:noProof/>
          <w:lang w:eastAsia="en-GB"/>
        </w:rPr>
        <w:drawing>
          <wp:inline distT="0" distB="0" distL="0" distR="0" wp14:anchorId="5B215A56" wp14:editId="29936E55">
            <wp:extent cx="3586348" cy="190005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Lst>
                    </a:blip>
                    <a:stretch>
                      <a:fillRect/>
                    </a:stretch>
                  </pic:blipFill>
                  <pic:spPr>
                    <a:xfrm>
                      <a:off x="0" y="0"/>
                      <a:ext cx="3592773" cy="1903456"/>
                    </a:xfrm>
                    <a:prstGeom prst="rect">
                      <a:avLst/>
                    </a:prstGeom>
                  </pic:spPr>
                </pic:pic>
              </a:graphicData>
            </a:graphic>
          </wp:inline>
        </w:drawing>
      </w:r>
    </w:p>
    <w:p w:rsidR="001B65FF" w:rsidRDefault="003E4EF4">
      <w:pPr>
        <w:ind w:firstLine="270"/>
        <w:rPr>
          <w:rFonts w:ascii="Times New Roman" w:hAnsi="Times New Roman" w:cs="Times New Roman"/>
          <w:noProof/>
          <w:lang w:eastAsia="en-GB"/>
        </w:rPr>
      </w:pPr>
      <w:r>
        <w:rPr>
          <w:rFonts w:ascii="Times New Roman" w:hAnsi="Times New Roman" w:cs="Times New Roman"/>
          <w:noProof/>
          <w:sz w:val="20"/>
        </w:rPr>
        <w:t xml:space="preserve">Source: </w:t>
      </w:r>
      <w:hyperlink r:id="rId36" w:history="1">
        <w:r>
          <w:rPr>
            <w:rFonts w:ascii="Times New Roman" w:hAnsi="Times New Roman" w:cs="Times New Roman"/>
            <w:noProof/>
            <w:color w:val="0000FF" w:themeColor="hyperlink"/>
            <w:sz w:val="20"/>
            <w:u w:val="single"/>
          </w:rPr>
          <w:t>OECD</w:t>
        </w:r>
      </w:hyperlink>
    </w:p>
    <w:p w:rsidR="001B65FF" w:rsidRDefault="003E4EF4">
      <w:pPr>
        <w:ind w:left="27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This exponential nature not only brings exponential possibilities for economic and social development but also for crime, in two ways:</w:t>
      </w:r>
    </w:p>
    <w:p w:rsidR="001B65FF" w:rsidRDefault="003E4EF4">
      <w:pPr>
        <w:numPr>
          <w:ilvl w:val="0"/>
          <w:numId w:val="19"/>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Directly: </w:t>
      </w:r>
      <w:r>
        <w:rPr>
          <w:rFonts w:ascii="Times New Roman" w:hAnsi="Times New Roman" w:cs="Times New Roman"/>
          <w:noProof/>
          <w:sz w:val="24"/>
          <w:lang w:eastAsia="en-GB"/>
        </w:rPr>
        <w:t>all things being equal, cybercrime will continue to generate important economic benefits for criminals, justifying the amount of research and development hours required to produce malware, the main tool to carry out cybercrime (</w:t>
      </w:r>
      <w:r>
        <w:rPr>
          <w:rFonts w:ascii="Times New Roman" w:hAnsi="Times New Roman" w:cs="Times New Roman"/>
          <w:b/>
          <w:noProof/>
          <w:sz w:val="24"/>
          <w:lang w:eastAsia="en-GB"/>
        </w:rPr>
        <w:t>every</w:t>
      </w:r>
      <w:r>
        <w:rPr>
          <w:rFonts w:ascii="Times New Roman" w:hAnsi="Times New Roman" w:cs="Times New Roman"/>
          <w:noProof/>
          <w:sz w:val="24"/>
          <w:lang w:eastAsia="en-GB"/>
        </w:rPr>
        <w:t xml:space="preserve"> </w:t>
      </w:r>
      <w:r>
        <w:rPr>
          <w:rFonts w:ascii="Times New Roman" w:hAnsi="Times New Roman" w:cs="Times New Roman"/>
          <w:b/>
          <w:noProof/>
          <w:sz w:val="24"/>
          <w:lang w:eastAsia="en-GB"/>
        </w:rPr>
        <w:t>day</w:t>
      </w:r>
      <w:r>
        <w:rPr>
          <w:rFonts w:ascii="Times New Roman" w:hAnsi="Times New Roman" w:cs="Times New Roman"/>
          <w:noProof/>
          <w:sz w:val="24"/>
          <w:lang w:eastAsia="en-GB"/>
        </w:rPr>
        <w:t>, more than 300,000</w:t>
      </w:r>
      <w:r>
        <w:rPr>
          <w:rFonts w:ascii="Times New Roman" w:hAnsi="Times New Roman" w:cs="Times New Roman"/>
          <w:noProof/>
          <w:sz w:val="24"/>
          <w:lang w:eastAsia="en-GB"/>
        </w:rPr>
        <w:t xml:space="preserve"> </w:t>
      </w:r>
      <w:r>
        <w:rPr>
          <w:rFonts w:ascii="Times New Roman" w:hAnsi="Times New Roman" w:cs="Times New Roman"/>
          <w:b/>
          <w:noProof/>
          <w:sz w:val="24"/>
          <w:lang w:eastAsia="en-GB"/>
        </w:rPr>
        <w:t>new</w:t>
      </w:r>
      <w:r>
        <w:rPr>
          <w:rFonts w:ascii="Times New Roman" w:hAnsi="Times New Roman" w:cs="Times New Roman"/>
          <w:noProof/>
          <w:sz w:val="24"/>
          <w:lang w:eastAsia="en-GB"/>
        </w:rPr>
        <w:t xml:space="preserve"> malware samples are detected)</w:t>
      </w:r>
      <w:r>
        <w:rPr>
          <w:rFonts w:ascii="Times New Roman" w:hAnsi="Times New Roman" w:cs="Times New Roman"/>
          <w:noProof/>
          <w:sz w:val="24"/>
          <w:vertAlign w:val="superscript"/>
          <w:lang w:eastAsia="en-GB"/>
        </w:rPr>
        <w:footnoteReference w:id="64"/>
      </w:r>
      <w:r>
        <w:rPr>
          <w:rFonts w:ascii="Times New Roman" w:hAnsi="Times New Roman" w:cs="Times New Roman"/>
          <w:noProof/>
          <w:sz w:val="24"/>
          <w:lang w:eastAsia="en-GB"/>
        </w:rPr>
        <w:t>. The data related to cybercrime becomes electronic evidence that public authorities would need to access.</w:t>
      </w:r>
    </w:p>
    <w:p w:rsidR="001B65FF" w:rsidRDefault="003E4EF4">
      <w:pPr>
        <w:numPr>
          <w:ilvl w:val="0"/>
          <w:numId w:val="19"/>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Indirectly: by 2020 it is expected that up to </w:t>
      </w:r>
      <w:r>
        <w:rPr>
          <w:rFonts w:ascii="Times New Roman" w:hAnsi="Times New Roman" w:cs="Times New Roman"/>
          <w:b/>
          <w:noProof/>
          <w:sz w:val="24"/>
          <w:lang w:eastAsia="en-GB"/>
        </w:rPr>
        <w:t>50 billion</w:t>
      </w:r>
      <w:r>
        <w:rPr>
          <w:rFonts w:ascii="Times New Roman" w:hAnsi="Times New Roman" w:cs="Times New Roman"/>
          <w:noProof/>
          <w:sz w:val="24"/>
          <w:lang w:eastAsia="en-GB"/>
        </w:rPr>
        <w:t xml:space="preserve"> new devices (cars, homes, medical devices, buildings, mob</w:t>
      </w:r>
      <w:r>
        <w:rPr>
          <w:rFonts w:ascii="Times New Roman" w:hAnsi="Times New Roman" w:cs="Times New Roman"/>
          <w:noProof/>
          <w:sz w:val="24"/>
          <w:lang w:eastAsia="en-GB"/>
        </w:rPr>
        <w:t>ile phones, dishwashers, toys…) could be connected to the Internet</w:t>
      </w:r>
      <w:r>
        <w:rPr>
          <w:rFonts w:ascii="Times New Roman" w:hAnsi="Times New Roman" w:cs="Times New Roman"/>
          <w:noProof/>
          <w:sz w:val="24"/>
          <w:vertAlign w:val="superscript"/>
          <w:lang w:eastAsia="en-GB"/>
        </w:rPr>
        <w:footnoteReference w:id="65"/>
      </w:r>
      <w:r>
        <w:rPr>
          <w:rFonts w:ascii="Times New Roman" w:hAnsi="Times New Roman" w:cs="Times New Roman"/>
          <w:noProof/>
          <w:sz w:val="24"/>
          <w:lang w:eastAsia="en-GB"/>
        </w:rPr>
        <w:t xml:space="preserve">. This “Internet of Things” will generate massive amounts of information, which will translate into electronic evidence in the crimes that involve these devices and their users.  </w:t>
      </w:r>
    </w:p>
    <w:p w:rsidR="001B65FF" w:rsidRDefault="003E4EF4">
      <w:pPr>
        <w:spacing w:before="240" w:after="0"/>
        <w:rPr>
          <w:rFonts w:ascii="Times New Roman" w:hAnsi="Times New Roman" w:cs="Times New Roman"/>
          <w:noProof/>
          <w:sz w:val="24"/>
        </w:rPr>
      </w:pPr>
      <w:r>
        <w:rPr>
          <w:rFonts w:ascii="Times New Roman" w:hAnsi="Times New Roman" w:cs="Times New Roman"/>
          <w:noProof/>
          <w:sz w:val="24"/>
        </w:rPr>
        <w:t>2) The in</w:t>
      </w:r>
      <w:r>
        <w:rPr>
          <w:rFonts w:ascii="Times New Roman" w:hAnsi="Times New Roman" w:cs="Times New Roman"/>
          <w:noProof/>
          <w:sz w:val="24"/>
        </w:rPr>
        <w:t>creasing need to access e-evidence across borders.</w:t>
      </w:r>
    </w:p>
    <w:p w:rsidR="001B65FF" w:rsidRDefault="003E4EF4">
      <w:pPr>
        <w:ind w:left="27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As more and more countries join the technology revolution and more people around the world get connected to the Internet, the need to access e-evidence across borders will increase. Globalisation also impl</w:t>
      </w:r>
      <w:r>
        <w:rPr>
          <w:rFonts w:ascii="Times New Roman" w:hAnsi="Times New Roman" w:cs="Times New Roman"/>
          <w:noProof/>
          <w:sz w:val="24"/>
          <w:lang w:eastAsia="en-GB"/>
        </w:rPr>
        <w:t xml:space="preserve">ies </w:t>
      </w:r>
      <w:r>
        <w:rPr>
          <w:rFonts w:ascii="Times New Roman" w:hAnsi="Times New Roman" w:cs="Times New Roman"/>
          <w:b/>
          <w:noProof/>
          <w:sz w:val="24"/>
          <w:lang w:eastAsia="en-GB"/>
        </w:rPr>
        <w:t>globalisation of criminal evidence.</w:t>
      </w:r>
      <w:r>
        <w:rPr>
          <w:rFonts w:ascii="Times New Roman" w:hAnsi="Times New Roman" w:cs="Times New Roman"/>
          <w:noProof/>
          <w:sz w:val="24"/>
          <w:lang w:eastAsia="en-GB"/>
        </w:rPr>
        <w:t xml:space="preserve"> Furthermore, the Internet does not only provide training materials to commit cybercrime or other crimes but also the necessary tools to commit crimes through the </w:t>
      </w:r>
      <w:r>
        <w:rPr>
          <w:rFonts w:ascii="Times New Roman" w:hAnsi="Times New Roman" w:cs="Times New Roman"/>
          <w:b/>
          <w:noProof/>
          <w:sz w:val="24"/>
          <w:lang w:eastAsia="en-GB"/>
        </w:rPr>
        <w:t>crime-as-a-service</w:t>
      </w:r>
      <w:r>
        <w:rPr>
          <w:rFonts w:ascii="Times New Roman" w:hAnsi="Times New Roman" w:cs="Times New Roman"/>
          <w:noProof/>
          <w:sz w:val="24"/>
          <w:lang w:eastAsia="en-GB"/>
        </w:rPr>
        <w:t xml:space="preserve"> model</w:t>
      </w:r>
      <w:r>
        <w:rPr>
          <w:rFonts w:ascii="Times New Roman" w:hAnsi="Times New Roman" w:cs="Times New Roman"/>
          <w:noProof/>
          <w:sz w:val="24"/>
          <w:vertAlign w:val="superscript"/>
          <w:lang w:eastAsia="en-GB"/>
        </w:rPr>
        <w:footnoteReference w:id="66"/>
      </w:r>
      <w:r>
        <w:rPr>
          <w:rFonts w:ascii="Times New Roman" w:hAnsi="Times New Roman" w:cs="Times New Roman"/>
          <w:noProof/>
          <w:sz w:val="24"/>
          <w:lang w:eastAsia="en-GB"/>
        </w:rPr>
        <w:t>. More people connected unfor</w:t>
      </w:r>
      <w:r>
        <w:rPr>
          <w:rFonts w:ascii="Times New Roman" w:hAnsi="Times New Roman" w:cs="Times New Roman"/>
          <w:noProof/>
          <w:sz w:val="24"/>
          <w:lang w:eastAsia="en-GB"/>
        </w:rPr>
        <w:t xml:space="preserve">tunately also means more potential criminals that could take advantage of those training materials and tools, likely at a </w:t>
      </w:r>
      <w:r>
        <w:rPr>
          <w:rFonts w:ascii="Times New Roman" w:hAnsi="Times New Roman" w:cs="Times New Roman"/>
          <w:b/>
          <w:noProof/>
          <w:sz w:val="24"/>
          <w:lang w:eastAsia="en-GB"/>
        </w:rPr>
        <w:t>low risk</w:t>
      </w:r>
      <w:r>
        <w:rPr>
          <w:rFonts w:ascii="Times New Roman" w:hAnsi="Times New Roman" w:cs="Times New Roman"/>
          <w:noProof/>
          <w:sz w:val="24"/>
          <w:lang w:eastAsia="en-GB"/>
        </w:rPr>
        <w:t>, as the challenges to cross-border access to e-evidence would remain untackled.</w:t>
      </w:r>
    </w:p>
    <w:p w:rsidR="001B65FF" w:rsidRDefault="003E4EF4">
      <w:pPr>
        <w:spacing w:before="240" w:after="0"/>
        <w:rPr>
          <w:rFonts w:ascii="Times New Roman" w:hAnsi="Times New Roman" w:cs="Times New Roman"/>
          <w:noProof/>
          <w:sz w:val="24"/>
        </w:rPr>
      </w:pPr>
      <w:r>
        <w:rPr>
          <w:rFonts w:ascii="Times New Roman" w:hAnsi="Times New Roman" w:cs="Times New Roman"/>
          <w:noProof/>
          <w:sz w:val="24"/>
        </w:rPr>
        <w:t>3) Changing systems for access that require u</w:t>
      </w:r>
      <w:r>
        <w:rPr>
          <w:rFonts w:ascii="Times New Roman" w:hAnsi="Times New Roman" w:cs="Times New Roman"/>
          <w:noProof/>
          <w:sz w:val="24"/>
        </w:rPr>
        <w:t>pdates to legislation (see Annex 12).</w:t>
      </w:r>
    </w:p>
    <w:p w:rsidR="001B65FF" w:rsidRDefault="003E4EF4">
      <w:pPr>
        <w:spacing w:after="120"/>
        <w:ind w:left="270"/>
        <w:jc w:val="both"/>
        <w:rPr>
          <w:rFonts w:ascii="Times New Roman" w:hAnsi="Times New Roman" w:cs="Times New Roman"/>
          <w:noProof/>
          <w:sz w:val="24"/>
        </w:rPr>
      </w:pPr>
      <w:r>
        <w:rPr>
          <w:rFonts w:ascii="Times New Roman" w:hAnsi="Times New Roman" w:cs="Times New Roman"/>
          <w:noProof/>
          <w:sz w:val="24"/>
        </w:rPr>
        <w:t xml:space="preserve">WHOIS data that was formerly publicly available is increasingly moving into systems that prevent unauthorised access by </w:t>
      </w:r>
      <w:r>
        <w:rPr>
          <w:rFonts w:ascii="Times New Roman" w:hAnsi="Times New Roman" w:cs="Times New Roman"/>
          <w:noProof/>
          <w:sz w:val="24"/>
          <w:lang w:eastAsia="en-GB"/>
        </w:rPr>
        <w:t>granting</w:t>
      </w:r>
      <w:r>
        <w:rPr>
          <w:rFonts w:ascii="Times New Roman" w:hAnsi="Times New Roman" w:cs="Times New Roman"/>
          <w:noProof/>
          <w:sz w:val="24"/>
        </w:rPr>
        <w:t xml:space="preserve"> logins to legitimate users only, for individual look-ups in the context of </w:t>
      </w:r>
      <w:r>
        <w:rPr>
          <w:rFonts w:ascii="Times New Roman" w:eastAsia="Times New Roman" w:hAnsi="Times New Roman" w:cs="Times New Roman"/>
          <w:noProof/>
          <w:sz w:val="24"/>
          <w:szCs w:val="24"/>
        </w:rPr>
        <w:t>criminal</w:t>
      </w:r>
      <w:r>
        <w:rPr>
          <w:rFonts w:ascii="Times New Roman" w:hAnsi="Times New Roman" w:cs="Times New Roman"/>
          <w:noProof/>
          <w:sz w:val="24"/>
        </w:rPr>
        <w:t xml:space="preserve"> inves</w:t>
      </w:r>
      <w:r>
        <w:rPr>
          <w:rFonts w:ascii="Times New Roman" w:hAnsi="Times New Roman" w:cs="Times New Roman"/>
          <w:noProof/>
          <w:sz w:val="24"/>
        </w:rPr>
        <w:t>tigations. While authorities are considered as legitimate users and therefore would be granted access to the systems, this is only part of the picture. From an authority's perspective, any action needs to have a basis in law, and many national laws, includ</w:t>
      </w:r>
      <w:r>
        <w:rPr>
          <w:rFonts w:ascii="Times New Roman" w:hAnsi="Times New Roman" w:cs="Times New Roman"/>
          <w:noProof/>
          <w:sz w:val="24"/>
        </w:rPr>
        <w:t xml:space="preserve">ing those of EU Member States, do not provide for one. In the absence of a specific legal basis, the database lookup might have to be replaced by a request or production order for each lookup. </w:t>
      </w:r>
    </w:p>
    <w:p w:rsidR="001B65FF" w:rsidRDefault="003E4EF4">
      <w:pPr>
        <w:spacing w:before="120" w:after="12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 the </w:t>
      </w:r>
      <w:r>
        <w:rPr>
          <w:rFonts w:ascii="Times New Roman" w:hAnsi="Times New Roman" w:cs="Times New Roman"/>
          <w:b/>
          <w:noProof/>
          <w:sz w:val="24"/>
          <w:lang w:eastAsia="en-GB"/>
        </w:rPr>
        <w:t>absence of EU intervention</w:t>
      </w:r>
      <w:r>
        <w:rPr>
          <w:rFonts w:ascii="Times New Roman" w:hAnsi="Times New Roman" w:cs="Times New Roman"/>
          <w:noProof/>
          <w:sz w:val="24"/>
          <w:lang w:eastAsia="en-GB"/>
        </w:rPr>
        <w:t>, the problem drivers are lik</w:t>
      </w:r>
      <w:r>
        <w:rPr>
          <w:rFonts w:ascii="Times New Roman" w:hAnsi="Times New Roman" w:cs="Times New Roman"/>
          <w:noProof/>
          <w:sz w:val="24"/>
          <w:lang w:eastAsia="en-GB"/>
        </w:rPr>
        <w:t>ely to evolve as follows:</w:t>
      </w:r>
    </w:p>
    <w:p w:rsidR="001B65FF" w:rsidRDefault="003E4EF4">
      <w:pPr>
        <w:ind w:left="288" w:hanging="288"/>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1. Too much time would still be required to access e-evidence across borders under the judicial cooperation procedures, </w:t>
      </w:r>
      <w:r>
        <w:rPr>
          <w:rFonts w:ascii="Times New Roman" w:eastAsiaTheme="majorEastAsia" w:hAnsi="Times New Roman" w:cs="Times New Roman"/>
          <w:bCs/>
          <w:noProof/>
          <w:sz w:val="24"/>
          <w:szCs w:val="26"/>
        </w:rPr>
        <w:t xml:space="preserve">reducing the effectiveness of </w:t>
      </w:r>
      <w:r>
        <w:rPr>
          <w:rFonts w:ascii="Times New Roman" w:hAnsi="Times New Roman" w:cs="Times New Roman"/>
          <w:noProof/>
          <w:sz w:val="24"/>
          <w:lang w:eastAsia="en-GB"/>
        </w:rPr>
        <w:t xml:space="preserve">investigations and prosecutions. </w:t>
      </w:r>
    </w:p>
    <w:p w:rsidR="001B65FF" w:rsidRDefault="003E4EF4">
      <w:pPr>
        <w:ind w:left="288" w:hanging="288"/>
        <w:jc w:val="both"/>
        <w:rPr>
          <w:rFonts w:ascii="Times New Roman" w:hAnsi="Times New Roman" w:cs="Times New Roman"/>
          <w:noProof/>
          <w:sz w:val="24"/>
          <w:lang w:eastAsia="en-GB"/>
        </w:rPr>
      </w:pPr>
      <w:r>
        <w:rPr>
          <w:rFonts w:ascii="Times New Roman" w:hAnsi="Times New Roman" w:cs="Times New Roman"/>
          <w:noProof/>
          <w:sz w:val="24"/>
          <w:lang w:eastAsia="en-GB"/>
        </w:rPr>
        <w:tab/>
        <w:t>The exponential growth in electronic data wil</w:t>
      </w:r>
      <w:r>
        <w:rPr>
          <w:rFonts w:ascii="Times New Roman" w:hAnsi="Times New Roman" w:cs="Times New Roman"/>
          <w:noProof/>
          <w:sz w:val="24"/>
          <w:lang w:eastAsia="en-GB"/>
        </w:rPr>
        <w:t>l likely cause the number of request to continue increasing. If no action is taken to preserve the ability of authorities to perform WHOIS look-ups, these lookups may have to take the form of individualised requests that need to be reviewed individually. G</w:t>
      </w:r>
      <w:r>
        <w:rPr>
          <w:rFonts w:ascii="Times New Roman" w:hAnsi="Times New Roman" w:cs="Times New Roman"/>
          <w:noProof/>
          <w:sz w:val="24"/>
          <w:lang w:eastAsia="en-GB"/>
        </w:rPr>
        <w:t>iven that such a lookup is often the first step in an investigation, a conservative estimate would put the number in the tens of thousands per week across the EU. In the absence of a legal basis permitting direct lookups, this procedure would significantly</w:t>
      </w:r>
      <w:r>
        <w:rPr>
          <w:rFonts w:ascii="Times New Roman" w:hAnsi="Times New Roman" w:cs="Times New Roman"/>
          <w:noProof/>
          <w:sz w:val="24"/>
          <w:lang w:eastAsia="en-GB"/>
        </w:rPr>
        <w:t xml:space="preserve"> slow down investigative measures: the number of resources to deal with the requests throughout the process is not likely to increase accordingly (e.g. in MLAT requests to the US, public officials from requesting authorities, US Department of Justice offic</w:t>
      </w:r>
      <w:r>
        <w:rPr>
          <w:rFonts w:ascii="Times New Roman" w:hAnsi="Times New Roman" w:cs="Times New Roman"/>
          <w:noProof/>
          <w:sz w:val="24"/>
          <w:lang w:eastAsia="en-GB"/>
        </w:rPr>
        <w:t>ials, US judges and court officials, FBI agents, service providers’ staff). This would likely result in even longer response times to MLAT (and EIO) requests. At the same time, data minimisation requirements force service providers to delete data more quic</w:t>
      </w:r>
      <w:r>
        <w:rPr>
          <w:rFonts w:ascii="Times New Roman" w:hAnsi="Times New Roman" w:cs="Times New Roman"/>
          <w:noProof/>
          <w:sz w:val="24"/>
          <w:lang w:eastAsia="en-GB"/>
        </w:rPr>
        <w:t>kly, increasing the number of cases where data will no longer be available when the request reaches the service provider.</w:t>
      </w:r>
    </w:p>
    <w:p w:rsidR="001B65FF" w:rsidRDefault="003E4EF4">
      <w:pPr>
        <w:ind w:left="288"/>
        <w:jc w:val="both"/>
        <w:rPr>
          <w:rFonts w:ascii="Times New Roman" w:hAnsi="Times New Roman" w:cs="Times New Roman"/>
          <w:noProof/>
          <w:sz w:val="24"/>
          <w:szCs w:val="24"/>
        </w:rPr>
      </w:pPr>
      <w:r>
        <w:rPr>
          <w:rFonts w:ascii="Times New Roman" w:eastAsia="Times New Roman" w:hAnsi="Times New Roman" w:cs="Times New Roman"/>
          <w:noProof/>
          <w:sz w:val="24"/>
          <w:szCs w:val="24"/>
        </w:rPr>
        <w:t>The 2016 Review Report of the EU-US MLA Agreement</w:t>
      </w:r>
      <w:r>
        <w:rPr>
          <w:rFonts w:ascii="Times New Roman" w:hAnsi="Times New Roman" w:cs="Times New Roman"/>
          <w:noProof/>
          <w:sz w:val="24"/>
          <w:szCs w:val="24"/>
        </w:rPr>
        <w:t xml:space="preserve"> concluded that there was no need to revise the Agreement, but included recommendations to make the Agreement work better in practice, including on electronic evidence. These include recommendations to seek direct cooperation from US service providers and </w:t>
      </w:r>
      <w:r>
        <w:rPr>
          <w:rFonts w:ascii="Times New Roman" w:hAnsi="Times New Roman" w:cs="Times New Roman"/>
          <w:noProof/>
          <w:sz w:val="24"/>
          <w:szCs w:val="24"/>
        </w:rPr>
        <w:t>consider other means to reduce the pressure of the volume of MLA requests to the U.S. for e-evidence, and to train and build capacity for public authorities, including on emergency procedures.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 Commission has been encouraging Member States to implement </w:t>
      </w:r>
      <w:r>
        <w:rPr>
          <w:rFonts w:ascii="Times New Roman" w:hAnsi="Times New Roman" w:cs="Times New Roman"/>
          <w:noProof/>
          <w:sz w:val="24"/>
          <w:szCs w:val="24"/>
        </w:rPr>
        <w:t>the recommendations contained therein, and is helping to set up training (which is one of the practical measures proposed here), but practitioners and Member States agree that these recommendations are not sufficient to address the issues linked to the acc</w:t>
      </w:r>
      <w:r>
        <w:rPr>
          <w:rFonts w:ascii="Times New Roman" w:hAnsi="Times New Roman" w:cs="Times New Roman"/>
          <w:noProof/>
          <w:sz w:val="24"/>
          <w:szCs w:val="24"/>
        </w:rPr>
        <w:t>ess to electronic evidence. Similarly as for the EIO, this is based on the consideration that without a fundamental change of the process, MLA procedures will never be as fast as direct cooperation channels. Emergency procedures are reserved for exceptiona</w:t>
      </w:r>
      <w:r>
        <w:rPr>
          <w:rFonts w:ascii="Times New Roman" w:hAnsi="Times New Roman" w:cs="Times New Roman"/>
          <w:noProof/>
          <w:sz w:val="24"/>
          <w:szCs w:val="24"/>
        </w:rPr>
        <w:t>l situations (involving imminent risk of serious injury or death, including in terrorism cases), while electronic evidence is required in a large proportion of all investigations.</w:t>
      </w:r>
    </w:p>
    <w:p w:rsidR="001B65FF" w:rsidRDefault="003E4EF4">
      <w:pPr>
        <w:ind w:left="288" w:hanging="288"/>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2. </w:t>
      </w:r>
      <w:r>
        <w:rPr>
          <w:rFonts w:ascii="Times New Roman" w:hAnsi="Times New Roman" w:cs="Times New Roman"/>
          <w:noProof/>
          <w:sz w:val="24"/>
          <w:lang w:eastAsia="en-GB"/>
        </w:rPr>
        <w:tab/>
        <w:t>Inefficiencies in public-private cooperation between service providers a</w:t>
      </w:r>
      <w:r>
        <w:rPr>
          <w:rFonts w:ascii="Times New Roman" w:hAnsi="Times New Roman" w:cs="Times New Roman"/>
          <w:noProof/>
          <w:sz w:val="24"/>
          <w:lang w:eastAsia="en-GB"/>
        </w:rPr>
        <w:t>nd public authorities would continue hampering effective investigations and prosecutions. As the response times for MLA (and EIO) requests would continue growing, public authorities would increasingly try to reach out directly to service providers, while t</w:t>
      </w:r>
      <w:r>
        <w:rPr>
          <w:rFonts w:ascii="Times New Roman" w:hAnsi="Times New Roman" w:cs="Times New Roman"/>
          <w:noProof/>
          <w:sz w:val="24"/>
          <w:lang w:eastAsia="en-GB"/>
        </w:rPr>
        <w:t>hese would be receiving more and more formal requests simultaneously. Without a clear framework for direct cooperation between service providers and foreign public authorities it is likely that investigations and prosecutions involving e-evidence would bec</w:t>
      </w:r>
      <w:r>
        <w:rPr>
          <w:rFonts w:ascii="Times New Roman" w:hAnsi="Times New Roman" w:cs="Times New Roman"/>
          <w:noProof/>
          <w:sz w:val="24"/>
          <w:lang w:eastAsia="en-GB"/>
        </w:rPr>
        <w:t>ome more and more challenging.</w:t>
      </w:r>
    </w:p>
    <w:p w:rsidR="001B65FF" w:rsidRDefault="003E4EF4">
      <w:pPr>
        <w:ind w:left="288" w:hanging="288"/>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3.</w:t>
      </w:r>
      <w:r>
        <w:rPr>
          <w:rFonts w:ascii="Times New Roman" w:hAnsi="Times New Roman" w:cs="Times New Roman"/>
          <w:noProof/>
          <w:sz w:val="24"/>
          <w:lang w:eastAsia="en-GB"/>
        </w:rPr>
        <w:tab/>
        <w:t xml:space="preserve">Shortcomings in defining jurisdiction would continue hindering effective cross-border investigation and prosecution. In the absence of EU intervention, the </w:t>
      </w:r>
      <w:r>
        <w:rPr>
          <w:rFonts w:ascii="Times New Roman" w:hAnsi="Times New Roman" w:cs="Times New Roman"/>
          <w:noProof/>
          <w:color w:val="000000"/>
          <w:sz w:val="24"/>
          <w:szCs w:val="24"/>
        </w:rPr>
        <w:t>use by criminals of encryption, anonymisation tools, virtual curre</w:t>
      </w:r>
      <w:r>
        <w:rPr>
          <w:rFonts w:ascii="Times New Roman" w:hAnsi="Times New Roman" w:cs="Times New Roman"/>
          <w:noProof/>
          <w:color w:val="000000"/>
          <w:sz w:val="24"/>
          <w:szCs w:val="24"/>
        </w:rPr>
        <w:t>ncies, the Darknet</w:t>
      </w:r>
      <w:r>
        <w:rPr>
          <w:rFonts w:ascii="Times New Roman" w:hAnsi="Times New Roman" w:cs="Times New Roman"/>
          <w:b/>
          <w:bCs/>
          <w:noProof/>
          <w:color w:val="000000"/>
          <w:sz w:val="24"/>
          <w:szCs w:val="24"/>
        </w:rPr>
        <w:t xml:space="preserve"> </w:t>
      </w:r>
      <w:r>
        <w:rPr>
          <w:rFonts w:ascii="Times New Roman" w:hAnsi="Times New Roman" w:cs="Times New Roman"/>
          <w:bCs/>
          <w:noProof/>
          <w:color w:val="000000"/>
          <w:sz w:val="24"/>
          <w:szCs w:val="24"/>
        </w:rPr>
        <w:t>and other future technologies, or simply the use by service providers of technologies to manage the data that prevent its precise localisation, would continue making it difficult for public authorities to establish the appropriate jurisd</w:t>
      </w:r>
      <w:r>
        <w:rPr>
          <w:rFonts w:ascii="Times New Roman" w:hAnsi="Times New Roman" w:cs="Times New Roman"/>
          <w:bCs/>
          <w:noProof/>
          <w:color w:val="000000"/>
          <w:sz w:val="24"/>
          <w:szCs w:val="24"/>
        </w:rPr>
        <w:t>iction</w:t>
      </w:r>
      <w:r>
        <w:rPr>
          <w:rFonts w:ascii="Times New Roman" w:hAnsi="Times New Roman" w:cs="Times New Roman"/>
          <w:noProof/>
          <w:color w:val="000000"/>
          <w:sz w:val="24"/>
          <w:szCs w:val="24"/>
        </w:rPr>
        <w:t>. This may lead to the adoption by Member States of national legislation on direct cooperation with service providers, on direct access to e-evidence, or on other options such as data localisation, which would lead to a fragmented legal framework tha</w:t>
      </w:r>
      <w:r>
        <w:rPr>
          <w:rFonts w:ascii="Times New Roman" w:hAnsi="Times New Roman" w:cs="Times New Roman"/>
          <w:noProof/>
          <w:color w:val="000000"/>
          <w:sz w:val="24"/>
          <w:szCs w:val="24"/>
        </w:rPr>
        <w:t xml:space="preserve">t could likely hamper effective cross-border cooperation in investigations and prosecutions. </w:t>
      </w:r>
    </w:p>
    <w:p w:rsidR="001B65FF" w:rsidRDefault="001B65FF">
      <w:pPr>
        <w:spacing w:after="0"/>
        <w:jc w:val="both"/>
        <w:rPr>
          <w:rFonts w:ascii="Times New Roman" w:hAnsi="Times New Roman" w:cs="Times New Roman"/>
          <w:noProof/>
          <w:sz w:val="24"/>
          <w:lang w:eastAsia="en-GB"/>
        </w:rPr>
      </w:pPr>
    </w:p>
    <w:p w:rsidR="001B65FF" w:rsidRDefault="003E4EF4">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evolution of the problem in the absence of EU intervention will be further analysed when describing the baseline option. </w:t>
      </w:r>
    </w:p>
    <w:p w:rsidR="001B65FF" w:rsidRDefault="003E4EF4">
      <w:pPr>
        <w:keepNext/>
        <w:numPr>
          <w:ilvl w:val="0"/>
          <w:numId w:val="3"/>
        </w:numPr>
        <w:spacing w:before="240" w:after="240" w:line="240" w:lineRule="auto"/>
        <w:jc w:val="both"/>
        <w:outlineLvl w:val="0"/>
        <w:rPr>
          <w:rFonts w:ascii="Times New Roman" w:eastAsia="Times New Roman" w:hAnsi="Times New Roman" w:cs="Times New Roman"/>
          <w:b/>
          <w:smallCaps/>
          <w:noProof/>
          <w:sz w:val="24"/>
          <w:szCs w:val="20"/>
        </w:rPr>
      </w:pPr>
      <w:bookmarkStart w:id="224" w:name="_Toc481484464"/>
      <w:bookmarkStart w:id="225" w:name="_Toc497927249"/>
      <w:bookmarkStart w:id="226" w:name="_Toc497927862"/>
      <w:bookmarkStart w:id="227" w:name="_Toc497928128"/>
      <w:bookmarkStart w:id="228" w:name="_Toc498509620"/>
      <w:bookmarkStart w:id="229" w:name="_Toc498521209"/>
      <w:bookmarkStart w:id="230" w:name="_Toc498701918"/>
      <w:bookmarkStart w:id="231" w:name="_Toc498704685"/>
      <w:bookmarkStart w:id="232" w:name="_Toc499020441"/>
      <w:bookmarkStart w:id="233" w:name="_Toc499030344"/>
      <w:bookmarkStart w:id="234" w:name="_Toc499044921"/>
      <w:bookmarkStart w:id="235" w:name="_Toc499051302"/>
      <w:bookmarkStart w:id="236" w:name="_Toc499133291"/>
      <w:bookmarkStart w:id="237" w:name="_Toc499142807"/>
      <w:bookmarkStart w:id="238" w:name="_Toc510952857"/>
      <w:r>
        <w:rPr>
          <w:rFonts w:ascii="Times New Roman" w:eastAsia="Times New Roman" w:hAnsi="Times New Roman" w:cs="Times New Roman"/>
          <w:b/>
          <w:smallCaps/>
          <w:noProof/>
          <w:sz w:val="24"/>
          <w:szCs w:val="20"/>
        </w:rPr>
        <w:t>Why should the EU act?</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0"/>
        </w:rPr>
      </w:pPr>
      <w:bookmarkStart w:id="239" w:name="_Toc481484465"/>
      <w:bookmarkStart w:id="240" w:name="_Toc497927250"/>
      <w:bookmarkStart w:id="241" w:name="_Toc497927863"/>
      <w:bookmarkStart w:id="242" w:name="_Toc497928129"/>
      <w:bookmarkStart w:id="243" w:name="_Toc498509621"/>
      <w:bookmarkStart w:id="244" w:name="_Toc498521210"/>
      <w:bookmarkStart w:id="245" w:name="_Toc498701919"/>
      <w:bookmarkStart w:id="246" w:name="_Toc498704686"/>
      <w:bookmarkStart w:id="247" w:name="_Toc499020442"/>
      <w:bookmarkStart w:id="248" w:name="_Toc499030345"/>
      <w:bookmarkStart w:id="249" w:name="_Toc499044922"/>
      <w:bookmarkStart w:id="250" w:name="_Toc499051303"/>
      <w:bookmarkStart w:id="251" w:name="_Toc499129959"/>
      <w:bookmarkStart w:id="252" w:name="_Toc499133292"/>
      <w:bookmarkStart w:id="253" w:name="_Toc499142808"/>
      <w:bookmarkStart w:id="254" w:name="_Toc499143253"/>
      <w:bookmarkStart w:id="255" w:name="_Toc510952858"/>
      <w:r>
        <w:rPr>
          <w:rFonts w:ascii="Times New Roman" w:eastAsia="Times New Roman" w:hAnsi="Times New Roman" w:cs="Times New Roman"/>
          <w:b/>
          <w:noProof/>
          <w:sz w:val="24"/>
          <w:szCs w:val="20"/>
        </w:rPr>
        <w:t>Legal basis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The legal bases for EU action are Articles 82(1), 82(2), 53 and 62 of the Treaty on the Functioning of the European Union (TFEU):</w:t>
      </w:r>
    </w:p>
    <w:p w:rsidR="001B65FF" w:rsidRDefault="003E4EF4">
      <w:pPr>
        <w:pStyle w:val="ListParagraph"/>
        <w:numPr>
          <w:ilvl w:val="0"/>
          <w:numId w:val="172"/>
        </w:numPr>
        <w:jc w:val="both"/>
        <w:rPr>
          <w:rFonts w:ascii="Times New Roman" w:hAnsi="Times New Roman" w:cs="Times New Roman"/>
          <w:noProof/>
          <w:sz w:val="24"/>
        </w:rPr>
      </w:pPr>
      <w:r>
        <w:rPr>
          <w:rFonts w:ascii="Times New Roman" w:hAnsi="Times New Roman" w:cs="Times New Roman"/>
          <w:noProof/>
          <w:sz w:val="24"/>
        </w:rPr>
        <w:t>Article 82(</w:t>
      </w:r>
      <w:r>
        <w:rPr>
          <w:rFonts w:ascii="Times New Roman" w:hAnsi="Times New Roman"/>
          <w:noProof/>
          <w:sz w:val="24"/>
        </w:rPr>
        <w:t>1</w:t>
      </w:r>
      <w:r>
        <w:rPr>
          <w:rFonts w:ascii="Times New Roman" w:hAnsi="Times New Roman" w:cs="Times New Roman"/>
          <w:noProof/>
          <w:sz w:val="24"/>
        </w:rPr>
        <w:t xml:space="preserve">) specifies that </w:t>
      </w:r>
      <w:r>
        <w:rPr>
          <w:rFonts w:ascii="Times New Roman" w:hAnsi="Times New Roman" w:cs="Times New Roman"/>
          <w:b/>
          <w:noProof/>
          <w:sz w:val="24"/>
        </w:rPr>
        <w:t>judicial cooperation in criminal matters</w:t>
      </w:r>
      <w:r>
        <w:rPr>
          <w:rFonts w:ascii="Times New Roman" w:hAnsi="Times New Roman" w:cs="Times New Roman"/>
          <w:noProof/>
          <w:sz w:val="24"/>
        </w:rPr>
        <w:t xml:space="preserve"> shall be based on the principle of </w:t>
      </w:r>
      <w:r>
        <w:rPr>
          <w:rFonts w:ascii="Times New Roman" w:hAnsi="Times New Roman" w:cs="Times New Roman"/>
          <w:b/>
          <w:noProof/>
          <w:sz w:val="24"/>
        </w:rPr>
        <w:t>mutual recognition.</w:t>
      </w:r>
    </w:p>
    <w:p w:rsidR="001B65FF" w:rsidRDefault="003E4EF4">
      <w:pPr>
        <w:pStyle w:val="ListParagraph"/>
        <w:jc w:val="both"/>
        <w:rPr>
          <w:rFonts w:ascii="Times New Roman" w:hAnsi="Times New Roman"/>
          <w:noProof/>
          <w:sz w:val="24"/>
        </w:rPr>
      </w:pPr>
      <w:r>
        <w:rPr>
          <w:rFonts w:ascii="Times New Roman" w:hAnsi="Times New Roman" w:cs="Times New Roman"/>
          <w:noProof/>
          <w:sz w:val="24"/>
        </w:rPr>
        <w:t>T</w:t>
      </w:r>
      <w:r>
        <w:rPr>
          <w:rFonts w:ascii="Times New Roman" w:hAnsi="Times New Roman" w:cs="Times New Roman"/>
          <w:noProof/>
          <w:sz w:val="24"/>
        </w:rPr>
        <w:t xml:space="preserve">his legal basis </w:t>
      </w:r>
      <w:r>
        <w:rPr>
          <w:rFonts w:ascii="Times New Roman" w:hAnsi="Times New Roman"/>
          <w:noProof/>
          <w:sz w:val="24"/>
        </w:rPr>
        <w:t xml:space="preserve">would cover possible legislation on direct cooperation with service providers (see options C and D), in which the authority in the issuing Member State would directly address an entity (the service provider) in the executing State and even </w:t>
      </w:r>
      <w:r>
        <w:rPr>
          <w:rFonts w:ascii="Times New Roman" w:hAnsi="Times New Roman"/>
          <w:noProof/>
          <w:sz w:val="24"/>
        </w:rPr>
        <w:t>impose obligations on it. This would introduce a new dimension in mutual recognition, beyond the traditional judicial cooperation in the Union, so far based on procedures involving two judicial authorities, one in the issuing State and another in the execu</w:t>
      </w:r>
      <w:r>
        <w:rPr>
          <w:rFonts w:ascii="Times New Roman" w:hAnsi="Times New Roman"/>
          <w:noProof/>
          <w:sz w:val="24"/>
        </w:rPr>
        <w:t xml:space="preserve">ting State. </w:t>
      </w:r>
    </w:p>
    <w:p w:rsidR="001B65FF" w:rsidRDefault="003E4EF4">
      <w:pPr>
        <w:pStyle w:val="ListParagraph"/>
        <w:numPr>
          <w:ilvl w:val="0"/>
          <w:numId w:val="172"/>
        </w:numPr>
        <w:jc w:val="both"/>
        <w:rPr>
          <w:rFonts w:ascii="Times New Roman" w:hAnsi="Times New Roman"/>
          <w:noProof/>
          <w:sz w:val="24"/>
        </w:rPr>
      </w:pPr>
      <w:r>
        <w:rPr>
          <w:rFonts w:ascii="Times New Roman" w:hAnsi="Times New Roman" w:cs="Times New Roman"/>
          <w:noProof/>
          <w:sz w:val="24"/>
        </w:rPr>
        <w:t xml:space="preserve">Article 82(2) </w:t>
      </w:r>
      <w:r>
        <w:rPr>
          <w:rFonts w:ascii="Times New Roman" w:hAnsi="Times New Roman"/>
          <w:noProof/>
          <w:sz w:val="24"/>
        </w:rPr>
        <w:t xml:space="preserve">would cover possible legislation on </w:t>
      </w:r>
      <w:r>
        <w:rPr>
          <w:rFonts w:ascii="Times New Roman" w:hAnsi="Times New Roman"/>
          <w:b/>
          <w:noProof/>
          <w:sz w:val="24"/>
        </w:rPr>
        <w:t>direct access</w:t>
      </w:r>
      <w:r>
        <w:rPr>
          <w:rFonts w:ascii="Times New Roman" w:hAnsi="Times New Roman"/>
          <w:noProof/>
          <w:sz w:val="24"/>
        </w:rPr>
        <w:t xml:space="preserve"> (see option D), which would notably establish minimum safeguards and conditions when it comes to cross-border access to data that will protect the rights of subjects whose data is</w:t>
      </w:r>
      <w:r>
        <w:rPr>
          <w:rFonts w:ascii="Times New Roman" w:hAnsi="Times New Roman"/>
          <w:noProof/>
          <w:sz w:val="24"/>
        </w:rPr>
        <w:t xml:space="preserve"> accessed.</w:t>
      </w:r>
    </w:p>
    <w:p w:rsidR="001B65FF" w:rsidRDefault="003E4EF4">
      <w:pPr>
        <w:pStyle w:val="ListParagraph"/>
        <w:numPr>
          <w:ilvl w:val="0"/>
          <w:numId w:val="172"/>
        </w:numPr>
        <w:jc w:val="both"/>
        <w:rPr>
          <w:rFonts w:ascii="Times New Roman" w:hAnsi="Times New Roman"/>
          <w:noProof/>
          <w:sz w:val="24"/>
        </w:rPr>
      </w:pPr>
      <w:r>
        <w:rPr>
          <w:rFonts w:ascii="Times New Roman" w:hAnsi="Times New Roman"/>
          <w:noProof/>
          <w:sz w:val="24"/>
        </w:rPr>
        <w:t xml:space="preserve">Articles 53 and 62 would provide for the adoption of measures </w:t>
      </w:r>
      <w:r>
        <w:rPr>
          <w:rFonts w:ascii="Times New Roman" w:hAnsi="Times New Roman"/>
          <w:noProof/>
          <w:sz w:val="24"/>
          <w:lang w:val="en"/>
        </w:rPr>
        <w:t xml:space="preserve">for the coordination of the provisions laid down by law, regulation or administrative action in Member States concerning </w:t>
      </w:r>
      <w:r>
        <w:rPr>
          <w:rFonts w:ascii="Times New Roman" w:hAnsi="Times New Roman"/>
          <w:b/>
          <w:noProof/>
          <w:sz w:val="24"/>
          <w:lang w:val="en"/>
        </w:rPr>
        <w:t>establishment and provision of services</w:t>
      </w:r>
      <w:r>
        <w:rPr>
          <w:rFonts w:ascii="Times New Roman" w:hAnsi="Times New Roman"/>
          <w:noProof/>
          <w:sz w:val="24"/>
        </w:rPr>
        <w:t>. Specifically, an obli</w:t>
      </w:r>
      <w:r>
        <w:rPr>
          <w:rFonts w:ascii="Times New Roman" w:hAnsi="Times New Roman"/>
          <w:noProof/>
          <w:sz w:val="24"/>
        </w:rPr>
        <w:t xml:space="preserve">gation to appoint a </w:t>
      </w:r>
      <w:r>
        <w:rPr>
          <w:rFonts w:ascii="Times New Roman" w:hAnsi="Times New Roman"/>
          <w:b/>
          <w:noProof/>
          <w:sz w:val="24"/>
        </w:rPr>
        <w:t>legal representative</w:t>
      </w:r>
      <w:r>
        <w:rPr>
          <w:rFonts w:ascii="Times New Roman" w:hAnsi="Times New Roman"/>
          <w:noProof/>
          <w:sz w:val="24"/>
        </w:rPr>
        <w:t xml:space="preserve"> for the Union would contribute in particular to the elimination of obstacles to the freedom to provide services.</w:t>
      </w:r>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0"/>
        </w:rPr>
      </w:pPr>
      <w:bookmarkStart w:id="256" w:name="_Toc498697375"/>
      <w:bookmarkStart w:id="257" w:name="_Toc498697482"/>
      <w:bookmarkStart w:id="258" w:name="_Toc498700335"/>
      <w:bookmarkStart w:id="259" w:name="_Toc498701920"/>
      <w:bookmarkStart w:id="260" w:name="_Toc481484466"/>
      <w:bookmarkStart w:id="261" w:name="_Toc497927251"/>
      <w:bookmarkStart w:id="262" w:name="_Toc497927864"/>
      <w:bookmarkStart w:id="263" w:name="_Toc497928130"/>
      <w:bookmarkStart w:id="264" w:name="_Toc498509622"/>
      <w:bookmarkStart w:id="265" w:name="_Toc498521211"/>
      <w:bookmarkStart w:id="266" w:name="_Toc498701921"/>
      <w:bookmarkStart w:id="267" w:name="_Toc498704687"/>
      <w:bookmarkStart w:id="268" w:name="_Toc499020443"/>
      <w:bookmarkStart w:id="269" w:name="_Toc499030346"/>
      <w:bookmarkStart w:id="270" w:name="_Toc499044923"/>
      <w:bookmarkStart w:id="271" w:name="_Toc499051304"/>
      <w:bookmarkStart w:id="272" w:name="_Toc499129960"/>
      <w:bookmarkStart w:id="273" w:name="_Toc499133293"/>
      <w:bookmarkStart w:id="274" w:name="_Toc499142809"/>
      <w:bookmarkStart w:id="275" w:name="_Toc499143254"/>
      <w:bookmarkStart w:id="276" w:name="_Toc510952859"/>
      <w:bookmarkEnd w:id="256"/>
      <w:bookmarkEnd w:id="257"/>
      <w:bookmarkEnd w:id="258"/>
      <w:bookmarkEnd w:id="259"/>
      <w:r>
        <w:rPr>
          <w:rFonts w:ascii="Times New Roman" w:eastAsia="Times New Roman" w:hAnsi="Times New Roman" w:cs="Times New Roman"/>
          <w:b/>
          <w:noProof/>
          <w:sz w:val="24"/>
          <w:szCs w:val="20"/>
        </w:rPr>
        <w:t>Subsidiarity: necessity of EU action</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1B65FF" w:rsidRDefault="003E4EF4">
      <w:pPr>
        <w:jc w:val="both"/>
        <w:rPr>
          <w:rFonts w:ascii="Times New Roman" w:hAnsi="Times New Roman" w:cs="Times New Roman"/>
          <w:noProof/>
          <w:sz w:val="24"/>
        </w:rPr>
      </w:pPr>
      <w:r>
        <w:rPr>
          <w:rFonts w:ascii="Times New Roman" w:hAnsi="Times New Roman" w:cs="Times New Roman"/>
          <w:noProof/>
          <w:sz w:val="24"/>
        </w:rPr>
        <w:t>A satisfactory improvement of cross-border access to electronic e</w:t>
      </w:r>
      <w:r>
        <w:rPr>
          <w:rFonts w:ascii="Times New Roman" w:hAnsi="Times New Roman" w:cs="Times New Roman"/>
          <w:noProof/>
          <w:sz w:val="24"/>
        </w:rPr>
        <w:t>vidence in criminal investigations cannot be sufficiently achieved by Member States acting alone or in an uncoordinated way. In the absence of EU action, Member States would have to update their national laws to respond to current and emerging challenges w</w:t>
      </w:r>
      <w:r>
        <w:rPr>
          <w:rFonts w:ascii="Times New Roman" w:hAnsi="Times New Roman" w:cs="Times New Roman"/>
          <w:noProof/>
          <w:sz w:val="24"/>
        </w:rPr>
        <w:t>ith the likely consequence of further fragmentation and/or conflicts of law, which would likely hamper cross-border cooperation in criminal investigations and prosecutions. Such individual action would also fail to provide a unified system for direct coope</w:t>
      </w:r>
      <w:r>
        <w:rPr>
          <w:rFonts w:ascii="Times New Roman" w:hAnsi="Times New Roman" w:cs="Times New Roman"/>
          <w:noProof/>
          <w:sz w:val="24"/>
        </w:rPr>
        <w:t>ration with service providers, leaving them to deal with more than 20 different legal systems instead of one harmonised approach.</w:t>
      </w:r>
    </w:p>
    <w:p w:rsidR="001B65FF" w:rsidRDefault="003E4EF4">
      <w:pPr>
        <w:jc w:val="both"/>
        <w:rPr>
          <w:rFonts w:ascii="Times New Roman" w:hAnsi="Times New Roman" w:cs="Times New Roman"/>
          <w:noProof/>
          <w:sz w:val="24"/>
        </w:rPr>
      </w:pPr>
      <w:r>
        <w:rPr>
          <w:rFonts w:ascii="Times New Roman" w:hAnsi="Times New Roman" w:cs="Times New Roman"/>
          <w:noProof/>
          <w:sz w:val="24"/>
        </w:rPr>
        <w:t>Both the Member States and the European Parliament have recognised that these challenges require action beyond the national le</w:t>
      </w:r>
      <w:r>
        <w:rPr>
          <w:rFonts w:ascii="Times New Roman" w:hAnsi="Times New Roman" w:cs="Times New Roman"/>
          <w:noProof/>
          <w:sz w:val="24"/>
        </w:rPr>
        <w:t>vel. The June 2016 Council Conclusions gave a strong mandate to the Commission, and the October 2017 European Parliament Resolution also called for the Commission to put forward legislative proposals. This makes sense in view of the negative consequences o</w:t>
      </w:r>
      <w:r>
        <w:rPr>
          <w:rFonts w:ascii="Times New Roman" w:hAnsi="Times New Roman" w:cs="Times New Roman"/>
          <w:noProof/>
          <w:sz w:val="24"/>
        </w:rPr>
        <w:t>f unilateral actions by Member States: if each Member State were to continue or start its own individual approach, then this would further increase the diversity of approaches and lead to possible conflicts related to the different conditions and safeguard</w:t>
      </w:r>
      <w:r>
        <w:rPr>
          <w:rFonts w:ascii="Times New Roman" w:hAnsi="Times New Roman" w:cs="Times New Roman"/>
          <w:noProof/>
          <w:sz w:val="24"/>
        </w:rPr>
        <w:t xml:space="preserve">s for access.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For the access to e-evidence through online databases such as WHOIS, Member States have recently highlighted its importance in November 2017 Council Conclusions, where they cited "the importance of ensuring a coordinated EU position to effic</w:t>
      </w:r>
      <w:r>
        <w:rPr>
          <w:rFonts w:ascii="Times New Roman" w:hAnsi="Times New Roman" w:cs="Times New Roman"/>
          <w:noProof/>
          <w:sz w:val="24"/>
        </w:rPr>
        <w:t>iently shape the European and global internet governance decisions within the multi-stakeholder community, such as ensuring swiftly accessible and accurate WHOIS databases of IP-addresses and domain names, so that law enforcement capabilities and public in</w:t>
      </w:r>
      <w:r>
        <w:rPr>
          <w:rFonts w:ascii="Times New Roman" w:hAnsi="Times New Roman" w:cs="Times New Roman"/>
          <w:noProof/>
          <w:sz w:val="24"/>
        </w:rPr>
        <w:t>terests are safeguarded"</w:t>
      </w:r>
      <w:r>
        <w:rPr>
          <w:rFonts w:ascii="Times New Roman" w:hAnsi="Times New Roman"/>
          <w:noProof/>
          <w:sz w:val="24"/>
          <w:vertAlign w:val="superscript"/>
        </w:rPr>
        <w:footnoteReference w:id="67"/>
      </w:r>
      <w:r>
        <w:rPr>
          <w:rFonts w:ascii="Times New Roman" w:hAnsi="Times New Roman" w:cs="Times New Roman"/>
          <w:noProof/>
          <w:sz w:val="24"/>
        </w:rPr>
        <w:t>. Given that the cross-border aspect cannot be sufficiently addressed by unilateral measures, access to the WHOIS database requires EU action because it also concerns cross-border access to non-public data. Such access creates inte</w:t>
      </w:r>
      <w:r>
        <w:rPr>
          <w:rFonts w:ascii="Times New Roman" w:hAnsi="Times New Roman" w:cs="Times New Roman"/>
          <w:noProof/>
          <w:sz w:val="24"/>
        </w:rPr>
        <w:t>rnational legal issues that are difficult to deal with by national legislation, which can by its nature only address national issues. Therefore the EU is well-placed to provide a harmonised solution, even if the ideal solution for any such problem would be</w:t>
      </w:r>
      <w:r>
        <w:rPr>
          <w:rFonts w:ascii="Times New Roman" w:hAnsi="Times New Roman" w:cs="Times New Roman"/>
          <w:noProof/>
          <w:sz w:val="24"/>
        </w:rPr>
        <w:t xml:space="preserve"> at the global level, which is currently unrealistic to achieve and will likely remain so for a while.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EU action is needed on direct access because the systems adapted by various Member States are not coherent and risk creating conflict among Member State</w:t>
      </w:r>
      <w:r>
        <w:rPr>
          <w:rFonts w:ascii="Times New Roman" w:hAnsi="Times New Roman" w:cs="Times New Roman"/>
          <w:noProof/>
          <w:sz w:val="24"/>
        </w:rPr>
        <w:t xml:space="preserve">s: while some impose few limitations on access to data stored abroad, others demand that law enforcement be able to prove that the data is stored in country out of respect for other countries' sovereignty. This impasse cannot easily be bridged at national </w:t>
      </w:r>
      <w:r>
        <w:rPr>
          <w:rFonts w:ascii="Times New Roman" w:hAnsi="Times New Roman" w:cs="Times New Roman"/>
          <w:noProof/>
          <w:sz w:val="24"/>
        </w:rPr>
        <w:t xml:space="preserve">level but only through coordinated action to define the conditions under which access may be granted. </w:t>
      </w:r>
    </w:p>
    <w:p w:rsidR="001B65FF" w:rsidRDefault="003E4EF4">
      <w:pPr>
        <w:jc w:val="both"/>
        <w:rPr>
          <w:rFonts w:ascii="Times New Roman" w:hAnsi="Times New Roman" w:cs="Times New Roman"/>
          <w:noProof/>
          <w:sz w:val="28"/>
        </w:rPr>
      </w:pPr>
      <w:r>
        <w:rPr>
          <w:rFonts w:ascii="Times New Roman" w:hAnsi="Times New Roman" w:cs="Times New Roman"/>
          <w:noProof/>
          <w:sz w:val="24"/>
        </w:rPr>
        <w:t xml:space="preserve">As described in section 2.3., the current challenges to access e-evidence across borders are likely to keep increasing due to the exponential growth of </w:t>
      </w:r>
      <w:r>
        <w:rPr>
          <w:rFonts w:ascii="Times New Roman" w:hAnsi="Times New Roman" w:cs="Times New Roman"/>
          <w:noProof/>
          <w:sz w:val="24"/>
        </w:rPr>
        <w:t>electronic data, the increasing need to access e-evidence across borders and changing systems for accessing data that would require updates to legislation, as the world becomes more and more interconnected online. EU action to address these increasing chal</w:t>
      </w:r>
      <w:r>
        <w:rPr>
          <w:rFonts w:ascii="Times New Roman" w:hAnsi="Times New Roman" w:cs="Times New Roman"/>
          <w:noProof/>
          <w:sz w:val="24"/>
        </w:rPr>
        <w:t>lenges is not only necessary but also keenly expected by stakeholders, as repeatedly conveyed during the consultations, and at political level.</w:t>
      </w:r>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0"/>
        </w:rPr>
      </w:pPr>
      <w:bookmarkStart w:id="277" w:name="_Toc481484467"/>
      <w:bookmarkStart w:id="278" w:name="_Toc497927252"/>
      <w:bookmarkStart w:id="279" w:name="_Toc497927865"/>
      <w:bookmarkStart w:id="280" w:name="_Toc497928131"/>
      <w:bookmarkStart w:id="281" w:name="_Toc498509623"/>
      <w:bookmarkStart w:id="282" w:name="_Toc498521212"/>
      <w:bookmarkStart w:id="283" w:name="_Toc498701922"/>
      <w:bookmarkStart w:id="284" w:name="_Toc498704688"/>
      <w:bookmarkStart w:id="285" w:name="_Toc499020444"/>
      <w:bookmarkStart w:id="286" w:name="_Toc499030347"/>
      <w:bookmarkStart w:id="287" w:name="_Toc499044924"/>
      <w:bookmarkStart w:id="288" w:name="_Toc499051305"/>
      <w:bookmarkStart w:id="289" w:name="_Toc499129961"/>
      <w:bookmarkStart w:id="290" w:name="_Toc499133294"/>
      <w:bookmarkStart w:id="291" w:name="_Toc499142810"/>
      <w:bookmarkStart w:id="292" w:name="_Toc499143255"/>
      <w:bookmarkStart w:id="293" w:name="_Toc510952860"/>
      <w:r>
        <w:rPr>
          <w:rFonts w:ascii="Times New Roman" w:eastAsia="Times New Roman" w:hAnsi="Times New Roman" w:cs="Times New Roman"/>
          <w:b/>
          <w:noProof/>
          <w:sz w:val="24"/>
          <w:szCs w:val="20"/>
        </w:rPr>
        <w:t>Subsidiarity: added value of EU action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1B65FF" w:rsidRDefault="003E4EF4">
      <w:pPr>
        <w:jc w:val="both"/>
        <w:rPr>
          <w:rFonts w:ascii="Times New Roman" w:hAnsi="Times New Roman" w:cs="Times New Roman"/>
          <w:noProof/>
          <w:sz w:val="24"/>
        </w:rPr>
      </w:pPr>
      <w:r>
        <w:rPr>
          <w:rFonts w:ascii="Times New Roman" w:hAnsi="Times New Roman" w:cs="Times New Roman"/>
          <w:noProof/>
          <w:sz w:val="24"/>
        </w:rPr>
        <w:t>Given the cross-border nature of the problem, the diversity of legal appr</w:t>
      </w:r>
      <w:r>
        <w:rPr>
          <w:rFonts w:ascii="Times New Roman" w:hAnsi="Times New Roman" w:cs="Times New Roman"/>
          <w:noProof/>
          <w:sz w:val="24"/>
        </w:rPr>
        <w:t>oaches, the number of policy areas concerned by the matter (security, criminal law, fundamental rights including data protection, economic issues) and the large range of stakeholders, the EU seems the most appropriate level to address the identified proble</w:t>
      </w:r>
      <w:r>
        <w:rPr>
          <w:rFonts w:ascii="Times New Roman" w:hAnsi="Times New Roman" w:cs="Times New Roman"/>
          <w:noProof/>
          <w:sz w:val="24"/>
        </w:rPr>
        <w:t>ms. As previously described, the crimes in which electronic evidence exists frequently involve situations where the victim, the perpetrator, the infrastructure in which the e-evidence is stored and the service provider running the infrastructure are all un</w:t>
      </w:r>
      <w:r>
        <w:rPr>
          <w:rFonts w:ascii="Times New Roman" w:hAnsi="Times New Roman" w:cs="Times New Roman"/>
          <w:noProof/>
          <w:sz w:val="24"/>
        </w:rPr>
        <w:t>der different national legal frameworks, within the EU and beyond. As a result, it can be very time consuming and challenging for single countries to effectively access e-evidence across borders without common minimum rules.</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rPr>
        <w:t xml:space="preserve">The creation of EU cooperation </w:t>
      </w:r>
      <w:r>
        <w:rPr>
          <w:rFonts w:ascii="Times New Roman" w:hAnsi="Times New Roman" w:cs="Times New Roman"/>
          <w:noProof/>
          <w:sz w:val="24"/>
        </w:rPr>
        <w:t xml:space="preserve">mechanisms in criminal matters also reflects the value of action at EU level in this area. These mechanisms include legislation, such as the EIO Directive and institutions such as Eurojust. </w:t>
      </w:r>
      <w:r>
        <w:rPr>
          <w:rFonts w:ascii="Times New Roman" w:hAnsi="Times New Roman" w:cs="Times New Roman"/>
          <w:noProof/>
          <w:sz w:val="24"/>
          <w:szCs w:val="24"/>
        </w:rPr>
        <w:t>The added value of these initiatives in helping Member States acce</w:t>
      </w:r>
      <w:r>
        <w:rPr>
          <w:rFonts w:ascii="Times New Roman" w:hAnsi="Times New Roman" w:cs="Times New Roman"/>
          <w:noProof/>
          <w:sz w:val="24"/>
          <w:szCs w:val="24"/>
        </w:rPr>
        <w:t xml:space="preserve">ss e-evidence across borders was acknowledged multiple times during the stakeholder consultations. </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szCs w:val="24"/>
        </w:rPr>
        <w:t>Another important added value of EU action is to facilitate cooperation with non-EU countries, in particular with the US, given that the need to access e-ev</w:t>
      </w:r>
      <w:r>
        <w:rPr>
          <w:rFonts w:ascii="Times New Roman" w:hAnsi="Times New Roman" w:cs="Times New Roman"/>
          <w:noProof/>
          <w:sz w:val="24"/>
          <w:szCs w:val="24"/>
        </w:rPr>
        <w:t>idence internationally frequently goes beyond EU borders. This cooperation can also be better achieved at EU level than through bilateral agreements of individual Member States.</w:t>
      </w:r>
    </w:p>
    <w:p w:rsidR="001B65FF" w:rsidRDefault="003E4EF4">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objectives of the initiative </w:t>
      </w:r>
      <w:r>
        <w:rPr>
          <w:rFonts w:ascii="Times New Roman" w:hAnsi="Times New Roman" w:cs="Times New Roman"/>
          <w:noProof/>
          <w:sz w:val="24"/>
        </w:rPr>
        <w:t>can</w:t>
      </w:r>
      <w:r>
        <w:rPr>
          <w:rFonts w:ascii="Times New Roman" w:hAnsi="Times New Roman" w:cs="Times New Roman"/>
          <w:noProof/>
          <w:sz w:val="24"/>
          <w:szCs w:val="24"/>
        </w:rPr>
        <w:t xml:space="preserve"> also be tackled at international level th</w:t>
      </w:r>
      <w:r>
        <w:rPr>
          <w:rFonts w:ascii="Times New Roman" w:hAnsi="Times New Roman" w:cs="Times New Roman"/>
          <w:noProof/>
          <w:sz w:val="24"/>
          <w:szCs w:val="24"/>
        </w:rPr>
        <w:t>rough instruments such as the Budapest Convention, where negotiations on a second additional protocol addressing e-evidence issues are taking place at the moment. A new set of rules at international level would be an essential but not sufficient element in</w:t>
      </w:r>
      <w:r>
        <w:rPr>
          <w:rFonts w:ascii="Times New Roman" w:hAnsi="Times New Roman" w:cs="Times New Roman"/>
          <w:noProof/>
          <w:sz w:val="24"/>
          <w:szCs w:val="24"/>
        </w:rPr>
        <w:t xml:space="preserve"> addressing the issues identified; it would not in itself address the problems identified as effectively as it might in combination with an EU instrument. This is due to expectation that the protocol, first, will not be as far-reaching as it is not based o</w:t>
      </w:r>
      <w:r>
        <w:rPr>
          <w:rFonts w:ascii="Times New Roman" w:hAnsi="Times New Roman" w:cs="Times New Roman"/>
          <w:noProof/>
          <w:sz w:val="24"/>
          <w:szCs w:val="24"/>
        </w:rPr>
        <w:t>n the same level of mutual trust among the more diverse 50+ parties to the Convention and, secondly, will lack the enforcement mechanisms that EU law has, as it is an international Convention. EU action is therefore necessary.</w:t>
      </w:r>
    </w:p>
    <w:p w:rsidR="001B65FF" w:rsidRDefault="001B65FF">
      <w:pPr>
        <w:spacing w:after="0"/>
        <w:jc w:val="both"/>
        <w:rPr>
          <w:rFonts w:ascii="Times New Roman" w:hAnsi="Times New Roman" w:cs="Times New Roman"/>
          <w:noProof/>
          <w:sz w:val="24"/>
        </w:rPr>
      </w:pPr>
    </w:p>
    <w:p w:rsidR="001B65FF" w:rsidRDefault="003E4EF4">
      <w:pPr>
        <w:keepNext/>
        <w:numPr>
          <w:ilvl w:val="0"/>
          <w:numId w:val="3"/>
        </w:numPr>
        <w:spacing w:after="240" w:line="240" w:lineRule="auto"/>
        <w:jc w:val="both"/>
        <w:outlineLvl w:val="0"/>
        <w:rPr>
          <w:rFonts w:ascii="Times New Roman" w:eastAsia="Times New Roman" w:hAnsi="Times New Roman" w:cs="Times New Roman"/>
          <w:b/>
          <w:smallCaps/>
          <w:noProof/>
          <w:sz w:val="24"/>
          <w:szCs w:val="20"/>
        </w:rPr>
      </w:pPr>
      <w:bookmarkStart w:id="294" w:name="_Toc481484468"/>
      <w:bookmarkStart w:id="295" w:name="_Toc497927253"/>
      <w:bookmarkStart w:id="296" w:name="_Toc497927866"/>
      <w:bookmarkStart w:id="297" w:name="_Toc497928132"/>
      <w:bookmarkStart w:id="298" w:name="_Toc498509624"/>
      <w:bookmarkStart w:id="299" w:name="_Toc498521213"/>
      <w:bookmarkStart w:id="300" w:name="_Toc498701923"/>
      <w:bookmarkStart w:id="301" w:name="_Toc498704689"/>
      <w:bookmarkStart w:id="302" w:name="_Toc499020445"/>
      <w:bookmarkStart w:id="303" w:name="_Toc499030348"/>
      <w:bookmarkStart w:id="304" w:name="_Toc499044925"/>
      <w:bookmarkStart w:id="305" w:name="_Toc499051306"/>
      <w:bookmarkStart w:id="306" w:name="_Toc499133295"/>
      <w:bookmarkStart w:id="307" w:name="_Toc499142811"/>
      <w:bookmarkStart w:id="308" w:name="_Toc510952861"/>
      <w:r>
        <w:rPr>
          <w:rFonts w:ascii="Times New Roman" w:eastAsia="Times New Roman" w:hAnsi="Times New Roman" w:cs="Times New Roman"/>
          <w:b/>
          <w:smallCaps/>
          <w:noProof/>
          <w:sz w:val="24"/>
          <w:szCs w:val="20"/>
        </w:rPr>
        <w:t xml:space="preserve">Objectives: What is to be </w:t>
      </w:r>
      <w:r>
        <w:rPr>
          <w:rFonts w:ascii="Times New Roman" w:eastAsia="Times New Roman" w:hAnsi="Times New Roman" w:cs="Times New Roman"/>
          <w:b/>
          <w:smallCaps/>
          <w:noProof/>
          <w:sz w:val="24"/>
          <w:szCs w:val="20"/>
        </w:rPr>
        <w:t>achieved?</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0"/>
        </w:rPr>
      </w:pPr>
      <w:bookmarkStart w:id="309" w:name="_Toc481484469"/>
      <w:bookmarkStart w:id="310" w:name="_Toc497927254"/>
      <w:bookmarkStart w:id="311" w:name="_Toc497927867"/>
      <w:bookmarkStart w:id="312" w:name="_Toc497928133"/>
      <w:bookmarkStart w:id="313" w:name="_Toc498509625"/>
      <w:bookmarkStart w:id="314" w:name="_Toc498521214"/>
      <w:bookmarkStart w:id="315" w:name="_Toc498701924"/>
      <w:bookmarkStart w:id="316" w:name="_Toc498704690"/>
      <w:bookmarkStart w:id="317" w:name="_Toc499020447"/>
      <w:bookmarkStart w:id="318" w:name="_Toc499030350"/>
      <w:bookmarkStart w:id="319" w:name="_Toc499044926"/>
      <w:bookmarkStart w:id="320" w:name="_Toc499051308"/>
      <w:bookmarkStart w:id="321" w:name="_Toc499133296"/>
      <w:bookmarkStart w:id="322" w:name="_Toc499142813"/>
      <w:bookmarkStart w:id="323" w:name="_Toc499143258"/>
      <w:bookmarkStart w:id="324" w:name="_Toc510952862"/>
      <w:r>
        <w:rPr>
          <w:rFonts w:ascii="Times New Roman" w:eastAsia="Times New Roman" w:hAnsi="Times New Roman" w:cs="Times New Roman"/>
          <w:b/>
          <w:noProof/>
          <w:sz w:val="24"/>
          <w:szCs w:val="20"/>
        </w:rPr>
        <w:t>General objective</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1B65FF" w:rsidRDefault="003E4EF4">
      <w:pPr>
        <w:jc w:val="both"/>
        <w:rPr>
          <w:rFonts w:ascii="Times New Roman" w:hAnsi="Times New Roman" w:cs="Times New Roman"/>
          <w:noProof/>
          <w:sz w:val="24"/>
        </w:rPr>
      </w:pPr>
      <w:r>
        <w:rPr>
          <w:rFonts w:ascii="Times New Roman" w:hAnsi="Times New Roman" w:cs="Times New Roman"/>
          <w:noProof/>
          <w:sz w:val="24"/>
        </w:rPr>
        <w:t>The general objective is to ensure effective investigation and prosecution of crimes in the EU by improving cross-border access to electronic evidence through enhanced judicial cooperation in criminal matters and an approximatio</w:t>
      </w:r>
      <w:r>
        <w:rPr>
          <w:rFonts w:ascii="Times New Roman" w:hAnsi="Times New Roman" w:cs="Times New Roman"/>
          <w:noProof/>
          <w:sz w:val="24"/>
        </w:rPr>
        <w:t xml:space="preserve">n of rules and procedures.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This general objective is in line with the legal basis contained in Article 82(1) TFEU on judicial cooperation in criminal matters, and in Article 82(2) TFEU, which empowers the EU to establish minimum rules concerning mutual ad</w:t>
      </w:r>
      <w:r>
        <w:rPr>
          <w:rFonts w:ascii="Times New Roman" w:hAnsi="Times New Roman" w:cs="Times New Roman"/>
          <w:noProof/>
          <w:sz w:val="24"/>
        </w:rPr>
        <w:t>missibility of evidence and the rights of individuals in criminal proceedings to the extent necessary to facilitate mutual recognition of judgements and judicial decisions and police and judicial cooperation in criminal matters having a cross-border dimens</w:t>
      </w:r>
      <w:r>
        <w:rPr>
          <w:rFonts w:ascii="Times New Roman" w:hAnsi="Times New Roman" w:cs="Times New Roman"/>
          <w:noProof/>
          <w:sz w:val="24"/>
        </w:rPr>
        <w: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general objective addresses the general problem of some crimes not being able to be effectively investigated and prosecuted in the EU because of challenges in cross-border access to electronic evidence.</w:t>
      </w:r>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0"/>
        </w:rPr>
      </w:pPr>
      <w:bookmarkStart w:id="325" w:name="_Toc481484470"/>
      <w:bookmarkStart w:id="326" w:name="_Toc497927255"/>
      <w:bookmarkStart w:id="327" w:name="_Toc497927868"/>
      <w:bookmarkStart w:id="328" w:name="_Toc497928134"/>
      <w:bookmarkStart w:id="329" w:name="_Toc498509626"/>
      <w:bookmarkStart w:id="330" w:name="_Toc498521215"/>
      <w:bookmarkStart w:id="331" w:name="_Toc498701925"/>
      <w:bookmarkStart w:id="332" w:name="_Toc498704691"/>
      <w:bookmarkStart w:id="333" w:name="_Toc499020448"/>
      <w:bookmarkStart w:id="334" w:name="_Toc499030351"/>
      <w:bookmarkStart w:id="335" w:name="_Toc499044927"/>
      <w:bookmarkStart w:id="336" w:name="_Toc499051309"/>
      <w:bookmarkStart w:id="337" w:name="_Toc499133297"/>
      <w:bookmarkStart w:id="338" w:name="_Toc499142814"/>
      <w:bookmarkStart w:id="339" w:name="_Toc499143259"/>
      <w:bookmarkStart w:id="340" w:name="_Toc510952863"/>
      <w:r>
        <w:rPr>
          <w:rFonts w:ascii="Times New Roman" w:eastAsia="Times New Roman" w:hAnsi="Times New Roman" w:cs="Times New Roman"/>
          <w:b/>
          <w:noProof/>
          <w:sz w:val="24"/>
          <w:szCs w:val="20"/>
        </w:rPr>
        <w:t>Specific objectives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1B65FF" w:rsidRDefault="003E4EF4">
      <w:pPr>
        <w:jc w:val="both"/>
        <w:rPr>
          <w:rFonts w:ascii="Times New Roman" w:hAnsi="Times New Roman" w:cs="Times New Roman"/>
          <w:noProof/>
          <w:sz w:val="24"/>
          <w:szCs w:val="20"/>
        </w:rPr>
      </w:pPr>
      <w:r>
        <w:rPr>
          <w:rFonts w:ascii="Times New Roman" w:hAnsi="Times New Roman" w:cs="Times New Roman"/>
          <w:noProof/>
          <w:sz w:val="24"/>
        </w:rPr>
        <w:t>There are 3 specific obj</w:t>
      </w:r>
      <w:r>
        <w:rPr>
          <w:rFonts w:ascii="Times New Roman" w:hAnsi="Times New Roman" w:cs="Times New Roman"/>
          <w:noProof/>
          <w:sz w:val="24"/>
        </w:rPr>
        <w:t>ectives that</w:t>
      </w:r>
      <w:r>
        <w:rPr>
          <w:rFonts w:ascii="Times New Roman" w:hAnsi="Times New Roman" w:cs="Times New Roman"/>
          <w:noProof/>
          <w:sz w:val="24"/>
          <w:szCs w:val="20"/>
        </w:rPr>
        <w:t xml:space="preserve"> address the problem drivers identified in section 2.2.:</w:t>
      </w:r>
    </w:p>
    <w:p w:rsidR="001B65FF" w:rsidRDefault="001B65FF">
      <w:pPr>
        <w:spacing w:after="120"/>
        <w:jc w:val="center"/>
        <w:rPr>
          <w:rFonts w:ascii="Times New Roman" w:hAnsi="Times New Roman" w:cs="Times New Roman"/>
          <w:i/>
          <w:noProof/>
          <w:sz w:val="24"/>
          <w:lang w:eastAsia="en-GB"/>
        </w:rPr>
      </w:pPr>
    </w:p>
    <w:p w:rsidR="001B65FF" w:rsidRDefault="001B65FF">
      <w:pPr>
        <w:spacing w:after="120"/>
        <w:jc w:val="center"/>
        <w:rPr>
          <w:rFonts w:ascii="Times New Roman" w:hAnsi="Times New Roman" w:cs="Times New Roman"/>
          <w:i/>
          <w:noProof/>
          <w:sz w:val="24"/>
          <w:lang w:eastAsia="en-GB"/>
        </w:rPr>
      </w:pPr>
    </w:p>
    <w:p w:rsidR="001B65FF" w:rsidRDefault="001B65FF">
      <w:pPr>
        <w:spacing w:after="120"/>
        <w:jc w:val="center"/>
        <w:rPr>
          <w:rFonts w:ascii="Times New Roman" w:hAnsi="Times New Roman" w:cs="Times New Roman"/>
          <w:i/>
          <w:noProof/>
          <w:sz w:val="24"/>
          <w:lang w:eastAsia="en-GB"/>
        </w:rPr>
      </w:pPr>
    </w:p>
    <w:p w:rsidR="001B65FF" w:rsidRDefault="001B65FF">
      <w:pPr>
        <w:spacing w:after="120"/>
        <w:jc w:val="center"/>
        <w:rPr>
          <w:rFonts w:ascii="Times New Roman" w:hAnsi="Times New Roman" w:cs="Times New Roman"/>
          <w:i/>
          <w:noProof/>
          <w:sz w:val="24"/>
          <w:lang w:eastAsia="en-GB"/>
        </w:rPr>
      </w:pPr>
    </w:p>
    <w:p w:rsidR="001B65FF" w:rsidRDefault="001B65FF">
      <w:pPr>
        <w:spacing w:after="120"/>
        <w:jc w:val="center"/>
        <w:rPr>
          <w:rFonts w:ascii="Times New Roman" w:hAnsi="Times New Roman" w:cs="Times New Roman"/>
          <w:i/>
          <w:noProof/>
          <w:sz w:val="24"/>
          <w:lang w:eastAsia="en-GB"/>
        </w:rPr>
      </w:pPr>
    </w:p>
    <w:p w:rsidR="001B65FF" w:rsidRDefault="001B65FF">
      <w:pPr>
        <w:spacing w:after="120"/>
        <w:jc w:val="center"/>
        <w:rPr>
          <w:rFonts w:ascii="Times New Roman" w:hAnsi="Times New Roman" w:cs="Times New Roman"/>
          <w:i/>
          <w:noProof/>
          <w:sz w:val="24"/>
          <w:lang w:eastAsia="en-GB"/>
        </w:rPr>
      </w:pPr>
    </w:p>
    <w:p w:rsidR="001B65FF" w:rsidRDefault="001B65FF">
      <w:pPr>
        <w:spacing w:after="120"/>
        <w:jc w:val="center"/>
        <w:rPr>
          <w:rFonts w:ascii="Times New Roman" w:hAnsi="Times New Roman" w:cs="Times New Roman"/>
          <w:i/>
          <w:noProof/>
          <w:sz w:val="24"/>
          <w:lang w:eastAsia="en-GB"/>
        </w:rPr>
      </w:pPr>
    </w:p>
    <w:p w:rsidR="001B65FF" w:rsidRDefault="001B65FF">
      <w:pPr>
        <w:spacing w:after="120"/>
        <w:jc w:val="center"/>
        <w:rPr>
          <w:rFonts w:ascii="Times New Roman" w:hAnsi="Times New Roman" w:cs="Times New Roman"/>
          <w:i/>
          <w:noProof/>
          <w:sz w:val="24"/>
          <w:lang w:eastAsia="en-GB"/>
        </w:rPr>
      </w:pPr>
    </w:p>
    <w:p w:rsidR="001B65FF" w:rsidRDefault="001B65FF">
      <w:pPr>
        <w:spacing w:after="120"/>
        <w:jc w:val="center"/>
        <w:rPr>
          <w:rFonts w:ascii="Times New Roman" w:hAnsi="Times New Roman" w:cs="Times New Roman"/>
          <w:i/>
          <w:noProof/>
          <w:sz w:val="24"/>
          <w:lang w:eastAsia="en-GB"/>
        </w:rPr>
      </w:pPr>
    </w:p>
    <w:p w:rsidR="001B65FF" w:rsidRDefault="003E4EF4">
      <w:pPr>
        <w:spacing w:after="120"/>
        <w:jc w:val="center"/>
        <w:rPr>
          <w:rFonts w:ascii="Times New Roman" w:hAnsi="Times New Roman" w:cs="Times New Roman"/>
          <w:i/>
          <w:noProof/>
          <w:sz w:val="24"/>
          <w:lang w:eastAsia="en-GB"/>
        </w:rPr>
      </w:pPr>
      <w:r>
        <w:rPr>
          <w:rFonts w:ascii="Times New Roman" w:hAnsi="Times New Roman" w:cs="Times New Roman"/>
          <w:i/>
          <w:noProof/>
          <w:sz w:val="24"/>
          <w:lang w:eastAsia="en-GB"/>
        </w:rPr>
        <w:t>Table 5: problem drivers, specific objectives and general objective</w:t>
      </w:r>
    </w:p>
    <w:tbl>
      <w:tblPr>
        <w:tblStyle w:val="TableEY1"/>
        <w:tblW w:w="9214" w:type="dxa"/>
        <w:tblInd w:w="108" w:type="dxa"/>
        <w:tblLayout w:type="fixed"/>
        <w:tblLook w:val="04A0" w:firstRow="1" w:lastRow="0" w:firstColumn="1" w:lastColumn="0" w:noHBand="0" w:noVBand="1"/>
      </w:tblPr>
      <w:tblGrid>
        <w:gridCol w:w="3828"/>
        <w:gridCol w:w="2742"/>
        <w:gridCol w:w="2644"/>
      </w:tblGrid>
      <w:tr w:rsidR="001B65FF">
        <w:trPr>
          <w:trHeight w:val="565"/>
        </w:trPr>
        <w:tc>
          <w:tcPr>
            <w:tcW w:w="3828" w:type="dxa"/>
            <w:vAlign w:val="center"/>
          </w:tcPr>
          <w:p w:rsidR="001B65FF" w:rsidRDefault="003E4EF4">
            <w:pPr>
              <w:jc w:val="center"/>
              <w:rPr>
                <w:rFonts w:ascii="Times New Roman" w:hAnsi="Times New Roman" w:cs="Times New Roman"/>
                <w:b/>
                <w:noProof/>
                <w:sz w:val="24"/>
                <w:lang w:eastAsia="en-GB"/>
              </w:rPr>
            </w:pPr>
            <w:r>
              <w:rPr>
                <w:rFonts w:ascii="Times New Roman" w:hAnsi="Times New Roman" w:cs="Times New Roman"/>
                <w:b/>
                <w:noProof/>
                <w:sz w:val="24"/>
                <w:lang w:eastAsia="en-GB"/>
              </w:rPr>
              <w:t>Problem drivers</w:t>
            </w:r>
          </w:p>
        </w:tc>
        <w:tc>
          <w:tcPr>
            <w:tcW w:w="2742" w:type="dxa"/>
            <w:vAlign w:val="center"/>
          </w:tcPr>
          <w:p w:rsidR="001B65FF" w:rsidRDefault="003E4EF4">
            <w:pPr>
              <w:jc w:val="center"/>
              <w:rPr>
                <w:rFonts w:ascii="Times New Roman" w:hAnsi="Times New Roman" w:cs="Times New Roman"/>
                <w:b/>
                <w:noProof/>
                <w:sz w:val="24"/>
                <w:lang w:eastAsia="en-GB"/>
              </w:rPr>
            </w:pPr>
            <w:r>
              <w:rPr>
                <w:rFonts w:ascii="Times New Roman" w:hAnsi="Times New Roman" w:cs="Times New Roman"/>
                <w:b/>
                <w:noProof/>
                <w:sz w:val="24"/>
                <w:lang w:eastAsia="en-GB"/>
              </w:rPr>
              <w:t>Specific objectives</w:t>
            </w:r>
          </w:p>
        </w:tc>
        <w:tc>
          <w:tcPr>
            <w:tcW w:w="2644" w:type="dxa"/>
            <w:vAlign w:val="center"/>
          </w:tcPr>
          <w:p w:rsidR="001B65FF" w:rsidRDefault="003E4EF4">
            <w:pPr>
              <w:jc w:val="center"/>
              <w:rPr>
                <w:rFonts w:ascii="Times New Roman" w:hAnsi="Times New Roman" w:cs="Times New Roman"/>
                <w:b/>
                <w:noProof/>
                <w:sz w:val="24"/>
                <w:lang w:eastAsia="en-GB"/>
              </w:rPr>
            </w:pPr>
            <w:r>
              <w:rPr>
                <w:rFonts w:ascii="Times New Roman" w:hAnsi="Times New Roman" w:cs="Times New Roman"/>
                <w:b/>
                <w:noProof/>
                <w:sz w:val="24"/>
                <w:lang w:eastAsia="en-GB"/>
              </w:rPr>
              <w:t>General objective</w:t>
            </w:r>
          </w:p>
        </w:tc>
      </w:tr>
      <w:tr w:rsidR="001B65FF">
        <w:tc>
          <w:tcPr>
            <w:tcW w:w="3828" w:type="dxa"/>
          </w:tcPr>
          <w:p w:rsidR="001B65FF" w:rsidRDefault="003E4EF4">
            <w:pPr>
              <w:pStyle w:val="ListParagraph"/>
              <w:numPr>
                <w:ilvl w:val="0"/>
                <w:numId w:val="178"/>
              </w:numPr>
              <w:rPr>
                <w:rFonts w:ascii="Times New Roman" w:hAnsi="Times New Roman" w:cs="Times New Roman"/>
                <w:noProof/>
                <w:sz w:val="24"/>
              </w:rPr>
            </w:pPr>
            <w:r>
              <w:rPr>
                <w:rFonts w:ascii="Times New Roman" w:hAnsi="Times New Roman" w:cs="Times New Roman"/>
                <w:noProof/>
                <w:sz w:val="24"/>
              </w:rPr>
              <w:t xml:space="preserve">It takes </w:t>
            </w:r>
            <w:r>
              <w:rPr>
                <w:rFonts w:ascii="Times New Roman" w:hAnsi="Times New Roman" w:cs="Times New Roman"/>
                <w:b/>
                <w:noProof/>
                <w:sz w:val="24"/>
              </w:rPr>
              <w:t>too long</w:t>
            </w:r>
            <w:r>
              <w:rPr>
                <w:rFonts w:ascii="Times New Roman" w:hAnsi="Times New Roman" w:cs="Times New Roman"/>
                <w:noProof/>
                <w:sz w:val="24"/>
              </w:rPr>
              <w:t xml:space="preserve"> to access          e-evidence across borders under existing </w:t>
            </w:r>
            <w:r>
              <w:rPr>
                <w:rFonts w:ascii="Times New Roman" w:hAnsi="Times New Roman" w:cs="Times New Roman"/>
                <w:b/>
                <w:noProof/>
                <w:sz w:val="24"/>
              </w:rPr>
              <w:t>judicial cooperation</w:t>
            </w:r>
            <w:r>
              <w:rPr>
                <w:rFonts w:ascii="Times New Roman" w:hAnsi="Times New Roman" w:cs="Times New Roman"/>
                <w:noProof/>
                <w:sz w:val="24"/>
              </w:rPr>
              <w:t xml:space="preserve"> procedures, rendering investigations and prosecutions less effective</w:t>
            </w:r>
          </w:p>
          <w:p w:rsidR="001B65FF" w:rsidRDefault="001B65FF">
            <w:pPr>
              <w:contextualSpacing/>
              <w:rPr>
                <w:rFonts w:ascii="Times New Roman" w:hAnsi="Times New Roman" w:cs="Times New Roman"/>
                <w:noProof/>
                <w:sz w:val="24"/>
                <w:szCs w:val="24"/>
              </w:rPr>
            </w:pPr>
          </w:p>
          <w:p w:rsidR="001B65FF" w:rsidRDefault="003E4EF4">
            <w:pPr>
              <w:numPr>
                <w:ilvl w:val="0"/>
                <w:numId w:val="178"/>
              </w:numPr>
              <w:contextualSpacing/>
              <w:rPr>
                <w:rFonts w:ascii="Times New Roman" w:hAnsi="Times New Roman" w:cs="Times New Roman"/>
                <w:noProof/>
                <w:sz w:val="24"/>
                <w:szCs w:val="24"/>
              </w:rPr>
            </w:pPr>
            <w:r>
              <w:rPr>
                <w:rFonts w:ascii="Times New Roman" w:hAnsi="Times New Roman" w:cs="Times New Roman"/>
                <w:noProof/>
                <w:sz w:val="24"/>
                <w:szCs w:val="24"/>
              </w:rPr>
              <w:t>Inefficiencies in</w:t>
            </w:r>
            <w:r>
              <w:rPr>
                <w:rFonts w:ascii="Times New Roman" w:hAnsi="Times New Roman" w:cs="Times New Roman"/>
                <w:b/>
                <w:noProof/>
                <w:sz w:val="24"/>
                <w:szCs w:val="24"/>
              </w:rPr>
              <w:t xml:space="preserve"> public-private cooperation</w:t>
            </w:r>
            <w:r>
              <w:rPr>
                <w:rFonts w:ascii="Times New Roman" w:hAnsi="Times New Roman" w:cs="Times New Roman"/>
                <w:noProof/>
                <w:sz w:val="24"/>
                <w:szCs w:val="24"/>
              </w:rPr>
              <w:t xml:space="preserve"> between service providers and public authorities hamper eff</w:t>
            </w:r>
            <w:r>
              <w:rPr>
                <w:rFonts w:ascii="Times New Roman" w:hAnsi="Times New Roman" w:cs="Times New Roman"/>
                <w:noProof/>
                <w:sz w:val="24"/>
                <w:szCs w:val="24"/>
              </w:rPr>
              <w:t>ective investigations and prosecutions</w:t>
            </w:r>
          </w:p>
          <w:p w:rsidR="001B65FF" w:rsidRDefault="001B65FF">
            <w:pPr>
              <w:rPr>
                <w:rFonts w:ascii="Times New Roman" w:hAnsi="Times New Roman" w:cs="Times New Roman"/>
                <w:noProof/>
                <w:sz w:val="24"/>
                <w:szCs w:val="24"/>
              </w:rPr>
            </w:pPr>
          </w:p>
          <w:p w:rsidR="001B65FF" w:rsidRDefault="003E4EF4">
            <w:pPr>
              <w:numPr>
                <w:ilvl w:val="0"/>
                <w:numId w:val="178"/>
              </w:numPr>
              <w:contextualSpacing/>
              <w:rPr>
                <w:rFonts w:ascii="Times New Roman" w:hAnsi="Times New Roman" w:cs="Times New Roman"/>
                <w:noProof/>
                <w:sz w:val="24"/>
                <w:szCs w:val="24"/>
              </w:rPr>
            </w:pPr>
            <w:r>
              <w:rPr>
                <w:rFonts w:ascii="Times New Roman" w:hAnsi="Times New Roman" w:cs="Times New Roman"/>
                <w:noProof/>
                <w:sz w:val="24"/>
                <w:lang w:eastAsia="en-GB"/>
              </w:rPr>
              <w:t xml:space="preserve">Shortcomings </w:t>
            </w:r>
            <w:r>
              <w:rPr>
                <w:rFonts w:ascii="Times New Roman" w:hAnsi="Times New Roman" w:cs="Times New Roman"/>
                <w:noProof/>
                <w:sz w:val="24"/>
                <w:szCs w:val="24"/>
              </w:rPr>
              <w:t xml:space="preserve">in defining </w:t>
            </w:r>
            <w:r>
              <w:rPr>
                <w:rFonts w:ascii="Times New Roman" w:hAnsi="Times New Roman" w:cs="Times New Roman"/>
                <w:b/>
                <w:noProof/>
                <w:sz w:val="24"/>
                <w:szCs w:val="24"/>
              </w:rPr>
              <w:t>juris-diction</w:t>
            </w:r>
            <w:r>
              <w:rPr>
                <w:rFonts w:ascii="Times New Roman" w:hAnsi="Times New Roman" w:cs="Times New Roman"/>
                <w:noProof/>
                <w:sz w:val="24"/>
                <w:szCs w:val="24"/>
              </w:rPr>
              <w:t xml:space="preserve"> can hinder effective cross-border investigation and prosecution</w:t>
            </w:r>
          </w:p>
        </w:tc>
        <w:tc>
          <w:tcPr>
            <w:tcW w:w="2742" w:type="dxa"/>
          </w:tcPr>
          <w:p w:rsidR="001B65FF" w:rsidRDefault="003E4EF4">
            <w:pPr>
              <w:numPr>
                <w:ilvl w:val="0"/>
                <w:numId w:val="193"/>
              </w:numPr>
              <w:contextualSpacing/>
              <w:rPr>
                <w:rFonts w:ascii="Times New Roman" w:hAnsi="Times New Roman" w:cs="Times New Roman"/>
                <w:noProof/>
                <w:sz w:val="24"/>
                <w:szCs w:val="24"/>
              </w:rPr>
            </w:pPr>
            <w:r>
              <w:rPr>
                <w:rFonts w:ascii="Times New Roman" w:hAnsi="Times New Roman" w:cs="Times New Roman"/>
                <w:b/>
                <w:noProof/>
                <w:sz w:val="24"/>
                <w:szCs w:val="24"/>
              </w:rPr>
              <w:t>Reduce delays</w:t>
            </w:r>
            <w:r>
              <w:rPr>
                <w:rFonts w:ascii="Times New Roman" w:hAnsi="Times New Roman" w:cs="Times New Roman"/>
                <w:noProof/>
                <w:sz w:val="24"/>
                <w:szCs w:val="24"/>
              </w:rPr>
              <w:t xml:space="preserve"> in </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cross-border access to electronic evidence </w:t>
            </w:r>
          </w:p>
          <w:p w:rsidR="001B65FF" w:rsidRDefault="001B65FF">
            <w:pPr>
              <w:ind w:left="360"/>
              <w:contextualSpacing/>
              <w:rPr>
                <w:rFonts w:ascii="Times New Roman" w:hAnsi="Times New Roman" w:cs="Times New Roman"/>
                <w:noProof/>
                <w:sz w:val="24"/>
                <w:szCs w:val="24"/>
              </w:rPr>
            </w:pPr>
          </w:p>
          <w:p w:rsidR="001B65FF" w:rsidRDefault="003E4EF4">
            <w:pPr>
              <w:numPr>
                <w:ilvl w:val="0"/>
                <w:numId w:val="193"/>
              </w:numPr>
              <w:rPr>
                <w:rFonts w:ascii="Times New Roman" w:hAnsi="Times New Roman" w:cs="Times New Roman"/>
                <w:noProof/>
                <w:sz w:val="24"/>
                <w:szCs w:val="24"/>
              </w:rPr>
            </w:pPr>
            <w:r>
              <w:rPr>
                <w:rFonts w:ascii="Times New Roman" w:hAnsi="Times New Roman" w:cs="Times New Roman"/>
                <w:b/>
                <w:noProof/>
                <w:sz w:val="24"/>
                <w:szCs w:val="24"/>
              </w:rPr>
              <w:t>Ensure</w:t>
            </w:r>
            <w:r>
              <w:rPr>
                <w:rFonts w:ascii="Times New Roman" w:hAnsi="Times New Roman" w:cs="Times New Roman"/>
                <w:noProof/>
                <w:sz w:val="24"/>
                <w:szCs w:val="24"/>
              </w:rPr>
              <w:t xml:space="preserve"> cross-border </w:t>
            </w:r>
            <w:r>
              <w:rPr>
                <w:rFonts w:ascii="Times New Roman" w:hAnsi="Times New Roman" w:cs="Times New Roman"/>
                <w:b/>
                <w:noProof/>
                <w:sz w:val="24"/>
                <w:szCs w:val="24"/>
              </w:rPr>
              <w:t>access</w:t>
            </w:r>
            <w:r>
              <w:rPr>
                <w:rFonts w:ascii="Times New Roman" w:hAnsi="Times New Roman" w:cs="Times New Roman"/>
                <w:noProof/>
                <w:sz w:val="24"/>
                <w:szCs w:val="24"/>
              </w:rPr>
              <w:t xml:space="preserve"> to electronic evidence where it is</w:t>
            </w:r>
            <w:r>
              <w:rPr>
                <w:rFonts w:ascii="Times New Roman" w:hAnsi="Times New Roman" w:cs="Times New Roman"/>
                <w:b/>
                <w:noProof/>
                <w:sz w:val="24"/>
                <w:szCs w:val="24"/>
              </w:rPr>
              <w:t xml:space="preserve"> currently missing</w:t>
            </w:r>
          </w:p>
          <w:p w:rsidR="001B65FF" w:rsidRDefault="001B65FF">
            <w:pPr>
              <w:rPr>
                <w:rFonts w:ascii="Times New Roman" w:hAnsi="Times New Roman" w:cs="Times New Roman"/>
                <w:noProof/>
                <w:sz w:val="24"/>
                <w:szCs w:val="24"/>
              </w:rPr>
            </w:pPr>
          </w:p>
          <w:p w:rsidR="001B65FF" w:rsidRDefault="003E4EF4">
            <w:pPr>
              <w:numPr>
                <w:ilvl w:val="0"/>
                <w:numId w:val="193"/>
              </w:numPr>
              <w:contextualSpacing/>
              <w:rPr>
                <w:rFonts w:ascii="Times New Roman" w:hAnsi="Times New Roman" w:cs="Times New Roman"/>
                <w:noProof/>
                <w:sz w:val="24"/>
                <w:szCs w:val="24"/>
              </w:rPr>
            </w:pPr>
            <w:r>
              <w:rPr>
                <w:rFonts w:ascii="Times New Roman" w:hAnsi="Times New Roman" w:cs="Times New Roman"/>
                <w:noProof/>
                <w:sz w:val="24"/>
                <w:szCs w:val="24"/>
              </w:rPr>
              <w:t xml:space="preserve">Improve </w:t>
            </w:r>
            <w:r>
              <w:rPr>
                <w:rFonts w:ascii="Times New Roman" w:hAnsi="Times New Roman" w:cs="Times New Roman"/>
                <w:b/>
                <w:noProof/>
                <w:sz w:val="24"/>
                <w:szCs w:val="24"/>
              </w:rPr>
              <w:t>legal certainty, protection of fundamental rights, transparency and accountability</w:t>
            </w:r>
          </w:p>
        </w:tc>
        <w:tc>
          <w:tcPr>
            <w:tcW w:w="2644" w:type="dxa"/>
          </w:tcPr>
          <w:p w:rsidR="001B65FF" w:rsidRDefault="003E4EF4">
            <w:pPr>
              <w:contextualSpacing/>
              <w:rPr>
                <w:rFonts w:ascii="Times New Roman" w:hAnsi="Times New Roman" w:cs="Times New Roman"/>
                <w:b/>
                <w:noProof/>
                <w:sz w:val="24"/>
                <w:szCs w:val="24"/>
              </w:rPr>
            </w:pPr>
            <w:r>
              <w:rPr>
                <w:rFonts w:ascii="Times New Roman" w:hAnsi="Times New Roman" w:cs="Times New Roman"/>
                <w:noProof/>
                <w:sz w:val="24"/>
                <w:szCs w:val="24"/>
              </w:rPr>
              <w:t xml:space="preserve">Ensure effective investigation and  prosecution of crimes in the EU by  </w:t>
            </w:r>
            <w:r>
              <w:rPr>
                <w:rFonts w:ascii="Times New Roman" w:hAnsi="Times New Roman" w:cs="Times New Roman"/>
                <w:b/>
                <w:noProof/>
                <w:sz w:val="24"/>
                <w:szCs w:val="24"/>
              </w:rPr>
              <w:t xml:space="preserve">improving cross-border access to </w:t>
            </w:r>
            <w:r>
              <w:rPr>
                <w:rFonts w:ascii="Times New Roman" w:hAnsi="Times New Roman" w:cs="Times New Roman"/>
                <w:b/>
                <w:noProof/>
                <w:sz w:val="24"/>
                <w:szCs w:val="24"/>
              </w:rPr>
              <w:t>electronic evidence</w:t>
            </w:r>
          </w:p>
          <w:p w:rsidR="001B65FF" w:rsidRDefault="003E4EF4">
            <w:pPr>
              <w:contextualSpacing/>
              <w:rPr>
                <w:rFonts w:ascii="Times New Roman" w:hAnsi="Times New Roman" w:cs="Times New Roman"/>
                <w:noProof/>
                <w:sz w:val="24"/>
                <w:szCs w:val="24"/>
              </w:rPr>
            </w:pPr>
            <w:r>
              <w:rPr>
                <w:rFonts w:ascii="Times New Roman" w:hAnsi="Times New Roman" w:cs="Times New Roman"/>
                <w:noProof/>
                <w:sz w:val="24"/>
                <w:szCs w:val="24"/>
              </w:rPr>
              <w:t xml:space="preserve">through </w:t>
            </w:r>
            <w:r>
              <w:rPr>
                <w:rFonts w:ascii="Times New Roman" w:hAnsi="Times New Roman" w:cs="Times New Roman"/>
                <w:b/>
                <w:noProof/>
                <w:sz w:val="24"/>
                <w:szCs w:val="24"/>
              </w:rPr>
              <w:t>enhanced judicial cooperation</w:t>
            </w:r>
            <w:r>
              <w:rPr>
                <w:rFonts w:ascii="Times New Roman" w:hAnsi="Times New Roman" w:cs="Times New Roman"/>
                <w:noProof/>
                <w:sz w:val="24"/>
                <w:szCs w:val="24"/>
              </w:rPr>
              <w:t xml:space="preserve"> in criminal matters and an </w:t>
            </w:r>
            <w:r>
              <w:rPr>
                <w:rFonts w:ascii="Times New Roman" w:hAnsi="Times New Roman" w:cs="Times New Roman"/>
                <w:b/>
                <w:noProof/>
                <w:sz w:val="24"/>
                <w:szCs w:val="24"/>
              </w:rPr>
              <w:t xml:space="preserve">approximation </w:t>
            </w:r>
            <w:r>
              <w:rPr>
                <w:rFonts w:ascii="Times New Roman" w:hAnsi="Times New Roman" w:cs="Times New Roman"/>
                <w:noProof/>
                <w:sz w:val="24"/>
                <w:szCs w:val="24"/>
              </w:rPr>
              <w:t>of rules and procedures</w:t>
            </w:r>
          </w:p>
        </w:tc>
      </w:tr>
    </w:tbl>
    <w:p w:rsidR="001B65FF" w:rsidRDefault="003E4EF4">
      <w:pPr>
        <w:keepNext/>
        <w:numPr>
          <w:ilvl w:val="0"/>
          <w:numId w:val="3"/>
        </w:numPr>
        <w:spacing w:before="240" w:after="240" w:line="240" w:lineRule="auto"/>
        <w:jc w:val="both"/>
        <w:outlineLvl w:val="0"/>
        <w:rPr>
          <w:rFonts w:ascii="Times New Roman" w:eastAsia="Times New Roman" w:hAnsi="Times New Roman" w:cs="Times New Roman"/>
          <w:b/>
          <w:smallCaps/>
          <w:noProof/>
          <w:sz w:val="24"/>
          <w:szCs w:val="20"/>
        </w:rPr>
      </w:pPr>
      <w:bookmarkStart w:id="341" w:name="_Toc499019152"/>
      <w:bookmarkStart w:id="342" w:name="_Toc499020183"/>
      <w:bookmarkStart w:id="343" w:name="_Toc499020449"/>
      <w:bookmarkStart w:id="344" w:name="_Toc499020599"/>
      <w:bookmarkStart w:id="345" w:name="_Toc499022185"/>
      <w:bookmarkStart w:id="346" w:name="_Toc499022463"/>
      <w:bookmarkStart w:id="347" w:name="_Toc499028418"/>
      <w:bookmarkStart w:id="348" w:name="_Toc499029796"/>
      <w:bookmarkStart w:id="349" w:name="_Toc499030352"/>
      <w:bookmarkStart w:id="350" w:name="_Toc499036711"/>
      <w:bookmarkStart w:id="351" w:name="_Toc499039187"/>
      <w:bookmarkStart w:id="352" w:name="_Toc499039572"/>
      <w:bookmarkStart w:id="353" w:name="_Toc499045010"/>
      <w:bookmarkStart w:id="354" w:name="_Toc499048035"/>
      <w:bookmarkStart w:id="355" w:name="_Toc499050677"/>
      <w:bookmarkStart w:id="356" w:name="_Toc499051310"/>
      <w:bookmarkStart w:id="357" w:name="_Toc499053267"/>
      <w:bookmarkStart w:id="358" w:name="_Toc499128341"/>
      <w:bookmarkStart w:id="359" w:name="_Toc499129455"/>
      <w:bookmarkStart w:id="360" w:name="_Toc499129966"/>
      <w:bookmarkStart w:id="361" w:name="_Toc499134758"/>
      <w:bookmarkStart w:id="362" w:name="_Toc499138151"/>
      <w:bookmarkStart w:id="363" w:name="_Toc499138290"/>
      <w:bookmarkStart w:id="364" w:name="_Toc499138552"/>
      <w:bookmarkStart w:id="365" w:name="_Toc499140896"/>
      <w:bookmarkStart w:id="366" w:name="_Toc499141184"/>
      <w:bookmarkStart w:id="367" w:name="_Toc499142815"/>
      <w:bookmarkStart w:id="368" w:name="_Toc499143260"/>
      <w:bookmarkStart w:id="369" w:name="_Toc497914371"/>
      <w:bookmarkStart w:id="370" w:name="_Toc497927895"/>
      <w:bookmarkStart w:id="371" w:name="_Toc497928161"/>
      <w:bookmarkStart w:id="372" w:name="_Toc497931019"/>
      <w:bookmarkStart w:id="373" w:name="_Toc497914372"/>
      <w:bookmarkStart w:id="374" w:name="_Toc497927896"/>
      <w:bookmarkStart w:id="375" w:name="_Toc497928162"/>
      <w:bookmarkStart w:id="376" w:name="_Toc497931020"/>
      <w:bookmarkStart w:id="377" w:name="_Toc497914382"/>
      <w:bookmarkStart w:id="378" w:name="_Toc497927906"/>
      <w:bookmarkStart w:id="379" w:name="_Toc497928172"/>
      <w:bookmarkStart w:id="380" w:name="_Toc497931030"/>
      <w:bookmarkStart w:id="381" w:name="_Toc481484471"/>
      <w:bookmarkStart w:id="382" w:name="_Toc497927256"/>
      <w:bookmarkStart w:id="383" w:name="_Toc497927869"/>
      <w:bookmarkStart w:id="384" w:name="_Toc497928135"/>
      <w:bookmarkStart w:id="385" w:name="_Toc498509627"/>
      <w:bookmarkStart w:id="386" w:name="_Toc498521216"/>
      <w:bookmarkStart w:id="387" w:name="_Toc498701926"/>
      <w:bookmarkStart w:id="388" w:name="_Toc498704692"/>
      <w:bookmarkStart w:id="389" w:name="_Toc499020451"/>
      <w:bookmarkStart w:id="390" w:name="_Toc499030354"/>
      <w:bookmarkStart w:id="391" w:name="_Toc499044928"/>
      <w:bookmarkStart w:id="392" w:name="_Toc499051312"/>
      <w:bookmarkStart w:id="393" w:name="_Toc499133298"/>
      <w:bookmarkStart w:id="394" w:name="_Toc499142817"/>
      <w:bookmarkStart w:id="395" w:name="_Toc510952864"/>
      <w:bookmarkEnd w:id="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Pr>
          <w:rFonts w:ascii="Times New Roman" w:eastAsia="Times New Roman" w:hAnsi="Times New Roman" w:cs="Times New Roman"/>
          <w:b/>
          <w:smallCaps/>
          <w:noProof/>
          <w:sz w:val="24"/>
          <w:szCs w:val="20"/>
        </w:rPr>
        <w:t>What are the available policy options?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1B65FF" w:rsidRDefault="003E4EF4">
      <w:pPr>
        <w:spacing w:after="12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following process was applied to determine the </w:t>
      </w:r>
      <w:r>
        <w:rPr>
          <w:rFonts w:ascii="Times New Roman" w:hAnsi="Times New Roman" w:cs="Times New Roman"/>
          <w:b/>
          <w:noProof/>
          <w:sz w:val="24"/>
          <w:lang w:eastAsia="en-GB"/>
        </w:rPr>
        <w:t>policy options</w:t>
      </w:r>
      <w:r>
        <w:rPr>
          <w:rFonts w:ascii="Times New Roman" w:hAnsi="Times New Roman" w:cs="Times New Roman"/>
          <w:noProof/>
          <w:sz w:val="24"/>
          <w:lang w:eastAsia="en-GB"/>
        </w:rPr>
        <w:t>:</w:t>
      </w:r>
    </w:p>
    <w:p w:rsidR="001B65FF" w:rsidRDefault="003E4EF4">
      <w:pPr>
        <w:pStyle w:val="ListParagraph"/>
        <w:numPr>
          <w:ilvl w:val="0"/>
          <w:numId w:val="135"/>
        </w:numPr>
        <w:spacing w:after="120"/>
        <w:jc w:val="both"/>
        <w:rPr>
          <w:rFonts w:ascii="Times New Roman" w:hAnsi="Times New Roman" w:cs="Times New Roman"/>
          <w:noProof/>
          <w:sz w:val="24"/>
          <w:lang w:eastAsia="en-GB"/>
        </w:rPr>
      </w:pPr>
      <w:r>
        <w:rPr>
          <w:rFonts w:ascii="Times New Roman" w:hAnsi="Times New Roman" w:cs="Times New Roman"/>
          <w:b/>
          <w:noProof/>
          <w:sz w:val="24"/>
          <w:lang w:eastAsia="en-GB"/>
        </w:rPr>
        <w:t>mapping</w:t>
      </w:r>
      <w:r>
        <w:rPr>
          <w:rFonts w:ascii="Times New Roman" w:hAnsi="Times New Roman" w:cs="Times New Roman"/>
          <w:noProof/>
          <w:sz w:val="24"/>
          <w:lang w:eastAsia="en-GB"/>
        </w:rPr>
        <w:t xml:space="preserve"> of possible policy</w:t>
      </w:r>
      <w:r>
        <w:rPr>
          <w:rFonts w:ascii="Times New Roman" w:hAnsi="Times New Roman" w:cs="Times New Roman"/>
          <w:noProof/>
          <w:sz w:val="24"/>
          <w:lang w:eastAsia="en-GB"/>
        </w:rPr>
        <w:t xml:space="preserve"> </w:t>
      </w:r>
      <w:r>
        <w:rPr>
          <w:rFonts w:ascii="Times New Roman" w:hAnsi="Times New Roman" w:cs="Times New Roman"/>
          <w:b/>
          <w:noProof/>
          <w:sz w:val="24"/>
          <w:lang w:eastAsia="en-GB"/>
        </w:rPr>
        <w:t>measures:</w:t>
      </w:r>
    </w:p>
    <w:p w:rsidR="001B65FF" w:rsidRDefault="003E4EF4">
      <w:pPr>
        <w:pStyle w:val="ListParagraph"/>
        <w:numPr>
          <w:ilvl w:val="1"/>
          <w:numId w:val="135"/>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mapping covered the full spectrum of possible EU intervention: no action, non-legislative action and legislative action. </w:t>
      </w:r>
    </w:p>
    <w:p w:rsidR="001B65FF" w:rsidRDefault="003E4EF4">
      <w:pPr>
        <w:pStyle w:val="ListParagraph"/>
        <w:numPr>
          <w:ilvl w:val="1"/>
          <w:numId w:val="135"/>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Given that the issue at hand is basically a </w:t>
      </w:r>
      <w:r>
        <w:rPr>
          <w:rFonts w:ascii="Times New Roman" w:hAnsi="Times New Roman" w:cs="Times New Roman"/>
          <w:b/>
          <w:noProof/>
          <w:sz w:val="24"/>
          <w:lang w:eastAsia="en-GB"/>
        </w:rPr>
        <w:t>regulatory failure</w:t>
      </w:r>
      <w:r>
        <w:rPr>
          <w:rFonts w:ascii="Times New Roman" w:hAnsi="Times New Roman" w:cs="Times New Roman"/>
          <w:noProof/>
          <w:sz w:val="24"/>
          <w:lang w:eastAsia="en-GB"/>
        </w:rPr>
        <w:t>, it was important to lay out the full range of regulator</w:t>
      </w:r>
      <w:r>
        <w:rPr>
          <w:rFonts w:ascii="Times New Roman" w:hAnsi="Times New Roman" w:cs="Times New Roman"/>
          <w:noProof/>
          <w:sz w:val="24"/>
          <w:lang w:eastAsia="en-GB"/>
        </w:rPr>
        <w:t>y tools to determine the most proportionate EU response.</w:t>
      </w:r>
    </w:p>
    <w:p w:rsidR="001B65FF" w:rsidRDefault="003E4EF4">
      <w:pPr>
        <w:pStyle w:val="ListParagraph"/>
        <w:numPr>
          <w:ilvl w:val="1"/>
          <w:numId w:val="135"/>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mapping stage included a first filter to </w:t>
      </w:r>
      <w:r>
        <w:rPr>
          <w:rFonts w:ascii="Times New Roman" w:hAnsi="Times New Roman" w:cs="Times New Roman"/>
          <w:b/>
          <w:noProof/>
          <w:sz w:val="24"/>
          <w:lang w:eastAsia="en-GB"/>
        </w:rPr>
        <w:t xml:space="preserve">identify </w:t>
      </w:r>
      <w:r>
        <w:rPr>
          <w:rFonts w:ascii="Times New Roman" w:hAnsi="Times New Roman" w:cs="Times New Roman"/>
          <w:noProof/>
          <w:sz w:val="24"/>
          <w:lang w:eastAsia="en-GB"/>
        </w:rPr>
        <w:t xml:space="preserve">the policy measures to </w:t>
      </w:r>
      <w:r>
        <w:rPr>
          <w:rFonts w:ascii="Times New Roman" w:hAnsi="Times New Roman" w:cs="Times New Roman"/>
          <w:b/>
          <w:noProof/>
          <w:sz w:val="24"/>
          <w:lang w:eastAsia="en-GB"/>
        </w:rPr>
        <w:t xml:space="preserve">discard </w:t>
      </w:r>
      <w:r>
        <w:rPr>
          <w:rFonts w:ascii="Times New Roman" w:hAnsi="Times New Roman" w:cs="Times New Roman"/>
          <w:noProof/>
          <w:sz w:val="24"/>
          <w:lang w:eastAsia="en-GB"/>
        </w:rPr>
        <w:t xml:space="preserve">at an </w:t>
      </w:r>
      <w:r>
        <w:rPr>
          <w:rFonts w:ascii="Times New Roman" w:hAnsi="Times New Roman" w:cs="Times New Roman"/>
          <w:b/>
          <w:noProof/>
          <w:sz w:val="24"/>
          <w:lang w:eastAsia="en-GB"/>
        </w:rPr>
        <w:t>early stage</w:t>
      </w:r>
      <w:r>
        <w:rPr>
          <w:rFonts w:ascii="Times New Roman" w:hAnsi="Times New Roman" w:cs="Times New Roman"/>
          <w:noProof/>
          <w:sz w:val="24"/>
          <w:lang w:eastAsia="en-GB"/>
        </w:rPr>
        <w:t xml:space="preserve"> (section 5.3.).</w:t>
      </w:r>
    </w:p>
    <w:p w:rsidR="001B65FF" w:rsidRDefault="003E4EF4">
      <w:pPr>
        <w:pStyle w:val="ListParagraph"/>
        <w:numPr>
          <w:ilvl w:val="1"/>
          <w:numId w:val="135"/>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outcome of the mapping stage was a set of policy measures retained for </w:t>
      </w:r>
      <w:r>
        <w:rPr>
          <w:rFonts w:ascii="Times New Roman" w:hAnsi="Times New Roman" w:cs="Times New Roman"/>
          <w:noProof/>
          <w:sz w:val="24"/>
          <w:lang w:eastAsia="en-GB"/>
        </w:rPr>
        <w:t>further elaboration and analysis.</w:t>
      </w:r>
    </w:p>
    <w:p w:rsidR="001B65FF" w:rsidRDefault="003E4EF4">
      <w:pPr>
        <w:pStyle w:val="ListParagraph"/>
        <w:numPr>
          <w:ilvl w:val="0"/>
          <w:numId w:val="135"/>
        </w:numPr>
        <w:spacing w:after="0"/>
        <w:jc w:val="both"/>
        <w:rPr>
          <w:rFonts w:ascii="Times New Roman" w:hAnsi="Times New Roman" w:cs="Times New Roman"/>
          <w:noProof/>
          <w:sz w:val="24"/>
          <w:lang w:eastAsia="en-GB"/>
        </w:rPr>
      </w:pPr>
      <w:r>
        <w:rPr>
          <w:rFonts w:ascii="Times New Roman" w:hAnsi="Times New Roman" w:cs="Times New Roman"/>
          <w:b/>
          <w:noProof/>
          <w:sz w:val="24"/>
          <w:lang w:eastAsia="en-GB"/>
        </w:rPr>
        <w:t xml:space="preserve">description </w:t>
      </w:r>
      <w:r>
        <w:rPr>
          <w:rFonts w:ascii="Times New Roman" w:hAnsi="Times New Roman" w:cs="Times New Roman"/>
          <w:noProof/>
          <w:sz w:val="24"/>
          <w:lang w:eastAsia="en-GB"/>
        </w:rPr>
        <w:t xml:space="preserve">of policy </w:t>
      </w:r>
      <w:r>
        <w:rPr>
          <w:rFonts w:ascii="Times New Roman" w:hAnsi="Times New Roman" w:cs="Times New Roman"/>
          <w:b/>
          <w:noProof/>
          <w:sz w:val="24"/>
          <w:lang w:eastAsia="en-GB"/>
        </w:rPr>
        <w:t xml:space="preserve">measures </w:t>
      </w:r>
      <w:r>
        <w:rPr>
          <w:rFonts w:ascii="Times New Roman" w:hAnsi="Times New Roman" w:cs="Times New Roman"/>
          <w:noProof/>
          <w:sz w:val="24"/>
          <w:lang w:eastAsia="en-GB"/>
        </w:rPr>
        <w:t>retained in the mapping stage (section 5.2.);</w:t>
      </w:r>
    </w:p>
    <w:p w:rsidR="001B65FF" w:rsidRDefault="003E4EF4">
      <w:pPr>
        <w:pStyle w:val="ListParagraph"/>
        <w:numPr>
          <w:ilvl w:val="0"/>
          <w:numId w:val="135"/>
        </w:numPr>
        <w:spacing w:after="0"/>
        <w:jc w:val="both"/>
        <w:rPr>
          <w:rFonts w:ascii="Times New Roman" w:hAnsi="Times New Roman" w:cs="Times New Roman"/>
          <w:noProof/>
          <w:sz w:val="24"/>
          <w:lang w:eastAsia="en-GB"/>
        </w:rPr>
      </w:pPr>
      <w:r>
        <w:rPr>
          <w:rFonts w:ascii="Times New Roman" w:hAnsi="Times New Roman" w:cs="Times New Roman"/>
          <w:b/>
          <w:noProof/>
          <w:sz w:val="24"/>
          <w:lang w:eastAsia="en-GB"/>
        </w:rPr>
        <w:t xml:space="preserve">analysis </w:t>
      </w:r>
      <w:r>
        <w:rPr>
          <w:rFonts w:ascii="Times New Roman" w:hAnsi="Times New Roman" w:cs="Times New Roman"/>
          <w:noProof/>
          <w:sz w:val="24"/>
          <w:lang w:eastAsia="en-GB"/>
        </w:rPr>
        <w:t xml:space="preserve">of the policy </w:t>
      </w:r>
      <w:r>
        <w:rPr>
          <w:rFonts w:ascii="Times New Roman" w:hAnsi="Times New Roman" w:cs="Times New Roman"/>
          <w:b/>
          <w:noProof/>
          <w:sz w:val="24"/>
          <w:lang w:eastAsia="en-GB"/>
        </w:rPr>
        <w:t xml:space="preserve">measures </w:t>
      </w:r>
      <w:r>
        <w:rPr>
          <w:rFonts w:ascii="Times New Roman" w:hAnsi="Times New Roman" w:cs="Times New Roman"/>
          <w:noProof/>
          <w:sz w:val="24"/>
          <w:lang w:eastAsia="en-GB"/>
        </w:rPr>
        <w:t>retained in the mapping stage (Annex 4):</w:t>
      </w:r>
    </w:p>
    <w:p w:rsidR="001B65FF" w:rsidRDefault="003E4EF4">
      <w:pPr>
        <w:pStyle w:val="ListParagraph"/>
        <w:numPr>
          <w:ilvl w:val="1"/>
          <w:numId w:val="135"/>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This stage included a second filter to </w:t>
      </w:r>
      <w:r>
        <w:rPr>
          <w:rFonts w:ascii="Times New Roman" w:hAnsi="Times New Roman" w:cs="Times New Roman"/>
          <w:b/>
          <w:noProof/>
          <w:sz w:val="24"/>
          <w:lang w:eastAsia="en-GB"/>
        </w:rPr>
        <w:t xml:space="preserve">identify </w:t>
      </w:r>
      <w:r>
        <w:rPr>
          <w:rFonts w:ascii="Times New Roman" w:hAnsi="Times New Roman" w:cs="Times New Roman"/>
          <w:noProof/>
          <w:sz w:val="24"/>
          <w:lang w:eastAsia="en-GB"/>
        </w:rPr>
        <w:t xml:space="preserve">the policy measures to </w:t>
      </w:r>
      <w:r>
        <w:rPr>
          <w:rFonts w:ascii="Times New Roman" w:hAnsi="Times New Roman" w:cs="Times New Roman"/>
          <w:b/>
          <w:noProof/>
          <w:sz w:val="24"/>
          <w:lang w:eastAsia="en-GB"/>
        </w:rPr>
        <w:t>d</w:t>
      </w:r>
      <w:r>
        <w:rPr>
          <w:rFonts w:ascii="Times New Roman" w:hAnsi="Times New Roman" w:cs="Times New Roman"/>
          <w:b/>
          <w:noProof/>
          <w:sz w:val="24"/>
          <w:lang w:eastAsia="en-GB"/>
        </w:rPr>
        <w:t xml:space="preserve">iscard </w:t>
      </w:r>
      <w:r>
        <w:rPr>
          <w:rFonts w:ascii="Times New Roman" w:hAnsi="Times New Roman" w:cs="Times New Roman"/>
          <w:noProof/>
          <w:sz w:val="24"/>
          <w:lang w:eastAsia="en-GB"/>
        </w:rPr>
        <w:t>(i.e. the European Production Request and Order, the European Production Request and the recommendation on conditions and safeguards for cross-border online searches).</w:t>
      </w:r>
    </w:p>
    <w:p w:rsidR="001B65FF" w:rsidRDefault="003E4EF4">
      <w:pPr>
        <w:pStyle w:val="ListParagraph"/>
        <w:numPr>
          <w:ilvl w:val="1"/>
          <w:numId w:val="135"/>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It includes a qualitative analysis using the same assessment criteria as those us</w:t>
      </w:r>
      <w:r>
        <w:rPr>
          <w:rFonts w:ascii="Times New Roman" w:hAnsi="Times New Roman" w:cs="Times New Roman"/>
          <w:noProof/>
          <w:sz w:val="24"/>
          <w:lang w:eastAsia="en-GB"/>
        </w:rPr>
        <w:t xml:space="preserve">ed to analyse the options. The policy measures </w:t>
      </w:r>
      <w:r>
        <w:rPr>
          <w:rFonts w:ascii="Times New Roman" w:hAnsi="Times New Roman" w:cs="Times New Roman"/>
          <w:b/>
          <w:noProof/>
          <w:sz w:val="24"/>
          <w:lang w:eastAsia="en-GB"/>
        </w:rPr>
        <w:t>retained</w:t>
      </w:r>
      <w:r>
        <w:rPr>
          <w:rFonts w:ascii="Times New Roman" w:hAnsi="Times New Roman" w:cs="Times New Roman"/>
          <w:noProof/>
          <w:sz w:val="24"/>
          <w:lang w:eastAsia="en-GB"/>
        </w:rPr>
        <w:t xml:space="preserve"> are therefore those that provide the alternatives that are most feasible (legally, technically and politically), coherent with other EU instruments, effective, relevant and proportional to tackle the </w:t>
      </w:r>
      <w:r>
        <w:rPr>
          <w:rFonts w:ascii="Times New Roman" w:hAnsi="Times New Roman" w:cs="Times New Roman"/>
          <w:noProof/>
          <w:sz w:val="24"/>
          <w:lang w:eastAsia="en-GB"/>
        </w:rPr>
        <w:t>problem and its drivers analysed in section 2.</w:t>
      </w:r>
    </w:p>
    <w:p w:rsidR="001B65FF" w:rsidRDefault="003E4EF4">
      <w:pPr>
        <w:pStyle w:val="ListParagraph"/>
        <w:numPr>
          <w:ilvl w:val="1"/>
          <w:numId w:val="135"/>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The outcome of this stage was the final set of measures for the policy options;</w:t>
      </w:r>
    </w:p>
    <w:p w:rsidR="001B65FF" w:rsidRDefault="003E4EF4">
      <w:pPr>
        <w:pStyle w:val="ListParagraph"/>
        <w:numPr>
          <w:ilvl w:val="0"/>
          <w:numId w:val="135"/>
        </w:numPr>
        <w:spacing w:after="0"/>
        <w:jc w:val="both"/>
        <w:rPr>
          <w:rFonts w:ascii="Times New Roman" w:hAnsi="Times New Roman" w:cs="Times New Roman"/>
          <w:noProof/>
          <w:sz w:val="24"/>
          <w:lang w:eastAsia="en-GB"/>
        </w:rPr>
      </w:pPr>
      <w:r>
        <w:rPr>
          <w:rFonts w:ascii="Times New Roman" w:hAnsi="Times New Roman" w:cs="Times New Roman"/>
          <w:b/>
          <w:noProof/>
          <w:sz w:val="24"/>
          <w:lang w:eastAsia="en-GB"/>
        </w:rPr>
        <w:t xml:space="preserve">description </w:t>
      </w:r>
      <w:r>
        <w:rPr>
          <w:rFonts w:ascii="Times New Roman" w:hAnsi="Times New Roman" w:cs="Times New Roman"/>
          <w:noProof/>
          <w:sz w:val="24"/>
          <w:lang w:eastAsia="en-GB"/>
        </w:rPr>
        <w:t>of policy</w:t>
      </w:r>
      <w:r>
        <w:rPr>
          <w:rFonts w:ascii="Times New Roman" w:hAnsi="Times New Roman" w:cs="Times New Roman"/>
          <w:b/>
          <w:noProof/>
          <w:sz w:val="24"/>
          <w:lang w:eastAsia="en-GB"/>
        </w:rPr>
        <w:t xml:space="preserve"> options</w:t>
      </w:r>
      <w:r>
        <w:rPr>
          <w:rFonts w:ascii="Times New Roman" w:hAnsi="Times New Roman" w:cs="Times New Roman"/>
          <w:noProof/>
          <w:sz w:val="24"/>
          <w:lang w:eastAsia="en-GB"/>
        </w:rPr>
        <w:t>, formed by combining the retained measures into different groups:</w:t>
      </w:r>
    </w:p>
    <w:p w:rsidR="001B65FF" w:rsidRDefault="003E4EF4">
      <w:pPr>
        <w:pStyle w:val="ListParagraph"/>
        <w:numPr>
          <w:ilvl w:val="1"/>
          <w:numId w:val="135"/>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formation of options follows a </w:t>
      </w:r>
      <w:r>
        <w:rPr>
          <w:rFonts w:ascii="Times New Roman" w:hAnsi="Times New Roman" w:cs="Times New Roman"/>
          <w:b/>
          <w:noProof/>
          <w:sz w:val="24"/>
          <w:lang w:eastAsia="en-GB"/>
        </w:rPr>
        <w:t>cumulative logic</w:t>
      </w:r>
      <w:r>
        <w:rPr>
          <w:rFonts w:ascii="Times New Roman" w:hAnsi="Times New Roman" w:cs="Times New Roman"/>
          <w:noProof/>
          <w:sz w:val="24"/>
          <w:lang w:eastAsia="en-GB"/>
        </w:rPr>
        <w:t>, with an increasing level of EU legislative action (section 5.4.).</w:t>
      </w:r>
    </w:p>
    <w:p w:rsidR="001B65FF" w:rsidRDefault="003E4EF4">
      <w:pPr>
        <w:pStyle w:val="ListParagraph"/>
        <w:numPr>
          <w:ilvl w:val="1"/>
          <w:numId w:val="135"/>
        </w:numPr>
        <w:spacing w:after="0"/>
        <w:jc w:val="both"/>
        <w:rPr>
          <w:rFonts w:ascii="Times New Roman" w:eastAsia="Calibri" w:hAnsi="Times New Roman" w:cs="Times New Roman"/>
          <w:noProof/>
          <w:sz w:val="24"/>
        </w:rPr>
      </w:pPr>
      <w:r>
        <w:rPr>
          <w:rFonts w:ascii="Times New Roman" w:hAnsi="Times New Roman" w:cs="Times New Roman"/>
          <w:noProof/>
          <w:sz w:val="24"/>
          <w:lang w:eastAsia="en-GB"/>
        </w:rPr>
        <w:t>The cumulative logic was followed not only because the measures are in general not mutually exclusive and can be combined but also becaus</w:t>
      </w:r>
      <w:r>
        <w:rPr>
          <w:rFonts w:ascii="Times New Roman" w:hAnsi="Times New Roman" w:cs="Times New Roman"/>
          <w:noProof/>
          <w:sz w:val="24"/>
          <w:lang w:eastAsia="en-GB"/>
        </w:rPr>
        <w:t xml:space="preserve">e they are </w:t>
      </w:r>
      <w:r>
        <w:rPr>
          <w:rFonts w:ascii="Times New Roman" w:eastAsia="Calibri" w:hAnsi="Times New Roman" w:cs="Times New Roman"/>
          <w:b/>
          <w:noProof/>
          <w:sz w:val="24"/>
        </w:rPr>
        <w:t>complementary</w:t>
      </w:r>
      <w:r>
        <w:rPr>
          <w:rFonts w:ascii="Times New Roman" w:eastAsia="Calibri" w:hAnsi="Times New Roman" w:cs="Times New Roman"/>
          <w:noProof/>
          <w:sz w:val="24"/>
        </w:rPr>
        <w:t xml:space="preserve"> in a number of ways, presenting </w:t>
      </w:r>
      <w:r>
        <w:rPr>
          <w:rFonts w:ascii="Times New Roman" w:eastAsia="Calibri" w:hAnsi="Times New Roman" w:cs="Times New Roman"/>
          <w:b/>
          <w:noProof/>
          <w:sz w:val="24"/>
        </w:rPr>
        <w:t>synergies</w:t>
      </w:r>
      <w:r>
        <w:rPr>
          <w:rFonts w:ascii="Times New Roman" w:eastAsia="Calibri" w:hAnsi="Times New Roman" w:cs="Times New Roman"/>
          <w:noProof/>
          <w:sz w:val="24"/>
        </w:rPr>
        <w:t xml:space="preserve"> that the combined options can benefit from. </w:t>
      </w:r>
    </w:p>
    <w:p w:rsidR="001B65FF" w:rsidRDefault="003E4EF4">
      <w:pPr>
        <w:pStyle w:val="ListParagraph"/>
        <w:numPr>
          <w:ilvl w:val="0"/>
          <w:numId w:val="135"/>
        </w:numPr>
        <w:spacing w:after="0"/>
        <w:jc w:val="both"/>
        <w:rPr>
          <w:rFonts w:ascii="Times New Roman" w:hAnsi="Times New Roman" w:cs="Times New Roman"/>
          <w:noProof/>
          <w:sz w:val="24"/>
          <w:lang w:eastAsia="en-GB"/>
        </w:rPr>
      </w:pPr>
      <w:r>
        <w:rPr>
          <w:rFonts w:ascii="Times New Roman" w:hAnsi="Times New Roman" w:cs="Times New Roman"/>
          <w:b/>
          <w:noProof/>
          <w:sz w:val="24"/>
          <w:lang w:eastAsia="en-GB"/>
        </w:rPr>
        <w:t>analysis</w:t>
      </w:r>
      <w:r>
        <w:rPr>
          <w:rFonts w:ascii="Times New Roman" w:hAnsi="Times New Roman" w:cs="Times New Roman"/>
          <w:noProof/>
          <w:sz w:val="24"/>
          <w:lang w:eastAsia="en-GB"/>
        </w:rPr>
        <w:t xml:space="preserve"> of policy </w:t>
      </w:r>
      <w:r>
        <w:rPr>
          <w:rFonts w:ascii="Times New Roman" w:hAnsi="Times New Roman" w:cs="Times New Roman"/>
          <w:b/>
          <w:noProof/>
          <w:sz w:val="24"/>
          <w:lang w:eastAsia="en-GB"/>
        </w:rPr>
        <w:t>options</w:t>
      </w:r>
      <w:r>
        <w:rPr>
          <w:rFonts w:ascii="Times New Roman" w:hAnsi="Times New Roman" w:cs="Times New Roman"/>
          <w:noProof/>
          <w:sz w:val="24"/>
          <w:lang w:eastAsia="en-GB"/>
        </w:rPr>
        <w:t xml:space="preserve">: </w:t>
      </w:r>
    </w:p>
    <w:p w:rsidR="001B65FF" w:rsidRDefault="003E4EF4">
      <w:pPr>
        <w:pStyle w:val="ListParagraph"/>
        <w:numPr>
          <w:ilvl w:val="1"/>
          <w:numId w:val="135"/>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The options are analysed in detail in sections 6 (impacts), 7 (comparison of options) and 8 (preferred option).</w:t>
      </w:r>
    </w:p>
    <w:p w:rsidR="001B65FF" w:rsidRDefault="001B65FF">
      <w:pPr>
        <w:spacing w:after="0"/>
        <w:jc w:val="both"/>
        <w:rPr>
          <w:rFonts w:ascii="Times New Roman" w:eastAsia="Times New Roman" w:hAnsi="Times New Roman" w:cs="Times New Roman"/>
          <w:b/>
          <w:noProof/>
          <w:sz w:val="24"/>
          <w:szCs w:val="20"/>
        </w:rPr>
      </w:pPr>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0"/>
        </w:rPr>
      </w:pPr>
      <w:bookmarkStart w:id="396" w:name="_Toc499020452"/>
      <w:bookmarkStart w:id="397" w:name="_Toc499030355"/>
      <w:bookmarkStart w:id="398" w:name="_Toc499044929"/>
      <w:bookmarkStart w:id="399" w:name="_Toc499051313"/>
      <w:bookmarkStart w:id="400" w:name="_Toc499133299"/>
      <w:bookmarkStart w:id="401" w:name="_Toc499142818"/>
      <w:bookmarkStart w:id="402" w:name="_Toc510952865"/>
      <w:r>
        <w:rPr>
          <w:rFonts w:ascii="Times New Roman" w:eastAsia="Times New Roman" w:hAnsi="Times New Roman" w:cs="Times New Roman"/>
          <w:b/>
          <w:noProof/>
          <w:sz w:val="24"/>
          <w:szCs w:val="20"/>
        </w:rPr>
        <w:t>Sc</w:t>
      </w:r>
      <w:r>
        <w:rPr>
          <w:rFonts w:ascii="Times New Roman" w:eastAsia="Times New Roman" w:hAnsi="Times New Roman" w:cs="Times New Roman"/>
          <w:b/>
          <w:noProof/>
          <w:sz w:val="24"/>
          <w:szCs w:val="20"/>
        </w:rPr>
        <w:t>ope of policy measures</w:t>
      </w:r>
      <w:bookmarkEnd w:id="396"/>
      <w:bookmarkEnd w:id="397"/>
      <w:bookmarkEnd w:id="398"/>
      <w:bookmarkEnd w:id="399"/>
      <w:bookmarkEnd w:id="400"/>
      <w:bookmarkEnd w:id="401"/>
      <w:bookmarkEnd w:id="402"/>
    </w:p>
    <w:p w:rsidR="001B65FF" w:rsidRDefault="003E4EF4">
      <w:pPr>
        <w:tabs>
          <w:tab w:val="left" w:pos="90"/>
        </w:tabs>
        <w:spacing w:after="0"/>
        <w:jc w:val="both"/>
        <w:rPr>
          <w:rFonts w:ascii="Times New Roman" w:eastAsia="Calibri" w:hAnsi="Times New Roman" w:cs="Times New Roman"/>
          <w:noProof/>
          <w:sz w:val="24"/>
        </w:rPr>
      </w:pPr>
      <w:r>
        <w:rPr>
          <w:rFonts w:ascii="Times New Roman" w:eastAsia="Calibri" w:hAnsi="Times New Roman" w:cs="Times New Roman"/>
          <w:noProof/>
          <w:sz w:val="24"/>
        </w:rPr>
        <w:t>The scope of the policy measures for this initiative is the following:</w:t>
      </w:r>
    </w:p>
    <w:p w:rsidR="001B65FF" w:rsidRDefault="003E4EF4">
      <w:pPr>
        <w:numPr>
          <w:ilvl w:val="0"/>
          <w:numId w:val="22"/>
        </w:numPr>
        <w:tabs>
          <w:tab w:val="left" w:pos="90"/>
        </w:tabs>
        <w:spacing w:after="0"/>
        <w:ind w:left="45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 xml:space="preserve">Data </w:t>
      </w:r>
      <w:r>
        <w:rPr>
          <w:rFonts w:ascii="Times New Roman" w:eastAsia="Calibri" w:hAnsi="Times New Roman" w:cs="Times New Roman"/>
          <w:noProof/>
          <w:sz w:val="24"/>
        </w:rPr>
        <w:t xml:space="preserve">(material scope): </w:t>
      </w:r>
    </w:p>
    <w:p w:rsidR="001B65FF" w:rsidRDefault="003E4EF4">
      <w:pPr>
        <w:numPr>
          <w:ilvl w:val="1"/>
          <w:numId w:val="22"/>
        </w:numPr>
        <w:tabs>
          <w:tab w:val="left" w:pos="90"/>
        </w:tabs>
        <w:spacing w:after="0"/>
        <w:ind w:left="117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Types</w:t>
      </w:r>
      <w:r>
        <w:rPr>
          <w:rFonts w:ascii="Times New Roman" w:eastAsia="Calibri" w:hAnsi="Times New Roman" w:cs="Times New Roman"/>
          <w:noProof/>
          <w:sz w:val="24"/>
        </w:rPr>
        <w:t xml:space="preserve"> of data</w:t>
      </w:r>
      <w:r>
        <w:rPr>
          <w:rFonts w:ascii="Times New Roman" w:eastAsia="Calibri" w:hAnsi="Times New Roman" w:cs="Times New Roman"/>
          <w:noProof/>
          <w:sz w:val="24"/>
          <w:szCs w:val="20"/>
          <w:vertAlign w:val="superscript"/>
        </w:rPr>
        <w:footnoteReference w:id="68"/>
      </w:r>
      <w:r>
        <w:rPr>
          <w:rFonts w:ascii="Times New Roman" w:eastAsia="Calibri" w:hAnsi="Times New Roman" w:cs="Times New Roman"/>
          <w:noProof/>
          <w:sz w:val="24"/>
        </w:rPr>
        <w:t>:</w:t>
      </w:r>
    </w:p>
    <w:p w:rsidR="001B65FF" w:rsidRDefault="003E4EF4">
      <w:pPr>
        <w:numPr>
          <w:ilvl w:val="2"/>
          <w:numId w:val="22"/>
        </w:numPr>
        <w:tabs>
          <w:tab w:val="left" w:pos="90"/>
        </w:tabs>
        <w:ind w:left="189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Non-content</w:t>
      </w:r>
      <w:r>
        <w:rPr>
          <w:rFonts w:ascii="Times New Roman" w:eastAsia="Calibri" w:hAnsi="Times New Roman" w:cs="Times New Roman"/>
          <w:noProof/>
          <w:sz w:val="24"/>
        </w:rPr>
        <w:t xml:space="preserve"> data:</w:t>
      </w:r>
    </w:p>
    <w:p w:rsidR="001B65FF" w:rsidRDefault="003E4EF4">
      <w:pPr>
        <w:numPr>
          <w:ilvl w:val="3"/>
          <w:numId w:val="22"/>
        </w:numPr>
        <w:tabs>
          <w:tab w:val="left" w:pos="90"/>
        </w:tabs>
        <w:ind w:left="261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Subscriber data</w:t>
      </w:r>
      <w:r>
        <w:rPr>
          <w:rFonts w:ascii="Times New Roman" w:eastAsia="Calibri" w:hAnsi="Times New Roman" w:cs="Times New Roman"/>
          <w:noProof/>
          <w:sz w:val="24"/>
        </w:rPr>
        <w:t xml:space="preserve">, which allows the identification of a subscriber to a service. Examples: subscriber’s </w:t>
      </w:r>
      <w:r>
        <w:rPr>
          <w:rFonts w:ascii="Times New Roman" w:eastAsia="Calibri" w:hAnsi="Times New Roman" w:cs="Times New Roman"/>
          <w:noProof/>
          <w:sz w:val="24"/>
        </w:rPr>
        <w:t>name, address, telephone number.</w:t>
      </w:r>
    </w:p>
    <w:p w:rsidR="001B65FF" w:rsidRDefault="003E4EF4">
      <w:pPr>
        <w:numPr>
          <w:ilvl w:val="3"/>
          <w:numId w:val="22"/>
        </w:numPr>
        <w:tabs>
          <w:tab w:val="left" w:pos="90"/>
        </w:tabs>
        <w:ind w:left="261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Metadata</w:t>
      </w:r>
      <w:r>
        <w:rPr>
          <w:rFonts w:ascii="Times New Roman" w:eastAsia="Calibri" w:hAnsi="Times New Roman" w:cs="Times New Roman"/>
          <w:noProof/>
          <w:sz w:val="24"/>
        </w:rPr>
        <w:t>, which relates to the provision of services and includes “electronic communication metadata”, as defined in the ePrivacy proposal</w:t>
      </w:r>
      <w:r>
        <w:rPr>
          <w:rStyle w:val="FootnoteReference"/>
          <w:rFonts w:ascii="Times New Roman" w:eastAsia="Calibri" w:hAnsi="Times New Roman" w:cs="Times New Roman"/>
          <w:noProof/>
          <w:sz w:val="24"/>
        </w:rPr>
        <w:footnoteReference w:id="69"/>
      </w:r>
      <w:r>
        <w:rPr>
          <w:rFonts w:ascii="Times New Roman" w:eastAsia="Calibri" w:hAnsi="Times New Roman" w:cs="Times New Roman"/>
          <w:noProof/>
          <w:sz w:val="24"/>
        </w:rPr>
        <w:t>. Examples: data relative to the connection, traffic or location of the communicatio</w:t>
      </w:r>
      <w:r>
        <w:rPr>
          <w:rFonts w:ascii="Times New Roman" w:eastAsia="Calibri" w:hAnsi="Times New Roman" w:cs="Times New Roman"/>
          <w:noProof/>
          <w:sz w:val="24"/>
        </w:rPr>
        <w:t>n.</w:t>
      </w:r>
      <w:r>
        <w:rPr>
          <w:rFonts w:ascii="Times New Roman" w:eastAsia="Calibri" w:hAnsi="Times New Roman" w:cs="Times New Roman"/>
          <w:b/>
          <w:noProof/>
          <w:sz w:val="24"/>
        </w:rPr>
        <w:t xml:space="preserve"> </w:t>
      </w:r>
    </w:p>
    <w:p w:rsidR="001B65FF" w:rsidRDefault="003E4EF4">
      <w:pPr>
        <w:numPr>
          <w:ilvl w:val="3"/>
          <w:numId w:val="22"/>
        </w:numPr>
        <w:tabs>
          <w:tab w:val="left" w:pos="90"/>
        </w:tabs>
        <w:ind w:left="2610"/>
        <w:contextualSpacing/>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Access logs, </w:t>
      </w:r>
      <w:r>
        <w:rPr>
          <w:rFonts w:ascii="Times New Roman" w:eastAsia="Calibri" w:hAnsi="Times New Roman" w:cs="Times New Roman"/>
          <w:noProof/>
          <w:sz w:val="24"/>
        </w:rPr>
        <w:t>which record the time and date an individual has accessed a service, and the IP address from which the service was accessed;</w:t>
      </w:r>
    </w:p>
    <w:p w:rsidR="001B65FF" w:rsidRDefault="003E4EF4">
      <w:pPr>
        <w:numPr>
          <w:ilvl w:val="3"/>
          <w:numId w:val="22"/>
        </w:numPr>
        <w:tabs>
          <w:tab w:val="left" w:pos="90"/>
        </w:tabs>
        <w:ind w:left="2610"/>
        <w:contextualSpacing/>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Transaction logs, </w:t>
      </w:r>
      <w:r>
        <w:rPr>
          <w:rFonts w:ascii="Times New Roman" w:eastAsia="Calibri" w:hAnsi="Times New Roman" w:cs="Times New Roman"/>
          <w:noProof/>
          <w:sz w:val="24"/>
        </w:rPr>
        <w:t xml:space="preserve">which identify products or services an individual has obtained from a provider or a third party </w:t>
      </w:r>
      <w:r>
        <w:rPr>
          <w:rFonts w:ascii="Times New Roman" w:eastAsia="Calibri" w:hAnsi="Times New Roman" w:cs="Times New Roman"/>
          <w:noProof/>
          <w:sz w:val="24"/>
        </w:rPr>
        <w:t>(e.g. purchase of cloud storage space)</w:t>
      </w:r>
      <w:r>
        <w:rPr>
          <w:rFonts w:ascii="Times New Roman" w:eastAsia="Calibri" w:hAnsi="Times New Roman" w:cs="Times New Roman"/>
          <w:b/>
          <w:noProof/>
          <w:sz w:val="24"/>
        </w:rPr>
        <w:t>.</w:t>
      </w:r>
    </w:p>
    <w:p w:rsidR="001B65FF" w:rsidRDefault="003E4EF4">
      <w:pPr>
        <w:numPr>
          <w:ilvl w:val="2"/>
          <w:numId w:val="22"/>
        </w:numPr>
        <w:tabs>
          <w:tab w:val="left" w:pos="90"/>
        </w:tabs>
        <w:ind w:left="189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Content</w:t>
      </w:r>
      <w:r>
        <w:rPr>
          <w:rFonts w:ascii="Times New Roman" w:eastAsia="Calibri" w:hAnsi="Times New Roman" w:cs="Times New Roman"/>
          <w:noProof/>
          <w:sz w:val="24"/>
        </w:rPr>
        <w:t xml:space="preserve"> data. Examples: text, voice, videos, images, and sound stored in in a digital format, other than subscriber or metadata.</w:t>
      </w:r>
    </w:p>
    <w:p w:rsidR="001B65FF" w:rsidRDefault="003E4EF4">
      <w:pPr>
        <w:tabs>
          <w:tab w:val="left" w:pos="90"/>
        </w:tabs>
        <w:spacing w:after="0"/>
        <w:ind w:left="117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 type of data may imply different treatment by existing rules and different procedur</w:t>
      </w:r>
      <w:r>
        <w:rPr>
          <w:rFonts w:ascii="Times New Roman" w:eastAsia="Calibri" w:hAnsi="Times New Roman" w:cs="Times New Roman"/>
          <w:noProof/>
          <w:sz w:val="24"/>
        </w:rPr>
        <w:t xml:space="preserve">es to access it. Each of the above categories may contain </w:t>
      </w:r>
      <w:r>
        <w:rPr>
          <w:rFonts w:ascii="Times New Roman" w:eastAsia="Calibri" w:hAnsi="Times New Roman" w:cs="Times New Roman"/>
          <w:b/>
          <w:noProof/>
          <w:sz w:val="24"/>
        </w:rPr>
        <w:t>personal data</w:t>
      </w:r>
      <w:r>
        <w:rPr>
          <w:rFonts w:ascii="Times New Roman" w:eastAsia="Calibri" w:hAnsi="Times New Roman" w:cs="Times New Roman"/>
          <w:noProof/>
          <w:sz w:val="24"/>
        </w:rPr>
        <w:t xml:space="preserve">, and are thus covered by the safeguards under the EU data protection acquis, but the intensity of the impact on </w:t>
      </w:r>
      <w:r>
        <w:rPr>
          <w:rFonts w:ascii="Times New Roman" w:eastAsia="Calibri" w:hAnsi="Times New Roman" w:cs="Times New Roman"/>
          <w:b/>
          <w:noProof/>
          <w:sz w:val="24"/>
        </w:rPr>
        <w:t>fundamental rights</w:t>
      </w:r>
      <w:r>
        <w:rPr>
          <w:rFonts w:ascii="Times New Roman" w:eastAsia="Calibri" w:hAnsi="Times New Roman" w:cs="Times New Roman"/>
          <w:noProof/>
          <w:sz w:val="24"/>
        </w:rPr>
        <w:t xml:space="preserve"> varies between them, in particular between subscriber</w:t>
      </w:r>
      <w:r>
        <w:rPr>
          <w:rFonts w:ascii="Times New Roman" w:eastAsia="Calibri" w:hAnsi="Times New Roman" w:cs="Times New Roman"/>
          <w:noProof/>
          <w:sz w:val="24"/>
        </w:rPr>
        <w:t xml:space="preserve"> data on the one hand and metadata and content data on the other. Appropriate safeguards need to be provided in accordance with the level of </w:t>
      </w:r>
      <w:r>
        <w:rPr>
          <w:rFonts w:ascii="Times New Roman" w:eastAsia="Calibri" w:hAnsi="Times New Roman" w:cs="Times New Roman"/>
          <w:b/>
          <w:noProof/>
          <w:sz w:val="24"/>
        </w:rPr>
        <w:t>sensitivity</w:t>
      </w:r>
      <w:r>
        <w:rPr>
          <w:rFonts w:ascii="Times New Roman" w:eastAsia="Calibri" w:hAnsi="Times New Roman" w:cs="Times New Roman"/>
          <w:noProof/>
          <w:sz w:val="24"/>
        </w:rPr>
        <w:t>. The sensitivity of the data can also depend on the volume requested; large volumes of specific types o</w:t>
      </w:r>
      <w:r>
        <w:rPr>
          <w:rFonts w:ascii="Times New Roman" w:eastAsia="Calibri" w:hAnsi="Times New Roman" w:cs="Times New Roman"/>
          <w:noProof/>
          <w:sz w:val="24"/>
        </w:rPr>
        <w:t>f metadata can allow for the profiling of individuals, especially with respect to location, and hence require more safeguards as compared to smaller amounts or different kinds of metadata</w:t>
      </w:r>
      <w:r>
        <w:rPr>
          <w:rStyle w:val="FootnoteReference"/>
          <w:rFonts w:ascii="Times New Roman" w:eastAsia="Calibri" w:hAnsi="Times New Roman" w:cs="Times New Roman"/>
          <w:noProof/>
          <w:sz w:val="24"/>
        </w:rPr>
        <w:footnoteReference w:id="70"/>
      </w:r>
      <w:r>
        <w:rPr>
          <w:rFonts w:ascii="Times New Roman" w:eastAsia="Calibri" w:hAnsi="Times New Roman" w:cs="Times New Roman"/>
          <w:noProof/>
          <w:sz w:val="24"/>
        </w:rPr>
        <w:t xml:space="preserve">.   </w:t>
      </w:r>
    </w:p>
    <w:p w:rsidR="001B65FF" w:rsidRDefault="003E4EF4">
      <w:pPr>
        <w:tabs>
          <w:tab w:val="left" w:pos="90"/>
        </w:tabs>
        <w:spacing w:before="240" w:after="0"/>
        <w:ind w:left="1134" w:hanging="414"/>
        <w:contextualSpacing/>
        <w:jc w:val="both"/>
        <w:rPr>
          <w:rFonts w:ascii="Times New Roman" w:eastAsia="Calibri" w:hAnsi="Times New Roman" w:cs="Times New Roman"/>
          <w:noProof/>
          <w:sz w:val="24"/>
        </w:rPr>
      </w:pPr>
      <w:r>
        <w:rPr>
          <w:rFonts w:ascii="Times New Roman" w:eastAsia="Calibri" w:hAnsi="Times New Roman" w:cs="Times New Roman"/>
          <w:noProof/>
          <w:sz w:val="24"/>
        </w:rPr>
        <w:tab/>
        <w:t xml:space="preserve">The above categories are all relevant for different purposes. </w:t>
      </w:r>
      <w:r>
        <w:rPr>
          <w:rFonts w:ascii="Times New Roman" w:eastAsia="Calibri" w:hAnsi="Times New Roman" w:cs="Times New Roman"/>
          <w:noProof/>
          <w:sz w:val="24"/>
        </w:rPr>
        <w:t xml:space="preserve">Leaving any of them outside the scope would greatly diminish the effectiveness of the initiative. </w:t>
      </w:r>
    </w:p>
    <w:p w:rsidR="001B65FF" w:rsidRDefault="001B65FF">
      <w:pPr>
        <w:tabs>
          <w:tab w:val="left" w:pos="90"/>
        </w:tabs>
        <w:spacing w:before="240" w:after="0"/>
        <w:ind w:left="1134" w:hanging="414"/>
        <w:contextualSpacing/>
        <w:jc w:val="both"/>
        <w:rPr>
          <w:rFonts w:ascii="Times New Roman" w:eastAsia="Calibri" w:hAnsi="Times New Roman" w:cs="Times New Roman"/>
          <w:noProof/>
          <w:sz w:val="24"/>
        </w:rPr>
      </w:pPr>
    </w:p>
    <w:p w:rsidR="001B65FF" w:rsidRDefault="003E4EF4">
      <w:pPr>
        <w:numPr>
          <w:ilvl w:val="0"/>
          <w:numId w:val="72"/>
        </w:numPr>
        <w:tabs>
          <w:tab w:val="left" w:pos="90"/>
          <w:tab w:val="left" w:pos="630"/>
        </w:tabs>
        <w:ind w:left="117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Stored vs intercept</w:t>
      </w:r>
      <w:r>
        <w:rPr>
          <w:rFonts w:ascii="Times New Roman" w:eastAsia="Calibri" w:hAnsi="Times New Roman" w:cs="Times New Roman"/>
          <w:noProof/>
          <w:sz w:val="24"/>
        </w:rPr>
        <w:t xml:space="preserve">: </w:t>
      </w:r>
    </w:p>
    <w:p w:rsidR="001B65FF" w:rsidRDefault="003E4EF4">
      <w:pPr>
        <w:numPr>
          <w:ilvl w:val="2"/>
          <w:numId w:val="22"/>
        </w:numPr>
        <w:tabs>
          <w:tab w:val="left" w:pos="90"/>
          <w:tab w:val="left" w:pos="630"/>
        </w:tabs>
        <w:ind w:left="189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All the data above refers to electronically </w:t>
      </w:r>
      <w:r>
        <w:rPr>
          <w:rFonts w:ascii="Times New Roman" w:eastAsia="Calibri" w:hAnsi="Times New Roman" w:cs="Times New Roman"/>
          <w:b/>
          <w:noProof/>
          <w:sz w:val="24"/>
        </w:rPr>
        <w:t xml:space="preserve">stored data </w:t>
      </w:r>
      <w:r>
        <w:rPr>
          <w:rFonts w:ascii="Times New Roman" w:eastAsia="Calibri" w:hAnsi="Times New Roman" w:cs="Times New Roman"/>
          <w:noProof/>
          <w:sz w:val="24"/>
        </w:rPr>
        <w:t>that already exists</w:t>
      </w:r>
      <w:r>
        <w:rPr>
          <w:rFonts w:ascii="Times New Roman" w:eastAsia="Calibri" w:hAnsi="Times New Roman" w:cs="Times New Roman"/>
          <w:b/>
          <w:noProof/>
          <w:sz w:val="24"/>
        </w:rPr>
        <w:t>.</w:t>
      </w:r>
      <w:r>
        <w:rPr>
          <w:rFonts w:ascii="Times New Roman" w:eastAsia="Calibri" w:hAnsi="Times New Roman" w:cs="Times New Roman"/>
          <w:noProof/>
          <w:sz w:val="24"/>
        </w:rPr>
        <w:t xml:space="preserve"> </w:t>
      </w:r>
    </w:p>
    <w:p w:rsidR="001B65FF" w:rsidRDefault="003E4EF4">
      <w:pPr>
        <w:numPr>
          <w:ilvl w:val="2"/>
          <w:numId w:val="22"/>
        </w:numPr>
        <w:tabs>
          <w:tab w:val="left" w:pos="90"/>
          <w:tab w:val="left" w:pos="630"/>
        </w:tabs>
        <w:ind w:left="189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Intercept data</w:t>
      </w:r>
      <w:r>
        <w:rPr>
          <w:rFonts w:ascii="Times New Roman" w:eastAsia="Calibri" w:hAnsi="Times New Roman" w:cs="Times New Roman"/>
          <w:noProof/>
          <w:sz w:val="24"/>
        </w:rPr>
        <w:t xml:space="preserve"> (i.e. data from real-time interception of telecommunications) is </w:t>
      </w:r>
      <w:r>
        <w:rPr>
          <w:rFonts w:ascii="Times New Roman" w:eastAsia="Calibri" w:hAnsi="Times New Roman" w:cs="Times New Roman"/>
          <w:b/>
          <w:noProof/>
          <w:sz w:val="24"/>
        </w:rPr>
        <w:t>out of the scope</w:t>
      </w:r>
      <w:r>
        <w:rPr>
          <w:rFonts w:ascii="Times New Roman" w:eastAsia="Calibri" w:hAnsi="Times New Roman" w:cs="Times New Roman"/>
          <w:noProof/>
          <w:sz w:val="24"/>
        </w:rPr>
        <w:t xml:space="preserve"> of this initiative as there are specific and significantly different rules that determine access to that data (see measures discarded at an early stage, section 5.3.).</w:t>
      </w:r>
      <w:r>
        <w:rPr>
          <w:rFonts w:ascii="Times New Roman" w:eastAsia="Calibri" w:hAnsi="Times New Roman" w:cs="Times New Roman"/>
          <w:noProof/>
          <w:sz w:val="24"/>
        </w:rPr>
        <w:tab/>
      </w:r>
    </w:p>
    <w:p w:rsidR="001B65FF" w:rsidRDefault="003E4EF4">
      <w:pPr>
        <w:numPr>
          <w:ilvl w:val="1"/>
          <w:numId w:val="22"/>
        </w:numPr>
        <w:tabs>
          <w:tab w:val="left" w:pos="90"/>
        </w:tabs>
        <w:ind w:left="1170"/>
        <w:contextualSpacing/>
        <w:jc w:val="both"/>
        <w:rPr>
          <w:rFonts w:ascii="Times New Roman" w:eastAsia="Calibri" w:hAnsi="Times New Roman" w:cs="Times New Roman"/>
          <w:noProof/>
          <w:sz w:val="24"/>
          <w:lang w:val="fr-BE"/>
        </w:rPr>
      </w:pPr>
      <w:r>
        <w:rPr>
          <w:rFonts w:ascii="Times New Roman" w:eastAsia="Calibri" w:hAnsi="Times New Roman" w:cs="Times New Roman"/>
          <w:b/>
          <w:noProof/>
          <w:sz w:val="24"/>
          <w:lang w:val="fr-BE"/>
        </w:rPr>
        <w:t>Conc</w:t>
      </w:r>
      <w:r>
        <w:rPr>
          <w:rFonts w:ascii="Times New Roman" w:eastAsia="Calibri" w:hAnsi="Times New Roman" w:cs="Times New Roman"/>
          <w:b/>
          <w:noProof/>
          <w:sz w:val="24"/>
          <w:lang w:val="fr-BE"/>
        </w:rPr>
        <w:t>rete criminal offence vs mass surveillance</w:t>
      </w:r>
      <w:r>
        <w:rPr>
          <w:rFonts w:ascii="Times New Roman" w:eastAsia="Calibri" w:hAnsi="Times New Roman" w:cs="Times New Roman"/>
          <w:noProof/>
          <w:sz w:val="24"/>
          <w:lang w:val="fr-BE"/>
        </w:rPr>
        <w:t>:</w:t>
      </w:r>
    </w:p>
    <w:p w:rsidR="001B65FF" w:rsidRDefault="003E4EF4">
      <w:pPr>
        <w:numPr>
          <w:ilvl w:val="2"/>
          <w:numId w:val="22"/>
        </w:numPr>
        <w:tabs>
          <w:tab w:val="left" w:pos="90"/>
        </w:tabs>
        <w:ind w:left="189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This initiative concerns cross-border access to e-evidence in the framework of criminal investigations or criminal proceedings for </w:t>
      </w:r>
      <w:r>
        <w:rPr>
          <w:rFonts w:ascii="Times New Roman" w:eastAsia="Calibri" w:hAnsi="Times New Roman" w:cs="Times New Roman"/>
          <w:b/>
          <w:noProof/>
          <w:sz w:val="24"/>
        </w:rPr>
        <w:t>concrete criminal offences</w:t>
      </w:r>
      <w:r>
        <w:rPr>
          <w:rFonts w:ascii="Times New Roman" w:eastAsia="Calibri" w:hAnsi="Times New Roman" w:cs="Times New Roman"/>
          <w:noProof/>
          <w:sz w:val="24"/>
        </w:rPr>
        <w:t>, which ensures the application of procedural guarantee</w:t>
      </w:r>
      <w:r>
        <w:rPr>
          <w:rFonts w:ascii="Times New Roman" w:eastAsia="Calibri" w:hAnsi="Times New Roman" w:cs="Times New Roman"/>
          <w:noProof/>
          <w:sz w:val="24"/>
        </w:rPr>
        <w:t xml:space="preserve">s. </w:t>
      </w:r>
    </w:p>
    <w:p w:rsidR="001B65FF" w:rsidRDefault="003E4EF4">
      <w:pPr>
        <w:numPr>
          <w:ilvl w:val="2"/>
          <w:numId w:val="22"/>
        </w:numPr>
        <w:tabs>
          <w:tab w:val="left" w:pos="90"/>
        </w:tabs>
        <w:ind w:left="189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Other situations not linked to a concrete investigation, such as </w:t>
      </w:r>
      <w:r>
        <w:rPr>
          <w:rFonts w:ascii="Times New Roman" w:eastAsia="Calibri" w:hAnsi="Times New Roman" w:cs="Times New Roman"/>
          <w:b/>
          <w:noProof/>
          <w:sz w:val="24"/>
        </w:rPr>
        <w:t>intelligence or mass surveillance</w:t>
      </w:r>
      <w:r>
        <w:rPr>
          <w:rFonts w:ascii="Times New Roman" w:eastAsia="Calibri" w:hAnsi="Times New Roman" w:cs="Times New Roman"/>
          <w:noProof/>
          <w:sz w:val="24"/>
        </w:rPr>
        <w:t>, are out of scope.</w:t>
      </w:r>
    </w:p>
    <w:p w:rsidR="001B65FF" w:rsidRDefault="003E4EF4">
      <w:pPr>
        <w:numPr>
          <w:ilvl w:val="1"/>
          <w:numId w:val="22"/>
        </w:numPr>
        <w:tabs>
          <w:tab w:val="left" w:pos="90"/>
        </w:tabs>
        <w:ind w:left="117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All data areas</w:t>
      </w:r>
      <w:r>
        <w:rPr>
          <w:rFonts w:ascii="Times New Roman" w:eastAsia="Calibri" w:hAnsi="Times New Roman" w:cs="Times New Roman"/>
          <w:noProof/>
          <w:sz w:val="24"/>
        </w:rPr>
        <w:t xml:space="preserve"> are within the scope of the initiative.</w:t>
      </w:r>
      <w:r>
        <w:rPr>
          <w:rFonts w:ascii="Times New Roman" w:eastAsia="Calibri" w:hAnsi="Times New Roman" w:cs="Times New Roman"/>
          <w:noProof/>
          <w:sz w:val="24"/>
        </w:rPr>
        <w:tab/>
      </w:r>
    </w:p>
    <w:p w:rsidR="001B65FF" w:rsidRDefault="003E4EF4">
      <w:pPr>
        <w:numPr>
          <w:ilvl w:val="1"/>
          <w:numId w:val="22"/>
        </w:numPr>
        <w:tabs>
          <w:tab w:val="left" w:pos="90"/>
        </w:tabs>
        <w:ind w:left="117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Types of </w:t>
      </w:r>
      <w:r>
        <w:rPr>
          <w:rFonts w:ascii="Times New Roman" w:eastAsia="Calibri" w:hAnsi="Times New Roman" w:cs="Times New Roman"/>
          <w:b/>
          <w:noProof/>
          <w:sz w:val="24"/>
        </w:rPr>
        <w:t>crimes</w:t>
      </w:r>
      <w:r>
        <w:rPr>
          <w:rFonts w:ascii="Times New Roman" w:eastAsia="Calibri" w:hAnsi="Times New Roman" w:cs="Times New Roman"/>
          <w:noProof/>
          <w:sz w:val="24"/>
        </w:rPr>
        <w:t>:</w:t>
      </w:r>
    </w:p>
    <w:p w:rsidR="001B65FF" w:rsidRDefault="003E4EF4">
      <w:pPr>
        <w:numPr>
          <w:ilvl w:val="2"/>
          <w:numId w:val="22"/>
        </w:numPr>
        <w:tabs>
          <w:tab w:val="left" w:pos="90"/>
        </w:tabs>
        <w:ind w:left="189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All crimes</w:t>
      </w:r>
      <w:r>
        <w:rPr>
          <w:rFonts w:ascii="Times New Roman" w:eastAsia="Calibri" w:hAnsi="Times New Roman" w:cs="Times New Roman"/>
          <w:noProof/>
          <w:sz w:val="24"/>
        </w:rPr>
        <w:t xml:space="preserve"> in the areas within the scope of the initiative ar</w:t>
      </w:r>
      <w:r>
        <w:rPr>
          <w:rFonts w:ascii="Times New Roman" w:eastAsia="Calibri" w:hAnsi="Times New Roman" w:cs="Times New Roman"/>
          <w:noProof/>
          <w:sz w:val="24"/>
        </w:rPr>
        <w:t xml:space="preserve">e covered. The initiative is </w:t>
      </w:r>
      <w:r>
        <w:rPr>
          <w:rFonts w:ascii="Times New Roman" w:eastAsia="Calibri" w:hAnsi="Times New Roman" w:cs="Times New Roman"/>
          <w:b/>
          <w:noProof/>
          <w:sz w:val="24"/>
        </w:rPr>
        <w:t>not limited to serious crimes</w:t>
      </w:r>
      <w:r>
        <w:rPr>
          <w:rFonts w:ascii="Times New Roman" w:eastAsia="Calibri" w:hAnsi="Times New Roman" w:cs="Times New Roman"/>
          <w:noProof/>
          <w:sz w:val="24"/>
        </w:rPr>
        <w:t>, as the problem of cross-border access to e-evidence in criminal investigations is relevant for all crimes.</w:t>
      </w:r>
      <w:r>
        <w:rPr>
          <w:rFonts w:ascii="Times New Roman" w:eastAsia="Calibri" w:hAnsi="Times New Roman" w:cs="Times New Roman"/>
          <w:noProof/>
          <w:sz w:val="24"/>
          <w:vertAlign w:val="superscript"/>
        </w:rPr>
        <w:footnoteReference w:id="71"/>
      </w:r>
      <w:r>
        <w:rPr>
          <w:rFonts w:ascii="Times New Roman" w:eastAsia="Calibri" w:hAnsi="Times New Roman" w:cs="Times New Roman"/>
          <w:noProof/>
          <w:sz w:val="24"/>
        </w:rPr>
        <w:t xml:space="preserve"> </w:t>
      </w:r>
    </w:p>
    <w:p w:rsidR="001B65FF" w:rsidRDefault="001B65FF">
      <w:pPr>
        <w:tabs>
          <w:tab w:val="left" w:pos="90"/>
        </w:tabs>
        <w:ind w:left="1170"/>
        <w:contextualSpacing/>
        <w:jc w:val="both"/>
        <w:rPr>
          <w:rFonts w:ascii="Times New Roman" w:eastAsia="Calibri" w:hAnsi="Times New Roman" w:cs="Times New Roman"/>
          <w:i/>
          <w:noProof/>
          <w:sz w:val="24"/>
        </w:rPr>
      </w:pPr>
    </w:p>
    <w:p w:rsidR="001B65FF" w:rsidRDefault="003E4EF4">
      <w:pPr>
        <w:numPr>
          <w:ilvl w:val="0"/>
          <w:numId w:val="22"/>
        </w:numPr>
        <w:tabs>
          <w:tab w:val="left" w:pos="90"/>
          <w:tab w:val="left" w:pos="630"/>
        </w:tabs>
        <w:ind w:left="45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 xml:space="preserve">Providers </w:t>
      </w:r>
      <w:r>
        <w:rPr>
          <w:rFonts w:ascii="Times New Roman" w:eastAsia="Calibri" w:hAnsi="Times New Roman" w:cs="Times New Roman"/>
          <w:noProof/>
          <w:sz w:val="24"/>
        </w:rPr>
        <w:t xml:space="preserve">of the following services (personal scope): </w:t>
      </w:r>
    </w:p>
    <w:p w:rsidR="001B65FF" w:rsidRDefault="003E4EF4">
      <w:pPr>
        <w:numPr>
          <w:ilvl w:val="1"/>
          <w:numId w:val="22"/>
        </w:numPr>
        <w:tabs>
          <w:tab w:val="left" w:pos="90"/>
        </w:tabs>
        <w:ind w:left="117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electronic communications</w:t>
      </w:r>
      <w:r>
        <w:rPr>
          <w:rFonts w:ascii="Times New Roman" w:eastAsia="Calibri" w:hAnsi="Times New Roman" w:cs="Times New Roman"/>
          <w:noProof/>
          <w:sz w:val="24"/>
        </w:rPr>
        <w:t xml:space="preserve"> services as defined in the proposal for a Directive establishing the European Electronic Communications Code</w:t>
      </w:r>
      <w:r>
        <w:rPr>
          <w:rStyle w:val="FootnoteReference"/>
          <w:rFonts w:ascii="Times New Roman" w:eastAsia="Calibri" w:hAnsi="Times New Roman" w:cs="Times New Roman"/>
          <w:noProof/>
          <w:sz w:val="24"/>
        </w:rPr>
        <w:footnoteReference w:id="72"/>
      </w:r>
      <w:r>
        <w:rPr>
          <w:rFonts w:ascii="Times New Roman" w:eastAsia="Calibri" w:hAnsi="Times New Roman" w:cs="Times New Roman"/>
          <w:noProof/>
          <w:sz w:val="24"/>
        </w:rPr>
        <w:t xml:space="preserve">. The revised definition of electronic communications services covers both traditional telecommunication services (example: voice telephony, SMS, </w:t>
      </w:r>
      <w:r>
        <w:rPr>
          <w:rFonts w:ascii="Times New Roman" w:eastAsia="Calibri" w:hAnsi="Times New Roman" w:cs="Times New Roman"/>
          <w:noProof/>
          <w:sz w:val="24"/>
        </w:rPr>
        <w:t>internet access service) as well as new internet-based services enabling inter-personal communications such as voice over IP, instant messaging and web-based email services (Over-the-Top communications services, 'OTTs'). These OTTs are in general not subje</w:t>
      </w:r>
      <w:r>
        <w:rPr>
          <w:rFonts w:ascii="Times New Roman" w:eastAsia="Calibri" w:hAnsi="Times New Roman" w:cs="Times New Roman"/>
          <w:noProof/>
          <w:sz w:val="24"/>
        </w:rPr>
        <w:t>ct to the current EU electronic communications framework (i.e. Directive 2002/21/EC</w:t>
      </w:r>
      <w:r>
        <w:rPr>
          <w:rStyle w:val="FootnoteReference"/>
          <w:rFonts w:ascii="Times New Roman" w:eastAsia="Calibri" w:hAnsi="Times New Roman" w:cs="Times New Roman"/>
          <w:noProof/>
          <w:sz w:val="24"/>
        </w:rPr>
        <w:footnoteReference w:id="73"/>
      </w:r>
      <w:r>
        <w:rPr>
          <w:rFonts w:ascii="Times New Roman" w:eastAsia="Calibri" w:hAnsi="Times New Roman" w:cs="Times New Roman"/>
          <w:noProof/>
          <w:sz w:val="24"/>
        </w:rPr>
        <w:t>), including the current ePrivacy Directive, which in general applies only to traditional telecommunication services. In line with the expansion of the EU electronic commun</w:t>
      </w:r>
      <w:r>
        <w:rPr>
          <w:rFonts w:ascii="Times New Roman" w:eastAsia="Calibri" w:hAnsi="Times New Roman" w:cs="Times New Roman"/>
          <w:noProof/>
          <w:sz w:val="24"/>
        </w:rPr>
        <w:t>ications and ePrivacy framework, OTTs should be covered by this initiative as well (e.g. Gmail, WhatsApp);</w:t>
      </w:r>
    </w:p>
    <w:p w:rsidR="001B65FF" w:rsidRDefault="003E4EF4">
      <w:pPr>
        <w:numPr>
          <w:ilvl w:val="1"/>
          <w:numId w:val="22"/>
        </w:numPr>
        <w:tabs>
          <w:tab w:val="left" w:pos="90"/>
        </w:tabs>
        <w:ind w:left="1170"/>
        <w:contextualSpacing/>
        <w:jc w:val="both"/>
        <w:rPr>
          <w:rFonts w:ascii="Times New Roman" w:eastAsia="Calibri" w:hAnsi="Times New Roman" w:cs="Times New Roman"/>
          <w:noProof/>
          <w:sz w:val="24"/>
        </w:rPr>
      </w:pPr>
      <w:r>
        <w:rPr>
          <w:rFonts w:ascii="Times New Roman" w:eastAsia="Times New Roman" w:hAnsi="Times New Roman" w:cs="Times New Roman"/>
          <w:b/>
          <w:noProof/>
          <w:color w:val="000000"/>
          <w:sz w:val="24"/>
          <w:szCs w:val="24"/>
        </w:rPr>
        <w:t>information society</w:t>
      </w:r>
      <w:r>
        <w:rPr>
          <w:rFonts w:ascii="Times New Roman" w:eastAsia="Times New Roman" w:hAnsi="Times New Roman" w:cs="Times New Roman"/>
          <w:noProof/>
          <w:color w:val="000000"/>
          <w:sz w:val="24"/>
          <w:szCs w:val="24"/>
        </w:rPr>
        <w:t xml:space="preserve"> services as defined in the Directive 98/34/EC</w:t>
      </w:r>
      <w:r>
        <w:rPr>
          <w:rStyle w:val="FootnoteReference"/>
          <w:rFonts w:ascii="Times New Roman" w:eastAsia="Times New Roman" w:hAnsi="Times New Roman" w:cs="Times New Roman"/>
          <w:noProof/>
          <w:color w:val="000000"/>
          <w:sz w:val="24"/>
          <w:szCs w:val="24"/>
        </w:rPr>
        <w:footnoteReference w:id="74"/>
      </w:r>
      <w:r>
        <w:rPr>
          <w:rFonts w:ascii="Times New Roman" w:eastAsia="Times New Roman" w:hAnsi="Times New Roman" w:cs="Times New Roman"/>
          <w:noProof/>
          <w:color w:val="000000"/>
          <w:sz w:val="24"/>
          <w:szCs w:val="24"/>
        </w:rPr>
        <w:t xml:space="preserve"> that store data at the individual request of a recipient of a service; this includes a variety of known services providers such as social networks (e.g. Facebook and Twitter)</w:t>
      </w:r>
      <w:r>
        <w:rPr>
          <w:rFonts w:ascii="Times New Roman" w:eastAsia="Times New Roman" w:hAnsi="Times New Roman" w:cs="Times New Roman"/>
          <w:b/>
          <w:noProof/>
          <w:color w:val="000000"/>
          <w:sz w:val="24"/>
          <w:szCs w:val="24"/>
        </w:rPr>
        <w:t xml:space="preserve">, cloud </w:t>
      </w:r>
      <w:r>
        <w:rPr>
          <w:rFonts w:ascii="Times New Roman" w:eastAsia="Times New Roman" w:hAnsi="Times New Roman" w:cs="Times New Roman"/>
          <w:noProof/>
          <w:color w:val="000000"/>
          <w:sz w:val="24"/>
          <w:szCs w:val="24"/>
        </w:rPr>
        <w:t>services (e.g. Microsoft, Dropbox or Amazon Web Services), online marketp</w:t>
      </w:r>
      <w:r>
        <w:rPr>
          <w:rFonts w:ascii="Times New Roman" w:eastAsia="Times New Roman" w:hAnsi="Times New Roman" w:cs="Times New Roman"/>
          <w:noProof/>
          <w:color w:val="000000"/>
          <w:sz w:val="24"/>
          <w:szCs w:val="24"/>
        </w:rPr>
        <w:t>laces (e.g. eBay or Amazon marketplace) or o</w:t>
      </w:r>
      <w:r>
        <w:rPr>
          <w:rFonts w:ascii="Times New Roman" w:eastAsia="Calibri" w:hAnsi="Times New Roman" w:cs="Times New Roman"/>
          <w:noProof/>
          <w:sz w:val="24"/>
        </w:rPr>
        <w:t xml:space="preserve">ther </w:t>
      </w:r>
      <w:r>
        <w:rPr>
          <w:rFonts w:ascii="Times New Roman" w:eastAsia="Calibri" w:hAnsi="Times New Roman" w:cs="Times New Roman"/>
          <w:b/>
          <w:noProof/>
          <w:sz w:val="24"/>
        </w:rPr>
        <w:t>hosting</w:t>
      </w:r>
      <w:r>
        <w:rPr>
          <w:rFonts w:ascii="Times New Roman" w:eastAsia="Calibri" w:hAnsi="Times New Roman" w:cs="Times New Roman"/>
          <w:noProof/>
          <w:sz w:val="24"/>
        </w:rPr>
        <w:t xml:space="preserve"> service providers (e.g. Bluehost).</w:t>
      </w:r>
    </w:p>
    <w:p w:rsidR="001B65FF" w:rsidRDefault="003E4EF4">
      <w:pPr>
        <w:numPr>
          <w:ilvl w:val="1"/>
          <w:numId w:val="22"/>
        </w:numPr>
        <w:tabs>
          <w:tab w:val="left" w:pos="90"/>
        </w:tabs>
        <w:ind w:left="1170"/>
        <w:contextualSpacing/>
        <w:jc w:val="both"/>
        <w:rPr>
          <w:rFonts w:ascii="Times New Roman" w:eastAsia="Calibri" w:hAnsi="Times New Roman" w:cs="Times New Roman"/>
          <w:noProof/>
          <w:sz w:val="24"/>
        </w:rPr>
      </w:pPr>
      <w:r>
        <w:rPr>
          <w:rFonts w:ascii="Times New Roman" w:eastAsia="Times New Roman" w:hAnsi="Times New Roman" w:cs="Times New Roman"/>
          <w:b/>
          <w:noProof/>
          <w:color w:val="000000"/>
          <w:sz w:val="24"/>
          <w:szCs w:val="24"/>
        </w:rPr>
        <w:t>internet infrastructure</w:t>
      </w:r>
      <w:r>
        <w:rPr>
          <w:rFonts w:ascii="Times New Roman" w:eastAsia="Times New Roman" w:hAnsi="Times New Roman" w:cs="Times New Roman"/>
          <w:noProof/>
          <w:color w:val="000000"/>
          <w:sz w:val="24"/>
          <w:szCs w:val="24"/>
        </w:rPr>
        <w:t xml:space="preserve"> services such as IP address providers and domain name registries and registrars and associated privacy and proxy services (e.g.  GoDaddy).</w:t>
      </w:r>
    </w:p>
    <w:p w:rsidR="001B65FF" w:rsidRDefault="003E4EF4">
      <w:pPr>
        <w:tabs>
          <w:tab w:val="left" w:pos="90"/>
        </w:tabs>
        <w:spacing w:after="0"/>
        <w:ind w:left="450"/>
        <w:jc w:val="both"/>
        <w:rPr>
          <w:rFonts w:ascii="Times New Roman" w:hAnsi="Times New Roman" w:cs="Times New Roman"/>
          <w:noProof/>
          <w:sz w:val="24"/>
          <w:szCs w:val="24"/>
        </w:rPr>
      </w:pPr>
      <w:r>
        <w:rPr>
          <w:rFonts w:ascii="Times New Roman" w:hAnsi="Times New Roman" w:cs="Times New Roman"/>
          <w:noProof/>
          <w:sz w:val="24"/>
          <w:szCs w:val="24"/>
        </w:rPr>
        <w:t>S</w:t>
      </w:r>
      <w:r>
        <w:rPr>
          <w:rFonts w:ascii="Times New Roman" w:hAnsi="Times New Roman" w:cs="Times New Roman"/>
          <w:noProof/>
          <w:sz w:val="24"/>
          <w:szCs w:val="24"/>
        </w:rPr>
        <w:t xml:space="preserve">ervice providers include both </w:t>
      </w:r>
      <w:r>
        <w:rPr>
          <w:rFonts w:ascii="Times New Roman" w:hAnsi="Times New Roman" w:cs="Times New Roman"/>
          <w:b/>
          <w:noProof/>
          <w:sz w:val="24"/>
          <w:szCs w:val="24"/>
        </w:rPr>
        <w:t>data controllers and data processors</w:t>
      </w:r>
      <w:r>
        <w:rPr>
          <w:rFonts w:ascii="Times New Roman" w:hAnsi="Times New Roman" w:cs="Times New Roman"/>
          <w:noProof/>
          <w:sz w:val="24"/>
          <w:szCs w:val="24"/>
        </w:rPr>
        <w:t>, as defined in Article 4(7) and 4(8) respectively of the General Data Protection Regulation.</w:t>
      </w:r>
    </w:p>
    <w:p w:rsidR="001B65FF" w:rsidRDefault="003E4EF4">
      <w:pPr>
        <w:numPr>
          <w:ilvl w:val="0"/>
          <w:numId w:val="22"/>
        </w:numPr>
        <w:tabs>
          <w:tab w:val="left" w:pos="90"/>
          <w:tab w:val="left" w:pos="630"/>
        </w:tabs>
        <w:ind w:left="450"/>
        <w:contextualSpacing/>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SMEs: </w:t>
      </w:r>
    </w:p>
    <w:p w:rsidR="001B65FF" w:rsidRDefault="003E4EF4">
      <w:pPr>
        <w:numPr>
          <w:ilvl w:val="1"/>
          <w:numId w:val="22"/>
        </w:numPr>
        <w:tabs>
          <w:tab w:val="left" w:pos="90"/>
          <w:tab w:val="left" w:pos="630"/>
        </w:tabs>
        <w:contextualSpacing/>
        <w:jc w:val="both"/>
        <w:rPr>
          <w:rFonts w:ascii="Times New Roman" w:eastAsia="Calibri" w:hAnsi="Times New Roman" w:cs="Times New Roman"/>
          <w:b/>
          <w:noProof/>
          <w:sz w:val="24"/>
        </w:rPr>
      </w:pPr>
      <w:r>
        <w:rPr>
          <w:rFonts w:ascii="Times New Roman" w:hAnsi="Times New Roman" w:cs="Times New Roman"/>
          <w:noProof/>
          <w:sz w:val="24"/>
        </w:rPr>
        <w:t>SMEs</w:t>
      </w:r>
      <w:r>
        <w:rPr>
          <w:rFonts w:ascii="Times New Roman" w:eastAsia="Calibri" w:hAnsi="Times New Roman"/>
          <w:noProof/>
          <w:sz w:val="24"/>
        </w:rPr>
        <w:t xml:space="preserve"> </w:t>
      </w:r>
      <w:r>
        <w:rPr>
          <w:rFonts w:ascii="Times New Roman" w:eastAsia="Calibri" w:hAnsi="Times New Roman" w:cs="Times New Roman"/>
          <w:noProof/>
          <w:sz w:val="24"/>
        </w:rPr>
        <w:t>are also among the service providers</w:t>
      </w:r>
      <w:r>
        <w:rPr>
          <w:rFonts w:ascii="Times New Roman" w:eastAsia="Calibri" w:hAnsi="Times New Roman" w:cs="Times New Roman"/>
          <w:b/>
          <w:noProof/>
          <w:sz w:val="24"/>
        </w:rPr>
        <w:t xml:space="preserve"> </w:t>
      </w:r>
      <w:r>
        <w:rPr>
          <w:rFonts w:ascii="Times New Roman" w:hAnsi="Times New Roman" w:cs="Times New Roman"/>
          <w:noProof/>
          <w:sz w:val="24"/>
        </w:rPr>
        <w:t xml:space="preserve">covered. For effectiveness reasons, no general </w:t>
      </w:r>
      <w:r>
        <w:rPr>
          <w:rFonts w:ascii="Times New Roman" w:hAnsi="Times New Roman" w:cs="Times New Roman"/>
          <w:noProof/>
          <w:sz w:val="24"/>
        </w:rPr>
        <w:t>exemption for SMEs from the scope is proposed (see Annex 13).</w:t>
      </w:r>
    </w:p>
    <w:p w:rsidR="001B65FF" w:rsidRDefault="003E4EF4">
      <w:pPr>
        <w:numPr>
          <w:ilvl w:val="0"/>
          <w:numId w:val="22"/>
        </w:numPr>
        <w:tabs>
          <w:tab w:val="left" w:pos="90"/>
        </w:tabs>
        <w:spacing w:before="240"/>
        <w:ind w:left="450"/>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Geography</w:t>
      </w:r>
      <w:r>
        <w:rPr>
          <w:rFonts w:ascii="Times New Roman" w:eastAsia="Calibri" w:hAnsi="Times New Roman" w:cs="Times New Roman"/>
          <w:noProof/>
          <w:sz w:val="24"/>
        </w:rPr>
        <w:t xml:space="preserve">: </w:t>
      </w:r>
    </w:p>
    <w:p w:rsidR="001B65FF" w:rsidRDefault="003E4EF4">
      <w:pPr>
        <w:numPr>
          <w:ilvl w:val="1"/>
          <w:numId w:val="22"/>
        </w:numPr>
        <w:tabs>
          <w:tab w:val="left" w:pos="90"/>
        </w:tabs>
        <w:ind w:left="117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All situations described in table 2 and figure 1, except the one in which countries A, B and C are outside of the EU (or A=B=C, in which case it is a national issue).</w:t>
      </w:r>
    </w:p>
    <w:p w:rsidR="001B65FF" w:rsidRDefault="003E4EF4">
      <w:pPr>
        <w:numPr>
          <w:ilvl w:val="1"/>
          <w:numId w:val="22"/>
        </w:numPr>
        <w:tabs>
          <w:tab w:val="left" w:pos="90"/>
        </w:tabs>
        <w:ind w:left="117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In particular, the initiative covers data </w:t>
      </w:r>
      <w:r>
        <w:rPr>
          <w:rFonts w:ascii="Times New Roman" w:eastAsia="Calibri" w:hAnsi="Times New Roman" w:cs="Times New Roman"/>
          <w:b/>
          <w:noProof/>
          <w:sz w:val="24"/>
        </w:rPr>
        <w:t>regardless of where it is stored</w:t>
      </w:r>
      <w:r>
        <w:rPr>
          <w:rFonts w:ascii="Times New Roman" w:eastAsia="Calibri" w:hAnsi="Times New Roman" w:cs="Times New Roman"/>
          <w:noProof/>
          <w:sz w:val="24"/>
        </w:rPr>
        <w:t xml:space="preserve">. </w:t>
      </w:r>
    </w:p>
    <w:p w:rsidR="001B65FF" w:rsidRDefault="003E4EF4">
      <w:pPr>
        <w:numPr>
          <w:ilvl w:val="1"/>
          <w:numId w:val="22"/>
        </w:numPr>
        <w:tabs>
          <w:tab w:val="left" w:pos="90"/>
        </w:tabs>
        <w:ind w:left="117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initiative takes into account situations where the requesting public authority is from a non-EU country only with regard to </w:t>
      </w:r>
      <w:r>
        <w:rPr>
          <w:rFonts w:ascii="Times New Roman" w:eastAsia="Calibri" w:hAnsi="Times New Roman" w:cs="Times New Roman"/>
          <w:b/>
          <w:noProof/>
          <w:sz w:val="24"/>
        </w:rPr>
        <w:t>reciprocity</w:t>
      </w:r>
      <w:r>
        <w:rPr>
          <w:rFonts w:ascii="Times New Roman" w:eastAsia="Calibri" w:hAnsi="Times New Roman" w:cs="Times New Roman"/>
          <w:noProof/>
          <w:sz w:val="24"/>
        </w:rPr>
        <w:t xml:space="preserve"> considerations.</w:t>
      </w:r>
    </w:p>
    <w:p w:rsidR="001B65FF" w:rsidRDefault="001B65FF">
      <w:pPr>
        <w:tabs>
          <w:tab w:val="left" w:pos="90"/>
        </w:tabs>
        <w:ind w:left="1170"/>
        <w:contextualSpacing/>
        <w:jc w:val="both"/>
        <w:rPr>
          <w:rFonts w:ascii="Times New Roman" w:eastAsia="Calibri" w:hAnsi="Times New Roman" w:cs="Times New Roman"/>
          <w:noProof/>
          <w:sz w:val="24"/>
        </w:rPr>
      </w:pPr>
    </w:p>
    <w:p w:rsidR="001B65FF" w:rsidRDefault="003E4EF4">
      <w:pPr>
        <w:keepNext/>
        <w:numPr>
          <w:ilvl w:val="1"/>
          <w:numId w:val="3"/>
        </w:numPr>
        <w:tabs>
          <w:tab w:val="clear" w:pos="1200"/>
          <w:tab w:val="num" w:pos="567"/>
        </w:tabs>
        <w:spacing w:before="240" w:after="240" w:line="240" w:lineRule="auto"/>
        <w:ind w:left="709"/>
        <w:jc w:val="both"/>
        <w:outlineLvl w:val="1"/>
        <w:rPr>
          <w:rFonts w:ascii="Times New Roman" w:eastAsia="Times New Roman" w:hAnsi="Times New Roman" w:cs="Times New Roman"/>
          <w:b/>
          <w:noProof/>
          <w:sz w:val="24"/>
          <w:szCs w:val="20"/>
        </w:rPr>
      </w:pPr>
      <w:bookmarkStart w:id="403" w:name="_Toc499128345"/>
      <w:bookmarkStart w:id="404" w:name="_Toc499129459"/>
      <w:bookmarkStart w:id="405" w:name="_Toc499129970"/>
      <w:bookmarkStart w:id="406" w:name="_Toc499134762"/>
      <w:bookmarkStart w:id="407" w:name="_Toc499138155"/>
      <w:bookmarkStart w:id="408" w:name="_Toc499138294"/>
      <w:bookmarkStart w:id="409" w:name="_Toc499138556"/>
      <w:bookmarkStart w:id="410" w:name="_Toc499140900"/>
      <w:bookmarkStart w:id="411" w:name="_Toc499141188"/>
      <w:bookmarkStart w:id="412" w:name="_Toc499142819"/>
      <w:bookmarkStart w:id="413" w:name="_Toc499143264"/>
      <w:bookmarkStart w:id="414" w:name="_Toc498509141"/>
      <w:bookmarkStart w:id="415" w:name="_Toc498509385"/>
      <w:bookmarkStart w:id="416" w:name="_Toc498509628"/>
      <w:bookmarkStart w:id="417" w:name="_Toc498510944"/>
      <w:bookmarkStart w:id="418" w:name="_Toc498517152"/>
      <w:bookmarkStart w:id="419" w:name="_Toc498517626"/>
      <w:bookmarkStart w:id="420" w:name="_Toc498517919"/>
      <w:bookmarkStart w:id="421" w:name="_Toc498518685"/>
      <w:bookmarkStart w:id="422" w:name="_Toc498520491"/>
      <w:bookmarkStart w:id="423" w:name="_Toc498520993"/>
      <w:bookmarkStart w:id="424" w:name="_Toc498521217"/>
      <w:bookmarkStart w:id="425" w:name="_Toc498522170"/>
      <w:bookmarkStart w:id="426" w:name="_Toc498522352"/>
      <w:bookmarkStart w:id="427" w:name="_Toc498522535"/>
      <w:bookmarkStart w:id="428" w:name="_Toc498523401"/>
      <w:bookmarkStart w:id="429" w:name="_Toc498523579"/>
      <w:bookmarkStart w:id="430" w:name="_Toc498523691"/>
      <w:bookmarkStart w:id="431" w:name="_Toc498523809"/>
      <w:bookmarkStart w:id="432" w:name="_Toc498523927"/>
      <w:bookmarkStart w:id="433" w:name="_Toc498524064"/>
      <w:bookmarkStart w:id="434" w:name="_Toc498524175"/>
      <w:bookmarkStart w:id="435" w:name="_Toc498525537"/>
      <w:bookmarkStart w:id="436" w:name="_Toc498697382"/>
      <w:bookmarkStart w:id="437" w:name="_Toc498697489"/>
      <w:bookmarkStart w:id="438" w:name="_Toc498698745"/>
      <w:bookmarkStart w:id="439" w:name="_Toc498700342"/>
      <w:bookmarkStart w:id="440" w:name="_Toc498701927"/>
      <w:bookmarkStart w:id="441" w:name="_Toc498704693"/>
      <w:bookmarkStart w:id="442" w:name="_Toc498509629"/>
      <w:bookmarkStart w:id="443" w:name="_Toc498521218"/>
      <w:bookmarkStart w:id="444" w:name="_Toc498701928"/>
      <w:bookmarkStart w:id="445" w:name="_Toc498704694"/>
      <w:bookmarkStart w:id="446" w:name="_Toc499020453"/>
      <w:bookmarkStart w:id="447" w:name="_Toc499030356"/>
      <w:bookmarkStart w:id="448" w:name="_Toc499044930"/>
      <w:bookmarkStart w:id="449" w:name="_Toc499051314"/>
      <w:bookmarkStart w:id="450" w:name="_Toc499133300"/>
      <w:bookmarkStart w:id="451" w:name="_Toc499142820"/>
      <w:bookmarkStart w:id="452" w:name="_Toc510952866"/>
      <w:bookmarkStart w:id="453" w:name="_Toc481484472"/>
      <w:bookmarkStart w:id="454" w:name="_Toc497927257"/>
      <w:bookmarkStart w:id="455" w:name="_Toc497927870"/>
      <w:bookmarkStart w:id="456" w:name="_Toc497928136"/>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Pr>
          <w:rFonts w:ascii="Times New Roman" w:eastAsia="Times New Roman" w:hAnsi="Times New Roman" w:cs="Times New Roman"/>
          <w:b/>
          <w:noProof/>
          <w:sz w:val="24"/>
          <w:szCs w:val="20"/>
        </w:rPr>
        <w:t xml:space="preserve">Description of policy </w:t>
      </w:r>
      <w:r>
        <w:rPr>
          <w:rFonts w:ascii="Times New Roman" w:eastAsia="Times New Roman" w:hAnsi="Times New Roman" w:cs="Times New Roman"/>
          <w:b/>
          <w:noProof/>
          <w:sz w:val="24"/>
          <w:szCs w:val="20"/>
        </w:rPr>
        <w:t>measures</w:t>
      </w:r>
      <w:bookmarkEnd w:id="442"/>
      <w:bookmarkEnd w:id="443"/>
      <w:bookmarkEnd w:id="444"/>
      <w:bookmarkEnd w:id="445"/>
      <w:bookmarkEnd w:id="446"/>
      <w:bookmarkEnd w:id="447"/>
      <w:bookmarkEnd w:id="448"/>
      <w:bookmarkEnd w:id="449"/>
      <w:bookmarkEnd w:id="450"/>
      <w:bookmarkEnd w:id="451"/>
      <w:bookmarkEnd w:id="452"/>
    </w:p>
    <w:p w:rsidR="001B65FF" w:rsidRDefault="003E4EF4">
      <w:pPr>
        <w:jc w:val="both"/>
        <w:rPr>
          <w:rFonts w:ascii="Times New Roman" w:hAnsi="Times New Roman" w:cs="Times New Roman"/>
          <w:noProof/>
          <w:sz w:val="28"/>
        </w:rPr>
      </w:pPr>
      <w:r>
        <w:rPr>
          <w:rFonts w:ascii="Times New Roman" w:hAnsi="Times New Roman" w:cs="Times New Roman"/>
          <w:noProof/>
          <w:sz w:val="24"/>
        </w:rPr>
        <w:t>The following sections summarise the description of the policy measures. More detailed descriptions are available in Annex 7.</w:t>
      </w:r>
    </w:p>
    <w:p w:rsidR="001B65FF" w:rsidRDefault="003E4EF4">
      <w:pPr>
        <w:keepNext/>
        <w:numPr>
          <w:ilvl w:val="2"/>
          <w:numId w:val="3"/>
        </w:numPr>
        <w:tabs>
          <w:tab w:val="clear" w:pos="1920"/>
        </w:tabs>
        <w:spacing w:before="120" w:after="120" w:line="240" w:lineRule="auto"/>
        <w:ind w:left="720"/>
        <w:jc w:val="both"/>
        <w:outlineLvl w:val="2"/>
        <w:rPr>
          <w:rFonts w:ascii="Times New Roman" w:eastAsia="Times New Roman" w:hAnsi="Times New Roman" w:cs="Times New Roman"/>
          <w:noProof/>
          <w:sz w:val="24"/>
          <w:szCs w:val="20"/>
        </w:rPr>
      </w:pPr>
      <w:bookmarkStart w:id="457" w:name="_Toc498509144"/>
      <w:bookmarkStart w:id="458" w:name="_Toc498509388"/>
      <w:bookmarkStart w:id="459" w:name="_Toc498509631"/>
      <w:bookmarkStart w:id="460" w:name="_Toc498510947"/>
      <w:bookmarkStart w:id="461" w:name="_Toc498517155"/>
      <w:bookmarkStart w:id="462" w:name="_Toc498517629"/>
      <w:bookmarkStart w:id="463" w:name="_Toc498517922"/>
      <w:bookmarkStart w:id="464" w:name="_Toc498518688"/>
      <w:bookmarkStart w:id="465" w:name="_Toc498520494"/>
      <w:bookmarkStart w:id="466" w:name="_Toc498520996"/>
      <w:bookmarkStart w:id="467" w:name="_Toc498522173"/>
      <w:bookmarkStart w:id="468" w:name="_Toc498522355"/>
      <w:bookmarkStart w:id="469" w:name="_Toc498522538"/>
      <w:bookmarkStart w:id="470" w:name="_Toc498523404"/>
      <w:bookmarkStart w:id="471" w:name="_Toc498523582"/>
      <w:bookmarkStart w:id="472" w:name="_Toc498523694"/>
      <w:bookmarkStart w:id="473" w:name="_Toc498523812"/>
      <w:bookmarkStart w:id="474" w:name="_Toc498523930"/>
      <w:bookmarkStart w:id="475" w:name="_Toc498524067"/>
      <w:bookmarkStart w:id="476" w:name="_Toc498524178"/>
      <w:bookmarkStart w:id="477" w:name="_Toc498525540"/>
      <w:bookmarkStart w:id="478" w:name="_Toc498697385"/>
      <w:bookmarkStart w:id="479" w:name="_Toc498697492"/>
      <w:bookmarkStart w:id="480" w:name="_Toc498700345"/>
      <w:bookmarkStart w:id="481" w:name="_Toc498701930"/>
      <w:bookmarkStart w:id="482" w:name="_Toc498509145"/>
      <w:bookmarkStart w:id="483" w:name="_Toc498509389"/>
      <w:bookmarkStart w:id="484" w:name="_Toc498509632"/>
      <w:bookmarkStart w:id="485" w:name="_Toc498510948"/>
      <w:bookmarkStart w:id="486" w:name="_Toc498517156"/>
      <w:bookmarkStart w:id="487" w:name="_Toc498517630"/>
      <w:bookmarkStart w:id="488" w:name="_Toc498517923"/>
      <w:bookmarkStart w:id="489" w:name="_Toc498518689"/>
      <w:bookmarkStart w:id="490" w:name="_Toc498520495"/>
      <w:bookmarkStart w:id="491" w:name="_Toc498520997"/>
      <w:bookmarkStart w:id="492" w:name="_Toc498522174"/>
      <w:bookmarkStart w:id="493" w:name="_Toc498522356"/>
      <w:bookmarkStart w:id="494" w:name="_Toc498522539"/>
      <w:bookmarkStart w:id="495" w:name="_Toc498523405"/>
      <w:bookmarkStart w:id="496" w:name="_Toc498523583"/>
      <w:bookmarkStart w:id="497" w:name="_Toc498523695"/>
      <w:bookmarkStart w:id="498" w:name="_Toc498523813"/>
      <w:bookmarkStart w:id="499" w:name="_Toc498523931"/>
      <w:bookmarkStart w:id="500" w:name="_Toc498524068"/>
      <w:bookmarkStart w:id="501" w:name="_Toc498524179"/>
      <w:bookmarkStart w:id="502" w:name="_Toc498525541"/>
      <w:bookmarkStart w:id="503" w:name="_Toc498697386"/>
      <w:bookmarkStart w:id="504" w:name="_Toc498697493"/>
      <w:bookmarkStart w:id="505" w:name="_Toc498700346"/>
      <w:bookmarkStart w:id="506" w:name="_Toc498701931"/>
      <w:bookmarkStart w:id="507" w:name="_Toc498509146"/>
      <w:bookmarkStart w:id="508" w:name="_Toc498509390"/>
      <w:bookmarkStart w:id="509" w:name="_Toc498509633"/>
      <w:bookmarkStart w:id="510" w:name="_Toc498510949"/>
      <w:bookmarkStart w:id="511" w:name="_Toc498517157"/>
      <w:bookmarkStart w:id="512" w:name="_Toc498517631"/>
      <w:bookmarkStart w:id="513" w:name="_Toc498517924"/>
      <w:bookmarkStart w:id="514" w:name="_Toc498518690"/>
      <w:bookmarkStart w:id="515" w:name="_Toc498520496"/>
      <w:bookmarkStart w:id="516" w:name="_Toc498520998"/>
      <w:bookmarkStart w:id="517" w:name="_Toc498522175"/>
      <w:bookmarkStart w:id="518" w:name="_Toc498522357"/>
      <w:bookmarkStart w:id="519" w:name="_Toc498522540"/>
      <w:bookmarkStart w:id="520" w:name="_Toc498523406"/>
      <w:bookmarkStart w:id="521" w:name="_Toc498523584"/>
      <w:bookmarkStart w:id="522" w:name="_Toc498523696"/>
      <w:bookmarkStart w:id="523" w:name="_Toc498523814"/>
      <w:bookmarkStart w:id="524" w:name="_Toc498523932"/>
      <w:bookmarkStart w:id="525" w:name="_Toc498524069"/>
      <w:bookmarkStart w:id="526" w:name="_Toc498524180"/>
      <w:bookmarkStart w:id="527" w:name="_Toc498525542"/>
      <w:bookmarkStart w:id="528" w:name="_Toc498697387"/>
      <w:bookmarkStart w:id="529" w:name="_Toc498697494"/>
      <w:bookmarkStart w:id="530" w:name="_Toc498700347"/>
      <w:bookmarkStart w:id="531" w:name="_Toc498701932"/>
      <w:bookmarkStart w:id="532" w:name="_Toc498509147"/>
      <w:bookmarkStart w:id="533" w:name="_Toc498509391"/>
      <w:bookmarkStart w:id="534" w:name="_Toc498509634"/>
      <w:bookmarkStart w:id="535" w:name="_Toc498510950"/>
      <w:bookmarkStart w:id="536" w:name="_Toc498517158"/>
      <w:bookmarkStart w:id="537" w:name="_Toc498517632"/>
      <w:bookmarkStart w:id="538" w:name="_Toc498517925"/>
      <w:bookmarkStart w:id="539" w:name="_Toc498518691"/>
      <w:bookmarkStart w:id="540" w:name="_Toc498520497"/>
      <w:bookmarkStart w:id="541" w:name="_Toc498520999"/>
      <w:bookmarkStart w:id="542" w:name="_Toc498522176"/>
      <w:bookmarkStart w:id="543" w:name="_Toc498522358"/>
      <w:bookmarkStart w:id="544" w:name="_Toc498522541"/>
      <w:bookmarkStart w:id="545" w:name="_Toc498523407"/>
      <w:bookmarkStart w:id="546" w:name="_Toc498523585"/>
      <w:bookmarkStart w:id="547" w:name="_Toc498523697"/>
      <w:bookmarkStart w:id="548" w:name="_Toc498523815"/>
      <w:bookmarkStart w:id="549" w:name="_Toc498523933"/>
      <w:bookmarkStart w:id="550" w:name="_Toc498524070"/>
      <w:bookmarkStart w:id="551" w:name="_Toc498524181"/>
      <w:bookmarkStart w:id="552" w:name="_Toc498525543"/>
      <w:bookmarkStart w:id="553" w:name="_Toc498697388"/>
      <w:bookmarkStart w:id="554" w:name="_Toc498697495"/>
      <w:bookmarkStart w:id="555" w:name="_Toc498700348"/>
      <w:bookmarkStart w:id="556" w:name="_Toc498701933"/>
      <w:bookmarkStart w:id="557" w:name="_Toc498509148"/>
      <w:bookmarkStart w:id="558" w:name="_Toc498509392"/>
      <w:bookmarkStart w:id="559" w:name="_Toc498509635"/>
      <w:bookmarkStart w:id="560" w:name="_Toc498510951"/>
      <w:bookmarkStart w:id="561" w:name="_Toc498517159"/>
      <w:bookmarkStart w:id="562" w:name="_Toc498517633"/>
      <w:bookmarkStart w:id="563" w:name="_Toc498517926"/>
      <w:bookmarkStart w:id="564" w:name="_Toc498518692"/>
      <w:bookmarkStart w:id="565" w:name="_Toc498520498"/>
      <w:bookmarkStart w:id="566" w:name="_Toc498521000"/>
      <w:bookmarkStart w:id="567" w:name="_Toc498522177"/>
      <w:bookmarkStart w:id="568" w:name="_Toc498522359"/>
      <w:bookmarkStart w:id="569" w:name="_Toc498522542"/>
      <w:bookmarkStart w:id="570" w:name="_Toc498523408"/>
      <w:bookmarkStart w:id="571" w:name="_Toc498523586"/>
      <w:bookmarkStart w:id="572" w:name="_Toc498523698"/>
      <w:bookmarkStart w:id="573" w:name="_Toc498523816"/>
      <w:bookmarkStart w:id="574" w:name="_Toc498523934"/>
      <w:bookmarkStart w:id="575" w:name="_Toc498524071"/>
      <w:bookmarkStart w:id="576" w:name="_Toc498524182"/>
      <w:bookmarkStart w:id="577" w:name="_Toc498525544"/>
      <w:bookmarkStart w:id="578" w:name="_Toc498697389"/>
      <w:bookmarkStart w:id="579" w:name="_Toc498697496"/>
      <w:bookmarkStart w:id="580" w:name="_Toc498700349"/>
      <w:bookmarkStart w:id="581" w:name="_Toc498701934"/>
      <w:bookmarkStart w:id="582" w:name="_Toc498509149"/>
      <w:bookmarkStart w:id="583" w:name="_Toc498509393"/>
      <w:bookmarkStart w:id="584" w:name="_Toc498509636"/>
      <w:bookmarkStart w:id="585" w:name="_Toc498510952"/>
      <w:bookmarkStart w:id="586" w:name="_Toc498517160"/>
      <w:bookmarkStart w:id="587" w:name="_Toc498517634"/>
      <w:bookmarkStart w:id="588" w:name="_Toc498517927"/>
      <w:bookmarkStart w:id="589" w:name="_Toc498518693"/>
      <w:bookmarkStart w:id="590" w:name="_Toc498520499"/>
      <w:bookmarkStart w:id="591" w:name="_Toc498521001"/>
      <w:bookmarkStart w:id="592" w:name="_Toc498522178"/>
      <w:bookmarkStart w:id="593" w:name="_Toc498522360"/>
      <w:bookmarkStart w:id="594" w:name="_Toc498522543"/>
      <w:bookmarkStart w:id="595" w:name="_Toc498523409"/>
      <w:bookmarkStart w:id="596" w:name="_Toc498523587"/>
      <w:bookmarkStart w:id="597" w:name="_Toc498523699"/>
      <w:bookmarkStart w:id="598" w:name="_Toc498523817"/>
      <w:bookmarkStart w:id="599" w:name="_Toc498523935"/>
      <w:bookmarkStart w:id="600" w:name="_Toc498524072"/>
      <w:bookmarkStart w:id="601" w:name="_Toc498524183"/>
      <w:bookmarkStart w:id="602" w:name="_Toc498525545"/>
      <w:bookmarkStart w:id="603" w:name="_Toc498697390"/>
      <w:bookmarkStart w:id="604" w:name="_Toc498697497"/>
      <w:bookmarkStart w:id="605" w:name="_Toc498700350"/>
      <w:bookmarkStart w:id="606" w:name="_Toc498701935"/>
      <w:bookmarkStart w:id="607" w:name="_Toc498509150"/>
      <w:bookmarkStart w:id="608" w:name="_Toc498509394"/>
      <w:bookmarkStart w:id="609" w:name="_Toc498509637"/>
      <w:bookmarkStart w:id="610" w:name="_Toc498510953"/>
      <w:bookmarkStart w:id="611" w:name="_Toc498517161"/>
      <w:bookmarkStart w:id="612" w:name="_Toc498517635"/>
      <w:bookmarkStart w:id="613" w:name="_Toc498517928"/>
      <w:bookmarkStart w:id="614" w:name="_Toc498518694"/>
      <w:bookmarkStart w:id="615" w:name="_Toc498520500"/>
      <w:bookmarkStart w:id="616" w:name="_Toc498521002"/>
      <w:bookmarkStart w:id="617" w:name="_Toc498522179"/>
      <w:bookmarkStart w:id="618" w:name="_Toc498522361"/>
      <w:bookmarkStart w:id="619" w:name="_Toc498522544"/>
      <w:bookmarkStart w:id="620" w:name="_Toc498523410"/>
      <w:bookmarkStart w:id="621" w:name="_Toc498523588"/>
      <w:bookmarkStart w:id="622" w:name="_Toc498523700"/>
      <w:bookmarkStart w:id="623" w:name="_Toc498523818"/>
      <w:bookmarkStart w:id="624" w:name="_Toc498523936"/>
      <w:bookmarkStart w:id="625" w:name="_Toc498524073"/>
      <w:bookmarkStart w:id="626" w:name="_Toc498524184"/>
      <w:bookmarkStart w:id="627" w:name="_Toc498525546"/>
      <w:bookmarkStart w:id="628" w:name="_Toc498697391"/>
      <w:bookmarkStart w:id="629" w:name="_Toc498697498"/>
      <w:bookmarkStart w:id="630" w:name="_Toc498700351"/>
      <w:bookmarkStart w:id="631" w:name="_Toc498701936"/>
      <w:bookmarkStart w:id="632" w:name="_Toc498509151"/>
      <w:bookmarkStart w:id="633" w:name="_Toc498509395"/>
      <w:bookmarkStart w:id="634" w:name="_Toc498509638"/>
      <w:bookmarkStart w:id="635" w:name="_Toc498510954"/>
      <w:bookmarkStart w:id="636" w:name="_Toc498517162"/>
      <w:bookmarkStart w:id="637" w:name="_Toc498517636"/>
      <w:bookmarkStart w:id="638" w:name="_Toc498517929"/>
      <w:bookmarkStart w:id="639" w:name="_Toc498518695"/>
      <w:bookmarkStart w:id="640" w:name="_Toc498520501"/>
      <w:bookmarkStart w:id="641" w:name="_Toc498521003"/>
      <w:bookmarkStart w:id="642" w:name="_Toc498522180"/>
      <w:bookmarkStart w:id="643" w:name="_Toc498522362"/>
      <w:bookmarkStart w:id="644" w:name="_Toc498522545"/>
      <w:bookmarkStart w:id="645" w:name="_Toc498523411"/>
      <w:bookmarkStart w:id="646" w:name="_Toc498523589"/>
      <w:bookmarkStart w:id="647" w:name="_Toc498523701"/>
      <w:bookmarkStart w:id="648" w:name="_Toc498523819"/>
      <w:bookmarkStart w:id="649" w:name="_Toc498523937"/>
      <w:bookmarkStart w:id="650" w:name="_Toc498524074"/>
      <w:bookmarkStart w:id="651" w:name="_Toc498524185"/>
      <w:bookmarkStart w:id="652" w:name="_Toc498525547"/>
      <w:bookmarkStart w:id="653" w:name="_Toc498697392"/>
      <w:bookmarkStart w:id="654" w:name="_Toc498697499"/>
      <w:bookmarkStart w:id="655" w:name="_Toc498700352"/>
      <w:bookmarkStart w:id="656" w:name="_Toc498701937"/>
      <w:bookmarkStart w:id="657" w:name="_Toc498509152"/>
      <w:bookmarkStart w:id="658" w:name="_Toc498509396"/>
      <w:bookmarkStart w:id="659" w:name="_Toc498509639"/>
      <w:bookmarkStart w:id="660" w:name="_Toc498510955"/>
      <w:bookmarkStart w:id="661" w:name="_Toc498517163"/>
      <w:bookmarkStart w:id="662" w:name="_Toc498517637"/>
      <w:bookmarkStart w:id="663" w:name="_Toc498517930"/>
      <w:bookmarkStart w:id="664" w:name="_Toc498518696"/>
      <w:bookmarkStart w:id="665" w:name="_Toc498520502"/>
      <w:bookmarkStart w:id="666" w:name="_Toc498521004"/>
      <w:bookmarkStart w:id="667" w:name="_Toc498522181"/>
      <w:bookmarkStart w:id="668" w:name="_Toc498522363"/>
      <w:bookmarkStart w:id="669" w:name="_Toc498522546"/>
      <w:bookmarkStart w:id="670" w:name="_Toc498523412"/>
      <w:bookmarkStart w:id="671" w:name="_Toc498523590"/>
      <w:bookmarkStart w:id="672" w:name="_Toc498523702"/>
      <w:bookmarkStart w:id="673" w:name="_Toc498523820"/>
      <w:bookmarkStart w:id="674" w:name="_Toc498523938"/>
      <w:bookmarkStart w:id="675" w:name="_Toc498524075"/>
      <w:bookmarkStart w:id="676" w:name="_Toc498524186"/>
      <w:bookmarkStart w:id="677" w:name="_Toc498525548"/>
      <w:bookmarkStart w:id="678" w:name="_Toc498697393"/>
      <w:bookmarkStart w:id="679" w:name="_Toc498697500"/>
      <w:bookmarkStart w:id="680" w:name="_Toc498700353"/>
      <w:bookmarkStart w:id="681" w:name="_Toc498701938"/>
      <w:bookmarkStart w:id="682" w:name="_Toc498509153"/>
      <w:bookmarkStart w:id="683" w:name="_Toc498509397"/>
      <w:bookmarkStart w:id="684" w:name="_Toc498509640"/>
      <w:bookmarkStart w:id="685" w:name="_Toc498510956"/>
      <w:bookmarkStart w:id="686" w:name="_Toc498517164"/>
      <w:bookmarkStart w:id="687" w:name="_Toc498517638"/>
      <w:bookmarkStart w:id="688" w:name="_Toc498517931"/>
      <w:bookmarkStart w:id="689" w:name="_Toc498518697"/>
      <w:bookmarkStart w:id="690" w:name="_Toc498520503"/>
      <w:bookmarkStart w:id="691" w:name="_Toc498521005"/>
      <w:bookmarkStart w:id="692" w:name="_Toc498522182"/>
      <w:bookmarkStart w:id="693" w:name="_Toc498522364"/>
      <w:bookmarkStart w:id="694" w:name="_Toc498522547"/>
      <w:bookmarkStart w:id="695" w:name="_Toc498523413"/>
      <w:bookmarkStart w:id="696" w:name="_Toc498523591"/>
      <w:bookmarkStart w:id="697" w:name="_Toc498523703"/>
      <w:bookmarkStart w:id="698" w:name="_Toc498523821"/>
      <w:bookmarkStart w:id="699" w:name="_Toc498523939"/>
      <w:bookmarkStart w:id="700" w:name="_Toc498524076"/>
      <w:bookmarkStart w:id="701" w:name="_Toc498524187"/>
      <w:bookmarkStart w:id="702" w:name="_Toc498525549"/>
      <w:bookmarkStart w:id="703" w:name="_Toc498697394"/>
      <w:bookmarkStart w:id="704" w:name="_Toc498697501"/>
      <w:bookmarkStart w:id="705" w:name="_Toc498700354"/>
      <w:bookmarkStart w:id="706" w:name="_Toc498701939"/>
      <w:bookmarkStart w:id="707" w:name="_Toc498509154"/>
      <w:bookmarkStart w:id="708" w:name="_Toc498509398"/>
      <w:bookmarkStart w:id="709" w:name="_Toc498509641"/>
      <w:bookmarkStart w:id="710" w:name="_Toc498510957"/>
      <w:bookmarkStart w:id="711" w:name="_Toc498517165"/>
      <w:bookmarkStart w:id="712" w:name="_Toc498517639"/>
      <w:bookmarkStart w:id="713" w:name="_Toc498517932"/>
      <w:bookmarkStart w:id="714" w:name="_Toc498518698"/>
      <w:bookmarkStart w:id="715" w:name="_Toc498520504"/>
      <w:bookmarkStart w:id="716" w:name="_Toc498521006"/>
      <w:bookmarkStart w:id="717" w:name="_Toc498522183"/>
      <w:bookmarkStart w:id="718" w:name="_Toc498522365"/>
      <w:bookmarkStart w:id="719" w:name="_Toc498522548"/>
      <w:bookmarkStart w:id="720" w:name="_Toc498523414"/>
      <w:bookmarkStart w:id="721" w:name="_Toc498523592"/>
      <w:bookmarkStart w:id="722" w:name="_Toc498523704"/>
      <w:bookmarkStart w:id="723" w:name="_Toc498523822"/>
      <w:bookmarkStart w:id="724" w:name="_Toc498523940"/>
      <w:bookmarkStart w:id="725" w:name="_Toc498524077"/>
      <w:bookmarkStart w:id="726" w:name="_Toc498524188"/>
      <w:bookmarkStart w:id="727" w:name="_Toc498525550"/>
      <w:bookmarkStart w:id="728" w:name="_Toc498697395"/>
      <w:bookmarkStart w:id="729" w:name="_Toc498697502"/>
      <w:bookmarkStart w:id="730" w:name="_Toc498700355"/>
      <w:bookmarkStart w:id="731" w:name="_Toc498701940"/>
      <w:bookmarkStart w:id="732" w:name="_Toc498509155"/>
      <w:bookmarkStart w:id="733" w:name="_Toc498509399"/>
      <w:bookmarkStart w:id="734" w:name="_Toc498509642"/>
      <w:bookmarkStart w:id="735" w:name="_Toc498510958"/>
      <w:bookmarkStart w:id="736" w:name="_Toc498517166"/>
      <w:bookmarkStart w:id="737" w:name="_Toc498517640"/>
      <w:bookmarkStart w:id="738" w:name="_Toc498517933"/>
      <w:bookmarkStart w:id="739" w:name="_Toc498518699"/>
      <w:bookmarkStart w:id="740" w:name="_Toc498520505"/>
      <w:bookmarkStart w:id="741" w:name="_Toc498521007"/>
      <w:bookmarkStart w:id="742" w:name="_Toc498522184"/>
      <w:bookmarkStart w:id="743" w:name="_Toc498522366"/>
      <w:bookmarkStart w:id="744" w:name="_Toc498522549"/>
      <w:bookmarkStart w:id="745" w:name="_Toc498523415"/>
      <w:bookmarkStart w:id="746" w:name="_Toc498523593"/>
      <w:bookmarkStart w:id="747" w:name="_Toc498523705"/>
      <w:bookmarkStart w:id="748" w:name="_Toc498523823"/>
      <w:bookmarkStart w:id="749" w:name="_Toc498523941"/>
      <w:bookmarkStart w:id="750" w:name="_Toc498524078"/>
      <w:bookmarkStart w:id="751" w:name="_Toc498524189"/>
      <w:bookmarkStart w:id="752" w:name="_Toc498525551"/>
      <w:bookmarkStart w:id="753" w:name="_Toc498697396"/>
      <w:bookmarkStart w:id="754" w:name="_Toc498697503"/>
      <w:bookmarkStart w:id="755" w:name="_Toc498700356"/>
      <w:bookmarkStart w:id="756" w:name="_Toc498701941"/>
      <w:bookmarkStart w:id="757" w:name="_Toc498509156"/>
      <w:bookmarkStart w:id="758" w:name="_Toc498509400"/>
      <w:bookmarkStart w:id="759" w:name="_Toc498509643"/>
      <w:bookmarkStart w:id="760" w:name="_Toc498510959"/>
      <w:bookmarkStart w:id="761" w:name="_Toc498517167"/>
      <w:bookmarkStart w:id="762" w:name="_Toc498517641"/>
      <w:bookmarkStart w:id="763" w:name="_Toc498517934"/>
      <w:bookmarkStart w:id="764" w:name="_Toc498518700"/>
      <w:bookmarkStart w:id="765" w:name="_Toc498520506"/>
      <w:bookmarkStart w:id="766" w:name="_Toc498521008"/>
      <w:bookmarkStart w:id="767" w:name="_Toc498522185"/>
      <w:bookmarkStart w:id="768" w:name="_Toc498522367"/>
      <w:bookmarkStart w:id="769" w:name="_Toc498522550"/>
      <w:bookmarkStart w:id="770" w:name="_Toc498523416"/>
      <w:bookmarkStart w:id="771" w:name="_Toc498523594"/>
      <w:bookmarkStart w:id="772" w:name="_Toc498523706"/>
      <w:bookmarkStart w:id="773" w:name="_Toc498523824"/>
      <w:bookmarkStart w:id="774" w:name="_Toc498523942"/>
      <w:bookmarkStart w:id="775" w:name="_Toc498524079"/>
      <w:bookmarkStart w:id="776" w:name="_Toc498524190"/>
      <w:bookmarkStart w:id="777" w:name="_Toc498525552"/>
      <w:bookmarkStart w:id="778" w:name="_Toc498697397"/>
      <w:bookmarkStart w:id="779" w:name="_Toc498697504"/>
      <w:bookmarkStart w:id="780" w:name="_Toc498700357"/>
      <w:bookmarkStart w:id="781" w:name="_Toc498701942"/>
      <w:bookmarkStart w:id="782" w:name="_Toc498509157"/>
      <w:bookmarkStart w:id="783" w:name="_Toc498509401"/>
      <w:bookmarkStart w:id="784" w:name="_Toc498509644"/>
      <w:bookmarkStart w:id="785" w:name="_Toc498510960"/>
      <w:bookmarkStart w:id="786" w:name="_Toc498517168"/>
      <w:bookmarkStart w:id="787" w:name="_Toc498517642"/>
      <w:bookmarkStart w:id="788" w:name="_Toc498517935"/>
      <w:bookmarkStart w:id="789" w:name="_Toc498518701"/>
      <w:bookmarkStart w:id="790" w:name="_Toc498520507"/>
      <w:bookmarkStart w:id="791" w:name="_Toc498521009"/>
      <w:bookmarkStart w:id="792" w:name="_Toc498522186"/>
      <w:bookmarkStart w:id="793" w:name="_Toc498522368"/>
      <w:bookmarkStart w:id="794" w:name="_Toc498522551"/>
      <w:bookmarkStart w:id="795" w:name="_Toc498523417"/>
      <w:bookmarkStart w:id="796" w:name="_Toc498523595"/>
      <w:bookmarkStart w:id="797" w:name="_Toc498523707"/>
      <w:bookmarkStart w:id="798" w:name="_Toc498523825"/>
      <w:bookmarkStart w:id="799" w:name="_Toc498523943"/>
      <w:bookmarkStart w:id="800" w:name="_Toc498524080"/>
      <w:bookmarkStart w:id="801" w:name="_Toc498524191"/>
      <w:bookmarkStart w:id="802" w:name="_Toc498525553"/>
      <w:bookmarkStart w:id="803" w:name="_Toc498697398"/>
      <w:bookmarkStart w:id="804" w:name="_Toc498697505"/>
      <w:bookmarkStart w:id="805" w:name="_Toc498700358"/>
      <w:bookmarkStart w:id="806" w:name="_Toc498701943"/>
      <w:bookmarkStart w:id="807" w:name="_Toc498509158"/>
      <w:bookmarkStart w:id="808" w:name="_Toc498509402"/>
      <w:bookmarkStart w:id="809" w:name="_Toc498509645"/>
      <w:bookmarkStart w:id="810" w:name="_Toc498510961"/>
      <w:bookmarkStart w:id="811" w:name="_Toc498517169"/>
      <w:bookmarkStart w:id="812" w:name="_Toc498517643"/>
      <w:bookmarkStart w:id="813" w:name="_Toc498517936"/>
      <w:bookmarkStart w:id="814" w:name="_Toc498518702"/>
      <w:bookmarkStart w:id="815" w:name="_Toc498520508"/>
      <w:bookmarkStart w:id="816" w:name="_Toc498521010"/>
      <w:bookmarkStart w:id="817" w:name="_Toc498522187"/>
      <w:bookmarkStart w:id="818" w:name="_Toc498522369"/>
      <w:bookmarkStart w:id="819" w:name="_Toc498522552"/>
      <w:bookmarkStart w:id="820" w:name="_Toc498523418"/>
      <w:bookmarkStart w:id="821" w:name="_Toc498523596"/>
      <w:bookmarkStart w:id="822" w:name="_Toc498523708"/>
      <w:bookmarkStart w:id="823" w:name="_Toc498523826"/>
      <w:bookmarkStart w:id="824" w:name="_Toc498523944"/>
      <w:bookmarkStart w:id="825" w:name="_Toc498524081"/>
      <w:bookmarkStart w:id="826" w:name="_Toc498524192"/>
      <w:bookmarkStart w:id="827" w:name="_Toc498525554"/>
      <w:bookmarkStart w:id="828" w:name="_Toc498697399"/>
      <w:bookmarkStart w:id="829" w:name="_Toc498697506"/>
      <w:bookmarkStart w:id="830" w:name="_Toc498700359"/>
      <w:bookmarkStart w:id="831" w:name="_Toc498701944"/>
      <w:bookmarkStart w:id="832" w:name="_Toc498509159"/>
      <w:bookmarkStart w:id="833" w:name="_Toc498509403"/>
      <w:bookmarkStart w:id="834" w:name="_Toc498509646"/>
      <w:bookmarkStart w:id="835" w:name="_Toc498510962"/>
      <w:bookmarkStart w:id="836" w:name="_Toc498517170"/>
      <w:bookmarkStart w:id="837" w:name="_Toc498517644"/>
      <w:bookmarkStart w:id="838" w:name="_Toc498517937"/>
      <w:bookmarkStart w:id="839" w:name="_Toc498518703"/>
      <w:bookmarkStart w:id="840" w:name="_Toc498520509"/>
      <w:bookmarkStart w:id="841" w:name="_Toc498521011"/>
      <w:bookmarkStart w:id="842" w:name="_Toc498522188"/>
      <w:bookmarkStart w:id="843" w:name="_Toc498522370"/>
      <w:bookmarkStart w:id="844" w:name="_Toc498522553"/>
      <w:bookmarkStart w:id="845" w:name="_Toc498523419"/>
      <w:bookmarkStart w:id="846" w:name="_Toc498523597"/>
      <w:bookmarkStart w:id="847" w:name="_Toc498523709"/>
      <w:bookmarkStart w:id="848" w:name="_Toc498523827"/>
      <w:bookmarkStart w:id="849" w:name="_Toc498523945"/>
      <w:bookmarkStart w:id="850" w:name="_Toc498524082"/>
      <w:bookmarkStart w:id="851" w:name="_Toc498524193"/>
      <w:bookmarkStart w:id="852" w:name="_Toc498525555"/>
      <w:bookmarkStart w:id="853" w:name="_Toc498697400"/>
      <w:bookmarkStart w:id="854" w:name="_Toc498697507"/>
      <w:bookmarkStart w:id="855" w:name="_Toc498700360"/>
      <w:bookmarkStart w:id="856" w:name="_Toc498701945"/>
      <w:bookmarkStart w:id="857" w:name="_Toc498509160"/>
      <w:bookmarkStart w:id="858" w:name="_Toc498509404"/>
      <w:bookmarkStart w:id="859" w:name="_Toc498509647"/>
      <w:bookmarkStart w:id="860" w:name="_Toc498510963"/>
      <w:bookmarkStart w:id="861" w:name="_Toc498517171"/>
      <w:bookmarkStart w:id="862" w:name="_Toc498517645"/>
      <w:bookmarkStart w:id="863" w:name="_Toc498517938"/>
      <w:bookmarkStart w:id="864" w:name="_Toc498518704"/>
      <w:bookmarkStart w:id="865" w:name="_Toc498520510"/>
      <w:bookmarkStart w:id="866" w:name="_Toc498521012"/>
      <w:bookmarkStart w:id="867" w:name="_Toc498522189"/>
      <w:bookmarkStart w:id="868" w:name="_Toc498522371"/>
      <w:bookmarkStart w:id="869" w:name="_Toc498522554"/>
      <w:bookmarkStart w:id="870" w:name="_Toc498523420"/>
      <w:bookmarkStart w:id="871" w:name="_Toc498523598"/>
      <w:bookmarkStart w:id="872" w:name="_Toc498523710"/>
      <w:bookmarkStart w:id="873" w:name="_Toc498523828"/>
      <w:bookmarkStart w:id="874" w:name="_Toc498523946"/>
      <w:bookmarkStart w:id="875" w:name="_Toc498524083"/>
      <w:bookmarkStart w:id="876" w:name="_Toc498524194"/>
      <w:bookmarkStart w:id="877" w:name="_Toc498525556"/>
      <w:bookmarkStart w:id="878" w:name="_Toc498697401"/>
      <w:bookmarkStart w:id="879" w:name="_Toc498697508"/>
      <w:bookmarkStart w:id="880" w:name="_Toc498700361"/>
      <w:bookmarkStart w:id="881" w:name="_Toc498701946"/>
      <w:bookmarkStart w:id="882" w:name="_Toc498509161"/>
      <w:bookmarkStart w:id="883" w:name="_Toc498509405"/>
      <w:bookmarkStart w:id="884" w:name="_Toc498509648"/>
      <w:bookmarkStart w:id="885" w:name="_Toc498510964"/>
      <w:bookmarkStart w:id="886" w:name="_Toc498517172"/>
      <w:bookmarkStart w:id="887" w:name="_Toc498517646"/>
      <w:bookmarkStart w:id="888" w:name="_Toc498517939"/>
      <w:bookmarkStart w:id="889" w:name="_Toc498518705"/>
      <w:bookmarkStart w:id="890" w:name="_Toc498520511"/>
      <w:bookmarkStart w:id="891" w:name="_Toc498521013"/>
      <w:bookmarkStart w:id="892" w:name="_Toc498522190"/>
      <w:bookmarkStart w:id="893" w:name="_Toc498522372"/>
      <w:bookmarkStart w:id="894" w:name="_Toc498522555"/>
      <w:bookmarkStart w:id="895" w:name="_Toc498523421"/>
      <w:bookmarkStart w:id="896" w:name="_Toc498523599"/>
      <w:bookmarkStart w:id="897" w:name="_Toc498523711"/>
      <w:bookmarkStart w:id="898" w:name="_Toc498523829"/>
      <w:bookmarkStart w:id="899" w:name="_Toc498523947"/>
      <w:bookmarkStart w:id="900" w:name="_Toc498524084"/>
      <w:bookmarkStart w:id="901" w:name="_Toc498524195"/>
      <w:bookmarkStart w:id="902" w:name="_Toc498525557"/>
      <w:bookmarkStart w:id="903" w:name="_Toc498697402"/>
      <w:bookmarkStart w:id="904" w:name="_Toc498697509"/>
      <w:bookmarkStart w:id="905" w:name="_Toc498700362"/>
      <w:bookmarkStart w:id="906" w:name="_Toc498701947"/>
      <w:bookmarkStart w:id="907" w:name="_Toc498509162"/>
      <w:bookmarkStart w:id="908" w:name="_Toc498509406"/>
      <w:bookmarkStart w:id="909" w:name="_Toc498509649"/>
      <w:bookmarkStart w:id="910" w:name="_Toc498510965"/>
      <w:bookmarkStart w:id="911" w:name="_Toc498517173"/>
      <w:bookmarkStart w:id="912" w:name="_Toc498517647"/>
      <w:bookmarkStart w:id="913" w:name="_Toc498517940"/>
      <w:bookmarkStart w:id="914" w:name="_Toc498518706"/>
      <w:bookmarkStart w:id="915" w:name="_Toc498520512"/>
      <w:bookmarkStart w:id="916" w:name="_Toc498521014"/>
      <w:bookmarkStart w:id="917" w:name="_Toc498522191"/>
      <w:bookmarkStart w:id="918" w:name="_Toc498522373"/>
      <w:bookmarkStart w:id="919" w:name="_Toc498522556"/>
      <w:bookmarkStart w:id="920" w:name="_Toc498523422"/>
      <w:bookmarkStart w:id="921" w:name="_Toc498523600"/>
      <w:bookmarkStart w:id="922" w:name="_Toc498523712"/>
      <w:bookmarkStart w:id="923" w:name="_Toc498523830"/>
      <w:bookmarkStart w:id="924" w:name="_Toc498523948"/>
      <w:bookmarkStart w:id="925" w:name="_Toc498524085"/>
      <w:bookmarkStart w:id="926" w:name="_Toc498524196"/>
      <w:bookmarkStart w:id="927" w:name="_Toc498525558"/>
      <w:bookmarkStart w:id="928" w:name="_Toc498697403"/>
      <w:bookmarkStart w:id="929" w:name="_Toc498697510"/>
      <w:bookmarkStart w:id="930" w:name="_Toc498700363"/>
      <w:bookmarkStart w:id="931" w:name="_Toc498701948"/>
      <w:bookmarkStart w:id="932" w:name="_Toc498509163"/>
      <w:bookmarkStart w:id="933" w:name="_Toc498509407"/>
      <w:bookmarkStart w:id="934" w:name="_Toc498509650"/>
      <w:bookmarkStart w:id="935" w:name="_Toc498510966"/>
      <w:bookmarkStart w:id="936" w:name="_Toc498517174"/>
      <w:bookmarkStart w:id="937" w:name="_Toc498517648"/>
      <w:bookmarkStart w:id="938" w:name="_Toc498517941"/>
      <w:bookmarkStart w:id="939" w:name="_Toc498518707"/>
      <w:bookmarkStart w:id="940" w:name="_Toc498520513"/>
      <w:bookmarkStart w:id="941" w:name="_Toc498521015"/>
      <w:bookmarkStart w:id="942" w:name="_Toc498522192"/>
      <w:bookmarkStart w:id="943" w:name="_Toc498522374"/>
      <w:bookmarkStart w:id="944" w:name="_Toc498522557"/>
      <w:bookmarkStart w:id="945" w:name="_Toc498523423"/>
      <w:bookmarkStart w:id="946" w:name="_Toc498523601"/>
      <w:bookmarkStart w:id="947" w:name="_Toc498523713"/>
      <w:bookmarkStart w:id="948" w:name="_Toc498523831"/>
      <w:bookmarkStart w:id="949" w:name="_Toc498523949"/>
      <w:bookmarkStart w:id="950" w:name="_Toc498524086"/>
      <w:bookmarkStart w:id="951" w:name="_Toc498524197"/>
      <w:bookmarkStart w:id="952" w:name="_Toc498525559"/>
      <w:bookmarkStart w:id="953" w:name="_Toc498697404"/>
      <w:bookmarkStart w:id="954" w:name="_Toc498697511"/>
      <w:bookmarkStart w:id="955" w:name="_Toc498700364"/>
      <w:bookmarkStart w:id="956" w:name="_Toc498701949"/>
      <w:bookmarkStart w:id="957" w:name="_Toc498509164"/>
      <w:bookmarkStart w:id="958" w:name="_Toc498509408"/>
      <w:bookmarkStart w:id="959" w:name="_Toc498509651"/>
      <w:bookmarkStart w:id="960" w:name="_Toc498510967"/>
      <w:bookmarkStart w:id="961" w:name="_Toc498517175"/>
      <w:bookmarkStart w:id="962" w:name="_Toc498517649"/>
      <w:bookmarkStart w:id="963" w:name="_Toc498517942"/>
      <w:bookmarkStart w:id="964" w:name="_Toc498518708"/>
      <w:bookmarkStart w:id="965" w:name="_Toc498520514"/>
      <w:bookmarkStart w:id="966" w:name="_Toc498521016"/>
      <w:bookmarkStart w:id="967" w:name="_Toc498522193"/>
      <w:bookmarkStart w:id="968" w:name="_Toc498522375"/>
      <w:bookmarkStart w:id="969" w:name="_Toc498522558"/>
      <w:bookmarkStart w:id="970" w:name="_Toc498523424"/>
      <w:bookmarkStart w:id="971" w:name="_Toc498523602"/>
      <w:bookmarkStart w:id="972" w:name="_Toc498523714"/>
      <w:bookmarkStart w:id="973" w:name="_Toc498523832"/>
      <w:bookmarkStart w:id="974" w:name="_Toc498523950"/>
      <w:bookmarkStart w:id="975" w:name="_Toc498524087"/>
      <w:bookmarkStart w:id="976" w:name="_Toc498524198"/>
      <w:bookmarkStart w:id="977" w:name="_Toc498525560"/>
      <w:bookmarkStart w:id="978" w:name="_Toc498697405"/>
      <w:bookmarkStart w:id="979" w:name="_Toc498697512"/>
      <w:bookmarkStart w:id="980" w:name="_Toc498700365"/>
      <w:bookmarkStart w:id="981" w:name="_Toc498701950"/>
      <w:bookmarkStart w:id="982" w:name="_Toc498509165"/>
      <w:bookmarkStart w:id="983" w:name="_Toc498509409"/>
      <w:bookmarkStart w:id="984" w:name="_Toc498509652"/>
      <w:bookmarkStart w:id="985" w:name="_Toc498510968"/>
      <w:bookmarkStart w:id="986" w:name="_Toc498517176"/>
      <w:bookmarkStart w:id="987" w:name="_Toc498517650"/>
      <w:bookmarkStart w:id="988" w:name="_Toc498517943"/>
      <w:bookmarkStart w:id="989" w:name="_Toc498518709"/>
      <w:bookmarkStart w:id="990" w:name="_Toc498520515"/>
      <w:bookmarkStart w:id="991" w:name="_Toc498521017"/>
      <w:bookmarkStart w:id="992" w:name="_Toc498522194"/>
      <w:bookmarkStart w:id="993" w:name="_Toc498522376"/>
      <w:bookmarkStart w:id="994" w:name="_Toc498522559"/>
      <w:bookmarkStart w:id="995" w:name="_Toc498523425"/>
      <w:bookmarkStart w:id="996" w:name="_Toc498523603"/>
      <w:bookmarkStart w:id="997" w:name="_Toc498523715"/>
      <w:bookmarkStart w:id="998" w:name="_Toc498523833"/>
      <w:bookmarkStart w:id="999" w:name="_Toc498523951"/>
      <w:bookmarkStart w:id="1000" w:name="_Toc498524088"/>
      <w:bookmarkStart w:id="1001" w:name="_Toc498524199"/>
      <w:bookmarkStart w:id="1002" w:name="_Toc498525561"/>
      <w:bookmarkStart w:id="1003" w:name="_Toc498697406"/>
      <w:bookmarkStart w:id="1004" w:name="_Toc498697513"/>
      <w:bookmarkStart w:id="1005" w:name="_Toc498700366"/>
      <w:bookmarkStart w:id="1006" w:name="_Toc498701951"/>
      <w:bookmarkStart w:id="1007" w:name="_Toc498509166"/>
      <w:bookmarkStart w:id="1008" w:name="_Toc498509410"/>
      <w:bookmarkStart w:id="1009" w:name="_Toc498509653"/>
      <w:bookmarkStart w:id="1010" w:name="_Toc498510969"/>
      <w:bookmarkStart w:id="1011" w:name="_Toc498517177"/>
      <w:bookmarkStart w:id="1012" w:name="_Toc498517651"/>
      <w:bookmarkStart w:id="1013" w:name="_Toc498517944"/>
      <w:bookmarkStart w:id="1014" w:name="_Toc498518710"/>
      <w:bookmarkStart w:id="1015" w:name="_Toc498520516"/>
      <w:bookmarkStart w:id="1016" w:name="_Toc498521018"/>
      <w:bookmarkStart w:id="1017" w:name="_Toc498522195"/>
      <w:bookmarkStart w:id="1018" w:name="_Toc498522377"/>
      <w:bookmarkStart w:id="1019" w:name="_Toc498522560"/>
      <w:bookmarkStart w:id="1020" w:name="_Toc498523426"/>
      <w:bookmarkStart w:id="1021" w:name="_Toc498523604"/>
      <w:bookmarkStart w:id="1022" w:name="_Toc498523716"/>
      <w:bookmarkStart w:id="1023" w:name="_Toc498523834"/>
      <w:bookmarkStart w:id="1024" w:name="_Toc498523952"/>
      <w:bookmarkStart w:id="1025" w:name="_Toc498524089"/>
      <w:bookmarkStart w:id="1026" w:name="_Toc498524200"/>
      <w:bookmarkStart w:id="1027" w:name="_Toc498525562"/>
      <w:bookmarkStart w:id="1028" w:name="_Toc498697407"/>
      <w:bookmarkStart w:id="1029" w:name="_Toc498697514"/>
      <w:bookmarkStart w:id="1030" w:name="_Toc498700367"/>
      <w:bookmarkStart w:id="1031" w:name="_Toc498701952"/>
      <w:bookmarkStart w:id="1032" w:name="_Toc498509174"/>
      <w:bookmarkStart w:id="1033" w:name="_Toc498509418"/>
      <w:bookmarkStart w:id="1034" w:name="_Toc498509661"/>
      <w:bookmarkStart w:id="1035" w:name="_Toc498510977"/>
      <w:bookmarkStart w:id="1036" w:name="_Toc498517185"/>
      <w:bookmarkStart w:id="1037" w:name="_Toc498517659"/>
      <w:bookmarkStart w:id="1038" w:name="_Toc498517952"/>
      <w:bookmarkStart w:id="1039" w:name="_Toc498518718"/>
      <w:bookmarkStart w:id="1040" w:name="_Toc498520524"/>
      <w:bookmarkStart w:id="1041" w:name="_Toc498521026"/>
      <w:bookmarkStart w:id="1042" w:name="_Toc498522203"/>
      <w:bookmarkStart w:id="1043" w:name="_Toc498522385"/>
      <w:bookmarkStart w:id="1044" w:name="_Toc498522568"/>
      <w:bookmarkStart w:id="1045" w:name="_Toc498523434"/>
      <w:bookmarkStart w:id="1046" w:name="_Toc498523612"/>
      <w:bookmarkStart w:id="1047" w:name="_Toc498523724"/>
      <w:bookmarkStart w:id="1048" w:name="_Toc498523842"/>
      <w:bookmarkStart w:id="1049" w:name="_Toc498523960"/>
      <w:bookmarkStart w:id="1050" w:name="_Toc498524097"/>
      <w:bookmarkStart w:id="1051" w:name="_Toc498524208"/>
      <w:bookmarkStart w:id="1052" w:name="_Toc498525570"/>
      <w:bookmarkStart w:id="1053" w:name="_Toc498697415"/>
      <w:bookmarkStart w:id="1054" w:name="_Toc498697522"/>
      <w:bookmarkStart w:id="1055" w:name="_Toc498700375"/>
      <w:bookmarkStart w:id="1056" w:name="_Toc498701960"/>
      <w:bookmarkStart w:id="1057" w:name="_Toc498509175"/>
      <w:bookmarkStart w:id="1058" w:name="_Toc498509419"/>
      <w:bookmarkStart w:id="1059" w:name="_Toc498509662"/>
      <w:bookmarkStart w:id="1060" w:name="_Toc498510978"/>
      <w:bookmarkStart w:id="1061" w:name="_Toc498517186"/>
      <w:bookmarkStart w:id="1062" w:name="_Toc498517660"/>
      <w:bookmarkStart w:id="1063" w:name="_Toc498517953"/>
      <w:bookmarkStart w:id="1064" w:name="_Toc498518719"/>
      <w:bookmarkStart w:id="1065" w:name="_Toc498520525"/>
      <w:bookmarkStart w:id="1066" w:name="_Toc498521027"/>
      <w:bookmarkStart w:id="1067" w:name="_Toc498522204"/>
      <w:bookmarkStart w:id="1068" w:name="_Toc498522386"/>
      <w:bookmarkStart w:id="1069" w:name="_Toc498522569"/>
      <w:bookmarkStart w:id="1070" w:name="_Toc498523435"/>
      <w:bookmarkStart w:id="1071" w:name="_Toc498523613"/>
      <w:bookmarkStart w:id="1072" w:name="_Toc498523725"/>
      <w:bookmarkStart w:id="1073" w:name="_Toc498523843"/>
      <w:bookmarkStart w:id="1074" w:name="_Toc498523961"/>
      <w:bookmarkStart w:id="1075" w:name="_Toc498524098"/>
      <w:bookmarkStart w:id="1076" w:name="_Toc498524209"/>
      <w:bookmarkStart w:id="1077" w:name="_Toc498525571"/>
      <w:bookmarkStart w:id="1078" w:name="_Toc498697416"/>
      <w:bookmarkStart w:id="1079" w:name="_Toc498697523"/>
      <w:bookmarkStart w:id="1080" w:name="_Toc498700376"/>
      <w:bookmarkStart w:id="1081" w:name="_Toc498701961"/>
      <w:bookmarkStart w:id="1082" w:name="_Toc498509176"/>
      <w:bookmarkStart w:id="1083" w:name="_Toc498509420"/>
      <w:bookmarkStart w:id="1084" w:name="_Toc498509663"/>
      <w:bookmarkStart w:id="1085" w:name="_Toc498510979"/>
      <w:bookmarkStart w:id="1086" w:name="_Toc498517187"/>
      <w:bookmarkStart w:id="1087" w:name="_Toc498517661"/>
      <w:bookmarkStart w:id="1088" w:name="_Toc498517954"/>
      <w:bookmarkStart w:id="1089" w:name="_Toc498518720"/>
      <w:bookmarkStart w:id="1090" w:name="_Toc498520526"/>
      <w:bookmarkStart w:id="1091" w:name="_Toc498521028"/>
      <w:bookmarkStart w:id="1092" w:name="_Toc498522205"/>
      <w:bookmarkStart w:id="1093" w:name="_Toc498522387"/>
      <w:bookmarkStart w:id="1094" w:name="_Toc498522570"/>
      <w:bookmarkStart w:id="1095" w:name="_Toc498523436"/>
      <w:bookmarkStart w:id="1096" w:name="_Toc498523614"/>
      <w:bookmarkStart w:id="1097" w:name="_Toc498523726"/>
      <w:bookmarkStart w:id="1098" w:name="_Toc498523844"/>
      <w:bookmarkStart w:id="1099" w:name="_Toc498523962"/>
      <w:bookmarkStart w:id="1100" w:name="_Toc498524099"/>
      <w:bookmarkStart w:id="1101" w:name="_Toc498524210"/>
      <w:bookmarkStart w:id="1102" w:name="_Toc498525572"/>
      <w:bookmarkStart w:id="1103" w:name="_Toc498697417"/>
      <w:bookmarkStart w:id="1104" w:name="_Toc498697524"/>
      <w:bookmarkStart w:id="1105" w:name="_Toc498700377"/>
      <w:bookmarkStart w:id="1106" w:name="_Toc498701962"/>
      <w:bookmarkStart w:id="1107" w:name="_Toc498509177"/>
      <w:bookmarkStart w:id="1108" w:name="_Toc498509421"/>
      <w:bookmarkStart w:id="1109" w:name="_Toc498509664"/>
      <w:bookmarkStart w:id="1110" w:name="_Toc498510980"/>
      <w:bookmarkStart w:id="1111" w:name="_Toc498517188"/>
      <w:bookmarkStart w:id="1112" w:name="_Toc498517662"/>
      <w:bookmarkStart w:id="1113" w:name="_Toc498517955"/>
      <w:bookmarkStart w:id="1114" w:name="_Toc498518721"/>
      <w:bookmarkStart w:id="1115" w:name="_Toc498520527"/>
      <w:bookmarkStart w:id="1116" w:name="_Toc498521029"/>
      <w:bookmarkStart w:id="1117" w:name="_Toc498522206"/>
      <w:bookmarkStart w:id="1118" w:name="_Toc498522388"/>
      <w:bookmarkStart w:id="1119" w:name="_Toc498522571"/>
      <w:bookmarkStart w:id="1120" w:name="_Toc498523437"/>
      <w:bookmarkStart w:id="1121" w:name="_Toc498523615"/>
      <w:bookmarkStart w:id="1122" w:name="_Toc498523727"/>
      <w:bookmarkStart w:id="1123" w:name="_Toc498523845"/>
      <w:bookmarkStart w:id="1124" w:name="_Toc498523963"/>
      <w:bookmarkStart w:id="1125" w:name="_Toc498524100"/>
      <w:bookmarkStart w:id="1126" w:name="_Toc498524211"/>
      <w:bookmarkStart w:id="1127" w:name="_Toc498525573"/>
      <w:bookmarkStart w:id="1128" w:name="_Toc498697418"/>
      <w:bookmarkStart w:id="1129" w:name="_Toc498697525"/>
      <w:bookmarkStart w:id="1130" w:name="_Toc498700378"/>
      <w:bookmarkStart w:id="1131" w:name="_Toc498701963"/>
      <w:bookmarkStart w:id="1132" w:name="_Toc499129972"/>
      <w:bookmarkStart w:id="1133" w:name="_Toc499133301"/>
      <w:bookmarkStart w:id="1134" w:name="_Toc499142821"/>
      <w:bookmarkStart w:id="1135" w:name="_Toc510952867"/>
      <w:bookmarkStart w:id="1136" w:name="_Toc497927263"/>
      <w:bookmarkStart w:id="1137" w:name="_Toc497927876"/>
      <w:bookmarkStart w:id="1138" w:name="_Toc497928142"/>
      <w:bookmarkStart w:id="1139" w:name="_Toc497927261"/>
      <w:bookmarkStart w:id="1140" w:name="_Toc497927874"/>
      <w:bookmarkStart w:id="1141" w:name="_Toc497928140"/>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rPr>
          <w:rFonts w:ascii="Times New Roman" w:eastAsia="Times New Roman" w:hAnsi="Times New Roman" w:cs="Times New Roman"/>
          <w:noProof/>
          <w:sz w:val="24"/>
          <w:szCs w:val="20"/>
        </w:rPr>
        <w:t>Non-legislative action</w:t>
      </w:r>
      <w:bookmarkEnd w:id="1132"/>
      <w:bookmarkEnd w:id="1133"/>
      <w:bookmarkEnd w:id="1134"/>
      <w:bookmarkEnd w:id="1135"/>
    </w:p>
    <w:p w:rsidR="001B65FF" w:rsidRDefault="003E4EF4">
      <w:pPr>
        <w:pStyle w:val="Heading5"/>
        <w:rPr>
          <w:rFonts w:ascii="Times New Roman" w:eastAsia="Times New Roman" w:hAnsi="Times New Roman" w:cs="Times New Roman"/>
          <w:noProof/>
          <w:sz w:val="24"/>
          <w:u w:val="single"/>
        </w:rPr>
      </w:pPr>
      <w:bookmarkStart w:id="1142" w:name="_Toc497927259"/>
      <w:bookmarkStart w:id="1143" w:name="_Toc497927872"/>
      <w:bookmarkStart w:id="1144" w:name="_Toc497928138"/>
      <w:r>
        <w:rPr>
          <w:rFonts w:ascii="Times New Roman" w:eastAsia="Times New Roman" w:hAnsi="Times New Roman" w:cs="Times New Roman"/>
          <w:b w:val="0"/>
          <w:noProof/>
          <w:color w:val="auto"/>
          <w:sz w:val="24"/>
          <w:u w:val="single"/>
        </w:rPr>
        <w:t>Measure 1: practical measures to enhance judicial cooperation</w:t>
      </w:r>
      <w:bookmarkEnd w:id="1142"/>
      <w:bookmarkEnd w:id="1143"/>
      <w:bookmarkEnd w:id="1144"/>
      <w:r>
        <w:rPr>
          <w:rFonts w:ascii="Times New Roman" w:eastAsia="Times New Roman" w:hAnsi="Times New Roman" w:cs="Times New Roman"/>
          <w:b w:val="0"/>
          <w:noProof/>
          <w:color w:val="auto"/>
          <w:sz w:val="24"/>
          <w:u w:val="single"/>
        </w:rPr>
        <w:t xml:space="preserve"> </w:t>
      </w:r>
    </w:p>
    <w:p w:rsidR="001B65FF" w:rsidRDefault="003E4EF4">
      <w:pPr>
        <w:pBdr>
          <w:top w:val="single" w:sz="4" w:space="1" w:color="auto"/>
          <w:left w:val="single" w:sz="4" w:space="4" w:color="auto"/>
          <w:bottom w:val="single" w:sz="4" w:space="1" w:color="auto"/>
          <w:right w:val="single" w:sz="4" w:space="4" w:color="auto"/>
        </w:pBdr>
        <w:spacing w:before="360" w:after="360"/>
        <w:jc w:val="both"/>
        <w:rPr>
          <w:rFonts w:ascii="Times New Roman" w:eastAsiaTheme="minorHAnsi" w:hAnsi="Times New Roman" w:cs="Times New Roman"/>
          <w:noProof/>
          <w:sz w:val="24"/>
        </w:rPr>
      </w:pPr>
      <w:r>
        <w:rPr>
          <w:rFonts w:ascii="Times New Roman" w:hAnsi="Times New Roman" w:cs="Times New Roman"/>
          <w:noProof/>
          <w:sz w:val="24"/>
        </w:rPr>
        <w:t xml:space="preserve">This measure would address problem </w:t>
      </w:r>
      <w:r>
        <w:rPr>
          <w:rFonts w:ascii="Times New Roman" w:hAnsi="Times New Roman" w:cs="Times New Roman"/>
          <w:noProof/>
          <w:sz w:val="24"/>
        </w:rPr>
        <w:t>driver 1 by making procedures for judicial cooperation more efficient, and specific objectives 1 and 2.</w:t>
      </w:r>
    </w:p>
    <w:p w:rsidR="001B65FF" w:rsidRDefault="003E4EF4">
      <w:pPr>
        <w:spacing w:before="240"/>
        <w:jc w:val="both"/>
        <w:rPr>
          <w:rFonts w:ascii="Times New Roman" w:eastAsiaTheme="minorHAnsi" w:hAnsi="Times New Roman" w:cs="Times New Roman"/>
          <w:i/>
          <w:noProof/>
          <w:sz w:val="24"/>
        </w:rPr>
      </w:pPr>
      <w:r>
        <w:rPr>
          <w:rFonts w:ascii="Times New Roman" w:hAnsi="Times New Roman" w:cs="Times New Roman"/>
          <w:i/>
          <w:noProof/>
          <w:sz w:val="24"/>
        </w:rPr>
        <w:t>a) Judicial cooperation with the US (MLA)</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The expert consultation process identified the following practical measures to enhance judicial cooperation be</w:t>
      </w:r>
      <w:r>
        <w:rPr>
          <w:rFonts w:ascii="Times New Roman" w:hAnsi="Times New Roman" w:cs="Times New Roman"/>
          <w:noProof/>
          <w:sz w:val="24"/>
        </w:rPr>
        <w:t xml:space="preserve">tween </w:t>
      </w:r>
      <w:r>
        <w:rPr>
          <w:rFonts w:ascii="Times New Roman" w:hAnsi="Times New Roman" w:cs="Times New Roman"/>
          <w:b/>
          <w:noProof/>
          <w:sz w:val="24"/>
        </w:rPr>
        <w:t>public authorities in the EU and the US</w:t>
      </w:r>
      <w:r>
        <w:rPr>
          <w:rFonts w:ascii="Times New Roman" w:hAnsi="Times New Roman" w:cs="Times New Roman"/>
          <w:noProof/>
          <w:sz w:val="24"/>
        </w:rPr>
        <w:t xml:space="preserve">, on the basis of the existing mutual legal assistance procedures: </w:t>
      </w:r>
    </w:p>
    <w:p w:rsidR="001B65FF" w:rsidRDefault="003E4EF4">
      <w:pPr>
        <w:numPr>
          <w:ilvl w:val="0"/>
          <w:numId w:val="60"/>
        </w:numPr>
        <w:spacing w:after="0"/>
        <w:contextualSpacing/>
        <w:jc w:val="both"/>
        <w:rPr>
          <w:rFonts w:ascii="Times New Roman" w:hAnsi="Times New Roman" w:cs="Times New Roman"/>
          <w:noProof/>
          <w:sz w:val="24"/>
        </w:rPr>
      </w:pPr>
      <w:r>
        <w:rPr>
          <w:rFonts w:ascii="Times New Roman" w:hAnsi="Times New Roman" w:cs="Times New Roman"/>
          <w:b/>
          <w:noProof/>
          <w:sz w:val="24"/>
        </w:rPr>
        <w:t xml:space="preserve">Organise regular technical dialogues with the US Department of Justice </w:t>
      </w:r>
      <w:r>
        <w:rPr>
          <w:rFonts w:ascii="Times New Roman" w:hAnsi="Times New Roman" w:cs="Times New Roman"/>
          <w:noProof/>
          <w:sz w:val="24"/>
        </w:rPr>
        <w:t>to continue to improve the process, speed and success rate of MLA reques</w:t>
      </w:r>
      <w:r>
        <w:rPr>
          <w:rFonts w:ascii="Times New Roman" w:hAnsi="Times New Roman" w:cs="Times New Roman"/>
          <w:noProof/>
          <w:sz w:val="24"/>
        </w:rPr>
        <w:t>ts.</w:t>
      </w:r>
    </w:p>
    <w:p w:rsidR="001B65FF" w:rsidRDefault="003E4EF4">
      <w:pPr>
        <w:numPr>
          <w:ilvl w:val="0"/>
          <w:numId w:val="60"/>
        </w:numPr>
        <w:spacing w:before="240"/>
        <w:contextualSpacing/>
        <w:jc w:val="both"/>
        <w:rPr>
          <w:rFonts w:ascii="Times New Roman" w:hAnsi="Times New Roman" w:cs="Times New Roman"/>
          <w:noProof/>
          <w:sz w:val="24"/>
        </w:rPr>
      </w:pPr>
      <w:r>
        <w:rPr>
          <w:rFonts w:ascii="Times New Roman" w:hAnsi="Times New Roman" w:cs="Times New Roman"/>
          <w:b/>
          <w:noProof/>
          <w:sz w:val="24"/>
        </w:rPr>
        <w:t>Facilitate regular contacts between the EU Delegation to the US, the Commission and liaison magistrates</w:t>
      </w:r>
      <w:r>
        <w:rPr>
          <w:rFonts w:ascii="Times New Roman" w:hAnsi="Times New Roman" w:cs="Times New Roman"/>
          <w:noProof/>
          <w:sz w:val="24"/>
        </w:rPr>
        <w:t xml:space="preserve"> of Member States in the US to discuss MLA process issues. </w:t>
      </w:r>
    </w:p>
    <w:p w:rsidR="001B65FF" w:rsidRDefault="003E4EF4">
      <w:pPr>
        <w:numPr>
          <w:ilvl w:val="0"/>
          <w:numId w:val="60"/>
        </w:numPr>
        <w:spacing w:after="0"/>
        <w:contextualSpacing/>
        <w:jc w:val="both"/>
        <w:rPr>
          <w:rFonts w:ascii="Times New Roman" w:hAnsi="Times New Roman" w:cs="Times New Roman"/>
          <w:noProof/>
          <w:sz w:val="28"/>
        </w:rPr>
      </w:pPr>
      <w:r>
        <w:rPr>
          <w:rFonts w:ascii="Times New Roman" w:hAnsi="Times New Roman" w:cs="Times New Roman"/>
          <w:b/>
          <w:noProof/>
          <w:sz w:val="24"/>
        </w:rPr>
        <w:t>Provide opportunities for the exchange of best practice and further training</w:t>
      </w:r>
      <w:r>
        <w:rPr>
          <w:rFonts w:ascii="Times New Roman" w:hAnsi="Times New Roman" w:cs="Times New Roman"/>
          <w:noProof/>
          <w:sz w:val="24"/>
        </w:rPr>
        <w:t xml:space="preserve"> for EU pract</w:t>
      </w:r>
      <w:r>
        <w:rPr>
          <w:rFonts w:ascii="Times New Roman" w:hAnsi="Times New Roman" w:cs="Times New Roman"/>
          <w:noProof/>
          <w:sz w:val="24"/>
        </w:rPr>
        <w:t xml:space="preserve">itioners on applicable rules in the US relate to the MLA procedure. The Commission has made available </w:t>
      </w:r>
      <w:r>
        <w:rPr>
          <w:rFonts w:ascii="Times New Roman" w:hAnsi="Times New Roman" w:cs="Times New Roman"/>
          <w:b/>
          <w:noProof/>
          <w:sz w:val="24"/>
        </w:rPr>
        <w:t>EUR 500 000</w:t>
      </w:r>
      <w:r>
        <w:rPr>
          <w:rFonts w:ascii="Times New Roman" w:hAnsi="Times New Roman" w:cs="Times New Roman"/>
          <w:noProof/>
          <w:sz w:val="24"/>
        </w:rPr>
        <w:t xml:space="preserve"> under the Partnership Instrument</w:t>
      </w:r>
      <w:r>
        <w:rPr>
          <w:rFonts w:ascii="Times New Roman" w:hAnsi="Times New Roman" w:cs="Times New Roman"/>
          <w:noProof/>
          <w:vertAlign w:val="superscript"/>
        </w:rPr>
        <w:footnoteReference w:id="75"/>
      </w:r>
      <w:r>
        <w:rPr>
          <w:rFonts w:ascii="Times New Roman" w:hAnsi="Times New Roman" w:cs="Times New Roman"/>
          <w:noProof/>
          <w:sz w:val="24"/>
        </w:rPr>
        <w:t xml:space="preserve"> for this. </w:t>
      </w:r>
    </w:p>
    <w:p w:rsidR="001B65FF" w:rsidRDefault="003E4EF4">
      <w:pPr>
        <w:spacing w:before="240"/>
        <w:jc w:val="both"/>
        <w:rPr>
          <w:rFonts w:ascii="Times New Roman" w:hAnsi="Times New Roman" w:cs="Times New Roman"/>
          <w:i/>
          <w:noProof/>
          <w:sz w:val="24"/>
        </w:rPr>
      </w:pPr>
      <w:r>
        <w:rPr>
          <w:rFonts w:ascii="Times New Roman" w:hAnsi="Times New Roman" w:cs="Times New Roman"/>
          <w:i/>
          <w:noProof/>
          <w:sz w:val="24"/>
        </w:rPr>
        <w:t xml:space="preserve">b) </w:t>
      </w:r>
      <w:r>
        <w:rPr>
          <w:rFonts w:ascii="Times New Roman" w:eastAsiaTheme="minorHAnsi" w:hAnsi="Times New Roman" w:cs="Times New Roman"/>
          <w:i/>
          <w:noProof/>
          <w:sz w:val="24"/>
        </w:rPr>
        <w:t>Judicial</w:t>
      </w:r>
      <w:r>
        <w:rPr>
          <w:rFonts w:ascii="Times New Roman" w:hAnsi="Times New Roman" w:cs="Times New Roman"/>
          <w:i/>
          <w:noProof/>
          <w:sz w:val="24"/>
        </w:rPr>
        <w:t xml:space="preserve"> cooperation within the EU</w:t>
      </w:r>
      <w:r>
        <w:rPr>
          <w:rFonts w:ascii="Times New Roman" w:eastAsiaTheme="minorHAnsi" w:hAnsi="Times New Roman" w:cs="Times New Roman"/>
          <w:i/>
          <w:noProof/>
          <w:sz w:val="24"/>
        </w:rPr>
        <w:t xml:space="preserve"> (EIO)</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This measure proposes to facilitate the implementatio</w:t>
      </w:r>
      <w:r>
        <w:rPr>
          <w:rFonts w:ascii="Times New Roman" w:hAnsi="Times New Roman" w:cs="Times New Roman"/>
          <w:noProof/>
          <w:sz w:val="24"/>
        </w:rPr>
        <w:t xml:space="preserve">n of the EIO Directive through a set of measures that could improve the speed of judicial cooperation requests within the EU: </w:t>
      </w:r>
    </w:p>
    <w:p w:rsidR="001B65FF" w:rsidRDefault="003E4EF4">
      <w:pPr>
        <w:numPr>
          <w:ilvl w:val="0"/>
          <w:numId w:val="59"/>
        </w:numPr>
        <w:spacing w:after="0"/>
        <w:contextualSpacing/>
        <w:jc w:val="both"/>
        <w:rPr>
          <w:rFonts w:ascii="Times New Roman" w:hAnsi="Times New Roman" w:cs="Times New Roman"/>
          <w:noProof/>
          <w:sz w:val="24"/>
        </w:rPr>
      </w:pPr>
      <w:r>
        <w:rPr>
          <w:rFonts w:ascii="Times New Roman" w:hAnsi="Times New Roman" w:cs="Times New Roman"/>
          <w:noProof/>
          <w:sz w:val="24"/>
        </w:rPr>
        <w:t xml:space="preserve">An </w:t>
      </w:r>
      <w:r>
        <w:rPr>
          <w:rFonts w:ascii="Times New Roman" w:hAnsi="Times New Roman" w:cs="Times New Roman"/>
          <w:b/>
          <w:noProof/>
          <w:sz w:val="24"/>
        </w:rPr>
        <w:t xml:space="preserve">electronic user-friendly version </w:t>
      </w:r>
      <w:r>
        <w:rPr>
          <w:rFonts w:ascii="Times New Roman" w:hAnsi="Times New Roman" w:cs="Times New Roman"/>
          <w:noProof/>
          <w:sz w:val="24"/>
        </w:rPr>
        <w:t xml:space="preserve">of the forms in the annexes of the EIO Directive. </w:t>
      </w:r>
    </w:p>
    <w:p w:rsidR="001B65FF" w:rsidRDefault="003E4EF4">
      <w:pPr>
        <w:numPr>
          <w:ilvl w:val="0"/>
          <w:numId w:val="59"/>
        </w:numPr>
        <w:contextualSpacing/>
        <w:jc w:val="both"/>
        <w:rPr>
          <w:rFonts w:ascii="Times New Roman" w:hAnsi="Times New Roman" w:cs="Times New Roman"/>
          <w:noProof/>
          <w:sz w:val="24"/>
        </w:rPr>
      </w:pPr>
      <w:r>
        <w:rPr>
          <w:rFonts w:ascii="Times New Roman" w:hAnsi="Times New Roman" w:cs="Times New Roman"/>
          <w:noProof/>
          <w:sz w:val="24"/>
        </w:rPr>
        <w:t xml:space="preserve">A </w:t>
      </w:r>
      <w:r>
        <w:rPr>
          <w:rFonts w:ascii="Times New Roman" w:hAnsi="Times New Roman" w:cs="Times New Roman"/>
          <w:b/>
          <w:noProof/>
          <w:sz w:val="24"/>
        </w:rPr>
        <w:t>secure</w:t>
      </w:r>
      <w:r>
        <w:rPr>
          <w:rFonts w:ascii="Times New Roman" w:hAnsi="Times New Roman" w:cs="Times New Roman"/>
          <w:noProof/>
          <w:sz w:val="24"/>
        </w:rPr>
        <w:t xml:space="preserve"> </w:t>
      </w:r>
      <w:r>
        <w:rPr>
          <w:rFonts w:ascii="Times New Roman" w:hAnsi="Times New Roman" w:cs="Times New Roman"/>
          <w:b/>
          <w:noProof/>
          <w:sz w:val="24"/>
        </w:rPr>
        <w:t xml:space="preserve">online platform </w:t>
      </w:r>
      <w:r>
        <w:rPr>
          <w:rFonts w:ascii="Times New Roman" w:hAnsi="Times New Roman" w:cs="Times New Roman"/>
          <w:noProof/>
          <w:sz w:val="24"/>
        </w:rPr>
        <w:t>for electronic ex</w:t>
      </w:r>
      <w:r>
        <w:rPr>
          <w:rFonts w:ascii="Times New Roman" w:hAnsi="Times New Roman" w:cs="Times New Roman"/>
          <w:noProof/>
          <w:sz w:val="24"/>
        </w:rPr>
        <w:t xml:space="preserve">changes of EIO/MLA requests and replies between EU competent authorities (including on e-evidence) to allow for swift and secure exchanges of requests between competent authorities of different Member States. </w:t>
      </w:r>
    </w:p>
    <w:p w:rsidR="001B65FF" w:rsidRDefault="003E4EF4">
      <w:pPr>
        <w:pStyle w:val="Heading5"/>
        <w:rPr>
          <w:rFonts w:ascii="Times New Roman" w:eastAsia="Times New Roman" w:hAnsi="Times New Roman" w:cs="Times New Roman"/>
          <w:b w:val="0"/>
          <w:noProof/>
          <w:color w:val="auto"/>
          <w:sz w:val="24"/>
          <w:u w:val="single"/>
        </w:rPr>
      </w:pPr>
      <w:r>
        <w:rPr>
          <w:rFonts w:ascii="Times New Roman" w:eastAsia="Times New Roman" w:hAnsi="Times New Roman" w:cs="Times New Roman"/>
          <w:b w:val="0"/>
          <w:noProof/>
          <w:color w:val="auto"/>
          <w:sz w:val="24"/>
          <w:u w:val="single"/>
        </w:rPr>
        <w:t xml:space="preserve">Measure 2: practical measures to enhance </w:t>
      </w:r>
      <w:r>
        <w:rPr>
          <w:rFonts w:ascii="Times New Roman" w:eastAsia="Times New Roman" w:hAnsi="Times New Roman" w:cs="Times New Roman"/>
          <w:b w:val="0"/>
          <w:noProof/>
          <w:color w:val="auto"/>
          <w:sz w:val="24"/>
          <w:u w:val="single"/>
        </w:rPr>
        <w:t>direct cooperation</w:t>
      </w:r>
    </w:p>
    <w:p w:rsidR="001B65FF" w:rsidRDefault="003E4EF4">
      <w:pPr>
        <w:pBdr>
          <w:top w:val="single" w:sz="4" w:space="1" w:color="auto"/>
          <w:left w:val="single" w:sz="4" w:space="4" w:color="auto"/>
          <w:bottom w:val="single" w:sz="4" w:space="1" w:color="auto"/>
          <w:right w:val="single" w:sz="4" w:space="4" w:color="auto"/>
        </w:pBdr>
        <w:spacing w:before="360" w:after="360"/>
        <w:jc w:val="both"/>
        <w:rPr>
          <w:rFonts w:ascii="Times New Roman" w:hAnsi="Times New Roman" w:cs="Times New Roman"/>
          <w:noProof/>
          <w:sz w:val="24"/>
        </w:rPr>
      </w:pPr>
      <w:r>
        <w:rPr>
          <w:rFonts w:ascii="Times New Roman" w:hAnsi="Times New Roman" w:cs="Times New Roman"/>
          <w:noProof/>
          <w:sz w:val="24"/>
        </w:rPr>
        <w:t>This measure would address problem driver 2 by making procedures for public-private cooperation more efficient. It would address the specific objectives 1 and 2.</w:t>
      </w:r>
    </w:p>
    <w:p w:rsidR="001B65FF" w:rsidRDefault="003E4EF4">
      <w:pPr>
        <w:numPr>
          <w:ilvl w:val="0"/>
          <w:numId w:val="62"/>
        </w:numPr>
        <w:contextualSpacing/>
        <w:jc w:val="both"/>
        <w:rPr>
          <w:rFonts w:ascii="Times New Roman" w:hAnsi="Times New Roman" w:cs="Times New Roman"/>
          <w:noProof/>
          <w:sz w:val="24"/>
        </w:rPr>
      </w:pPr>
      <w:r>
        <w:rPr>
          <w:rFonts w:ascii="Times New Roman" w:hAnsi="Times New Roman" w:cs="Times New Roman"/>
          <w:noProof/>
          <w:sz w:val="24"/>
        </w:rPr>
        <w:t xml:space="preserve">Creation of </w:t>
      </w:r>
      <w:r>
        <w:rPr>
          <w:rFonts w:ascii="Times New Roman" w:hAnsi="Times New Roman" w:cs="Times New Roman"/>
          <w:b/>
          <w:noProof/>
          <w:sz w:val="24"/>
        </w:rPr>
        <w:t>single points of contact (SPOC)</w:t>
      </w:r>
      <w:r>
        <w:rPr>
          <w:rFonts w:ascii="Times New Roman" w:hAnsi="Times New Roman" w:cs="Times New Roman"/>
          <w:noProof/>
          <w:sz w:val="24"/>
        </w:rPr>
        <w:t>, both on the public authorities</w:t>
      </w:r>
      <w:r>
        <w:rPr>
          <w:rFonts w:ascii="Times New Roman" w:hAnsi="Times New Roman" w:cs="Times New Roman"/>
          <w:noProof/>
          <w:sz w:val="24"/>
        </w:rPr>
        <w:t>’ side and on the service providers’ side:</w:t>
      </w:r>
    </w:p>
    <w:p w:rsidR="001B65FF" w:rsidRDefault="003E4EF4">
      <w:pPr>
        <w:numPr>
          <w:ilvl w:val="0"/>
          <w:numId w:val="63"/>
        </w:numPr>
        <w:contextualSpacing/>
        <w:jc w:val="both"/>
        <w:rPr>
          <w:rFonts w:ascii="Times New Roman" w:hAnsi="Times New Roman" w:cs="Times New Roman"/>
          <w:noProof/>
          <w:sz w:val="24"/>
        </w:rPr>
      </w:pPr>
      <w:r>
        <w:rPr>
          <w:rFonts w:ascii="Times New Roman" w:hAnsi="Times New Roman" w:cs="Times New Roman"/>
          <w:noProof/>
          <w:sz w:val="24"/>
        </w:rPr>
        <w:t xml:space="preserve">On the </w:t>
      </w:r>
      <w:r>
        <w:rPr>
          <w:rFonts w:ascii="Times New Roman" w:hAnsi="Times New Roman" w:cs="Times New Roman"/>
          <w:b/>
          <w:noProof/>
          <w:sz w:val="24"/>
        </w:rPr>
        <w:t>public authorities’ side</w:t>
      </w:r>
      <w:r>
        <w:rPr>
          <w:rFonts w:ascii="Times New Roman" w:hAnsi="Times New Roman" w:cs="Times New Roman"/>
          <w:noProof/>
          <w:sz w:val="24"/>
        </w:rPr>
        <w:t xml:space="preserve"> in the Member States, it could significantly improve the direct cooperation between those authorities and service providers by e.g. ensuring the quality of outgoing requests and bui</w:t>
      </w:r>
      <w:r>
        <w:rPr>
          <w:rFonts w:ascii="Times New Roman" w:hAnsi="Times New Roman" w:cs="Times New Roman"/>
          <w:noProof/>
          <w:sz w:val="24"/>
        </w:rPr>
        <w:t>lding relationships of confidence with providers, as they know their counterpart.</w:t>
      </w:r>
    </w:p>
    <w:p w:rsidR="001B65FF" w:rsidRDefault="003E4EF4">
      <w:pPr>
        <w:numPr>
          <w:ilvl w:val="0"/>
          <w:numId w:val="63"/>
        </w:numPr>
        <w:contextualSpacing/>
        <w:jc w:val="both"/>
        <w:rPr>
          <w:noProof/>
        </w:rPr>
      </w:pPr>
      <w:r>
        <w:rPr>
          <w:rFonts w:ascii="Times New Roman" w:hAnsi="Times New Roman" w:cs="Times New Roman"/>
          <w:noProof/>
          <w:sz w:val="24"/>
        </w:rPr>
        <w:t>On the</w:t>
      </w:r>
      <w:r>
        <w:rPr>
          <w:rFonts w:ascii="Times New Roman" w:hAnsi="Times New Roman" w:cs="Times New Roman"/>
          <w:b/>
          <w:noProof/>
          <w:sz w:val="24"/>
        </w:rPr>
        <w:t xml:space="preserve"> service provider's side, </w:t>
      </w:r>
      <w:r>
        <w:rPr>
          <w:rFonts w:ascii="Times New Roman" w:hAnsi="Times New Roman" w:cs="Times New Roman"/>
          <w:noProof/>
          <w:sz w:val="24"/>
        </w:rPr>
        <w:t>the creation of a single point of entry could also</w:t>
      </w:r>
      <w:r>
        <w:rPr>
          <w:rFonts w:ascii="Times New Roman" w:hAnsi="Times New Roman" w:cs="Times New Roman"/>
          <w:b/>
          <w:noProof/>
          <w:sz w:val="24"/>
        </w:rPr>
        <w:t xml:space="preserve"> </w:t>
      </w:r>
      <w:r>
        <w:rPr>
          <w:rFonts w:ascii="Times New Roman" w:hAnsi="Times New Roman" w:cs="Times New Roman"/>
          <w:noProof/>
          <w:sz w:val="24"/>
        </w:rPr>
        <w:t>improve the direct cooperation between those authorities and service providers, by, e.g., h</w:t>
      </w:r>
      <w:r>
        <w:rPr>
          <w:rFonts w:ascii="Times New Roman" w:hAnsi="Times New Roman" w:cs="Times New Roman"/>
          <w:noProof/>
          <w:sz w:val="24"/>
        </w:rPr>
        <w:t xml:space="preserve">elping to clarify the provider’s policies. </w:t>
      </w:r>
    </w:p>
    <w:p w:rsidR="001B65FF" w:rsidRDefault="003E4EF4">
      <w:pPr>
        <w:keepNext/>
        <w:numPr>
          <w:ilvl w:val="0"/>
          <w:numId w:val="62"/>
        </w:numPr>
        <w:contextualSpacing/>
        <w:jc w:val="both"/>
        <w:rPr>
          <w:rFonts w:ascii="Times New Roman" w:hAnsi="Times New Roman" w:cs="Times New Roman"/>
          <w:noProof/>
          <w:sz w:val="24"/>
        </w:rPr>
      </w:pPr>
      <w:r>
        <w:rPr>
          <w:rFonts w:ascii="Times New Roman" w:hAnsi="Times New Roman" w:cs="Times New Roman"/>
          <w:b/>
          <w:noProof/>
          <w:sz w:val="24"/>
        </w:rPr>
        <w:t>Streamline procedures</w:t>
      </w:r>
      <w:r>
        <w:rPr>
          <w:rFonts w:ascii="Times New Roman" w:hAnsi="Times New Roman" w:cs="Times New Roman"/>
          <w:noProof/>
          <w:sz w:val="24"/>
        </w:rPr>
        <w:t xml:space="preserve"> on both the public authorities’ and the service providers’ side:</w:t>
      </w:r>
    </w:p>
    <w:p w:rsidR="001B65FF" w:rsidRDefault="003E4EF4">
      <w:pPr>
        <w:numPr>
          <w:ilvl w:val="0"/>
          <w:numId w:val="63"/>
        </w:numPr>
        <w:contextualSpacing/>
        <w:jc w:val="both"/>
        <w:rPr>
          <w:rFonts w:ascii="Times New Roman" w:hAnsi="Times New Roman" w:cs="Times New Roman"/>
          <w:noProof/>
          <w:sz w:val="24"/>
        </w:rPr>
      </w:pPr>
      <w:r>
        <w:rPr>
          <w:rFonts w:ascii="Times New Roman" w:hAnsi="Times New Roman" w:cs="Times New Roman"/>
          <w:noProof/>
          <w:sz w:val="24"/>
        </w:rPr>
        <w:t xml:space="preserve">On the </w:t>
      </w:r>
      <w:r>
        <w:rPr>
          <w:rFonts w:ascii="Times New Roman" w:hAnsi="Times New Roman" w:cs="Times New Roman"/>
          <w:b/>
          <w:noProof/>
          <w:sz w:val="24"/>
        </w:rPr>
        <w:t xml:space="preserve">public authorities’ side, </w:t>
      </w:r>
      <w:r>
        <w:rPr>
          <w:rFonts w:ascii="Times New Roman" w:hAnsi="Times New Roman" w:cs="Times New Roman"/>
          <w:noProof/>
          <w:sz w:val="24"/>
        </w:rPr>
        <w:t xml:space="preserve">the </w:t>
      </w:r>
      <w:r>
        <w:rPr>
          <w:rFonts w:ascii="Times New Roman" w:hAnsi="Times New Roman" w:cs="Times New Roman"/>
          <w:b/>
          <w:noProof/>
          <w:sz w:val="24"/>
        </w:rPr>
        <w:t>standardisation and reduction of forms</w:t>
      </w:r>
      <w:r>
        <w:rPr>
          <w:rFonts w:ascii="Times New Roman" w:hAnsi="Times New Roman" w:cs="Times New Roman"/>
          <w:noProof/>
          <w:sz w:val="24"/>
        </w:rPr>
        <w:t xml:space="preserve"> used by law enforcement and judicial authorities </w:t>
      </w:r>
      <w:r>
        <w:rPr>
          <w:rFonts w:ascii="Times New Roman" w:hAnsi="Times New Roman" w:cs="Times New Roman"/>
          <w:noProof/>
          <w:sz w:val="24"/>
        </w:rPr>
        <w:t>could facilitate the creation of requests by law enforcement and increase the confidence of service providers when it comes to the identification of authorities and proper forms used.</w:t>
      </w:r>
    </w:p>
    <w:p w:rsidR="001B65FF" w:rsidRDefault="003E4EF4">
      <w:pPr>
        <w:numPr>
          <w:ilvl w:val="0"/>
          <w:numId w:val="63"/>
        </w:numPr>
        <w:contextualSpacing/>
        <w:jc w:val="both"/>
        <w:rPr>
          <w:rFonts w:ascii="Times New Roman" w:hAnsi="Times New Roman" w:cs="Times New Roman"/>
          <w:noProof/>
          <w:sz w:val="24"/>
        </w:rPr>
      </w:pPr>
      <w:r>
        <w:rPr>
          <w:rFonts w:ascii="Times New Roman" w:hAnsi="Times New Roman" w:cs="Times New Roman"/>
          <w:noProof/>
          <w:sz w:val="24"/>
        </w:rPr>
        <w:t>On the</w:t>
      </w:r>
      <w:r>
        <w:rPr>
          <w:rFonts w:ascii="Times New Roman" w:hAnsi="Times New Roman" w:cs="Times New Roman"/>
          <w:b/>
          <w:noProof/>
          <w:sz w:val="24"/>
        </w:rPr>
        <w:t xml:space="preserve"> service providers’ side, </w:t>
      </w:r>
      <w:r>
        <w:rPr>
          <w:rFonts w:ascii="Times New Roman" w:hAnsi="Times New Roman" w:cs="Times New Roman"/>
          <w:noProof/>
          <w:sz w:val="24"/>
        </w:rPr>
        <w:t>significant improvements could be made t</w:t>
      </w:r>
      <w:r>
        <w:rPr>
          <w:rFonts w:ascii="Times New Roman" w:hAnsi="Times New Roman" w:cs="Times New Roman"/>
          <w:noProof/>
          <w:sz w:val="24"/>
        </w:rPr>
        <w:t xml:space="preserve">hrough </w:t>
      </w:r>
      <w:r>
        <w:rPr>
          <w:rFonts w:ascii="Times New Roman" w:hAnsi="Times New Roman" w:cs="Times New Roman"/>
          <w:b/>
          <w:noProof/>
          <w:sz w:val="24"/>
        </w:rPr>
        <w:t>streamlining service providers' policies</w:t>
      </w:r>
      <w:r>
        <w:rPr>
          <w:rFonts w:ascii="Times New Roman" w:hAnsi="Times New Roman" w:cs="Times New Roman"/>
          <w:noProof/>
          <w:sz w:val="24"/>
        </w:rPr>
        <w:t xml:space="preserve"> to reduce the heterogeneity of approaches, notably regarding procedures and conditions for granting access to the requested data. </w:t>
      </w:r>
    </w:p>
    <w:p w:rsidR="001B65FF" w:rsidRDefault="003E4EF4">
      <w:pPr>
        <w:numPr>
          <w:ilvl w:val="0"/>
          <w:numId w:val="62"/>
        </w:numPr>
        <w:contextualSpacing/>
        <w:jc w:val="both"/>
        <w:rPr>
          <w:rFonts w:ascii="Times New Roman" w:hAnsi="Times New Roman" w:cs="Times New Roman"/>
          <w:noProof/>
          <w:sz w:val="24"/>
        </w:rPr>
      </w:pPr>
      <w:r>
        <w:rPr>
          <w:rFonts w:ascii="Times New Roman" w:hAnsi="Times New Roman" w:cs="Times New Roman"/>
          <w:b/>
          <w:noProof/>
          <w:sz w:val="24"/>
        </w:rPr>
        <w:t>Provide opportunities for the exchange of best practice and training</w:t>
      </w:r>
      <w:r>
        <w:rPr>
          <w:rFonts w:ascii="Times New Roman" w:hAnsi="Times New Roman" w:cs="Times New Roman"/>
          <w:noProof/>
          <w:sz w:val="24"/>
        </w:rPr>
        <w:t xml:space="preserve"> of publi</w:t>
      </w:r>
      <w:r>
        <w:rPr>
          <w:rFonts w:ascii="Times New Roman" w:hAnsi="Times New Roman" w:cs="Times New Roman"/>
          <w:noProof/>
          <w:sz w:val="24"/>
        </w:rPr>
        <w:t xml:space="preserve">c authorities in the EU on cooperation with US-based providers. </w:t>
      </w:r>
    </w:p>
    <w:p w:rsidR="001B65FF" w:rsidRDefault="003E4EF4">
      <w:pPr>
        <w:numPr>
          <w:ilvl w:val="0"/>
          <w:numId w:val="63"/>
        </w:numPr>
        <w:contextualSpacing/>
        <w:jc w:val="both"/>
        <w:rPr>
          <w:rFonts w:ascii="Times New Roman" w:hAnsi="Times New Roman" w:cs="Times New Roman"/>
          <w:noProof/>
          <w:sz w:val="24"/>
        </w:rPr>
      </w:pPr>
      <w:r>
        <w:rPr>
          <w:rFonts w:ascii="Times New Roman" w:hAnsi="Times New Roman" w:cs="Times New Roman"/>
          <w:noProof/>
          <w:sz w:val="24"/>
        </w:rPr>
        <w:t>All stakeholders indicated that additional</w:t>
      </w:r>
      <w:r>
        <w:rPr>
          <w:rFonts w:ascii="Times New Roman" w:hAnsi="Times New Roman" w:cs="Times New Roman"/>
          <w:b/>
          <w:noProof/>
          <w:sz w:val="24"/>
        </w:rPr>
        <w:t xml:space="preserve"> training for law enforcement and judicial authorities</w:t>
      </w:r>
      <w:r>
        <w:rPr>
          <w:rFonts w:ascii="Times New Roman" w:hAnsi="Times New Roman" w:cs="Times New Roman"/>
          <w:noProof/>
          <w:sz w:val="24"/>
        </w:rPr>
        <w:t xml:space="preserve"> could support the functioning of direct cooperation between those authorities and service prov</w:t>
      </w:r>
      <w:r>
        <w:rPr>
          <w:rFonts w:ascii="Times New Roman" w:hAnsi="Times New Roman" w:cs="Times New Roman"/>
          <w:noProof/>
          <w:sz w:val="24"/>
        </w:rPr>
        <w:t xml:space="preserve">iders. The Commission has made available </w:t>
      </w:r>
      <w:r>
        <w:rPr>
          <w:rFonts w:ascii="Times New Roman" w:hAnsi="Times New Roman" w:cs="Times New Roman"/>
          <w:b/>
          <w:noProof/>
          <w:sz w:val="24"/>
        </w:rPr>
        <w:t>EUR 500 000</w:t>
      </w:r>
      <w:r>
        <w:rPr>
          <w:rFonts w:ascii="Times New Roman" w:hAnsi="Times New Roman" w:cs="Times New Roman"/>
          <w:noProof/>
          <w:sz w:val="24"/>
        </w:rPr>
        <w:t xml:space="preserve"> under the Partnership Instrument</w:t>
      </w:r>
      <w:r>
        <w:rPr>
          <w:rFonts w:ascii="Times New Roman" w:hAnsi="Times New Roman" w:cs="Times New Roman"/>
          <w:noProof/>
          <w:vertAlign w:val="superscript"/>
        </w:rPr>
        <w:footnoteReference w:id="76"/>
      </w:r>
      <w:r>
        <w:rPr>
          <w:rFonts w:ascii="Times New Roman" w:hAnsi="Times New Roman" w:cs="Times New Roman"/>
          <w:noProof/>
          <w:sz w:val="24"/>
        </w:rPr>
        <w:t xml:space="preserve"> for improving direct cooperation.</w:t>
      </w:r>
    </w:p>
    <w:p w:rsidR="001B65FF" w:rsidRDefault="003E4EF4">
      <w:pPr>
        <w:numPr>
          <w:ilvl w:val="0"/>
          <w:numId w:val="63"/>
        </w:numPr>
        <w:spacing w:after="0"/>
        <w:contextualSpacing/>
        <w:jc w:val="both"/>
        <w:rPr>
          <w:rFonts w:ascii="Times New Roman" w:hAnsi="Times New Roman" w:cs="Times New Roman"/>
          <w:noProof/>
          <w:sz w:val="24"/>
        </w:rPr>
      </w:pPr>
      <w:r>
        <w:rPr>
          <w:rFonts w:ascii="Times New Roman" w:hAnsi="Times New Roman" w:cs="Times New Roman"/>
          <w:noProof/>
          <w:sz w:val="24"/>
        </w:rPr>
        <w:t>Several stakeholders suggested the</w:t>
      </w:r>
      <w:r>
        <w:rPr>
          <w:rFonts w:ascii="Times New Roman" w:hAnsi="Times New Roman" w:cs="Times New Roman"/>
          <w:b/>
          <w:noProof/>
          <w:sz w:val="24"/>
        </w:rPr>
        <w:t xml:space="preserve"> establishment of an online information and support portal</w:t>
      </w:r>
      <w:r>
        <w:rPr>
          <w:rFonts w:ascii="Times New Roman" w:hAnsi="Times New Roman" w:cs="Times New Roman"/>
          <w:noProof/>
          <w:sz w:val="24"/>
        </w:rPr>
        <w:t xml:space="preserve"> at EU level to provide support to investig</w:t>
      </w:r>
      <w:r>
        <w:rPr>
          <w:rFonts w:ascii="Times New Roman" w:hAnsi="Times New Roman" w:cs="Times New Roman"/>
          <w:noProof/>
          <w:sz w:val="24"/>
        </w:rPr>
        <w:t xml:space="preserve">ations, including information on applicable rules and procedures. It could leverage the work of existing initiatives such as Europol's </w:t>
      </w:r>
      <w:r>
        <w:rPr>
          <w:rFonts w:ascii="Times New Roman" w:hAnsi="Times New Roman" w:cs="Times New Roman"/>
          <w:b/>
          <w:noProof/>
          <w:sz w:val="24"/>
        </w:rPr>
        <w:t>SIRIUS platform</w:t>
      </w:r>
      <w:r>
        <w:rPr>
          <w:rFonts w:ascii="Times New Roman" w:hAnsi="Times New Roman" w:cs="Times New Roman"/>
          <w:noProof/>
          <w:sz w:val="24"/>
        </w:rPr>
        <w:t xml:space="preserve"> to facilitate online investigations, including the direct cooperation between authorities and service pro</w:t>
      </w:r>
      <w:r>
        <w:rPr>
          <w:rFonts w:ascii="Times New Roman" w:hAnsi="Times New Roman" w:cs="Times New Roman"/>
          <w:noProof/>
          <w:sz w:val="24"/>
        </w:rPr>
        <w:t>viders</w:t>
      </w:r>
      <w:r>
        <w:rPr>
          <w:rFonts w:ascii="Times New Roman" w:hAnsi="Times New Roman" w:cs="Times New Roman"/>
          <w:noProof/>
          <w:vertAlign w:val="superscript"/>
        </w:rPr>
        <w:footnoteReference w:id="77"/>
      </w:r>
      <w:r>
        <w:rPr>
          <w:rFonts w:ascii="Times New Roman" w:hAnsi="Times New Roman" w:cs="Times New Roman"/>
          <w:noProof/>
          <w:sz w:val="24"/>
        </w:rPr>
        <w:t xml:space="preserve">. </w:t>
      </w:r>
    </w:p>
    <w:p w:rsidR="001B65FF" w:rsidRDefault="003E4EF4">
      <w:pPr>
        <w:keepNext/>
        <w:numPr>
          <w:ilvl w:val="2"/>
          <w:numId w:val="3"/>
        </w:numPr>
        <w:tabs>
          <w:tab w:val="clear" w:pos="1920"/>
        </w:tabs>
        <w:spacing w:before="120" w:after="120" w:line="240" w:lineRule="auto"/>
        <w:ind w:left="720"/>
        <w:jc w:val="both"/>
        <w:outlineLvl w:val="2"/>
        <w:rPr>
          <w:rFonts w:ascii="Times New Roman" w:eastAsia="Times New Roman" w:hAnsi="Times New Roman" w:cs="Times New Roman"/>
          <w:noProof/>
          <w:sz w:val="24"/>
          <w:szCs w:val="20"/>
        </w:rPr>
      </w:pPr>
      <w:bookmarkStart w:id="1145" w:name="_Toc499128349"/>
      <w:bookmarkStart w:id="1146" w:name="_Toc499129463"/>
      <w:bookmarkStart w:id="1147" w:name="_Toc499129974"/>
      <w:bookmarkStart w:id="1148" w:name="_Toc499134766"/>
      <w:bookmarkStart w:id="1149" w:name="_Toc499138159"/>
      <w:bookmarkStart w:id="1150" w:name="_Toc499138298"/>
      <w:bookmarkStart w:id="1151" w:name="_Toc499138560"/>
      <w:bookmarkStart w:id="1152" w:name="_Toc499140904"/>
      <w:bookmarkStart w:id="1153" w:name="_Toc499141192"/>
      <w:bookmarkStart w:id="1154" w:name="_Toc499142823"/>
      <w:bookmarkStart w:id="1155" w:name="_Toc499143268"/>
      <w:bookmarkStart w:id="1156" w:name="_Toc499128355"/>
      <w:bookmarkStart w:id="1157" w:name="_Toc499129469"/>
      <w:bookmarkStart w:id="1158" w:name="_Toc499129980"/>
      <w:bookmarkStart w:id="1159" w:name="_Toc499134772"/>
      <w:bookmarkStart w:id="1160" w:name="_Toc499138165"/>
      <w:bookmarkStart w:id="1161" w:name="_Toc499138304"/>
      <w:bookmarkStart w:id="1162" w:name="_Toc499138566"/>
      <w:bookmarkStart w:id="1163" w:name="_Toc499140910"/>
      <w:bookmarkStart w:id="1164" w:name="_Toc499141198"/>
      <w:bookmarkStart w:id="1165" w:name="_Toc499142829"/>
      <w:bookmarkStart w:id="1166" w:name="_Toc499143274"/>
      <w:bookmarkStart w:id="1167" w:name="_Toc499128356"/>
      <w:bookmarkStart w:id="1168" w:name="_Toc499129470"/>
      <w:bookmarkStart w:id="1169" w:name="_Toc499129981"/>
      <w:bookmarkStart w:id="1170" w:name="_Toc499134773"/>
      <w:bookmarkStart w:id="1171" w:name="_Toc499138166"/>
      <w:bookmarkStart w:id="1172" w:name="_Toc499138305"/>
      <w:bookmarkStart w:id="1173" w:name="_Toc499138567"/>
      <w:bookmarkStart w:id="1174" w:name="_Toc499140911"/>
      <w:bookmarkStart w:id="1175" w:name="_Toc499141199"/>
      <w:bookmarkStart w:id="1176" w:name="_Toc499142830"/>
      <w:bookmarkStart w:id="1177" w:name="_Toc499143275"/>
      <w:bookmarkStart w:id="1178" w:name="_Toc499128357"/>
      <w:bookmarkStart w:id="1179" w:name="_Toc499129471"/>
      <w:bookmarkStart w:id="1180" w:name="_Toc499129982"/>
      <w:bookmarkStart w:id="1181" w:name="_Toc499134774"/>
      <w:bookmarkStart w:id="1182" w:name="_Toc499138167"/>
      <w:bookmarkStart w:id="1183" w:name="_Toc499138306"/>
      <w:bookmarkStart w:id="1184" w:name="_Toc499138568"/>
      <w:bookmarkStart w:id="1185" w:name="_Toc499140912"/>
      <w:bookmarkStart w:id="1186" w:name="_Toc499141200"/>
      <w:bookmarkStart w:id="1187" w:name="_Toc499142831"/>
      <w:bookmarkStart w:id="1188" w:name="_Toc499143276"/>
      <w:bookmarkStart w:id="1189" w:name="_Toc499128358"/>
      <w:bookmarkStart w:id="1190" w:name="_Toc499129472"/>
      <w:bookmarkStart w:id="1191" w:name="_Toc499129983"/>
      <w:bookmarkStart w:id="1192" w:name="_Toc499134775"/>
      <w:bookmarkStart w:id="1193" w:name="_Toc499138168"/>
      <w:bookmarkStart w:id="1194" w:name="_Toc499138307"/>
      <w:bookmarkStart w:id="1195" w:name="_Toc499138569"/>
      <w:bookmarkStart w:id="1196" w:name="_Toc499140913"/>
      <w:bookmarkStart w:id="1197" w:name="_Toc499141201"/>
      <w:bookmarkStart w:id="1198" w:name="_Toc499142832"/>
      <w:bookmarkStart w:id="1199" w:name="_Toc499143277"/>
      <w:bookmarkStart w:id="1200" w:name="_Toc499128361"/>
      <w:bookmarkStart w:id="1201" w:name="_Toc499129475"/>
      <w:bookmarkStart w:id="1202" w:name="_Toc499129986"/>
      <w:bookmarkStart w:id="1203" w:name="_Toc499134778"/>
      <w:bookmarkStart w:id="1204" w:name="_Toc499138171"/>
      <w:bookmarkStart w:id="1205" w:name="_Toc499138310"/>
      <w:bookmarkStart w:id="1206" w:name="_Toc499138572"/>
      <w:bookmarkStart w:id="1207" w:name="_Toc499140916"/>
      <w:bookmarkStart w:id="1208" w:name="_Toc499141204"/>
      <w:bookmarkStart w:id="1209" w:name="_Toc499142835"/>
      <w:bookmarkStart w:id="1210" w:name="_Toc499143280"/>
      <w:bookmarkStart w:id="1211" w:name="_Toc499128364"/>
      <w:bookmarkStart w:id="1212" w:name="_Toc499129478"/>
      <w:bookmarkStart w:id="1213" w:name="_Toc499129989"/>
      <w:bookmarkStart w:id="1214" w:name="_Toc499134781"/>
      <w:bookmarkStart w:id="1215" w:name="_Toc499138174"/>
      <w:bookmarkStart w:id="1216" w:name="_Toc499138313"/>
      <w:bookmarkStart w:id="1217" w:name="_Toc499138575"/>
      <w:bookmarkStart w:id="1218" w:name="_Toc499140919"/>
      <w:bookmarkStart w:id="1219" w:name="_Toc499141207"/>
      <w:bookmarkStart w:id="1220" w:name="_Toc499142838"/>
      <w:bookmarkStart w:id="1221" w:name="_Toc499143283"/>
      <w:bookmarkStart w:id="1222" w:name="_Toc499129991"/>
      <w:bookmarkStart w:id="1223" w:name="_Toc499133302"/>
      <w:bookmarkStart w:id="1224" w:name="_Toc499142840"/>
      <w:bookmarkStart w:id="1225" w:name="_Toc510952868"/>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r>
        <w:rPr>
          <w:rFonts w:ascii="Times New Roman" w:eastAsia="Times New Roman" w:hAnsi="Times New Roman" w:cs="Times New Roman"/>
          <w:noProof/>
          <w:sz w:val="24"/>
          <w:szCs w:val="20"/>
        </w:rPr>
        <w:t>Legislative action</w:t>
      </w:r>
      <w:bookmarkEnd w:id="1222"/>
      <w:bookmarkEnd w:id="1223"/>
      <w:bookmarkEnd w:id="1224"/>
      <w:bookmarkEnd w:id="1225"/>
    </w:p>
    <w:p w:rsidR="001B65FF" w:rsidRDefault="003E4EF4">
      <w:pPr>
        <w:pStyle w:val="Heading4"/>
        <w:tabs>
          <w:tab w:val="num" w:pos="1200"/>
        </w:tabs>
        <w:rPr>
          <w:rFonts w:ascii="Times New Roman" w:hAnsi="Times New Roman" w:cs="Times New Roman"/>
          <w:b w:val="0"/>
          <w:noProof/>
          <w:sz w:val="24"/>
        </w:rPr>
      </w:pPr>
      <w:r>
        <w:rPr>
          <w:rFonts w:ascii="Times New Roman" w:hAnsi="Times New Roman" w:cs="Times New Roman"/>
          <w:b w:val="0"/>
          <w:noProof/>
          <w:sz w:val="24"/>
        </w:rPr>
        <w:t>International agreements</w:t>
      </w:r>
    </w:p>
    <w:bookmarkEnd w:id="1136"/>
    <w:bookmarkEnd w:id="1137"/>
    <w:bookmarkEnd w:id="1138"/>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 xml:space="preserve">The EU could seek to conclude international agreements coherent with EU-internal solutions to provide a basis for closer international cooperation with safeguards comparable to those of the EU-internal </w:t>
      </w:r>
      <w:r>
        <w:rPr>
          <w:rFonts w:ascii="Times New Roman" w:hAnsi="Times New Roman" w:cs="Times New Roman"/>
          <w:noProof/>
          <w:sz w:val="24"/>
        </w:rPr>
        <w:t>solution with regard to individuals' rights, including judicial redress. These agreements could cover judicial cooperation, direct cooperation and/or direct access.</w:t>
      </w:r>
    </w:p>
    <w:p w:rsidR="001B65FF" w:rsidRDefault="003E4EF4">
      <w:pPr>
        <w:spacing w:before="240" w:after="0"/>
        <w:jc w:val="both"/>
        <w:rPr>
          <w:rFonts w:ascii="Times New Roman" w:hAnsi="Times New Roman" w:cs="Times New Roman"/>
          <w:noProof/>
          <w:sz w:val="24"/>
        </w:rPr>
      </w:pPr>
      <w:r>
        <w:rPr>
          <w:rFonts w:ascii="Times New Roman" w:hAnsi="Times New Roman" w:cs="Times New Roman"/>
          <w:noProof/>
          <w:sz w:val="24"/>
        </w:rPr>
        <w:t xml:space="preserve">The objectives of these measures on improving cross-border access to electronic evidence </w:t>
      </w:r>
      <w:r>
        <w:rPr>
          <w:rFonts w:ascii="Times New Roman" w:hAnsi="Times New Roman" w:cs="Times New Roman"/>
          <w:noProof/>
          <w:sz w:val="24"/>
        </w:rPr>
        <w:t>through international agreements are:</w:t>
      </w:r>
    </w:p>
    <w:p w:rsidR="001B65FF" w:rsidRDefault="003E4EF4">
      <w:pPr>
        <w:numPr>
          <w:ilvl w:val="0"/>
          <w:numId w:val="64"/>
        </w:numPr>
        <w:spacing w:after="0"/>
        <w:jc w:val="both"/>
        <w:rPr>
          <w:rFonts w:ascii="Times New Roman" w:hAnsi="Times New Roman" w:cs="Times New Roman"/>
          <w:noProof/>
          <w:sz w:val="24"/>
        </w:rPr>
      </w:pPr>
      <w:r>
        <w:rPr>
          <w:rFonts w:ascii="Times New Roman" w:hAnsi="Times New Roman" w:cs="Times New Roman"/>
          <w:noProof/>
          <w:sz w:val="24"/>
        </w:rPr>
        <w:t>to ensure international comity;</w:t>
      </w:r>
    </w:p>
    <w:p w:rsidR="001B65FF" w:rsidRDefault="003E4EF4">
      <w:pPr>
        <w:numPr>
          <w:ilvl w:val="0"/>
          <w:numId w:val="64"/>
        </w:numPr>
        <w:spacing w:after="0"/>
        <w:jc w:val="both"/>
        <w:rPr>
          <w:rFonts w:ascii="Times New Roman" w:hAnsi="Times New Roman" w:cs="Times New Roman"/>
          <w:noProof/>
          <w:sz w:val="24"/>
        </w:rPr>
      </w:pPr>
      <w:r>
        <w:rPr>
          <w:rFonts w:ascii="Times New Roman" w:hAnsi="Times New Roman" w:cs="Times New Roman"/>
          <w:noProof/>
          <w:sz w:val="24"/>
        </w:rPr>
        <w:t>to ensure appropriate conditions and safeguards; and</w:t>
      </w:r>
    </w:p>
    <w:p w:rsidR="001B65FF" w:rsidRDefault="003E4EF4">
      <w:pPr>
        <w:numPr>
          <w:ilvl w:val="0"/>
          <w:numId w:val="64"/>
        </w:numPr>
        <w:spacing w:after="0"/>
        <w:jc w:val="both"/>
        <w:rPr>
          <w:rFonts w:ascii="Times New Roman" w:hAnsi="Times New Roman" w:cs="Times New Roman"/>
          <w:noProof/>
          <w:sz w:val="24"/>
        </w:rPr>
      </w:pPr>
      <w:r>
        <w:rPr>
          <w:rFonts w:ascii="Times New Roman" w:hAnsi="Times New Roman" w:cs="Times New Roman"/>
          <w:noProof/>
          <w:sz w:val="24"/>
        </w:rPr>
        <w:t>to institute mutually compatible approaches and reduce conflicts of law.</w:t>
      </w:r>
    </w:p>
    <w:p w:rsidR="001B65FF" w:rsidRDefault="001B65FF">
      <w:pPr>
        <w:spacing w:after="0"/>
        <w:ind w:left="720"/>
        <w:jc w:val="both"/>
        <w:rPr>
          <w:rFonts w:ascii="Times New Roman" w:hAnsi="Times New Roman" w:cs="Times New Roman"/>
          <w:noProof/>
          <w:sz w:val="24"/>
        </w:rPr>
      </w:pPr>
    </w:p>
    <w:p w:rsidR="001B65FF" w:rsidRDefault="003E4EF4">
      <w:pPr>
        <w:pStyle w:val="ListParagraph"/>
        <w:jc w:val="center"/>
        <w:rPr>
          <w:rFonts w:ascii="Times New Roman" w:hAnsi="Times New Roman" w:cs="Times New Roman"/>
          <w:i/>
          <w:noProof/>
          <w:sz w:val="24"/>
          <w:lang w:eastAsia="en-GB"/>
        </w:rPr>
      </w:pPr>
      <w:r>
        <w:rPr>
          <w:rFonts w:ascii="Times New Roman" w:hAnsi="Times New Roman" w:cs="Times New Roman"/>
          <w:i/>
          <w:noProof/>
          <w:sz w:val="24"/>
          <w:lang w:eastAsia="en-GB"/>
        </w:rPr>
        <w:t xml:space="preserve">Box 4: what is </w:t>
      </w:r>
      <w:r>
        <w:rPr>
          <w:rFonts w:ascii="Times New Roman" w:hAnsi="Times New Roman" w:cs="Times New Roman"/>
          <w:b/>
          <w:i/>
          <w:noProof/>
          <w:sz w:val="24"/>
          <w:lang w:eastAsia="en-GB"/>
        </w:rPr>
        <w:t>international comity</w:t>
      </w:r>
      <w:r>
        <w:rPr>
          <w:rFonts w:ascii="Times New Roman" w:hAnsi="Times New Roman" w:cs="Times New Roman"/>
          <w:i/>
          <w:noProof/>
          <w:sz w:val="24"/>
          <w:lang w:eastAsia="en-GB"/>
        </w:rPr>
        <w:t xml:space="preserve"> and why does it matter?</w:t>
      </w:r>
    </w:p>
    <w:tbl>
      <w:tblPr>
        <w:tblW w:w="9090" w:type="dxa"/>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90"/>
      </w:tblGrid>
      <w:tr w:rsidR="001B65FF">
        <w:tc>
          <w:tcPr>
            <w:tcW w:w="9090" w:type="dxa"/>
            <w:shd w:val="clear" w:color="auto" w:fill="F2F2F2" w:themeFill="background1" w:themeFillShade="F2"/>
            <w:hideMark/>
          </w:tcPr>
          <w:p w:rsidR="001B65FF" w:rsidRDefault="003E4EF4">
            <w:pPr>
              <w:spacing w:before="240" w:after="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International comity is the practice of showing courtesy among nations. It refers to the disposition to perform some official act out of goodwill and tradition rather than obligation or law. In other words, it is the acceptance or adoption of decisions or</w:t>
            </w:r>
            <w:r>
              <w:rPr>
                <w:rFonts w:ascii="Times New Roman" w:hAnsi="Times New Roman" w:cs="Times New Roman"/>
                <w:noProof/>
                <w:sz w:val="24"/>
                <w:lang w:eastAsia="en-GB"/>
              </w:rPr>
              <w:t xml:space="preserve"> laws by a court of another jurisdiction, either foreign or domestic, based on public policy rather than legal mandate.</w:t>
            </w:r>
          </w:p>
          <w:p w:rsidR="001B65FF" w:rsidRDefault="003E4EF4">
            <w:pPr>
              <w:autoSpaceDE w:val="0"/>
              <w:autoSpaceDN w:val="0"/>
              <w:adjustRightInd w:val="0"/>
              <w:spacing w:before="240" w:after="0"/>
              <w:ind w:left="252" w:right="162"/>
              <w:jc w:val="both"/>
              <w:rPr>
                <w:rFonts w:ascii="Times New Roman" w:hAnsi="Times New Roman" w:cs="Times New Roman"/>
                <w:noProof/>
                <w:color w:val="000000"/>
                <w:sz w:val="24"/>
                <w:szCs w:val="23"/>
                <w:u w:val="single"/>
                <w:lang w:val="en-US"/>
              </w:rPr>
            </w:pPr>
            <w:r>
              <w:rPr>
                <w:rFonts w:ascii="Times New Roman" w:eastAsia="Calibri" w:hAnsi="Times New Roman" w:cs="Times New Roman"/>
                <w:noProof/>
                <w:sz w:val="24"/>
              </w:rPr>
              <w:t xml:space="preserve">In the area of cross-border access to e-evidence, international comity may be challenged when different countries use different </w:t>
            </w:r>
            <w:r>
              <w:rPr>
                <w:rFonts w:ascii="Times New Roman" w:eastAsia="Calibri" w:hAnsi="Times New Roman" w:cs="Times New Roman"/>
                <w:noProof/>
                <w:sz w:val="24"/>
              </w:rPr>
              <w:t>connecting factors or direct access. For example, country A may perceive an action by country B as having a cross-border dimension affecting its territorial interests while country B regards the situation as purely domestic in nature; both countries will t</w:t>
            </w:r>
            <w:r>
              <w:rPr>
                <w:rFonts w:ascii="Times New Roman" w:eastAsia="Calibri" w:hAnsi="Times New Roman" w:cs="Times New Roman"/>
                <w:noProof/>
                <w:sz w:val="24"/>
              </w:rPr>
              <w:t>hus also disagree on the need to use domestic or cross-border channels to obtain the evidence concerned</w:t>
            </w:r>
            <w:r>
              <w:rPr>
                <w:rFonts w:ascii="Times New Roman" w:eastAsia="Calibri" w:hAnsi="Times New Roman" w:cs="Times New Roman"/>
                <w:noProof/>
                <w:sz w:val="24"/>
                <w:vertAlign w:val="superscript"/>
              </w:rPr>
              <w:footnoteReference w:id="78"/>
            </w:r>
            <w:r>
              <w:rPr>
                <w:rFonts w:ascii="Times New Roman" w:eastAsia="Calibri" w:hAnsi="Times New Roman" w:cs="Times New Roman"/>
                <w:noProof/>
                <w:sz w:val="24"/>
              </w:rPr>
              <w:t>.</w:t>
            </w:r>
          </w:p>
        </w:tc>
      </w:tr>
    </w:tbl>
    <w:p w:rsidR="001B65FF" w:rsidRDefault="003E4EF4">
      <w:pPr>
        <w:spacing w:before="240" w:after="0"/>
        <w:jc w:val="both"/>
        <w:rPr>
          <w:rFonts w:ascii="Times New Roman" w:hAnsi="Times New Roman" w:cs="Times New Roman"/>
          <w:noProof/>
          <w:sz w:val="24"/>
        </w:rPr>
      </w:pPr>
      <w:r>
        <w:rPr>
          <w:rFonts w:ascii="Times New Roman" w:hAnsi="Times New Roman" w:cs="Times New Roman"/>
          <w:noProof/>
          <w:sz w:val="24"/>
        </w:rPr>
        <w:t>These measures consider the negotiation of two types of international agreements: multilateral and bilateral.</w:t>
      </w:r>
    </w:p>
    <w:p w:rsidR="001B65FF" w:rsidRDefault="003E4EF4">
      <w:pPr>
        <w:pStyle w:val="Heading5"/>
        <w:rPr>
          <w:rFonts w:ascii="Times New Roman" w:eastAsia="Times New Roman" w:hAnsi="Times New Roman" w:cs="Times New Roman"/>
          <w:b w:val="0"/>
          <w:noProof/>
          <w:color w:val="auto"/>
          <w:sz w:val="24"/>
          <w:u w:val="single"/>
        </w:rPr>
      </w:pPr>
      <w:r>
        <w:rPr>
          <w:rFonts w:ascii="Times New Roman" w:eastAsia="Times New Roman" w:hAnsi="Times New Roman" w:cs="Times New Roman"/>
          <w:b w:val="0"/>
          <w:noProof/>
          <w:color w:val="auto"/>
          <w:sz w:val="24"/>
          <w:u w:val="single"/>
        </w:rPr>
        <w:t xml:space="preserve">Measure 3: multilateral international </w:t>
      </w:r>
      <w:r>
        <w:rPr>
          <w:rFonts w:ascii="Times New Roman" w:eastAsia="Times New Roman" w:hAnsi="Times New Roman" w:cs="Times New Roman"/>
          <w:b w:val="0"/>
          <w:noProof/>
          <w:color w:val="auto"/>
          <w:sz w:val="24"/>
          <w:u w:val="single"/>
        </w:rPr>
        <w:t>agreements</w:t>
      </w:r>
    </w:p>
    <w:p w:rsidR="001B65FF" w:rsidRDefault="003E4EF4">
      <w:pPr>
        <w:pBdr>
          <w:top w:val="single" w:sz="4" w:space="1" w:color="auto"/>
          <w:left w:val="single" w:sz="4" w:space="4" w:color="auto"/>
          <w:bottom w:val="single" w:sz="4" w:space="1" w:color="auto"/>
          <w:right w:val="single" w:sz="4" w:space="4" w:color="auto"/>
        </w:pBdr>
        <w:spacing w:before="360" w:after="360"/>
        <w:jc w:val="both"/>
        <w:rPr>
          <w:rFonts w:ascii="Times New Roman" w:hAnsi="Times New Roman" w:cs="Times New Roman"/>
          <w:noProof/>
          <w:sz w:val="24"/>
        </w:rPr>
      </w:pPr>
      <w:r>
        <w:rPr>
          <w:rFonts w:ascii="Times New Roman" w:hAnsi="Times New Roman" w:cs="Times New Roman"/>
          <w:noProof/>
          <w:sz w:val="24"/>
        </w:rPr>
        <w:t>This measure would seek to address problem drivers 1 and 3 by reducing the need for judicial cooperation and clarifying jurisdiction for investigative measures. It would also address problem driver 2 insofar as a multilateral agreement would inc</w:t>
      </w:r>
      <w:r>
        <w:rPr>
          <w:rFonts w:ascii="Times New Roman" w:hAnsi="Times New Roman" w:cs="Times New Roman"/>
          <w:noProof/>
          <w:sz w:val="24"/>
        </w:rPr>
        <w:t xml:space="preserve">lude provisions on direct cooperation with service providers. All specific objectives would be addressed.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Multilateral international agreements ideally create a common framework across a wide number of countries affected by the same challenge. In the fiel</w:t>
      </w:r>
      <w:r>
        <w:rPr>
          <w:rFonts w:ascii="Times New Roman" w:hAnsi="Times New Roman" w:cs="Times New Roman"/>
          <w:noProof/>
          <w:sz w:val="24"/>
        </w:rPr>
        <w:t>d of cyber-enabled crime, the 2001 Council of Europe Convention on Cybercrime (the Budapest Convention) is the main multilateral framework</w:t>
      </w:r>
      <w:r>
        <w:rPr>
          <w:rFonts w:ascii="Times New Roman" w:hAnsi="Times New Roman" w:cs="Times New Roman"/>
          <w:noProof/>
          <w:sz w:val="24"/>
          <w:vertAlign w:val="superscript"/>
        </w:rPr>
        <w:footnoteReference w:id="79"/>
      </w:r>
      <w:r>
        <w:rPr>
          <w:rFonts w:ascii="Times New Roman" w:hAnsi="Times New Roman" w:cs="Times New Roman"/>
          <w:noProof/>
          <w:sz w:val="24"/>
        </w:rPr>
        <w:t xml:space="preserve">.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parties to the Budapest Convention recently decided to negotiate an additional protocol to the Convention by S</w:t>
      </w:r>
      <w:r>
        <w:rPr>
          <w:rFonts w:ascii="Times New Roman" w:hAnsi="Times New Roman" w:cs="Times New Roman"/>
          <w:noProof/>
          <w:sz w:val="24"/>
        </w:rPr>
        <w:t>eptember 2019</w:t>
      </w:r>
      <w:r>
        <w:rPr>
          <w:rFonts w:ascii="Times New Roman" w:hAnsi="Times New Roman" w:cs="Times New Roman"/>
          <w:noProof/>
          <w:sz w:val="24"/>
          <w:vertAlign w:val="superscript"/>
        </w:rPr>
        <w:footnoteReference w:id="80"/>
      </w:r>
      <w:r>
        <w:rPr>
          <w:rFonts w:ascii="Times New Roman" w:hAnsi="Times New Roman" w:cs="Times New Roman"/>
          <w:noProof/>
          <w:sz w:val="24"/>
        </w:rPr>
        <w:t xml:space="preserve">. The scope may expand the existing framework allowing for </w:t>
      </w:r>
      <w:r>
        <w:rPr>
          <w:rFonts w:ascii="Times New Roman" w:hAnsi="Times New Roman" w:cs="Times New Roman"/>
          <w:b/>
          <w:noProof/>
          <w:sz w:val="24"/>
        </w:rPr>
        <w:t>direct cooperation</w:t>
      </w:r>
      <w:r>
        <w:rPr>
          <w:rFonts w:ascii="Times New Roman" w:hAnsi="Times New Roman" w:cs="Times New Roman"/>
          <w:noProof/>
          <w:sz w:val="24"/>
        </w:rPr>
        <w:t xml:space="preserve"> with service providers in other jurisdictions (possibly including subscriber information, preservation requests, and emergency requests), as well as create a </w:t>
      </w:r>
      <w:r>
        <w:rPr>
          <w:rFonts w:ascii="Times New Roman" w:hAnsi="Times New Roman" w:cs="Times New Roman"/>
          <w:b/>
          <w:noProof/>
          <w:sz w:val="24"/>
        </w:rPr>
        <w:t xml:space="preserve">clear </w:t>
      </w:r>
      <w:r>
        <w:rPr>
          <w:rFonts w:ascii="Times New Roman" w:hAnsi="Times New Roman" w:cs="Times New Roman"/>
          <w:b/>
          <w:noProof/>
          <w:sz w:val="24"/>
        </w:rPr>
        <w:t>framework and safeguards</w:t>
      </w:r>
      <w:r>
        <w:rPr>
          <w:rFonts w:ascii="Times New Roman" w:hAnsi="Times New Roman" w:cs="Times New Roman"/>
          <w:noProof/>
          <w:sz w:val="24"/>
        </w:rPr>
        <w:t xml:space="preserve"> for cross-border access to information.</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The interest for the EU to follow closely the negotiation of this Additional Protocol is threefold:</w:t>
      </w:r>
    </w:p>
    <w:p w:rsidR="001B65FF" w:rsidRDefault="003E4EF4">
      <w:pPr>
        <w:numPr>
          <w:ilvl w:val="0"/>
          <w:numId w:val="65"/>
        </w:numPr>
        <w:contextualSpacing/>
        <w:jc w:val="both"/>
        <w:rPr>
          <w:rFonts w:ascii="Times New Roman" w:hAnsi="Times New Roman" w:cs="Times New Roman"/>
          <w:noProof/>
          <w:sz w:val="24"/>
        </w:rPr>
      </w:pPr>
      <w:r>
        <w:rPr>
          <w:rFonts w:ascii="Times New Roman" w:hAnsi="Times New Roman" w:cs="Times New Roman"/>
          <w:noProof/>
          <w:sz w:val="24"/>
        </w:rPr>
        <w:t>Some non-EU countries which are also Parties to the Budapest Convention (e.g. the US) are v</w:t>
      </w:r>
      <w:r>
        <w:rPr>
          <w:rFonts w:ascii="Times New Roman" w:hAnsi="Times New Roman" w:cs="Times New Roman"/>
          <w:noProof/>
          <w:sz w:val="24"/>
        </w:rPr>
        <w:t>ery important in improving cross-border access to e-evidence.</w:t>
      </w:r>
    </w:p>
    <w:p w:rsidR="001B65FF" w:rsidRDefault="003E4EF4">
      <w:pPr>
        <w:numPr>
          <w:ilvl w:val="0"/>
          <w:numId w:val="65"/>
        </w:numPr>
        <w:contextualSpacing/>
        <w:jc w:val="both"/>
        <w:rPr>
          <w:rFonts w:ascii="Times New Roman" w:hAnsi="Times New Roman" w:cs="Times New Roman"/>
          <w:noProof/>
          <w:sz w:val="24"/>
        </w:rPr>
      </w:pPr>
      <w:r>
        <w:rPr>
          <w:rFonts w:ascii="Times New Roman" w:hAnsi="Times New Roman" w:cs="Times New Roman"/>
          <w:noProof/>
          <w:sz w:val="24"/>
        </w:rPr>
        <w:t>While the scope is unlikely to extend to content data, it may include elements that are already covered by existing acquis at EU level, including on Mutual Legal Assistance or in relation to the</w:t>
      </w:r>
      <w:r>
        <w:rPr>
          <w:rFonts w:ascii="Times New Roman" w:hAnsi="Times New Roman" w:cs="Times New Roman"/>
          <w:noProof/>
          <w:sz w:val="24"/>
        </w:rPr>
        <w:t xml:space="preserve"> European Investigation Order.  </w:t>
      </w:r>
    </w:p>
    <w:p w:rsidR="001B65FF" w:rsidRDefault="003E4EF4">
      <w:pPr>
        <w:numPr>
          <w:ilvl w:val="0"/>
          <w:numId w:val="65"/>
        </w:numPr>
        <w:contextualSpacing/>
        <w:jc w:val="both"/>
        <w:rPr>
          <w:rFonts w:ascii="Times New Roman" w:hAnsi="Times New Roman" w:cs="Times New Roman"/>
          <w:noProof/>
          <w:sz w:val="24"/>
        </w:rPr>
      </w:pPr>
      <w:r>
        <w:rPr>
          <w:rFonts w:ascii="Times New Roman" w:hAnsi="Times New Roman" w:cs="Times New Roman"/>
          <w:noProof/>
          <w:sz w:val="24"/>
        </w:rPr>
        <w:t xml:space="preserve">It may help address some of the </w:t>
      </w:r>
      <w:r>
        <w:rPr>
          <w:rFonts w:ascii="Times New Roman" w:hAnsi="Times New Roman" w:cs="Times New Roman"/>
          <w:b/>
          <w:noProof/>
          <w:sz w:val="24"/>
        </w:rPr>
        <w:t>reciprocity</w:t>
      </w:r>
      <w:r>
        <w:rPr>
          <w:rFonts w:ascii="Times New Roman" w:hAnsi="Times New Roman" w:cs="Times New Roman"/>
          <w:noProof/>
          <w:sz w:val="24"/>
        </w:rPr>
        <w:t xml:space="preserve"> issues that a possible EU legislative initiative could generate (see option C, in particular Box 5). </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The negotiations are closely linked with a possible EU proposal on e-evidence</w:t>
      </w:r>
      <w:r>
        <w:rPr>
          <w:rFonts w:ascii="Times New Roman" w:hAnsi="Times New Roman" w:cs="Times New Roman"/>
          <w:noProof/>
          <w:sz w:val="24"/>
        </w:rPr>
        <w:t>: if a proposal is made, consistency will have to be ensured, and there will also be a clear competency for the EU and obligation for the Member States to defend a common position. Whereas these negotiations will proceed regardless of EU action, the EU has</w:t>
      </w:r>
      <w:r>
        <w:rPr>
          <w:rFonts w:ascii="Times New Roman" w:hAnsi="Times New Roman" w:cs="Times New Roman"/>
          <w:noProof/>
          <w:sz w:val="24"/>
        </w:rPr>
        <w:t xml:space="preserve"> the option to take a more or less active role in them. The main added value of an EU mandate to take an active role in these negotiations would be to ensure coherence and complementarity with a possible EU proposal on cross-border access to e-evidence.</w:t>
      </w:r>
    </w:p>
    <w:p w:rsidR="001B65FF" w:rsidRDefault="003E4EF4">
      <w:pPr>
        <w:pStyle w:val="Heading5"/>
        <w:spacing w:before="0"/>
        <w:rPr>
          <w:rFonts w:ascii="Times New Roman" w:eastAsia="Times New Roman" w:hAnsi="Times New Roman" w:cs="Times New Roman"/>
          <w:b w:val="0"/>
          <w:noProof/>
          <w:sz w:val="24"/>
          <w:u w:val="single"/>
        </w:rPr>
      </w:pPr>
      <w:r>
        <w:rPr>
          <w:rFonts w:ascii="Times New Roman" w:eastAsia="Times New Roman" w:hAnsi="Times New Roman" w:cs="Times New Roman"/>
          <w:b w:val="0"/>
          <w:noProof/>
          <w:color w:val="auto"/>
          <w:sz w:val="24"/>
          <w:u w:val="single"/>
        </w:rPr>
        <w:t>Measure 4: bilateral international agreements</w:t>
      </w:r>
    </w:p>
    <w:p w:rsidR="001B65FF" w:rsidRDefault="003E4EF4">
      <w:pPr>
        <w:pBdr>
          <w:top w:val="single" w:sz="4" w:space="1" w:color="auto"/>
          <w:left w:val="single" w:sz="4" w:space="4" w:color="auto"/>
          <w:bottom w:val="single" w:sz="4" w:space="1" w:color="auto"/>
          <w:right w:val="single" w:sz="4" w:space="4" w:color="auto"/>
        </w:pBdr>
        <w:spacing w:before="360" w:after="360"/>
        <w:jc w:val="both"/>
        <w:rPr>
          <w:rFonts w:ascii="Times New Roman" w:hAnsi="Times New Roman" w:cs="Times New Roman"/>
          <w:noProof/>
          <w:sz w:val="24"/>
        </w:rPr>
      </w:pPr>
      <w:r>
        <w:rPr>
          <w:rFonts w:ascii="Times New Roman" w:hAnsi="Times New Roman" w:cs="Times New Roman"/>
          <w:noProof/>
          <w:sz w:val="24"/>
        </w:rPr>
        <w:t>This measure would seek to address problem drivers 1 to 3 by reducing the need for judicial cooperation, regulating direct cooperation and clarifying jurisdiction for investigative measures. It would address al</w:t>
      </w:r>
      <w:r>
        <w:rPr>
          <w:rFonts w:ascii="Times New Roman" w:hAnsi="Times New Roman" w:cs="Times New Roman"/>
          <w:noProof/>
          <w:sz w:val="24"/>
        </w:rPr>
        <w:t>l specific objectives.</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The EU could aim to conclude bilateral agreements to provide for production request/orders and direct access on a reciprocal base, possibly including rules for the enforcement of production orders. As the large majority of requests a</w:t>
      </w:r>
      <w:r>
        <w:rPr>
          <w:rFonts w:ascii="Times New Roman" w:hAnsi="Times New Roman" w:cs="Times New Roman"/>
          <w:noProof/>
          <w:sz w:val="24"/>
        </w:rPr>
        <w:t>re sent to the US, an agreement with the US would have priority.</w:t>
      </w:r>
    </w:p>
    <w:p w:rsidR="001B65FF" w:rsidRDefault="003E4EF4">
      <w:pPr>
        <w:spacing w:before="240" w:after="0"/>
        <w:jc w:val="both"/>
        <w:rPr>
          <w:rFonts w:ascii="Times New Roman" w:hAnsi="Times New Roman" w:cs="Times New Roman"/>
          <w:noProof/>
          <w:sz w:val="24"/>
        </w:rPr>
      </w:pPr>
      <w:r>
        <w:rPr>
          <w:rFonts w:ascii="Times New Roman" w:hAnsi="Times New Roman" w:cs="Times New Roman"/>
          <w:noProof/>
          <w:sz w:val="24"/>
        </w:rPr>
        <w:t>The US and the UK have been exploring the conclusion of a bilateral agreement to permit reciprocal direct requests to service providers for access to content data, subject to specific conditi</w:t>
      </w:r>
      <w:r>
        <w:rPr>
          <w:rFonts w:ascii="Times New Roman" w:hAnsi="Times New Roman" w:cs="Times New Roman"/>
          <w:noProof/>
          <w:sz w:val="24"/>
        </w:rPr>
        <w:t xml:space="preserve">ons and safeguards. This agreement requires a number of legislative changes, which are pending in the US.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EU could aim to conclude a similar agreement with the US to allow direct requests to service providers for content data that currently cannot be </w:t>
      </w:r>
      <w:r>
        <w:rPr>
          <w:rFonts w:ascii="Times New Roman" w:hAnsi="Times New Roman" w:cs="Times New Roman"/>
          <w:noProof/>
          <w:sz w:val="24"/>
        </w:rPr>
        <w:t>disclosed by US service providers under the voluntary cooperation regime. Such an agreement would fall within the scope of application of, and would thus have to comply with, the EU-US Umbrella Agreement</w:t>
      </w:r>
      <w:r>
        <w:rPr>
          <w:rFonts w:ascii="Times New Roman" w:hAnsi="Times New Roman" w:cs="Times New Roman"/>
          <w:noProof/>
          <w:sz w:val="24"/>
          <w:vertAlign w:val="superscript"/>
        </w:rPr>
        <w:footnoteReference w:id="81"/>
      </w:r>
      <w:r>
        <w:rPr>
          <w:rFonts w:ascii="Times New Roman" w:hAnsi="Times New Roman" w:cs="Times New Roman"/>
          <w:noProof/>
          <w:sz w:val="24"/>
        </w:rPr>
        <w:t>.</w:t>
      </w:r>
    </w:p>
    <w:p w:rsidR="001B65FF" w:rsidRDefault="003E4EF4">
      <w:pPr>
        <w:spacing w:after="0"/>
        <w:jc w:val="both"/>
        <w:rPr>
          <w:rFonts w:ascii="Times New Roman" w:hAnsi="Times New Roman" w:cs="Times New Roman"/>
          <w:noProof/>
        </w:rPr>
      </w:pPr>
      <w:r>
        <w:rPr>
          <w:rFonts w:ascii="Times New Roman" w:eastAsia="Calibri" w:hAnsi="Times New Roman" w:cs="Times New Roman"/>
          <w:noProof/>
          <w:sz w:val="24"/>
        </w:rPr>
        <w:t xml:space="preserve">Beyond the US, further bilateral cooperation with </w:t>
      </w:r>
      <w:r>
        <w:rPr>
          <w:rFonts w:ascii="Times New Roman" w:eastAsia="Calibri" w:hAnsi="Times New Roman" w:cs="Times New Roman"/>
          <w:noProof/>
          <w:sz w:val="24"/>
        </w:rPr>
        <w:t>countries member of European Economic Area and with other countries such as Canada could also be contemplated.</w:t>
      </w:r>
    </w:p>
    <w:p w:rsidR="001B65FF" w:rsidRDefault="003E4EF4">
      <w:pPr>
        <w:pStyle w:val="Heading4"/>
        <w:tabs>
          <w:tab w:val="num" w:pos="1200"/>
        </w:tabs>
        <w:rPr>
          <w:rFonts w:ascii="Times New Roman" w:hAnsi="Times New Roman" w:cs="Times New Roman"/>
          <w:noProof/>
          <w:sz w:val="24"/>
        </w:rPr>
      </w:pPr>
      <w:r>
        <w:rPr>
          <w:rFonts w:ascii="Times New Roman" w:hAnsi="Times New Roman" w:cs="Times New Roman"/>
          <w:b w:val="0"/>
          <w:noProof/>
          <w:sz w:val="24"/>
        </w:rPr>
        <w:t>Legislation on direct cooperation</w:t>
      </w:r>
      <w:bookmarkEnd w:id="1139"/>
      <w:bookmarkEnd w:id="1140"/>
      <w:bookmarkEnd w:id="1141"/>
    </w:p>
    <w:p w:rsidR="001B65FF" w:rsidRDefault="003E4EF4">
      <w:pPr>
        <w:pBdr>
          <w:top w:val="single" w:sz="4" w:space="1" w:color="auto"/>
          <w:left w:val="single" w:sz="4" w:space="4" w:color="auto"/>
          <w:bottom w:val="single" w:sz="4" w:space="1" w:color="auto"/>
          <w:right w:val="single" w:sz="4" w:space="4" w:color="auto"/>
        </w:pBdr>
        <w:spacing w:before="360" w:after="360"/>
        <w:jc w:val="both"/>
        <w:rPr>
          <w:rFonts w:ascii="Times New Roman" w:hAnsi="Times New Roman" w:cs="Times New Roman"/>
          <w:noProof/>
          <w:sz w:val="24"/>
        </w:rPr>
      </w:pPr>
      <w:r>
        <w:rPr>
          <w:rFonts w:ascii="Times New Roman" w:hAnsi="Times New Roman" w:cs="Times New Roman"/>
          <w:noProof/>
          <w:sz w:val="24"/>
        </w:rPr>
        <w:t xml:space="preserve">The following measures would seek to address problem drivers 1, 2 and 3 by creating a clear framework and thus </w:t>
      </w:r>
      <w:r>
        <w:rPr>
          <w:rFonts w:ascii="Times New Roman" w:hAnsi="Times New Roman" w:cs="Times New Roman"/>
          <w:noProof/>
          <w:sz w:val="24"/>
        </w:rPr>
        <w:t>reducing inefficiencies in direct cooperation and the need for judicial cooperation, and clarifying jurisdiction for investigative measures.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These measures focus on addressing through a new legislative instrument problem drivers 2 (section 2.2.2.) and 3 (s</w:t>
      </w:r>
      <w:r>
        <w:rPr>
          <w:rFonts w:ascii="Times New Roman" w:hAnsi="Times New Roman" w:cs="Times New Roman"/>
          <w:noProof/>
          <w:sz w:val="24"/>
        </w:rPr>
        <w:t>ection 2.2.3.), which concern direct cooperation with service providers (i.e. situations in which the service provider has access to the data sought). It would indirectly also address problem driver 1 (section 2.2.1.), as an improved channel for direct coo</w:t>
      </w:r>
      <w:r>
        <w:rPr>
          <w:rFonts w:ascii="Times New Roman" w:hAnsi="Times New Roman" w:cs="Times New Roman"/>
          <w:noProof/>
          <w:sz w:val="24"/>
        </w:rPr>
        <w:t>peration would take pressure off the MLAT and EIO channels, saving them for those requests that require judicial cooperation mechanisms.</w:t>
      </w:r>
    </w:p>
    <w:p w:rsidR="001B65FF" w:rsidRDefault="003E4EF4">
      <w:pPr>
        <w:spacing w:after="0"/>
        <w:jc w:val="both"/>
        <w:rPr>
          <w:rFonts w:ascii="Times New Roman" w:hAnsi="Times New Roman" w:cs="Times New Roman"/>
          <w:noProof/>
          <w:sz w:val="24"/>
          <w:szCs w:val="24"/>
        </w:rPr>
      </w:pPr>
      <w:r>
        <w:rPr>
          <w:rFonts w:ascii="Times New Roman" w:hAnsi="Times New Roman" w:cs="Times New Roman"/>
          <w:noProof/>
          <w:sz w:val="24"/>
        </w:rPr>
        <w:t>The new legislation in these measures would tackle the specific issues described in sections 2.2.2. (e.g. improving transparency, reliability, accountability and admissibility of evidence) and the issues concerning domestic production orders described in 2</w:t>
      </w:r>
      <w:r>
        <w:rPr>
          <w:rFonts w:ascii="Times New Roman" w:hAnsi="Times New Roman" w:cs="Times New Roman"/>
          <w:noProof/>
          <w:sz w:val="24"/>
        </w:rPr>
        <w:t xml:space="preserve">.2.3. (e.g. ensuring legal certainty, reducing conflicts of law, fragmentation and complexity, and protecting fundamental rights through procedural safeguards). It would indirectly also help reduce the time required for judicial cooperation procedures, an </w:t>
      </w:r>
      <w:r>
        <w:rPr>
          <w:rFonts w:ascii="Times New Roman" w:hAnsi="Times New Roman" w:cs="Times New Roman"/>
          <w:noProof/>
          <w:sz w:val="24"/>
        </w:rPr>
        <w:t xml:space="preserve">issue described in section 2.2.1., by creating a new channel for requests. </w:t>
      </w:r>
    </w:p>
    <w:p w:rsidR="001B65FF" w:rsidRDefault="001B65FF">
      <w:pPr>
        <w:spacing w:after="0"/>
        <w:jc w:val="both"/>
        <w:rPr>
          <w:rFonts w:ascii="Times New Roman" w:hAnsi="Times New Roman" w:cs="Times New Roman"/>
          <w:noProof/>
          <w:sz w:val="24"/>
        </w:rPr>
      </w:pP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 xml:space="preserve">For data access </w:t>
      </w:r>
      <w:r>
        <w:rPr>
          <w:rFonts w:ascii="Times New Roman" w:hAnsi="Times New Roman" w:cs="Times New Roman"/>
          <w:b/>
          <w:noProof/>
          <w:sz w:val="24"/>
        </w:rPr>
        <w:t>with individual review by the service provider</w:t>
      </w:r>
      <w:r>
        <w:rPr>
          <w:rFonts w:ascii="Times New Roman" w:hAnsi="Times New Roman" w:cs="Times New Roman"/>
          <w:noProof/>
          <w:sz w:val="24"/>
        </w:rPr>
        <w:t>, there are basically two ways in which legislation on direct cooperation with service providers can go:</w:t>
      </w:r>
    </w:p>
    <w:p w:rsidR="001B65FF" w:rsidRDefault="003E4EF4">
      <w:pPr>
        <w:numPr>
          <w:ilvl w:val="0"/>
          <w:numId w:val="67"/>
        </w:numPr>
        <w:contextualSpacing/>
        <w:jc w:val="both"/>
        <w:rPr>
          <w:rFonts w:ascii="Times New Roman" w:hAnsi="Times New Roman" w:cs="Times New Roman"/>
          <w:noProof/>
          <w:sz w:val="24"/>
        </w:rPr>
      </w:pPr>
      <w:r>
        <w:rPr>
          <w:rFonts w:ascii="Times New Roman" w:hAnsi="Times New Roman" w:cs="Times New Roman"/>
          <w:b/>
          <w:noProof/>
          <w:sz w:val="24"/>
        </w:rPr>
        <w:t>Production r</w:t>
      </w:r>
      <w:r>
        <w:rPr>
          <w:rFonts w:ascii="Times New Roman" w:hAnsi="Times New Roman" w:cs="Times New Roman"/>
          <w:b/>
          <w:noProof/>
          <w:sz w:val="24"/>
        </w:rPr>
        <w:t>equests</w:t>
      </w:r>
      <w:r>
        <w:rPr>
          <w:rFonts w:ascii="Times New Roman" w:hAnsi="Times New Roman" w:cs="Times New Roman"/>
          <w:noProof/>
          <w:sz w:val="24"/>
        </w:rPr>
        <w:t xml:space="preserve"> are </w:t>
      </w:r>
      <w:r>
        <w:rPr>
          <w:rFonts w:ascii="Times New Roman" w:hAnsi="Times New Roman" w:cs="Times New Roman"/>
          <w:b/>
          <w:noProof/>
          <w:sz w:val="24"/>
        </w:rPr>
        <w:t>non-mandatory</w:t>
      </w:r>
      <w:r>
        <w:rPr>
          <w:rFonts w:ascii="Times New Roman" w:hAnsi="Times New Roman" w:cs="Times New Roman"/>
          <w:noProof/>
          <w:sz w:val="24"/>
        </w:rPr>
        <w:t xml:space="preserve"> instructions made by a public authority in a Member State directly to a service provider to disclose data under its control, without the involvement of the public authorities of the country where the service provider is based. The</w:t>
      </w:r>
      <w:r>
        <w:rPr>
          <w:rFonts w:ascii="Times New Roman" w:hAnsi="Times New Roman" w:cs="Times New Roman"/>
          <w:noProof/>
          <w:sz w:val="24"/>
        </w:rPr>
        <w:t xml:space="preserve"> service provider can </w:t>
      </w:r>
      <w:r>
        <w:rPr>
          <w:rFonts w:ascii="Times New Roman" w:hAnsi="Times New Roman" w:cs="Times New Roman"/>
          <w:b/>
          <w:noProof/>
          <w:sz w:val="24"/>
        </w:rPr>
        <w:t>voluntarily</w:t>
      </w:r>
      <w:r>
        <w:rPr>
          <w:rFonts w:ascii="Times New Roman" w:hAnsi="Times New Roman" w:cs="Times New Roman"/>
          <w:noProof/>
          <w:sz w:val="24"/>
        </w:rPr>
        <w:t xml:space="preserve"> provide the requested information. If the </w:t>
      </w:r>
    </w:p>
    <w:p w:rsidR="001B65FF" w:rsidRDefault="003E4EF4">
      <w:pPr>
        <w:ind w:left="720"/>
        <w:contextualSpacing/>
        <w:jc w:val="both"/>
        <w:rPr>
          <w:rFonts w:ascii="Times New Roman" w:hAnsi="Times New Roman" w:cs="Times New Roman"/>
          <w:noProof/>
          <w:sz w:val="24"/>
        </w:rPr>
      </w:pPr>
      <w:r>
        <w:rPr>
          <w:rFonts w:ascii="Times New Roman" w:hAnsi="Times New Roman" w:cs="Times New Roman"/>
          <w:noProof/>
          <w:sz w:val="24"/>
        </w:rPr>
        <w:t xml:space="preserve">request is not complied with, there is no possibility of ensuring </w:t>
      </w:r>
      <w:r>
        <w:rPr>
          <w:rFonts w:ascii="Times New Roman" w:hAnsi="Times New Roman" w:cs="Times New Roman"/>
          <w:b/>
          <w:noProof/>
          <w:sz w:val="24"/>
        </w:rPr>
        <w:t>execution</w:t>
      </w:r>
      <w:r>
        <w:rPr>
          <w:rFonts w:ascii="Times New Roman" w:hAnsi="Times New Roman" w:cs="Times New Roman"/>
          <w:noProof/>
          <w:sz w:val="24"/>
        </w:rPr>
        <w:t>.</w:t>
      </w:r>
    </w:p>
    <w:p w:rsidR="001B65FF" w:rsidRDefault="003E4EF4">
      <w:pPr>
        <w:ind w:left="720"/>
        <w:contextualSpacing/>
        <w:jc w:val="both"/>
        <w:rPr>
          <w:rFonts w:ascii="Times New Roman" w:hAnsi="Times New Roman" w:cs="Times New Roman"/>
          <w:noProof/>
          <w:sz w:val="24"/>
        </w:rPr>
      </w:pPr>
      <w:r>
        <w:rPr>
          <w:rFonts w:ascii="Times New Roman" w:hAnsi="Times New Roman" w:cs="Times New Roman"/>
          <w:noProof/>
          <w:sz w:val="24"/>
        </w:rPr>
        <w:t>As described in section 2, this is the type of direct cooperation that takes place with service provid</w:t>
      </w:r>
      <w:r>
        <w:rPr>
          <w:rFonts w:ascii="Times New Roman" w:hAnsi="Times New Roman" w:cs="Times New Roman"/>
          <w:noProof/>
          <w:sz w:val="24"/>
        </w:rPr>
        <w:t>ers headquartered in the US, albeit without a specific legal basis in most Member States.</w:t>
      </w:r>
    </w:p>
    <w:p w:rsidR="001B65FF" w:rsidRDefault="003E4EF4">
      <w:pPr>
        <w:numPr>
          <w:ilvl w:val="0"/>
          <w:numId w:val="67"/>
        </w:numPr>
        <w:contextualSpacing/>
        <w:jc w:val="both"/>
        <w:rPr>
          <w:rFonts w:ascii="Times New Roman" w:hAnsi="Times New Roman" w:cs="Times New Roman"/>
          <w:noProof/>
          <w:sz w:val="24"/>
        </w:rPr>
      </w:pPr>
      <w:r>
        <w:rPr>
          <w:rFonts w:ascii="Times New Roman" w:hAnsi="Times New Roman" w:cs="Times New Roman"/>
          <w:b/>
          <w:noProof/>
          <w:sz w:val="24"/>
        </w:rPr>
        <w:t>Production orders</w:t>
      </w:r>
      <w:r>
        <w:rPr>
          <w:rFonts w:ascii="Times New Roman" w:hAnsi="Times New Roman" w:cs="Times New Roman"/>
          <w:noProof/>
          <w:sz w:val="24"/>
        </w:rPr>
        <w:t>, in contrast,</w:t>
      </w:r>
      <w:r>
        <w:rPr>
          <w:rFonts w:ascii="Times New Roman" w:hAnsi="Times New Roman" w:cs="Times New Roman"/>
          <w:b/>
          <w:noProof/>
          <w:sz w:val="24"/>
        </w:rPr>
        <w:t xml:space="preserve"> </w:t>
      </w:r>
      <w:r>
        <w:rPr>
          <w:rFonts w:ascii="Times New Roman" w:hAnsi="Times New Roman" w:cs="Times New Roman"/>
          <w:noProof/>
          <w:sz w:val="24"/>
        </w:rPr>
        <w:t xml:space="preserve">are </w:t>
      </w:r>
      <w:r>
        <w:rPr>
          <w:rFonts w:ascii="Times New Roman" w:hAnsi="Times New Roman" w:cs="Times New Roman"/>
          <w:b/>
          <w:noProof/>
          <w:sz w:val="24"/>
        </w:rPr>
        <w:t>mandatory</w:t>
      </w:r>
      <w:r>
        <w:rPr>
          <w:rFonts w:ascii="Times New Roman" w:hAnsi="Times New Roman" w:cs="Times New Roman"/>
          <w:noProof/>
          <w:sz w:val="24"/>
        </w:rPr>
        <w:t xml:space="preserve"> instructions made by a public authority in a Member State directly to a service provider to disclose data under its control, without the involvement of the public authorities of the country where the service provider is based, and within a set </w:t>
      </w:r>
      <w:r>
        <w:rPr>
          <w:rFonts w:ascii="Times New Roman" w:hAnsi="Times New Roman" w:cs="Times New Roman"/>
          <w:b/>
          <w:noProof/>
          <w:sz w:val="24"/>
        </w:rPr>
        <w:t>deadline</w:t>
      </w:r>
      <w:r>
        <w:rPr>
          <w:rFonts w:ascii="Times New Roman" w:hAnsi="Times New Roman" w:cs="Times New Roman"/>
          <w:noProof/>
          <w:sz w:val="24"/>
        </w:rPr>
        <w:t>. S</w:t>
      </w:r>
      <w:r>
        <w:rPr>
          <w:rFonts w:ascii="Times New Roman" w:hAnsi="Times New Roman" w:cs="Times New Roman"/>
          <w:noProof/>
          <w:sz w:val="24"/>
        </w:rPr>
        <w:t xml:space="preserve">ervice providers can be obliged to execute them on the territory of the Member State in which they are issued and, depending on the approach chosen, also on the territory of the Member State in which they are served on the relevant service provider. </w:t>
      </w:r>
    </w:p>
    <w:p w:rsidR="001B65FF" w:rsidRDefault="001B65FF">
      <w:pPr>
        <w:spacing w:after="0"/>
        <w:jc w:val="both"/>
        <w:rPr>
          <w:rFonts w:ascii="Times New Roman" w:hAnsi="Times New Roman" w:cs="Times New Roman"/>
          <w:noProof/>
          <w:sz w:val="24"/>
        </w:rPr>
      </w:pPr>
    </w:p>
    <w:p w:rsidR="001B65FF" w:rsidRDefault="003E4EF4">
      <w:pPr>
        <w:spacing w:after="0"/>
        <w:jc w:val="both"/>
        <w:rPr>
          <w:rFonts w:ascii="Times New Roman" w:eastAsia="Calibri" w:hAnsi="Times New Roman" w:cs="Times New Roman"/>
          <w:noProof/>
          <w:sz w:val="24"/>
        </w:rPr>
      </w:pPr>
      <w:r>
        <w:rPr>
          <w:rFonts w:ascii="Times New Roman" w:hAnsi="Times New Roman" w:cs="Times New Roman"/>
          <w:noProof/>
          <w:sz w:val="24"/>
        </w:rPr>
        <w:t>In a</w:t>
      </w:r>
      <w:r>
        <w:rPr>
          <w:rFonts w:ascii="Times New Roman" w:hAnsi="Times New Roman" w:cs="Times New Roman"/>
          <w:noProof/>
          <w:sz w:val="24"/>
        </w:rPr>
        <w:t xml:space="preserve">ddition, the </w:t>
      </w:r>
      <w:r>
        <w:rPr>
          <w:rFonts w:ascii="Times New Roman" w:hAnsi="Times New Roman" w:cs="Times New Roman"/>
          <w:b/>
          <w:noProof/>
          <w:sz w:val="24"/>
        </w:rPr>
        <w:t>type of data</w:t>
      </w:r>
      <w:r>
        <w:rPr>
          <w:rFonts w:ascii="Times New Roman" w:hAnsi="Times New Roman" w:cs="Times New Roman"/>
          <w:noProof/>
          <w:sz w:val="24"/>
        </w:rPr>
        <w:t xml:space="preserve"> (i.e. whether</w:t>
      </w:r>
      <w:r>
        <w:rPr>
          <w:rFonts w:ascii="Times New Roman" w:hAnsi="Times New Roman" w:cs="Times New Roman"/>
          <w:b/>
          <w:noProof/>
          <w:sz w:val="24"/>
        </w:rPr>
        <w:t xml:space="preserve"> content or non-content</w:t>
      </w:r>
      <w:r>
        <w:rPr>
          <w:rFonts w:ascii="Times New Roman" w:hAnsi="Times New Roman" w:cs="Times New Roman"/>
          <w:noProof/>
          <w:sz w:val="24"/>
        </w:rPr>
        <w:t xml:space="preserve">) is a </w:t>
      </w:r>
      <w:r>
        <w:rPr>
          <w:rFonts w:ascii="Times New Roman" w:eastAsia="Calibri" w:hAnsi="Times New Roman" w:cs="Times New Roman"/>
          <w:noProof/>
          <w:sz w:val="24"/>
        </w:rPr>
        <w:t>key factor to take into account when defining possible legislative options for direct cooperation.</w:t>
      </w:r>
    </w:p>
    <w:p w:rsidR="001B65FF" w:rsidRDefault="003E4EF4">
      <w:pPr>
        <w:spacing w:before="240" w:after="0"/>
        <w:jc w:val="both"/>
        <w:rPr>
          <w:rFonts w:ascii="Times New Roman" w:hAnsi="Times New Roman" w:cs="Times New Roman"/>
          <w:noProof/>
          <w:sz w:val="24"/>
        </w:rPr>
      </w:pPr>
      <w:r>
        <w:rPr>
          <w:rFonts w:ascii="Times New Roman" w:eastAsia="Calibri" w:hAnsi="Times New Roman" w:cs="Times New Roman"/>
          <w:noProof/>
          <w:sz w:val="24"/>
        </w:rPr>
        <w:t>The combination of the two sets of key factors above (i.e. whether the instruction is vo</w:t>
      </w:r>
      <w:r>
        <w:rPr>
          <w:rFonts w:ascii="Times New Roman" w:eastAsia="Calibri" w:hAnsi="Times New Roman" w:cs="Times New Roman"/>
          <w:noProof/>
          <w:sz w:val="24"/>
        </w:rPr>
        <w:t xml:space="preserve">luntary/mandatory and whether for content/non content data) generates the following legislative measures for direct cooperation with service providers: </w:t>
      </w:r>
    </w:p>
    <w:p w:rsidR="001B65FF" w:rsidRDefault="003E4EF4">
      <w:pPr>
        <w:spacing w:before="240"/>
        <w:jc w:val="center"/>
        <w:rPr>
          <w:rFonts w:ascii="Times New Roman" w:hAnsi="Times New Roman" w:cs="Times New Roman"/>
          <w:i/>
          <w:noProof/>
          <w:sz w:val="24"/>
        </w:rPr>
      </w:pPr>
      <w:r>
        <w:rPr>
          <w:rFonts w:ascii="Times New Roman" w:hAnsi="Times New Roman" w:cs="Times New Roman"/>
          <w:i/>
          <w:noProof/>
          <w:sz w:val="24"/>
        </w:rPr>
        <w:t xml:space="preserve">Table 6: legislative measures for direct cooperation with service providers </w:t>
      </w:r>
    </w:p>
    <w:tbl>
      <w:tblPr>
        <w:tblStyle w:val="TableGrid"/>
        <w:tblW w:w="0" w:type="auto"/>
        <w:jc w:val="center"/>
        <w:tblInd w:w="-1235" w:type="dxa"/>
        <w:tblLook w:val="04A0" w:firstRow="1" w:lastRow="0" w:firstColumn="1" w:lastColumn="0" w:noHBand="0" w:noVBand="1"/>
      </w:tblPr>
      <w:tblGrid>
        <w:gridCol w:w="5704"/>
        <w:gridCol w:w="1440"/>
        <w:gridCol w:w="1852"/>
      </w:tblGrid>
      <w:tr w:rsidR="001B65FF">
        <w:trPr>
          <w:jc w:val="center"/>
        </w:trPr>
        <w:tc>
          <w:tcPr>
            <w:tcW w:w="5704" w:type="dxa"/>
          </w:tcPr>
          <w:p w:rsidR="001B65FF" w:rsidRDefault="003E4EF4">
            <w:pPr>
              <w:spacing w:line="360" w:lineRule="auto"/>
              <w:jc w:val="center"/>
              <w:rPr>
                <w:b/>
                <w:noProof/>
                <w:sz w:val="24"/>
              </w:rPr>
            </w:pPr>
            <w:r>
              <w:rPr>
                <w:b/>
                <w:noProof/>
                <w:sz w:val="24"/>
              </w:rPr>
              <w:t>Sub-option</w:t>
            </w:r>
          </w:p>
        </w:tc>
        <w:tc>
          <w:tcPr>
            <w:tcW w:w="1440" w:type="dxa"/>
          </w:tcPr>
          <w:p w:rsidR="001B65FF" w:rsidRDefault="003E4EF4">
            <w:pPr>
              <w:spacing w:line="360" w:lineRule="auto"/>
              <w:jc w:val="center"/>
              <w:rPr>
                <w:b/>
                <w:noProof/>
                <w:sz w:val="24"/>
              </w:rPr>
            </w:pPr>
            <w:r>
              <w:rPr>
                <w:b/>
                <w:noProof/>
                <w:sz w:val="24"/>
              </w:rPr>
              <w:t>Content</w:t>
            </w:r>
          </w:p>
        </w:tc>
        <w:tc>
          <w:tcPr>
            <w:tcW w:w="1852" w:type="dxa"/>
          </w:tcPr>
          <w:p w:rsidR="001B65FF" w:rsidRDefault="003E4EF4">
            <w:pPr>
              <w:spacing w:line="360" w:lineRule="auto"/>
              <w:jc w:val="center"/>
              <w:rPr>
                <w:b/>
                <w:noProof/>
                <w:sz w:val="24"/>
              </w:rPr>
            </w:pPr>
            <w:r>
              <w:rPr>
                <w:b/>
                <w:noProof/>
                <w:sz w:val="24"/>
              </w:rPr>
              <w:t>Non con</w:t>
            </w:r>
            <w:r>
              <w:rPr>
                <w:b/>
                <w:noProof/>
                <w:sz w:val="24"/>
              </w:rPr>
              <w:t>tent</w:t>
            </w:r>
          </w:p>
        </w:tc>
      </w:tr>
      <w:tr w:rsidR="001B65FF">
        <w:trPr>
          <w:jc w:val="center"/>
        </w:trPr>
        <w:tc>
          <w:tcPr>
            <w:tcW w:w="5704" w:type="dxa"/>
          </w:tcPr>
          <w:p w:rsidR="001B65FF" w:rsidRDefault="003E4EF4">
            <w:pPr>
              <w:spacing w:line="360" w:lineRule="auto"/>
              <w:jc w:val="both"/>
              <w:rPr>
                <w:noProof/>
                <w:sz w:val="24"/>
              </w:rPr>
            </w:pPr>
            <w:r>
              <w:rPr>
                <w:noProof/>
                <w:sz w:val="24"/>
              </w:rPr>
              <w:t>European Production Order (EPO)</w:t>
            </w:r>
          </w:p>
        </w:tc>
        <w:tc>
          <w:tcPr>
            <w:tcW w:w="1440" w:type="dxa"/>
          </w:tcPr>
          <w:p w:rsidR="001B65FF" w:rsidRDefault="003E4EF4">
            <w:pPr>
              <w:spacing w:line="360" w:lineRule="auto"/>
              <w:jc w:val="center"/>
              <w:rPr>
                <w:noProof/>
                <w:sz w:val="24"/>
              </w:rPr>
            </w:pPr>
            <w:r>
              <w:rPr>
                <w:noProof/>
                <w:sz w:val="24"/>
              </w:rPr>
              <w:t>Order</w:t>
            </w:r>
          </w:p>
        </w:tc>
        <w:tc>
          <w:tcPr>
            <w:tcW w:w="1852" w:type="dxa"/>
          </w:tcPr>
          <w:p w:rsidR="001B65FF" w:rsidRDefault="003E4EF4">
            <w:pPr>
              <w:spacing w:line="360" w:lineRule="auto"/>
              <w:jc w:val="center"/>
              <w:rPr>
                <w:noProof/>
                <w:sz w:val="24"/>
              </w:rPr>
            </w:pPr>
            <w:r>
              <w:rPr>
                <w:noProof/>
                <w:sz w:val="24"/>
              </w:rPr>
              <w:t>Order</w:t>
            </w:r>
          </w:p>
        </w:tc>
      </w:tr>
      <w:tr w:rsidR="001B65FF">
        <w:trPr>
          <w:jc w:val="center"/>
        </w:trPr>
        <w:tc>
          <w:tcPr>
            <w:tcW w:w="5704" w:type="dxa"/>
          </w:tcPr>
          <w:p w:rsidR="001B65FF" w:rsidRDefault="003E4EF4">
            <w:pPr>
              <w:spacing w:line="360" w:lineRule="auto"/>
              <w:jc w:val="both"/>
              <w:rPr>
                <w:noProof/>
                <w:sz w:val="24"/>
              </w:rPr>
            </w:pPr>
            <w:r>
              <w:rPr>
                <w:noProof/>
                <w:sz w:val="24"/>
              </w:rPr>
              <w:t>European Production Request (EPR)</w:t>
            </w:r>
          </w:p>
        </w:tc>
        <w:tc>
          <w:tcPr>
            <w:tcW w:w="1440" w:type="dxa"/>
          </w:tcPr>
          <w:p w:rsidR="001B65FF" w:rsidRDefault="003E4EF4">
            <w:pPr>
              <w:spacing w:line="360" w:lineRule="auto"/>
              <w:jc w:val="center"/>
              <w:rPr>
                <w:noProof/>
                <w:sz w:val="24"/>
              </w:rPr>
            </w:pPr>
            <w:r>
              <w:rPr>
                <w:noProof/>
                <w:sz w:val="24"/>
              </w:rPr>
              <w:t>Request</w:t>
            </w:r>
          </w:p>
        </w:tc>
        <w:tc>
          <w:tcPr>
            <w:tcW w:w="1852" w:type="dxa"/>
          </w:tcPr>
          <w:p w:rsidR="001B65FF" w:rsidRDefault="003E4EF4">
            <w:pPr>
              <w:spacing w:line="360" w:lineRule="auto"/>
              <w:jc w:val="center"/>
              <w:rPr>
                <w:noProof/>
                <w:sz w:val="24"/>
              </w:rPr>
            </w:pPr>
            <w:r>
              <w:rPr>
                <w:noProof/>
                <w:sz w:val="24"/>
              </w:rPr>
              <w:t>Request</w:t>
            </w:r>
          </w:p>
        </w:tc>
      </w:tr>
      <w:tr w:rsidR="001B65FF">
        <w:trPr>
          <w:jc w:val="center"/>
        </w:trPr>
        <w:tc>
          <w:tcPr>
            <w:tcW w:w="5704" w:type="dxa"/>
          </w:tcPr>
          <w:p w:rsidR="001B65FF" w:rsidRDefault="003E4EF4">
            <w:pPr>
              <w:spacing w:line="360" w:lineRule="auto"/>
              <w:jc w:val="both"/>
              <w:rPr>
                <w:noProof/>
                <w:sz w:val="24"/>
              </w:rPr>
            </w:pPr>
            <w:r>
              <w:rPr>
                <w:noProof/>
                <w:sz w:val="24"/>
              </w:rPr>
              <w:t>European Production Request and Order (EPRO)</w:t>
            </w:r>
          </w:p>
        </w:tc>
        <w:tc>
          <w:tcPr>
            <w:tcW w:w="1440" w:type="dxa"/>
          </w:tcPr>
          <w:p w:rsidR="001B65FF" w:rsidRDefault="003E4EF4">
            <w:pPr>
              <w:spacing w:line="360" w:lineRule="auto"/>
              <w:jc w:val="center"/>
              <w:rPr>
                <w:noProof/>
                <w:sz w:val="24"/>
              </w:rPr>
            </w:pPr>
            <w:r>
              <w:rPr>
                <w:noProof/>
                <w:sz w:val="24"/>
              </w:rPr>
              <w:t>Request</w:t>
            </w:r>
          </w:p>
        </w:tc>
        <w:tc>
          <w:tcPr>
            <w:tcW w:w="1852" w:type="dxa"/>
          </w:tcPr>
          <w:p w:rsidR="001B65FF" w:rsidRDefault="003E4EF4">
            <w:pPr>
              <w:spacing w:line="360" w:lineRule="auto"/>
              <w:jc w:val="center"/>
              <w:rPr>
                <w:noProof/>
                <w:sz w:val="24"/>
              </w:rPr>
            </w:pPr>
            <w:r>
              <w:rPr>
                <w:noProof/>
                <w:sz w:val="24"/>
              </w:rPr>
              <w:t>Order</w:t>
            </w:r>
          </w:p>
        </w:tc>
      </w:tr>
    </w:tbl>
    <w:p w:rsidR="001B65FF" w:rsidRDefault="001B65FF">
      <w:pPr>
        <w:spacing w:after="0"/>
        <w:jc w:val="both"/>
        <w:rPr>
          <w:rFonts w:ascii="Times New Roman" w:hAnsi="Times New Roman" w:cs="Times New Roman"/>
          <w:noProof/>
          <w:sz w:val="24"/>
        </w:rPr>
      </w:pP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All the measures above </w:t>
      </w:r>
      <w:r>
        <w:rPr>
          <w:rFonts w:ascii="Times New Roman" w:hAnsi="Times New Roman" w:cs="Times New Roman"/>
          <w:b/>
          <w:noProof/>
          <w:sz w:val="24"/>
        </w:rPr>
        <w:t>share</w:t>
      </w:r>
      <w:r>
        <w:rPr>
          <w:rFonts w:ascii="Times New Roman" w:hAnsi="Times New Roman" w:cs="Times New Roman"/>
          <w:noProof/>
          <w:sz w:val="24"/>
        </w:rPr>
        <w:t xml:space="preserve"> the scope, definitions of types of e-evidence and the obligation for service providers to appoint a legal representative:</w:t>
      </w:r>
    </w:p>
    <w:p w:rsidR="001B65FF" w:rsidRDefault="003E4EF4">
      <w:pPr>
        <w:numPr>
          <w:ilvl w:val="0"/>
          <w:numId w:val="68"/>
        </w:numPr>
        <w:contextualSpacing/>
        <w:jc w:val="both"/>
        <w:rPr>
          <w:rFonts w:ascii="Times New Roman" w:hAnsi="Times New Roman" w:cs="Times New Roman"/>
          <w:b/>
          <w:noProof/>
          <w:sz w:val="24"/>
        </w:rPr>
      </w:pPr>
      <w:r>
        <w:rPr>
          <w:rFonts w:ascii="Times New Roman" w:hAnsi="Times New Roman" w:cs="Times New Roman"/>
          <w:b/>
          <w:noProof/>
          <w:sz w:val="24"/>
        </w:rPr>
        <w:t>Scope</w:t>
      </w:r>
      <w:r>
        <w:rPr>
          <w:rFonts w:ascii="Times New Roman" w:hAnsi="Times New Roman" w:cs="Times New Roman"/>
          <w:noProof/>
          <w:sz w:val="24"/>
        </w:rPr>
        <w:t>:</w:t>
      </w:r>
    </w:p>
    <w:p w:rsidR="001B65FF" w:rsidRDefault="003E4EF4">
      <w:pPr>
        <w:numPr>
          <w:ilvl w:val="0"/>
          <w:numId w:val="70"/>
        </w:numPr>
        <w:contextualSpacing/>
        <w:jc w:val="both"/>
        <w:rPr>
          <w:rFonts w:ascii="Times New Roman" w:hAnsi="Times New Roman" w:cs="Times New Roman"/>
          <w:b/>
          <w:noProof/>
          <w:sz w:val="24"/>
        </w:rPr>
      </w:pPr>
      <w:r>
        <w:rPr>
          <w:rFonts w:ascii="Times New Roman" w:hAnsi="Times New Roman" w:cs="Times New Roman"/>
          <w:noProof/>
          <w:sz w:val="24"/>
        </w:rPr>
        <w:t xml:space="preserve">All the measures in the above would share the same scope, which is the one defined in section 5.1 for this initiative, across </w:t>
      </w:r>
      <w:r>
        <w:rPr>
          <w:rFonts w:ascii="Times New Roman" w:hAnsi="Times New Roman" w:cs="Times New Roman"/>
          <w:noProof/>
          <w:sz w:val="24"/>
        </w:rPr>
        <w:t>its various dimensions:</w:t>
      </w:r>
    </w:p>
    <w:p w:rsidR="001B65FF" w:rsidRDefault="003E4EF4">
      <w:pPr>
        <w:numPr>
          <w:ilvl w:val="0"/>
          <w:numId w:val="70"/>
        </w:numPr>
        <w:contextualSpacing/>
        <w:jc w:val="both"/>
        <w:rPr>
          <w:rFonts w:ascii="Times New Roman" w:hAnsi="Times New Roman" w:cs="Times New Roman"/>
          <w:b/>
          <w:noProof/>
          <w:sz w:val="24"/>
        </w:rPr>
      </w:pPr>
      <w:r>
        <w:rPr>
          <w:rFonts w:ascii="Times New Roman" w:hAnsi="Times New Roman" w:cs="Times New Roman"/>
          <w:noProof/>
          <w:sz w:val="24"/>
        </w:rPr>
        <w:t>Data (material scope):</w:t>
      </w:r>
    </w:p>
    <w:p w:rsidR="001B65FF" w:rsidRDefault="003E4EF4">
      <w:pPr>
        <w:numPr>
          <w:ilvl w:val="1"/>
          <w:numId w:val="70"/>
        </w:numPr>
        <w:tabs>
          <w:tab w:val="left" w:pos="90"/>
        </w:tabs>
        <w:contextualSpacing/>
        <w:jc w:val="both"/>
        <w:rPr>
          <w:rFonts w:ascii="Times New Roman" w:eastAsia="Calibri" w:hAnsi="Times New Roman" w:cs="Times New Roman"/>
          <w:i/>
          <w:noProof/>
          <w:sz w:val="24"/>
        </w:rPr>
      </w:pPr>
      <w:r>
        <w:rPr>
          <w:rFonts w:ascii="Times New Roman" w:hAnsi="Times New Roman" w:cs="Times New Roman"/>
          <w:noProof/>
          <w:sz w:val="24"/>
        </w:rPr>
        <w:t xml:space="preserve">Content and non-content, stored (not intercept), concerning concrete criminal offences (no mass surveillance), all crimes (not limited to serious ones) in all areas. </w:t>
      </w:r>
    </w:p>
    <w:p w:rsidR="001B65FF" w:rsidRDefault="003E4EF4">
      <w:pPr>
        <w:numPr>
          <w:ilvl w:val="1"/>
          <w:numId w:val="22"/>
        </w:numPr>
        <w:tabs>
          <w:tab w:val="left" w:pos="90"/>
        </w:tabs>
        <w:ind w:left="117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Data should be provided regardless of </w:t>
      </w:r>
      <w:r>
        <w:rPr>
          <w:rFonts w:ascii="Times New Roman" w:eastAsia="Calibri" w:hAnsi="Times New Roman" w:cs="Times New Roman"/>
          <w:noProof/>
          <w:sz w:val="24"/>
        </w:rPr>
        <w:t>whether the service provider is able to decrypt the data or disclose it in encrypted form only.</w:t>
      </w:r>
    </w:p>
    <w:p w:rsidR="001B65FF" w:rsidRDefault="003E4EF4">
      <w:pPr>
        <w:numPr>
          <w:ilvl w:val="0"/>
          <w:numId w:val="70"/>
        </w:numPr>
        <w:contextualSpacing/>
        <w:jc w:val="both"/>
        <w:rPr>
          <w:rFonts w:ascii="Times New Roman" w:hAnsi="Times New Roman" w:cs="Times New Roman"/>
          <w:b/>
          <w:noProof/>
          <w:sz w:val="24"/>
        </w:rPr>
      </w:pPr>
      <w:r>
        <w:rPr>
          <w:rFonts w:ascii="Times New Roman" w:hAnsi="Times New Roman" w:cs="Times New Roman"/>
          <w:noProof/>
          <w:sz w:val="24"/>
        </w:rPr>
        <w:t>Service providers (personal scope):</w:t>
      </w:r>
    </w:p>
    <w:p w:rsidR="001B65FF" w:rsidRDefault="003E4EF4">
      <w:pPr>
        <w:numPr>
          <w:ilvl w:val="1"/>
          <w:numId w:val="70"/>
        </w:numPr>
        <w:contextualSpacing/>
        <w:jc w:val="both"/>
        <w:rPr>
          <w:rFonts w:ascii="Times New Roman" w:hAnsi="Times New Roman" w:cs="Times New Roman"/>
          <w:b/>
          <w:noProof/>
          <w:sz w:val="24"/>
        </w:rPr>
      </w:pPr>
      <w:r>
        <w:rPr>
          <w:rFonts w:ascii="Times New Roman" w:hAnsi="Times New Roman" w:cs="Times New Roman"/>
          <w:noProof/>
          <w:sz w:val="24"/>
        </w:rPr>
        <w:t xml:space="preserve">The service providers within the scope of this legislative acts would be those listed in section 5.1. </w:t>
      </w:r>
    </w:p>
    <w:p w:rsidR="001B65FF" w:rsidRDefault="003E4EF4">
      <w:pPr>
        <w:numPr>
          <w:ilvl w:val="1"/>
          <w:numId w:val="70"/>
        </w:numPr>
        <w:contextualSpacing/>
        <w:jc w:val="both"/>
        <w:rPr>
          <w:rFonts w:ascii="Times New Roman" w:hAnsi="Times New Roman" w:cs="Times New Roman"/>
          <w:b/>
          <w:noProof/>
          <w:sz w:val="24"/>
        </w:rPr>
      </w:pPr>
      <w:r>
        <w:rPr>
          <w:rFonts w:ascii="Times New Roman" w:hAnsi="Times New Roman" w:cs="Times New Roman"/>
          <w:noProof/>
          <w:sz w:val="24"/>
        </w:rPr>
        <w:t>The scope needs to be</w:t>
      </w:r>
      <w:r>
        <w:rPr>
          <w:rFonts w:ascii="Times New Roman" w:hAnsi="Times New Roman" w:cs="Times New Roman"/>
          <w:noProof/>
          <w:sz w:val="24"/>
        </w:rPr>
        <w:t xml:space="preserve"> comprehensive enough to create an effective tool, yet clear enough to allow providers to reliably assess whether they fall into the scope. A concrete list of type of service providers concerned provides clarity and legal certainty, and was therefore prefe</w:t>
      </w:r>
      <w:r>
        <w:rPr>
          <w:rFonts w:ascii="Times New Roman" w:hAnsi="Times New Roman" w:cs="Times New Roman"/>
          <w:noProof/>
          <w:sz w:val="24"/>
        </w:rPr>
        <w:t>rred to a "negative list" approach, including all service providers whose services might generate electronic evidence and excluding a limited number of service providers, or an open provision without any list.</w:t>
      </w:r>
    </w:p>
    <w:p w:rsidR="001B65FF" w:rsidRDefault="003E4EF4">
      <w:pPr>
        <w:numPr>
          <w:ilvl w:val="0"/>
          <w:numId w:val="70"/>
        </w:numPr>
        <w:contextualSpacing/>
        <w:jc w:val="both"/>
        <w:rPr>
          <w:rFonts w:ascii="Times New Roman" w:hAnsi="Times New Roman" w:cs="Times New Roman"/>
          <w:b/>
          <w:noProof/>
          <w:sz w:val="24"/>
        </w:rPr>
      </w:pPr>
      <w:r>
        <w:rPr>
          <w:rFonts w:ascii="Times New Roman" w:hAnsi="Times New Roman" w:cs="Times New Roman"/>
          <w:noProof/>
          <w:sz w:val="24"/>
        </w:rPr>
        <w:t>Geography:</w:t>
      </w:r>
    </w:p>
    <w:p w:rsidR="001B65FF" w:rsidRDefault="003E4EF4">
      <w:pPr>
        <w:numPr>
          <w:ilvl w:val="1"/>
          <w:numId w:val="70"/>
        </w:numPr>
        <w:contextualSpacing/>
        <w:jc w:val="both"/>
        <w:rPr>
          <w:rFonts w:ascii="Times New Roman" w:hAnsi="Times New Roman" w:cs="Times New Roman"/>
          <w:b/>
          <w:noProof/>
          <w:sz w:val="24"/>
        </w:rPr>
      </w:pPr>
      <w:r>
        <w:rPr>
          <w:rFonts w:ascii="Times New Roman" w:hAnsi="Times New Roman" w:cs="Times New Roman"/>
          <w:noProof/>
          <w:sz w:val="24"/>
        </w:rPr>
        <w:t>In line with the geographical scope</w:t>
      </w:r>
      <w:r>
        <w:rPr>
          <w:rFonts w:ascii="Times New Roman" w:hAnsi="Times New Roman" w:cs="Times New Roman"/>
          <w:noProof/>
          <w:sz w:val="24"/>
        </w:rPr>
        <w:t xml:space="preserve"> described in section 5.1., these legislative measures would cover </w:t>
      </w:r>
      <w:r>
        <w:rPr>
          <w:rFonts w:ascii="Times New Roman" w:hAnsi="Times New Roman" w:cs="Times New Roman"/>
          <w:b/>
          <w:noProof/>
          <w:sz w:val="24"/>
        </w:rPr>
        <w:t>data regardless of where it is stored</w:t>
      </w:r>
      <w:r>
        <w:rPr>
          <w:rFonts w:ascii="Times New Roman" w:hAnsi="Times New Roman" w:cs="Times New Roman"/>
          <w:noProof/>
          <w:sz w:val="24"/>
          <w:vertAlign w:val="superscript"/>
        </w:rPr>
        <w:footnoteReference w:id="82"/>
      </w:r>
      <w:r>
        <w:rPr>
          <w:rFonts w:ascii="Times New Roman" w:hAnsi="Times New Roman" w:cs="Times New Roman"/>
          <w:noProof/>
          <w:sz w:val="24"/>
        </w:rPr>
        <w:t xml:space="preserve">, as well as </w:t>
      </w:r>
      <w:r>
        <w:rPr>
          <w:rFonts w:ascii="Times New Roman" w:hAnsi="Times New Roman" w:cs="Times New Roman"/>
          <w:b/>
          <w:noProof/>
          <w:sz w:val="24"/>
        </w:rPr>
        <w:t>service providers regardless of where they are based</w:t>
      </w:r>
      <w:r>
        <w:rPr>
          <w:rFonts w:ascii="Times New Roman" w:hAnsi="Times New Roman" w:cs="Times New Roman"/>
          <w:noProof/>
          <w:sz w:val="24"/>
        </w:rPr>
        <w:t>, as long as they offer services on the EU market. "Offering services" on the EU marke</w:t>
      </w:r>
      <w:r>
        <w:rPr>
          <w:rFonts w:ascii="Times New Roman" w:hAnsi="Times New Roman" w:cs="Times New Roman"/>
          <w:noProof/>
          <w:sz w:val="24"/>
        </w:rPr>
        <w:t>t would be determined by a number of possible indicators, e.g., the availability of the service in an EU Member State language not widely spoken outside the EU or the possibility to pay for services in Euro.</w:t>
      </w:r>
      <w:r>
        <w:rPr>
          <w:rFonts w:ascii="Times New Roman" w:hAnsi="Times New Roman" w:cs="Times New Roman"/>
          <w:noProof/>
          <w:sz w:val="24"/>
          <w:vertAlign w:val="superscript"/>
        </w:rPr>
        <w:footnoteReference w:id="83"/>
      </w:r>
      <w:r>
        <w:rPr>
          <w:rFonts w:ascii="Times New Roman" w:hAnsi="Times New Roman" w:cs="Times New Roman"/>
          <w:noProof/>
          <w:sz w:val="24"/>
        </w:rPr>
        <w:t xml:space="preserve"> The mere accessibility of the service from the </w:t>
      </w:r>
      <w:r>
        <w:rPr>
          <w:rFonts w:ascii="Times New Roman" w:hAnsi="Times New Roman" w:cs="Times New Roman"/>
          <w:noProof/>
          <w:sz w:val="24"/>
        </w:rPr>
        <w:t>EU would not be sufficient.</w:t>
      </w:r>
      <w:r>
        <w:rPr>
          <w:rStyle w:val="FootnoteReference"/>
          <w:rFonts w:ascii="Times New Roman" w:hAnsi="Times New Roman" w:cs="Times New Roman"/>
          <w:noProof/>
          <w:sz w:val="24"/>
        </w:rPr>
        <w:footnoteReference w:id="84"/>
      </w:r>
    </w:p>
    <w:p w:rsidR="001B65FF" w:rsidRDefault="003E4EF4">
      <w:pPr>
        <w:numPr>
          <w:ilvl w:val="1"/>
          <w:numId w:val="70"/>
        </w:numPr>
        <w:contextualSpacing/>
        <w:jc w:val="both"/>
        <w:rPr>
          <w:rFonts w:ascii="Times New Roman" w:hAnsi="Times New Roman" w:cs="Times New Roman"/>
          <w:b/>
          <w:noProof/>
          <w:sz w:val="24"/>
        </w:rPr>
      </w:pPr>
      <w:r>
        <w:rPr>
          <w:rFonts w:ascii="Times New Roman" w:hAnsi="Times New Roman" w:cs="Times New Roman"/>
          <w:noProof/>
          <w:sz w:val="24"/>
        </w:rPr>
        <w:t>Other connecting factors were not retained, in particular:</w:t>
      </w:r>
    </w:p>
    <w:p w:rsidR="001B65FF" w:rsidRDefault="003E4EF4">
      <w:pPr>
        <w:numPr>
          <w:ilvl w:val="2"/>
          <w:numId w:val="70"/>
        </w:numPr>
        <w:ind w:left="1843"/>
        <w:contextualSpacing/>
        <w:jc w:val="both"/>
        <w:rPr>
          <w:rFonts w:ascii="Times New Roman" w:hAnsi="Times New Roman" w:cs="Times New Roman"/>
          <w:noProof/>
          <w:sz w:val="24"/>
        </w:rPr>
      </w:pPr>
      <w:r>
        <w:rPr>
          <w:rFonts w:ascii="Times New Roman" w:hAnsi="Times New Roman" w:cs="Times New Roman"/>
          <w:b/>
          <w:noProof/>
          <w:sz w:val="24"/>
        </w:rPr>
        <w:t xml:space="preserve">Data storage </w:t>
      </w:r>
      <w:r>
        <w:rPr>
          <w:rFonts w:ascii="Times New Roman" w:hAnsi="Times New Roman" w:cs="Times New Roman"/>
          <w:noProof/>
          <w:sz w:val="24"/>
        </w:rPr>
        <w:t>location:</w:t>
      </w:r>
    </w:p>
    <w:p w:rsidR="001B65FF" w:rsidRDefault="003E4EF4">
      <w:pPr>
        <w:numPr>
          <w:ilvl w:val="3"/>
          <w:numId w:val="70"/>
        </w:numPr>
        <w:ind w:left="2127"/>
        <w:contextualSpacing/>
        <w:jc w:val="both"/>
        <w:rPr>
          <w:rFonts w:ascii="Times New Roman" w:hAnsi="Times New Roman" w:cs="Times New Roman"/>
          <w:noProof/>
          <w:sz w:val="24"/>
        </w:rPr>
      </w:pPr>
      <w:r>
        <w:rPr>
          <w:rFonts w:ascii="Times New Roman" w:hAnsi="Times New Roman" w:cs="Times New Roman"/>
          <w:noProof/>
          <w:sz w:val="24"/>
        </w:rPr>
        <w:t>if used as a connecting factor, it essentially leaves it up to the choice of service providers whether and where access to data should be granted</w:t>
      </w:r>
      <w:r>
        <w:rPr>
          <w:rFonts w:ascii="Times New Roman" w:hAnsi="Times New Roman" w:cs="Times New Roman"/>
          <w:noProof/>
          <w:sz w:val="24"/>
        </w:rPr>
        <w:t xml:space="preserve"> and what rights apply; </w:t>
      </w:r>
    </w:p>
    <w:p w:rsidR="001B65FF" w:rsidRDefault="003E4EF4">
      <w:pPr>
        <w:numPr>
          <w:ilvl w:val="3"/>
          <w:numId w:val="70"/>
        </w:numPr>
        <w:ind w:left="2127"/>
        <w:contextualSpacing/>
        <w:jc w:val="both"/>
        <w:rPr>
          <w:rFonts w:ascii="Times New Roman" w:hAnsi="Times New Roman" w:cs="Times New Roman"/>
          <w:noProof/>
          <w:sz w:val="24"/>
        </w:rPr>
      </w:pPr>
      <w:r>
        <w:rPr>
          <w:rFonts w:ascii="Times New Roman" w:hAnsi="Times New Roman" w:cs="Times New Roman"/>
          <w:noProof/>
          <w:sz w:val="24"/>
        </w:rPr>
        <w:t>it has little to no connection to the case at hand, or even to the user;</w:t>
      </w:r>
    </w:p>
    <w:p w:rsidR="001B65FF" w:rsidRDefault="003E4EF4">
      <w:pPr>
        <w:numPr>
          <w:ilvl w:val="3"/>
          <w:numId w:val="70"/>
        </w:numPr>
        <w:ind w:left="2127"/>
        <w:contextualSpacing/>
        <w:jc w:val="both"/>
        <w:rPr>
          <w:rFonts w:ascii="Times New Roman" w:hAnsi="Times New Roman" w:cs="Times New Roman"/>
          <w:noProof/>
          <w:sz w:val="24"/>
        </w:rPr>
      </w:pPr>
      <w:r>
        <w:rPr>
          <w:rFonts w:ascii="Times New Roman" w:hAnsi="Times New Roman" w:cs="Times New Roman"/>
          <w:noProof/>
          <w:sz w:val="24"/>
        </w:rPr>
        <w:t>in certain situations, it might also create difficulties for authorities if they cannot discern the data storage location when making a request and are not in</w:t>
      </w:r>
      <w:r>
        <w:rPr>
          <w:rFonts w:ascii="Times New Roman" w:hAnsi="Times New Roman" w:cs="Times New Roman"/>
          <w:noProof/>
          <w:sz w:val="24"/>
        </w:rPr>
        <w:t xml:space="preserve"> a position to verify providers' statements about where data is stored;</w:t>
      </w:r>
    </w:p>
    <w:p w:rsidR="001B65FF" w:rsidRDefault="003E4EF4">
      <w:pPr>
        <w:numPr>
          <w:ilvl w:val="3"/>
          <w:numId w:val="70"/>
        </w:numPr>
        <w:ind w:left="2127"/>
        <w:contextualSpacing/>
        <w:jc w:val="both"/>
        <w:rPr>
          <w:rFonts w:ascii="Times New Roman" w:hAnsi="Times New Roman" w:cs="Times New Roman"/>
          <w:noProof/>
          <w:sz w:val="24"/>
        </w:rPr>
      </w:pPr>
      <w:r>
        <w:rPr>
          <w:rFonts w:ascii="Times New Roman" w:hAnsi="Times New Roman" w:cs="Times New Roman"/>
          <w:noProof/>
          <w:sz w:val="24"/>
        </w:rPr>
        <w:t>it would also leave compliance with production orders to the discretion of service providers or their users, who could easily choose to store their data out of reach of the instrument,</w:t>
      </w:r>
      <w:r>
        <w:rPr>
          <w:rFonts w:ascii="Times New Roman" w:hAnsi="Times New Roman" w:cs="Times New Roman"/>
          <w:noProof/>
          <w:sz w:val="24"/>
        </w:rPr>
        <w:t xml:space="preserve"> despite strong links to the investigating jurisdiction.</w:t>
      </w:r>
    </w:p>
    <w:p w:rsidR="001B65FF" w:rsidRDefault="003E4EF4">
      <w:pPr>
        <w:numPr>
          <w:ilvl w:val="2"/>
          <w:numId w:val="70"/>
        </w:numPr>
        <w:ind w:left="1843"/>
        <w:contextualSpacing/>
        <w:jc w:val="both"/>
        <w:rPr>
          <w:rFonts w:ascii="Times New Roman" w:hAnsi="Times New Roman" w:cs="Times New Roman"/>
          <w:noProof/>
          <w:sz w:val="24"/>
        </w:rPr>
      </w:pPr>
      <w:r>
        <w:rPr>
          <w:rFonts w:ascii="Times New Roman" w:hAnsi="Times New Roman" w:cs="Times New Roman"/>
          <w:b/>
          <w:noProof/>
          <w:sz w:val="24"/>
        </w:rPr>
        <w:t>Service providers’ location</w:t>
      </w:r>
      <w:r>
        <w:rPr>
          <w:rFonts w:ascii="Times New Roman" w:hAnsi="Times New Roman" w:cs="Times New Roman"/>
          <w:noProof/>
          <w:sz w:val="24"/>
        </w:rPr>
        <w:t>:</w:t>
      </w:r>
    </w:p>
    <w:p w:rsidR="001B65FF" w:rsidRDefault="003E4EF4">
      <w:pPr>
        <w:numPr>
          <w:ilvl w:val="3"/>
          <w:numId w:val="70"/>
        </w:numPr>
        <w:ind w:left="2127"/>
        <w:contextualSpacing/>
        <w:jc w:val="both"/>
        <w:rPr>
          <w:rFonts w:ascii="Times New Roman" w:hAnsi="Times New Roman" w:cs="Times New Roman"/>
          <w:noProof/>
          <w:sz w:val="24"/>
        </w:rPr>
      </w:pPr>
      <w:r>
        <w:rPr>
          <w:rFonts w:ascii="Times New Roman" w:hAnsi="Times New Roman" w:cs="Times New Roman"/>
          <w:noProof/>
          <w:sz w:val="24"/>
        </w:rPr>
        <w:t>regardless of their market presence in the EU, service providers could choose to avoid establishing themselves in the EU;</w:t>
      </w:r>
    </w:p>
    <w:p w:rsidR="001B65FF" w:rsidRDefault="003E4EF4">
      <w:pPr>
        <w:numPr>
          <w:ilvl w:val="3"/>
          <w:numId w:val="70"/>
        </w:numPr>
        <w:ind w:left="2127"/>
        <w:contextualSpacing/>
        <w:jc w:val="both"/>
        <w:rPr>
          <w:rFonts w:ascii="Times New Roman" w:hAnsi="Times New Roman" w:cs="Times New Roman"/>
          <w:noProof/>
          <w:sz w:val="24"/>
        </w:rPr>
      </w:pPr>
      <w:r>
        <w:rPr>
          <w:rFonts w:ascii="Times New Roman" w:hAnsi="Times New Roman" w:cs="Times New Roman"/>
          <w:noProof/>
          <w:sz w:val="24"/>
        </w:rPr>
        <w:t xml:space="preserve">service providers established outside of the EU </w:t>
      </w:r>
      <w:r>
        <w:rPr>
          <w:rFonts w:ascii="Times New Roman" w:hAnsi="Times New Roman" w:cs="Times New Roman"/>
          <w:noProof/>
          <w:sz w:val="24"/>
        </w:rPr>
        <w:t>may face a conflict of obligations between EU and national law of the country where they are established, in particular in the case of production orders. The different sub-options would include a procedure to resolve these conflicts of law (see below under</w:t>
      </w:r>
      <w:r>
        <w:rPr>
          <w:rFonts w:ascii="Times New Roman" w:hAnsi="Times New Roman" w:cs="Times New Roman"/>
          <w:noProof/>
          <w:sz w:val="24"/>
        </w:rPr>
        <w:t xml:space="preserve"> “Sanctioning mechanism”).</w:t>
      </w:r>
    </w:p>
    <w:p w:rsidR="001B65FF" w:rsidRDefault="001B65FF">
      <w:pPr>
        <w:ind w:left="360"/>
        <w:contextualSpacing/>
        <w:jc w:val="both"/>
        <w:rPr>
          <w:rFonts w:ascii="Times New Roman" w:hAnsi="Times New Roman" w:cs="Times New Roman"/>
          <w:noProof/>
          <w:sz w:val="24"/>
        </w:rPr>
      </w:pPr>
    </w:p>
    <w:p w:rsidR="001B65FF" w:rsidRDefault="003E4EF4">
      <w:pPr>
        <w:numPr>
          <w:ilvl w:val="0"/>
          <w:numId w:val="68"/>
        </w:numPr>
        <w:contextualSpacing/>
        <w:jc w:val="both"/>
        <w:rPr>
          <w:rFonts w:ascii="Times New Roman" w:hAnsi="Times New Roman" w:cs="Times New Roman"/>
          <w:noProof/>
          <w:sz w:val="24"/>
        </w:rPr>
      </w:pPr>
      <w:r>
        <w:rPr>
          <w:rFonts w:ascii="Times New Roman" w:hAnsi="Times New Roman" w:cs="Times New Roman"/>
          <w:b/>
          <w:noProof/>
          <w:sz w:val="24"/>
        </w:rPr>
        <w:t>Definitions of types of e-evidence</w:t>
      </w:r>
      <w:r>
        <w:rPr>
          <w:rFonts w:ascii="Times New Roman" w:hAnsi="Times New Roman" w:cs="Times New Roman"/>
          <w:noProof/>
          <w:sz w:val="24"/>
        </w:rPr>
        <w:t>:</w:t>
      </w:r>
    </w:p>
    <w:p w:rsidR="001B65FF" w:rsidRDefault="003E4EF4">
      <w:pPr>
        <w:numPr>
          <w:ilvl w:val="0"/>
          <w:numId w:val="67"/>
        </w:numPr>
        <w:contextualSpacing/>
        <w:jc w:val="both"/>
        <w:rPr>
          <w:rFonts w:ascii="Times New Roman" w:hAnsi="Times New Roman" w:cs="Times New Roman"/>
          <w:noProof/>
          <w:sz w:val="24"/>
        </w:rPr>
      </w:pPr>
      <w:r>
        <w:rPr>
          <w:rFonts w:ascii="Times New Roman" w:hAnsi="Times New Roman" w:cs="Times New Roman"/>
          <w:noProof/>
          <w:sz w:val="24"/>
        </w:rPr>
        <w:t xml:space="preserve">All the measures in this section would share the </w:t>
      </w:r>
      <w:r>
        <w:rPr>
          <w:rFonts w:ascii="Times New Roman" w:hAnsi="Times New Roman" w:cs="Times New Roman"/>
          <w:b/>
          <w:noProof/>
          <w:sz w:val="24"/>
        </w:rPr>
        <w:t>legal definitions</w:t>
      </w:r>
      <w:r>
        <w:rPr>
          <w:rFonts w:ascii="Times New Roman" w:hAnsi="Times New Roman" w:cs="Times New Roman"/>
          <w:noProof/>
          <w:sz w:val="24"/>
        </w:rPr>
        <w:t xml:space="preserve"> of the types of electronic evidence. Harmonizing these definitions would provide for a common understanding and legal certainty for all the stakeholders concerned by the legislation. </w:t>
      </w:r>
    </w:p>
    <w:p w:rsidR="001B65FF" w:rsidRDefault="003E4EF4">
      <w:pPr>
        <w:numPr>
          <w:ilvl w:val="0"/>
          <w:numId w:val="67"/>
        </w:numPr>
        <w:contextualSpacing/>
        <w:jc w:val="both"/>
        <w:rPr>
          <w:rFonts w:ascii="Times New Roman" w:hAnsi="Times New Roman" w:cs="Times New Roman"/>
          <w:noProof/>
          <w:sz w:val="24"/>
        </w:rPr>
      </w:pPr>
      <w:r>
        <w:rPr>
          <w:rFonts w:ascii="Times New Roman" w:hAnsi="Times New Roman" w:cs="Times New Roman"/>
          <w:noProof/>
          <w:sz w:val="24"/>
        </w:rPr>
        <w:t xml:space="preserve">These definitions would take into account </w:t>
      </w:r>
      <w:r>
        <w:rPr>
          <w:rFonts w:ascii="Times New Roman" w:hAnsi="Times New Roman" w:cs="Times New Roman"/>
          <w:b/>
          <w:noProof/>
          <w:sz w:val="24"/>
        </w:rPr>
        <w:t>existing definitions</w:t>
      </w:r>
      <w:r>
        <w:rPr>
          <w:rFonts w:ascii="Times New Roman" w:hAnsi="Times New Roman" w:cs="Times New Roman"/>
          <w:noProof/>
          <w:sz w:val="24"/>
        </w:rPr>
        <w:t>, such as</w:t>
      </w:r>
      <w:r>
        <w:rPr>
          <w:rFonts w:ascii="Times New Roman" w:hAnsi="Times New Roman" w:cs="Times New Roman"/>
          <w:noProof/>
          <w:sz w:val="24"/>
        </w:rPr>
        <w:t xml:space="preserve"> those in the Council of Europe Convention on Cybercrime and the proposal for an ePrivacy Regulation (see section 1 for more details on these legislative acts).</w:t>
      </w:r>
    </w:p>
    <w:p w:rsidR="001B65FF" w:rsidRDefault="003E4EF4">
      <w:pPr>
        <w:numPr>
          <w:ilvl w:val="0"/>
          <w:numId w:val="67"/>
        </w:numPr>
        <w:contextualSpacing/>
        <w:jc w:val="both"/>
        <w:rPr>
          <w:rFonts w:ascii="Times New Roman" w:hAnsi="Times New Roman" w:cs="Times New Roman"/>
          <w:noProof/>
          <w:sz w:val="24"/>
        </w:rPr>
      </w:pPr>
      <w:r>
        <w:rPr>
          <w:rFonts w:ascii="Times New Roman" w:hAnsi="Times New Roman" w:cs="Times New Roman"/>
          <w:noProof/>
          <w:sz w:val="24"/>
        </w:rPr>
        <w:t>The differentiation between different categories of e-evidence would allow to take into account</w:t>
      </w:r>
      <w:r>
        <w:rPr>
          <w:rFonts w:ascii="Times New Roman" w:hAnsi="Times New Roman" w:cs="Times New Roman"/>
          <w:noProof/>
          <w:sz w:val="24"/>
        </w:rPr>
        <w:t xml:space="preserve"> </w:t>
      </w:r>
      <w:r>
        <w:rPr>
          <w:rFonts w:ascii="Times New Roman" w:hAnsi="Times New Roman" w:cs="Times New Roman"/>
          <w:b/>
          <w:noProof/>
          <w:sz w:val="24"/>
        </w:rPr>
        <w:t>different requirements</w:t>
      </w:r>
      <w:r>
        <w:rPr>
          <w:rFonts w:ascii="Times New Roman" w:hAnsi="Times New Roman" w:cs="Times New Roman"/>
          <w:noProof/>
          <w:sz w:val="24"/>
        </w:rPr>
        <w:t xml:space="preserve"> by law or jurisprudence for one or more categories.</w:t>
      </w:r>
    </w:p>
    <w:p w:rsidR="001B65FF" w:rsidRDefault="003E4EF4">
      <w:pPr>
        <w:numPr>
          <w:ilvl w:val="0"/>
          <w:numId w:val="67"/>
        </w:numPr>
        <w:contextualSpacing/>
        <w:jc w:val="both"/>
        <w:rPr>
          <w:rFonts w:ascii="Times New Roman" w:hAnsi="Times New Roman" w:cs="Times New Roman"/>
          <w:noProof/>
          <w:sz w:val="24"/>
        </w:rPr>
      </w:pPr>
      <w:r>
        <w:rPr>
          <w:rFonts w:ascii="Times New Roman" w:hAnsi="Times New Roman" w:cs="Times New Roman"/>
          <w:noProof/>
          <w:sz w:val="24"/>
        </w:rPr>
        <w:t xml:space="preserve">To ensure that the definitions are not only </w:t>
      </w:r>
      <w:r>
        <w:rPr>
          <w:rFonts w:ascii="Times New Roman" w:hAnsi="Times New Roman" w:cs="Times New Roman"/>
          <w:b/>
          <w:noProof/>
          <w:sz w:val="24"/>
        </w:rPr>
        <w:t>future-proof</w:t>
      </w:r>
      <w:r>
        <w:rPr>
          <w:rFonts w:ascii="Times New Roman" w:hAnsi="Times New Roman" w:cs="Times New Roman"/>
          <w:noProof/>
          <w:sz w:val="24"/>
        </w:rPr>
        <w:t xml:space="preserve"> (i.e. not affected by technological developments) but also </w:t>
      </w:r>
      <w:r>
        <w:rPr>
          <w:rFonts w:ascii="Times New Roman" w:hAnsi="Times New Roman" w:cs="Times New Roman"/>
          <w:b/>
          <w:noProof/>
          <w:sz w:val="24"/>
        </w:rPr>
        <w:t>precise, clear and comprehensive</w:t>
      </w:r>
      <w:r>
        <w:rPr>
          <w:rFonts w:ascii="Times New Roman" w:hAnsi="Times New Roman" w:cs="Times New Roman"/>
          <w:noProof/>
          <w:sz w:val="24"/>
        </w:rPr>
        <w:t>, stakeholders suggested the cre</w:t>
      </w:r>
      <w:r>
        <w:rPr>
          <w:rFonts w:ascii="Times New Roman" w:hAnsi="Times New Roman" w:cs="Times New Roman"/>
          <w:noProof/>
          <w:sz w:val="24"/>
        </w:rPr>
        <w:t xml:space="preserve">ation of a </w:t>
      </w:r>
      <w:r>
        <w:rPr>
          <w:rFonts w:ascii="Times New Roman" w:hAnsi="Times New Roman" w:cs="Times New Roman"/>
          <w:b/>
          <w:noProof/>
          <w:sz w:val="24"/>
        </w:rPr>
        <w:t>technical library</w:t>
      </w:r>
      <w:r>
        <w:rPr>
          <w:rFonts w:ascii="Times New Roman" w:hAnsi="Times New Roman" w:cs="Times New Roman"/>
          <w:noProof/>
          <w:sz w:val="24"/>
        </w:rPr>
        <w:t xml:space="preserve">, built in cooperation with Member States and service providers. This library would contain information about and examples of the different types of e-evidence as defined by the legislation and would, e.g. provide clarity where </w:t>
      </w:r>
      <w:r>
        <w:rPr>
          <w:rFonts w:ascii="Times New Roman" w:hAnsi="Times New Roman" w:cs="Times New Roman"/>
          <w:noProof/>
          <w:sz w:val="24"/>
        </w:rPr>
        <w:t>the interpretation varies at present.</w:t>
      </w:r>
    </w:p>
    <w:p w:rsidR="001B65FF" w:rsidRDefault="001B65FF">
      <w:pPr>
        <w:ind w:left="720"/>
        <w:contextualSpacing/>
        <w:jc w:val="both"/>
        <w:rPr>
          <w:rFonts w:ascii="Times New Roman" w:hAnsi="Times New Roman" w:cs="Times New Roman"/>
          <w:noProof/>
          <w:sz w:val="24"/>
        </w:rPr>
      </w:pPr>
    </w:p>
    <w:p w:rsidR="001B65FF" w:rsidRDefault="003E4EF4">
      <w:pPr>
        <w:numPr>
          <w:ilvl w:val="0"/>
          <w:numId w:val="68"/>
        </w:numPr>
        <w:contextualSpacing/>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legal representative</w:t>
      </w:r>
      <w:r>
        <w:rPr>
          <w:rFonts w:ascii="Times New Roman" w:hAnsi="Times New Roman" w:cs="Times New Roman"/>
          <w:noProof/>
          <w:sz w:val="24"/>
        </w:rPr>
        <w:t>:</w:t>
      </w:r>
    </w:p>
    <w:p w:rsidR="001B65FF" w:rsidRDefault="003E4EF4">
      <w:pPr>
        <w:numPr>
          <w:ilvl w:val="0"/>
          <w:numId w:val="69"/>
        </w:numPr>
        <w:contextualSpacing/>
        <w:jc w:val="both"/>
        <w:rPr>
          <w:rFonts w:ascii="Times New Roman" w:hAnsi="Times New Roman" w:cs="Times New Roman"/>
          <w:noProof/>
          <w:sz w:val="24"/>
        </w:rPr>
      </w:pPr>
      <w:r>
        <w:rPr>
          <w:rFonts w:ascii="Times New Roman" w:hAnsi="Times New Roman" w:cs="Times New Roman"/>
          <w:b/>
          <w:noProof/>
          <w:sz w:val="24"/>
        </w:rPr>
        <w:t>Overview:</w:t>
      </w:r>
      <w:r>
        <w:rPr>
          <w:rFonts w:ascii="Times New Roman" w:hAnsi="Times New Roman" w:cs="Times New Roman"/>
          <w:noProof/>
          <w:sz w:val="24"/>
        </w:rPr>
        <w:t xml:space="preserve"> </w:t>
      </w:r>
    </w:p>
    <w:p w:rsidR="001B65FF" w:rsidRDefault="003E4EF4">
      <w:pPr>
        <w:numPr>
          <w:ilvl w:val="1"/>
          <w:numId w:val="69"/>
        </w:numPr>
        <w:contextualSpacing/>
        <w:jc w:val="both"/>
        <w:rPr>
          <w:rFonts w:ascii="Times New Roman" w:hAnsi="Times New Roman" w:cs="Times New Roman"/>
          <w:noProof/>
          <w:sz w:val="24"/>
        </w:rPr>
      </w:pPr>
      <w:r>
        <w:rPr>
          <w:rFonts w:ascii="Times New Roman" w:hAnsi="Times New Roman" w:cs="Times New Roman"/>
          <w:noProof/>
          <w:sz w:val="24"/>
        </w:rPr>
        <w:t xml:space="preserve">The expert process identified the importance of </w:t>
      </w:r>
      <w:r>
        <w:rPr>
          <w:rFonts w:ascii="Times New Roman" w:hAnsi="Times New Roman" w:cs="Times New Roman"/>
          <w:b/>
          <w:noProof/>
          <w:sz w:val="24"/>
        </w:rPr>
        <w:t>obliging</w:t>
      </w:r>
      <w:r>
        <w:rPr>
          <w:rFonts w:ascii="Times New Roman" w:hAnsi="Times New Roman" w:cs="Times New Roman"/>
          <w:noProof/>
          <w:sz w:val="24"/>
        </w:rPr>
        <w:t xml:space="preserve"> service providers to designate at least one legal representative (a natural or legal person) in at least one of the partici</w:t>
      </w:r>
      <w:r>
        <w:rPr>
          <w:rFonts w:ascii="Times New Roman" w:hAnsi="Times New Roman" w:cs="Times New Roman"/>
          <w:noProof/>
          <w:sz w:val="24"/>
        </w:rPr>
        <w:t>pating Member States to facilitate direct cooperation between the public authorities of the requesting Member State and the service provider.</w:t>
      </w:r>
    </w:p>
    <w:p w:rsidR="001B65FF" w:rsidRDefault="003E4EF4">
      <w:pPr>
        <w:numPr>
          <w:ilvl w:val="1"/>
          <w:numId w:val="69"/>
        </w:numPr>
        <w:contextualSpacing/>
        <w:jc w:val="both"/>
        <w:rPr>
          <w:rFonts w:ascii="Times New Roman" w:hAnsi="Times New Roman" w:cs="Times New Roman"/>
          <w:noProof/>
          <w:sz w:val="24"/>
        </w:rPr>
      </w:pPr>
      <w:r>
        <w:rPr>
          <w:rFonts w:ascii="Times New Roman" w:hAnsi="Times New Roman" w:cs="Times New Roman"/>
          <w:noProof/>
          <w:sz w:val="24"/>
        </w:rPr>
        <w:t xml:space="preserve">The condition that triggers the designation of a legal representative would be the </w:t>
      </w:r>
      <w:r>
        <w:rPr>
          <w:rFonts w:ascii="Times New Roman" w:hAnsi="Times New Roman" w:cs="Times New Roman"/>
          <w:b/>
          <w:noProof/>
          <w:sz w:val="24"/>
        </w:rPr>
        <w:t>provision of services</w:t>
      </w:r>
      <w:r>
        <w:rPr>
          <w:rFonts w:ascii="Times New Roman" w:hAnsi="Times New Roman" w:cs="Times New Roman"/>
          <w:noProof/>
          <w:sz w:val="24"/>
        </w:rPr>
        <w:t xml:space="preserve"> on the EU</w:t>
      </w:r>
      <w:r>
        <w:rPr>
          <w:rFonts w:ascii="Times New Roman" w:hAnsi="Times New Roman" w:cs="Times New Roman"/>
          <w:noProof/>
          <w:sz w:val="24"/>
        </w:rPr>
        <w:t xml:space="preserve"> market (see "Geography" section above). The legal representative model could draw, e.g., on the same approach as the legal representative for data protection purposes. </w:t>
      </w:r>
    </w:p>
    <w:p w:rsidR="001B65FF" w:rsidRDefault="003E4EF4">
      <w:pPr>
        <w:numPr>
          <w:ilvl w:val="1"/>
          <w:numId w:val="69"/>
        </w:numPr>
        <w:spacing w:after="0"/>
        <w:contextualSpacing/>
        <w:jc w:val="both"/>
        <w:rPr>
          <w:rFonts w:ascii="Times New Roman" w:hAnsi="Times New Roman" w:cs="Times New Roman"/>
          <w:noProof/>
          <w:sz w:val="24"/>
        </w:rPr>
      </w:pPr>
      <w:r>
        <w:rPr>
          <w:rFonts w:ascii="Times New Roman" w:hAnsi="Times New Roman" w:cs="Times New Roman"/>
          <w:noProof/>
          <w:sz w:val="24"/>
        </w:rPr>
        <w:t>Exemptions or mitigation criteria could be considered, similarly to those contained in</w:t>
      </w:r>
      <w:r>
        <w:rPr>
          <w:rFonts w:ascii="Times New Roman" w:hAnsi="Times New Roman" w:cs="Times New Roman"/>
          <w:noProof/>
          <w:sz w:val="24"/>
        </w:rPr>
        <w:t xml:space="preserve"> Art. 27 GDPR. An exemption could e.g. apply when the processing of personal data of EU data subjects is occasional. For effectiveness reasons, no general exemption for SMEs from the obligation to designate a legal representative is proposed (see Annex 13)</w:t>
      </w:r>
      <w:r>
        <w:rPr>
          <w:rFonts w:ascii="Times New Roman" w:hAnsi="Times New Roman" w:cs="Times New Roman"/>
          <w:noProof/>
          <w:sz w:val="24"/>
        </w:rPr>
        <w:t xml:space="preserve">. </w:t>
      </w:r>
    </w:p>
    <w:p w:rsidR="001B65FF" w:rsidRDefault="003E4EF4">
      <w:pPr>
        <w:numPr>
          <w:ilvl w:val="0"/>
          <w:numId w:val="69"/>
        </w:numPr>
        <w:suppressAutoHyphens/>
        <w:autoSpaceDN w:val="0"/>
        <w:spacing w:after="0"/>
        <w:jc w:val="both"/>
        <w:textAlignment w:val="baseline"/>
        <w:rPr>
          <w:rFonts w:ascii="Times New Roman" w:eastAsia="Times New Roman" w:hAnsi="Times New Roman" w:cs="Times New Roman"/>
          <w:b/>
          <w:noProof/>
          <w:kern w:val="3"/>
          <w:sz w:val="24"/>
          <w:szCs w:val="20"/>
        </w:rPr>
      </w:pPr>
      <w:r>
        <w:rPr>
          <w:rFonts w:ascii="Times New Roman" w:hAnsi="Times New Roman" w:cs="Times New Roman"/>
          <w:b/>
          <w:noProof/>
          <w:kern w:val="3"/>
          <w:sz w:val="24"/>
          <w:szCs w:val="24"/>
        </w:rPr>
        <w:t>Purpose:</w:t>
      </w:r>
    </w:p>
    <w:p w:rsidR="001B65FF" w:rsidRDefault="003E4EF4">
      <w:pPr>
        <w:numPr>
          <w:ilvl w:val="1"/>
          <w:numId w:val="69"/>
        </w:numPr>
        <w:suppressAutoHyphens/>
        <w:autoSpaceDN w:val="0"/>
        <w:spacing w:after="0"/>
        <w:jc w:val="both"/>
        <w:textAlignment w:val="baseline"/>
        <w:rPr>
          <w:rFonts w:ascii="Times New Roman" w:eastAsia="Times New Roman" w:hAnsi="Times New Roman" w:cs="Times New Roman"/>
          <w:noProof/>
          <w:kern w:val="3"/>
          <w:sz w:val="24"/>
          <w:szCs w:val="20"/>
        </w:rPr>
      </w:pPr>
      <w:r>
        <w:rPr>
          <w:rFonts w:ascii="Times New Roman" w:hAnsi="Times New Roman" w:cs="Times New Roman"/>
          <w:noProof/>
          <w:kern w:val="3"/>
          <w:sz w:val="24"/>
          <w:szCs w:val="24"/>
        </w:rPr>
        <w:t xml:space="preserve">The purpose of the legal representative would be to facilitate direct cooperation by turning the process of serving production orders/requests to service providers established outside the Union into an </w:t>
      </w:r>
      <w:r>
        <w:rPr>
          <w:rFonts w:ascii="Times New Roman" w:hAnsi="Times New Roman" w:cs="Times New Roman"/>
          <w:b/>
          <w:noProof/>
          <w:kern w:val="3"/>
          <w:sz w:val="24"/>
          <w:szCs w:val="24"/>
        </w:rPr>
        <w:t>EU-internal process</w:t>
      </w:r>
      <w:r>
        <w:rPr>
          <w:rFonts w:ascii="Times New Roman" w:hAnsi="Times New Roman" w:cs="Times New Roman"/>
          <w:noProof/>
          <w:kern w:val="3"/>
          <w:sz w:val="24"/>
          <w:szCs w:val="24"/>
        </w:rPr>
        <w:t xml:space="preserve">. </w:t>
      </w:r>
    </w:p>
    <w:p w:rsidR="001B65FF" w:rsidRDefault="003E4EF4">
      <w:pPr>
        <w:numPr>
          <w:ilvl w:val="1"/>
          <w:numId w:val="69"/>
        </w:numPr>
        <w:suppressAutoHyphens/>
        <w:autoSpaceDN w:val="0"/>
        <w:spacing w:after="0"/>
        <w:jc w:val="both"/>
        <w:textAlignment w:val="baseline"/>
        <w:rPr>
          <w:rFonts w:ascii="Times New Roman" w:eastAsia="Times New Roman" w:hAnsi="Times New Roman" w:cs="Times New Roman"/>
          <w:noProof/>
          <w:kern w:val="3"/>
          <w:sz w:val="24"/>
          <w:szCs w:val="20"/>
        </w:rPr>
      </w:pPr>
      <w:r>
        <w:rPr>
          <w:rFonts w:ascii="Times New Roman" w:hAnsi="Times New Roman" w:cs="Times New Roman"/>
          <w:noProof/>
          <w:kern w:val="3"/>
          <w:sz w:val="24"/>
          <w:szCs w:val="24"/>
        </w:rPr>
        <w:t xml:space="preserve">The same legal framework would apply to all service providers with a significant presence in the EU, whether or not they have their seat in the EU. </w:t>
      </w:r>
    </w:p>
    <w:p w:rsidR="001B65FF" w:rsidRDefault="003E4EF4">
      <w:pPr>
        <w:numPr>
          <w:ilvl w:val="0"/>
          <w:numId w:val="69"/>
        </w:numPr>
        <w:spacing w:after="0"/>
        <w:contextualSpacing/>
        <w:jc w:val="both"/>
        <w:rPr>
          <w:rFonts w:ascii="Times New Roman" w:hAnsi="Times New Roman" w:cs="Times New Roman"/>
          <w:noProof/>
          <w:sz w:val="24"/>
        </w:rPr>
      </w:pPr>
      <w:r>
        <w:rPr>
          <w:rFonts w:ascii="Times New Roman" w:hAnsi="Times New Roman" w:cs="Times New Roman"/>
          <w:b/>
          <w:noProof/>
          <w:sz w:val="24"/>
        </w:rPr>
        <w:t>Function</w:t>
      </w:r>
      <w:r>
        <w:rPr>
          <w:rFonts w:ascii="Times New Roman" w:hAnsi="Times New Roman" w:cs="Times New Roman"/>
          <w:noProof/>
          <w:sz w:val="24"/>
        </w:rPr>
        <w:t xml:space="preserve">: </w:t>
      </w:r>
    </w:p>
    <w:p w:rsidR="001B65FF" w:rsidRDefault="003E4EF4">
      <w:pPr>
        <w:numPr>
          <w:ilvl w:val="1"/>
          <w:numId w:val="69"/>
        </w:numPr>
        <w:spacing w:after="0"/>
        <w:contextualSpacing/>
        <w:jc w:val="both"/>
        <w:rPr>
          <w:rFonts w:ascii="Times New Roman" w:hAnsi="Times New Roman" w:cs="Times New Roman"/>
          <w:noProof/>
          <w:sz w:val="24"/>
        </w:rPr>
      </w:pPr>
      <w:r>
        <w:rPr>
          <w:rFonts w:ascii="Times New Roman" w:hAnsi="Times New Roman" w:cs="Times New Roman"/>
          <w:noProof/>
          <w:sz w:val="24"/>
        </w:rPr>
        <w:t xml:space="preserve">The legal representative would have to be able and authorised by the service provider to </w:t>
      </w:r>
      <w:r>
        <w:rPr>
          <w:rFonts w:ascii="Times New Roman" w:hAnsi="Times New Roman" w:cs="Times New Roman"/>
          <w:b/>
          <w:noProof/>
          <w:sz w:val="24"/>
        </w:rPr>
        <w:t>receive</w:t>
      </w:r>
      <w:r>
        <w:rPr>
          <w:rFonts w:ascii="Times New Roman" w:hAnsi="Times New Roman" w:cs="Times New Roman"/>
          <w:b/>
          <w:noProof/>
          <w:sz w:val="24"/>
        </w:rPr>
        <w:t>, process and comply</w:t>
      </w:r>
      <w:r>
        <w:rPr>
          <w:rFonts w:ascii="Times New Roman" w:hAnsi="Times New Roman" w:cs="Times New Roman"/>
          <w:noProof/>
          <w:sz w:val="24"/>
        </w:rPr>
        <w:t xml:space="preserve"> with production orders and/or production requests. It would be left up to the service provider's internal organisation how compliance would be accomplished, which would not necessarily have to be performed by the legal representative (</w:t>
      </w:r>
      <w:r>
        <w:rPr>
          <w:rFonts w:ascii="Times New Roman" w:hAnsi="Times New Roman" w:cs="Times New Roman"/>
          <w:noProof/>
          <w:sz w:val="24"/>
        </w:rPr>
        <w:t>see below).</w:t>
      </w:r>
    </w:p>
    <w:p w:rsidR="001B65FF" w:rsidRDefault="003E4EF4">
      <w:pPr>
        <w:numPr>
          <w:ilvl w:val="1"/>
          <w:numId w:val="69"/>
        </w:numPr>
        <w:spacing w:after="0"/>
        <w:contextualSpacing/>
        <w:jc w:val="both"/>
        <w:rPr>
          <w:rFonts w:ascii="Times New Roman" w:hAnsi="Times New Roman" w:cs="Times New Roman"/>
          <w:noProof/>
          <w:sz w:val="24"/>
        </w:rPr>
      </w:pPr>
      <w:r>
        <w:rPr>
          <w:rFonts w:ascii="Times New Roman" w:hAnsi="Times New Roman" w:cs="Times New Roman"/>
          <w:noProof/>
          <w:sz w:val="24"/>
        </w:rPr>
        <w:t xml:space="preserve">In the case of production orders, the legal representative would also be the person through which legal obligations could be </w:t>
      </w:r>
      <w:r>
        <w:rPr>
          <w:rFonts w:ascii="Times New Roman" w:hAnsi="Times New Roman" w:cs="Times New Roman"/>
          <w:b/>
          <w:noProof/>
          <w:sz w:val="24"/>
        </w:rPr>
        <w:t>enforced</w:t>
      </w:r>
      <w:r>
        <w:rPr>
          <w:rFonts w:ascii="Times New Roman" w:hAnsi="Times New Roman" w:cs="Times New Roman"/>
          <w:noProof/>
          <w:sz w:val="24"/>
        </w:rPr>
        <w:t xml:space="preserve"> by means of administrative </w:t>
      </w:r>
      <w:r>
        <w:rPr>
          <w:rFonts w:ascii="Times New Roman" w:hAnsi="Times New Roman" w:cs="Times New Roman"/>
          <w:b/>
          <w:noProof/>
          <w:sz w:val="24"/>
        </w:rPr>
        <w:t xml:space="preserve">sanctions </w:t>
      </w:r>
      <w:r>
        <w:rPr>
          <w:rFonts w:ascii="Times New Roman" w:hAnsi="Times New Roman" w:cs="Times New Roman"/>
          <w:noProof/>
          <w:sz w:val="24"/>
        </w:rPr>
        <w:t>imposed on the service provider.</w:t>
      </w:r>
    </w:p>
    <w:p w:rsidR="001B65FF" w:rsidRDefault="003E4EF4">
      <w:pPr>
        <w:numPr>
          <w:ilvl w:val="1"/>
          <w:numId w:val="69"/>
        </w:numPr>
        <w:spacing w:after="0"/>
        <w:contextualSpacing/>
        <w:jc w:val="both"/>
        <w:rPr>
          <w:rFonts w:ascii="Times New Roman" w:hAnsi="Times New Roman" w:cs="Times New Roman"/>
          <w:noProof/>
          <w:sz w:val="24"/>
        </w:rPr>
      </w:pPr>
      <w:r>
        <w:rPr>
          <w:rFonts w:ascii="Times New Roman" w:hAnsi="Times New Roman" w:cs="Times New Roman"/>
          <w:noProof/>
          <w:sz w:val="24"/>
        </w:rPr>
        <w:t xml:space="preserve">In case of service providers established </w:t>
      </w:r>
      <w:r>
        <w:rPr>
          <w:rFonts w:ascii="Times New Roman" w:hAnsi="Times New Roman" w:cs="Times New Roman"/>
          <w:b/>
          <w:noProof/>
          <w:sz w:val="24"/>
        </w:rPr>
        <w:t>outside of the EU</w:t>
      </w:r>
      <w:r>
        <w:rPr>
          <w:rFonts w:ascii="Times New Roman" w:hAnsi="Times New Roman" w:cs="Times New Roman"/>
          <w:noProof/>
          <w:sz w:val="24"/>
        </w:rPr>
        <w:t>, the legal representative would enable the production orders and/or requests to be served and, in the case of production orders, enforced in the EU. Member States have asked to also have a legal re</w:t>
      </w:r>
      <w:r>
        <w:rPr>
          <w:rFonts w:ascii="Times New Roman" w:hAnsi="Times New Roman" w:cs="Times New Roman"/>
          <w:noProof/>
          <w:sz w:val="24"/>
        </w:rPr>
        <w:t xml:space="preserve">presentative designated in case of service providers established </w:t>
      </w:r>
      <w:r>
        <w:rPr>
          <w:rFonts w:ascii="Times New Roman" w:hAnsi="Times New Roman" w:cs="Times New Roman"/>
          <w:b/>
          <w:noProof/>
          <w:sz w:val="24"/>
        </w:rPr>
        <w:t>in the EU</w:t>
      </w:r>
      <w:r>
        <w:rPr>
          <w:rFonts w:ascii="Times New Roman" w:hAnsi="Times New Roman" w:cs="Times New Roman"/>
          <w:noProof/>
          <w:sz w:val="24"/>
        </w:rPr>
        <w:t>, in order to have a clear addressee for production orders and/or production requests.</w:t>
      </w:r>
    </w:p>
    <w:p w:rsidR="001B65FF" w:rsidRDefault="003E4EF4">
      <w:pPr>
        <w:numPr>
          <w:ilvl w:val="1"/>
          <w:numId w:val="69"/>
        </w:numPr>
        <w:spacing w:after="0"/>
        <w:contextualSpacing/>
        <w:jc w:val="both"/>
        <w:rPr>
          <w:rFonts w:ascii="Times New Roman" w:hAnsi="Times New Roman" w:cs="Times New Roman"/>
          <w:noProof/>
          <w:sz w:val="24"/>
        </w:rPr>
      </w:pPr>
      <w:r>
        <w:rPr>
          <w:rFonts w:ascii="Times New Roman" w:hAnsi="Times New Roman" w:cs="Times New Roman"/>
          <w:noProof/>
          <w:sz w:val="24"/>
        </w:rPr>
        <w:t xml:space="preserve">The legal representative would be an intermediary with no need for specific </w:t>
      </w:r>
      <w:r>
        <w:rPr>
          <w:rFonts w:ascii="Times New Roman" w:hAnsi="Times New Roman" w:cs="Times New Roman"/>
          <w:b/>
          <w:noProof/>
          <w:sz w:val="24"/>
        </w:rPr>
        <w:t>control or access t</w:t>
      </w:r>
      <w:r>
        <w:rPr>
          <w:rFonts w:ascii="Times New Roman" w:hAnsi="Times New Roman" w:cs="Times New Roman"/>
          <w:b/>
          <w:noProof/>
          <w:sz w:val="24"/>
        </w:rPr>
        <w:t>o data</w:t>
      </w:r>
      <w:r>
        <w:rPr>
          <w:rFonts w:ascii="Times New Roman" w:hAnsi="Times New Roman" w:cs="Times New Roman"/>
          <w:noProof/>
          <w:sz w:val="24"/>
        </w:rPr>
        <w:t>. The designation of such a representative would not affect the responsibility or liability of the service provider (i.e. the service provider would remain the one liable and responsible). Like the legal representative under Article 27 of the GDPR</w:t>
      </w:r>
      <w:r>
        <w:rPr>
          <w:rFonts w:ascii="Times New Roman" w:hAnsi="Times New Roman" w:cs="Times New Roman"/>
          <w:noProof/>
          <w:sz w:val="24"/>
          <w:vertAlign w:val="superscript"/>
        </w:rPr>
        <w:footnoteReference w:id="85"/>
      </w:r>
      <w:r>
        <w:rPr>
          <w:rFonts w:ascii="Times New Roman" w:hAnsi="Times New Roman" w:cs="Times New Roman"/>
          <w:noProof/>
          <w:sz w:val="24"/>
        </w:rPr>
        <w:t xml:space="preserve">, </w:t>
      </w:r>
      <w:r>
        <w:rPr>
          <w:rFonts w:ascii="Times New Roman" w:hAnsi="Times New Roman" w:cs="Times New Roman"/>
          <w:noProof/>
          <w:sz w:val="24"/>
        </w:rPr>
        <w:t xml:space="preserve">it is therefore a </w:t>
      </w:r>
      <w:r>
        <w:rPr>
          <w:rFonts w:ascii="Times New Roman" w:hAnsi="Times New Roman" w:cs="Times New Roman"/>
          <w:b/>
          <w:noProof/>
          <w:sz w:val="24"/>
        </w:rPr>
        <w:t>procedural tool</w:t>
      </w:r>
      <w:r>
        <w:rPr>
          <w:rFonts w:ascii="Times New Roman" w:hAnsi="Times New Roman" w:cs="Times New Roman"/>
          <w:noProof/>
          <w:sz w:val="24"/>
        </w:rPr>
        <w:t xml:space="preserve"> to facilitate direct cooperation and enforcement.</w:t>
      </w:r>
    </w:p>
    <w:p w:rsidR="001B65FF" w:rsidRDefault="003E4EF4">
      <w:pPr>
        <w:numPr>
          <w:ilvl w:val="0"/>
          <w:numId w:val="69"/>
        </w:numPr>
        <w:contextualSpacing/>
        <w:jc w:val="both"/>
        <w:rPr>
          <w:rFonts w:ascii="Times New Roman" w:hAnsi="Times New Roman" w:cs="Times New Roman"/>
          <w:noProof/>
          <w:sz w:val="24"/>
        </w:rPr>
      </w:pPr>
      <w:r>
        <w:rPr>
          <w:rFonts w:ascii="Times New Roman" w:hAnsi="Times New Roman" w:cs="Times New Roman"/>
          <w:b/>
          <w:noProof/>
          <w:sz w:val="24"/>
        </w:rPr>
        <w:t>Choice</w:t>
      </w:r>
      <w:r>
        <w:rPr>
          <w:rFonts w:ascii="Times New Roman" w:hAnsi="Times New Roman" w:cs="Times New Roman"/>
          <w:noProof/>
          <w:sz w:val="24"/>
        </w:rPr>
        <w:t xml:space="preserve"> of legal representative:</w:t>
      </w:r>
    </w:p>
    <w:p w:rsidR="001B65FF" w:rsidRDefault="003E4EF4">
      <w:pPr>
        <w:numPr>
          <w:ilvl w:val="1"/>
          <w:numId w:val="69"/>
        </w:numPr>
        <w:contextualSpacing/>
        <w:jc w:val="both"/>
        <w:rPr>
          <w:rFonts w:ascii="Times New Roman" w:hAnsi="Times New Roman" w:cs="Times New Roman"/>
          <w:noProof/>
          <w:sz w:val="24"/>
        </w:rPr>
      </w:pPr>
      <w:r>
        <w:rPr>
          <w:rFonts w:ascii="Times New Roman" w:hAnsi="Times New Roman" w:cs="Times New Roman"/>
          <w:noProof/>
          <w:sz w:val="24"/>
        </w:rPr>
        <w:t xml:space="preserve">In principle, providers should be </w:t>
      </w:r>
      <w:r>
        <w:rPr>
          <w:rFonts w:ascii="Times New Roman" w:hAnsi="Times New Roman" w:cs="Times New Roman"/>
          <w:b/>
          <w:noProof/>
          <w:sz w:val="24"/>
        </w:rPr>
        <w:t xml:space="preserve">free </w:t>
      </w:r>
      <w:r>
        <w:rPr>
          <w:rFonts w:ascii="Times New Roman" w:hAnsi="Times New Roman" w:cs="Times New Roman"/>
          <w:noProof/>
          <w:sz w:val="24"/>
        </w:rPr>
        <w:t>to designate as legal representative one or several entities in the EU and may choose to accumulate s</w:t>
      </w:r>
      <w:r>
        <w:rPr>
          <w:rFonts w:ascii="Times New Roman" w:hAnsi="Times New Roman" w:cs="Times New Roman"/>
          <w:noProof/>
          <w:sz w:val="24"/>
        </w:rPr>
        <w:t>eparate functions in one and the same person (e.g. GDPR or ePrivacy representatives</w:t>
      </w:r>
      <w:r>
        <w:rPr>
          <w:rFonts w:ascii="Times New Roman" w:hAnsi="Times New Roman" w:cs="Times New Roman"/>
          <w:noProof/>
          <w:sz w:val="24"/>
          <w:vertAlign w:val="superscript"/>
        </w:rPr>
        <w:footnoteReference w:id="86"/>
      </w:r>
      <w:r>
        <w:rPr>
          <w:rFonts w:ascii="Times New Roman" w:hAnsi="Times New Roman" w:cs="Times New Roman"/>
          <w:noProof/>
          <w:sz w:val="24"/>
        </w:rPr>
        <w:t xml:space="preserve">). </w:t>
      </w:r>
    </w:p>
    <w:p w:rsidR="001B65FF" w:rsidRDefault="003E4EF4">
      <w:pPr>
        <w:numPr>
          <w:ilvl w:val="1"/>
          <w:numId w:val="69"/>
        </w:numPr>
        <w:spacing w:after="0"/>
        <w:contextualSpacing/>
        <w:jc w:val="both"/>
        <w:rPr>
          <w:rFonts w:ascii="Times New Roman" w:hAnsi="Times New Roman" w:cs="Times New Roman"/>
          <w:noProof/>
          <w:sz w:val="24"/>
        </w:rPr>
      </w:pPr>
      <w:r>
        <w:rPr>
          <w:rFonts w:ascii="Times New Roman" w:hAnsi="Times New Roman" w:cs="Times New Roman"/>
          <w:noProof/>
          <w:sz w:val="24"/>
        </w:rPr>
        <w:t>One representative could be shared among a number of service providers. This could be particularly relevant to avoid excessive burden for SME's.</w:t>
      </w:r>
    </w:p>
    <w:p w:rsidR="001B65FF" w:rsidRDefault="003E4EF4">
      <w:pPr>
        <w:keepNext/>
        <w:spacing w:after="0"/>
        <w:contextualSpacing/>
        <w:jc w:val="both"/>
        <w:rPr>
          <w:rFonts w:ascii="Times New Roman" w:hAnsi="Times New Roman" w:cs="Times New Roman"/>
          <w:noProof/>
          <w:sz w:val="24"/>
        </w:rPr>
      </w:pPr>
      <w:r>
        <w:rPr>
          <w:rFonts w:ascii="Times New Roman" w:hAnsi="Times New Roman" w:cs="Times New Roman"/>
          <w:noProof/>
          <w:sz w:val="24"/>
        </w:rPr>
        <w:t>The following flowchart</w:t>
      </w:r>
      <w:r>
        <w:rPr>
          <w:rFonts w:ascii="Times New Roman" w:hAnsi="Times New Roman" w:cs="Times New Roman"/>
          <w:noProof/>
          <w:sz w:val="24"/>
        </w:rPr>
        <w:t xml:space="preserve"> illustrates the possible alternatives for serving an EPO:</w:t>
      </w:r>
    </w:p>
    <w:p w:rsidR="001B65FF" w:rsidRDefault="001B65FF">
      <w:pPr>
        <w:spacing w:after="0"/>
        <w:jc w:val="both"/>
        <w:rPr>
          <w:rFonts w:ascii="Times New Roman" w:hAnsi="Times New Roman" w:cs="Times New Roman"/>
          <w:noProof/>
          <w:sz w:val="24"/>
        </w:rPr>
      </w:pPr>
    </w:p>
    <w:p w:rsidR="001B65FF" w:rsidRDefault="003E4EF4">
      <w:pPr>
        <w:spacing w:after="0"/>
        <w:jc w:val="center"/>
        <w:rPr>
          <w:rFonts w:ascii="Times New Roman" w:hAnsi="Times New Roman" w:cs="Times New Roman"/>
          <w:noProof/>
          <w:sz w:val="24"/>
        </w:rPr>
      </w:pPr>
      <w:r>
        <w:rPr>
          <w:rFonts w:ascii="Times New Roman" w:hAnsi="Times New Roman" w:cs="Times New Roman"/>
          <w:noProof/>
          <w:sz w:val="24"/>
          <w:lang w:eastAsia="en-GB"/>
        </w:rPr>
        <w:drawing>
          <wp:inline distT="0" distB="0" distL="0" distR="0" wp14:anchorId="17FC8B99" wp14:editId="4E842274">
            <wp:extent cx="5210381" cy="3895725"/>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an EPO flowchart.jpg"/>
                    <pic:cNvPicPr/>
                  </pic:nvPicPr>
                  <pic:blipFill>
                    <a:blip r:embed="rId37">
                      <a:extLst>
                        <a:ext uri="{28A0092B-C50C-407E-A947-70E740481C1C}">
                          <a14:useLocalDpi xmlns:a14="http://schemas.microsoft.com/office/drawing/2010/main" val="0"/>
                        </a:ext>
                      </a:extLst>
                    </a:blip>
                    <a:stretch>
                      <a:fillRect/>
                    </a:stretch>
                  </pic:blipFill>
                  <pic:spPr>
                    <a:xfrm>
                      <a:off x="0" y="0"/>
                      <a:ext cx="5212686" cy="3897449"/>
                    </a:xfrm>
                    <a:prstGeom prst="rect">
                      <a:avLst/>
                    </a:prstGeom>
                  </pic:spPr>
                </pic:pic>
              </a:graphicData>
            </a:graphic>
          </wp:inline>
        </w:drawing>
      </w:r>
    </w:p>
    <w:p w:rsidR="001B65FF" w:rsidRDefault="001B65FF">
      <w:pPr>
        <w:spacing w:after="0"/>
        <w:jc w:val="both"/>
        <w:rPr>
          <w:rFonts w:ascii="Times New Roman" w:hAnsi="Times New Roman" w:cs="Times New Roman"/>
          <w:noProof/>
          <w:sz w:val="24"/>
        </w:rPr>
      </w:pP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following sections describe the </w:t>
      </w:r>
      <w:r>
        <w:rPr>
          <w:rFonts w:ascii="Times New Roman" w:hAnsi="Times New Roman" w:cs="Times New Roman"/>
          <w:b/>
          <w:noProof/>
          <w:sz w:val="24"/>
        </w:rPr>
        <w:t>specificities</w:t>
      </w:r>
      <w:r>
        <w:rPr>
          <w:rFonts w:ascii="Times New Roman" w:hAnsi="Times New Roman" w:cs="Times New Roman"/>
          <w:noProof/>
          <w:sz w:val="24"/>
        </w:rPr>
        <w:t xml:space="preserve"> of each of the related measures.</w:t>
      </w:r>
    </w:p>
    <w:p w:rsidR="001B65FF" w:rsidRDefault="003E4EF4">
      <w:pPr>
        <w:pStyle w:val="Heading5"/>
        <w:spacing w:before="0"/>
        <w:rPr>
          <w:rFonts w:ascii="Times New Roman" w:hAnsi="Times New Roman" w:cs="Times New Roman"/>
          <w:b w:val="0"/>
          <w:noProof/>
        </w:rPr>
      </w:pPr>
      <w:r>
        <w:rPr>
          <w:rFonts w:ascii="Times New Roman" w:eastAsia="Times New Roman" w:hAnsi="Times New Roman" w:cs="Times New Roman"/>
          <w:b w:val="0"/>
          <w:noProof/>
          <w:color w:val="auto"/>
          <w:sz w:val="24"/>
          <w:u w:val="single"/>
        </w:rPr>
        <w:t>Measure 5: European Production Order</w:t>
      </w:r>
    </w:p>
    <w:p w:rsidR="001B65FF" w:rsidRDefault="003E4EF4">
      <w:pPr>
        <w:numPr>
          <w:ilvl w:val="0"/>
          <w:numId w:val="71"/>
        </w:numPr>
        <w:spacing w:before="240"/>
        <w:contextualSpacing/>
        <w:jc w:val="both"/>
        <w:rPr>
          <w:rFonts w:ascii="Times New Roman" w:hAnsi="Times New Roman" w:cs="Times New Roman"/>
          <w:b/>
          <w:noProof/>
          <w:sz w:val="24"/>
        </w:rPr>
      </w:pPr>
      <w:r>
        <w:rPr>
          <w:rFonts w:ascii="Times New Roman" w:hAnsi="Times New Roman" w:cs="Times New Roman"/>
          <w:b/>
          <w:noProof/>
          <w:sz w:val="24"/>
        </w:rPr>
        <w:t>Overview:</w:t>
      </w:r>
    </w:p>
    <w:p w:rsidR="001B65FF" w:rsidRDefault="003E4EF4">
      <w:pPr>
        <w:numPr>
          <w:ilvl w:val="0"/>
          <w:numId w:val="70"/>
        </w:numPr>
        <w:contextualSpacing/>
        <w:jc w:val="both"/>
        <w:rPr>
          <w:rFonts w:ascii="Times New Roman" w:hAnsi="Times New Roman" w:cs="Times New Roman"/>
          <w:noProof/>
          <w:sz w:val="24"/>
        </w:rPr>
      </w:pPr>
      <w:r>
        <w:rPr>
          <w:rFonts w:ascii="Times New Roman" w:hAnsi="Times New Roman" w:cs="Times New Roman"/>
          <w:noProof/>
          <w:sz w:val="24"/>
        </w:rPr>
        <w:t xml:space="preserve">This measure proposes a cross-border </w:t>
      </w:r>
      <w:r>
        <w:rPr>
          <w:rFonts w:ascii="Times New Roman" w:hAnsi="Times New Roman" w:cs="Times New Roman"/>
          <w:b/>
          <w:noProof/>
          <w:sz w:val="24"/>
        </w:rPr>
        <w:t>European Production Order</w:t>
      </w:r>
      <w:r>
        <w:rPr>
          <w:rFonts w:ascii="Times New Roman" w:hAnsi="Times New Roman" w:cs="Times New Roman"/>
          <w:noProof/>
          <w:sz w:val="24"/>
        </w:rPr>
        <w:t xml:space="preserve">, an official demand issued or validated by a judicial authority of a Member State for the disclosure of information stored in digital form that could serve as evidence in the framework of criminal investigations or criminal proceedings. </w:t>
      </w:r>
    </w:p>
    <w:p w:rsidR="001B65FF" w:rsidRDefault="003E4EF4">
      <w:pPr>
        <w:numPr>
          <w:ilvl w:val="0"/>
          <w:numId w:val="70"/>
        </w:numPr>
        <w:contextualSpacing/>
        <w:jc w:val="both"/>
        <w:rPr>
          <w:rFonts w:ascii="Times New Roman" w:hAnsi="Times New Roman" w:cs="Times New Roman"/>
          <w:noProof/>
          <w:sz w:val="24"/>
        </w:rPr>
      </w:pPr>
      <w:r>
        <w:rPr>
          <w:rFonts w:ascii="Times New Roman" w:hAnsi="Times New Roman" w:cs="Times New Roman"/>
          <w:noProof/>
          <w:sz w:val="24"/>
        </w:rPr>
        <w:t>The European Prod</w:t>
      </w:r>
      <w:r>
        <w:rPr>
          <w:rFonts w:ascii="Times New Roman" w:hAnsi="Times New Roman" w:cs="Times New Roman"/>
          <w:noProof/>
          <w:sz w:val="24"/>
        </w:rPr>
        <w:t xml:space="preserve">uction Order could be directly addressed to a service provider outside of the Member State where it is issued, irrespective of where the service provider is based (i.e. whether in another Member State or outside of the EU) and of where the data is stored. </w:t>
      </w:r>
      <w:r>
        <w:rPr>
          <w:rFonts w:ascii="Times New Roman" w:hAnsi="Times New Roman" w:cs="Times New Roman"/>
          <w:noProof/>
          <w:sz w:val="24"/>
        </w:rPr>
        <w:t xml:space="preserve">The European Production Order would be </w:t>
      </w:r>
      <w:r>
        <w:rPr>
          <w:rFonts w:ascii="Times New Roman" w:hAnsi="Times New Roman" w:cs="Times New Roman"/>
          <w:b/>
          <w:noProof/>
          <w:sz w:val="24"/>
        </w:rPr>
        <w:t>binding</w:t>
      </w:r>
      <w:r>
        <w:rPr>
          <w:rFonts w:ascii="Times New Roman" w:hAnsi="Times New Roman" w:cs="Times New Roman"/>
          <w:noProof/>
          <w:sz w:val="24"/>
        </w:rPr>
        <w:t xml:space="preserve">, i.e. the service provider has an </w:t>
      </w:r>
      <w:r>
        <w:rPr>
          <w:rFonts w:ascii="Times New Roman" w:hAnsi="Times New Roman" w:cs="Times New Roman"/>
          <w:b/>
          <w:noProof/>
          <w:sz w:val="24"/>
        </w:rPr>
        <w:t>obligation</w:t>
      </w:r>
      <w:r>
        <w:rPr>
          <w:rFonts w:ascii="Times New Roman" w:hAnsi="Times New Roman" w:cs="Times New Roman"/>
          <w:noProof/>
          <w:sz w:val="24"/>
        </w:rPr>
        <w:t xml:space="preserve"> to cooperate when so required by the competent authority and could face fines in case of non-compliance.</w:t>
      </w:r>
    </w:p>
    <w:p w:rsidR="001B65FF" w:rsidRDefault="003E4EF4">
      <w:pPr>
        <w:numPr>
          <w:ilvl w:val="0"/>
          <w:numId w:val="70"/>
        </w:numPr>
        <w:spacing w:before="240" w:after="0"/>
        <w:contextualSpacing/>
        <w:jc w:val="both"/>
        <w:rPr>
          <w:rFonts w:ascii="Times New Roman" w:hAnsi="Times New Roman" w:cs="Times New Roman"/>
          <w:noProof/>
          <w:sz w:val="24"/>
        </w:rPr>
      </w:pPr>
      <w:r>
        <w:rPr>
          <w:rFonts w:ascii="Times New Roman" w:hAnsi="Times New Roman" w:cs="Times New Roman"/>
          <w:noProof/>
          <w:sz w:val="24"/>
        </w:rPr>
        <w:t>It would also provide for deadlines to respond. These deadl</w:t>
      </w:r>
      <w:r>
        <w:rPr>
          <w:rFonts w:ascii="Times New Roman" w:hAnsi="Times New Roman" w:cs="Times New Roman"/>
          <w:noProof/>
          <w:sz w:val="24"/>
        </w:rPr>
        <w:t>ines could be two-fold: a deadline for normal cases, which would give the service provider a reasonable period to reply to orders, and a deadline for urgent cases, which could be accompanied by a lighter procedure. This would also address the issue of timi</w:t>
      </w:r>
      <w:r>
        <w:rPr>
          <w:rFonts w:ascii="Times New Roman" w:hAnsi="Times New Roman" w:cs="Times New Roman"/>
          <w:noProof/>
          <w:sz w:val="24"/>
        </w:rPr>
        <w:t>ng of obtaining e-evidence, which is a crucial aim of the initiative.</w:t>
      </w:r>
    </w:p>
    <w:p w:rsidR="001B65FF" w:rsidRDefault="003E4EF4">
      <w:pPr>
        <w:contextualSpacing/>
        <w:jc w:val="both"/>
        <w:rPr>
          <w:rFonts w:ascii="Times New Roman" w:hAnsi="Times New Roman" w:cs="Times New Roman"/>
          <w:noProof/>
          <w:sz w:val="24"/>
        </w:rPr>
      </w:pPr>
      <w:r>
        <w:rPr>
          <w:rFonts w:ascii="Times New Roman" w:hAnsi="Times New Roman" w:cs="Times New Roman"/>
          <w:noProof/>
          <w:sz w:val="24"/>
          <w:lang w:eastAsia="en-GB"/>
        </w:rPr>
        <w:drawing>
          <wp:anchor distT="0" distB="0" distL="114300" distR="114300" simplePos="0" relativeHeight="251657215" behindDoc="1" locked="0" layoutInCell="1" allowOverlap="1" wp14:anchorId="3E2AACFC" wp14:editId="063B0828">
            <wp:simplePos x="0" y="0"/>
            <wp:positionH relativeFrom="column">
              <wp:posOffset>205105</wp:posOffset>
            </wp:positionH>
            <wp:positionV relativeFrom="paragraph">
              <wp:posOffset>-635</wp:posOffset>
            </wp:positionV>
            <wp:extent cx="5500642" cy="4124325"/>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flow request via LR flowchart.jpg"/>
                    <pic:cNvPicPr/>
                  </pic:nvPicPr>
                  <pic:blipFill>
                    <a:blip r:embed="rId38">
                      <a:extLst>
                        <a:ext uri="{28A0092B-C50C-407E-A947-70E740481C1C}">
                          <a14:useLocalDpi xmlns:a14="http://schemas.microsoft.com/office/drawing/2010/main" val="0"/>
                        </a:ext>
                      </a:extLst>
                    </a:blip>
                    <a:stretch>
                      <a:fillRect/>
                    </a:stretch>
                  </pic:blipFill>
                  <pic:spPr>
                    <a:xfrm>
                      <a:off x="0" y="0"/>
                      <a:ext cx="5500642" cy="4124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w:t>Simplified illustration of procedure:</w:t>
      </w:r>
    </w:p>
    <w:p w:rsidR="001B65FF" w:rsidRDefault="001B65FF">
      <w:pPr>
        <w:spacing w:before="240"/>
        <w:ind w:left="360"/>
        <w:contextualSpacing/>
        <w:jc w:val="both"/>
        <w:rPr>
          <w:rFonts w:ascii="Times New Roman" w:hAnsi="Times New Roman" w:cs="Times New Roman"/>
          <w:noProof/>
          <w:sz w:val="24"/>
        </w:rPr>
      </w:pPr>
    </w:p>
    <w:p w:rsidR="001B65FF" w:rsidRDefault="001B65FF">
      <w:pPr>
        <w:spacing w:before="240"/>
        <w:ind w:left="360"/>
        <w:contextualSpacing/>
        <w:jc w:val="both"/>
        <w:rPr>
          <w:rFonts w:ascii="Times New Roman" w:hAnsi="Times New Roman" w:cs="Times New Roman"/>
          <w:noProof/>
          <w:sz w:val="24"/>
        </w:rPr>
      </w:pPr>
    </w:p>
    <w:p w:rsidR="001B65FF" w:rsidRDefault="001B65FF">
      <w:pPr>
        <w:spacing w:before="240"/>
        <w:ind w:left="360"/>
        <w:contextualSpacing/>
        <w:jc w:val="both"/>
        <w:rPr>
          <w:rFonts w:ascii="Times New Roman" w:hAnsi="Times New Roman" w:cs="Times New Roman"/>
          <w:noProof/>
          <w:sz w:val="24"/>
        </w:rPr>
      </w:pPr>
    </w:p>
    <w:p w:rsidR="001B65FF" w:rsidRDefault="001B65FF">
      <w:pPr>
        <w:spacing w:before="240"/>
        <w:ind w:left="360"/>
        <w:contextualSpacing/>
        <w:jc w:val="both"/>
        <w:rPr>
          <w:rFonts w:ascii="Times New Roman" w:hAnsi="Times New Roman" w:cs="Times New Roman"/>
          <w:noProof/>
          <w:sz w:val="24"/>
        </w:rPr>
      </w:pPr>
    </w:p>
    <w:p w:rsidR="001B65FF" w:rsidRDefault="001B65FF">
      <w:pPr>
        <w:spacing w:before="240"/>
        <w:ind w:left="360"/>
        <w:contextualSpacing/>
        <w:jc w:val="both"/>
        <w:rPr>
          <w:rFonts w:ascii="Times New Roman" w:hAnsi="Times New Roman" w:cs="Times New Roman"/>
          <w:noProof/>
          <w:sz w:val="24"/>
        </w:rPr>
      </w:pPr>
    </w:p>
    <w:p w:rsidR="001B65FF" w:rsidRDefault="001B65FF">
      <w:pPr>
        <w:spacing w:before="240"/>
        <w:ind w:left="360"/>
        <w:contextualSpacing/>
        <w:jc w:val="both"/>
        <w:rPr>
          <w:rFonts w:ascii="Times New Roman" w:hAnsi="Times New Roman" w:cs="Times New Roman"/>
          <w:noProof/>
          <w:sz w:val="24"/>
        </w:rPr>
      </w:pPr>
    </w:p>
    <w:p w:rsidR="001B65FF" w:rsidRDefault="001B65FF">
      <w:pPr>
        <w:spacing w:before="240"/>
        <w:ind w:left="360"/>
        <w:contextualSpacing/>
        <w:jc w:val="both"/>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1B65FF">
      <w:pPr>
        <w:contextualSpacing/>
        <w:jc w:val="center"/>
        <w:rPr>
          <w:rFonts w:ascii="Times New Roman" w:hAnsi="Times New Roman" w:cs="Times New Roman"/>
          <w:noProof/>
          <w:sz w:val="24"/>
        </w:rPr>
      </w:pPr>
    </w:p>
    <w:p w:rsidR="001B65FF" w:rsidRDefault="003E4EF4">
      <w:pPr>
        <w:numPr>
          <w:ilvl w:val="0"/>
          <w:numId w:val="71"/>
        </w:numPr>
        <w:contextualSpacing/>
        <w:jc w:val="both"/>
        <w:rPr>
          <w:rFonts w:ascii="Times New Roman" w:hAnsi="Times New Roman" w:cs="Times New Roman"/>
          <w:b/>
          <w:noProof/>
          <w:sz w:val="24"/>
        </w:rPr>
      </w:pPr>
      <w:r>
        <w:rPr>
          <w:rFonts w:ascii="Times New Roman" w:hAnsi="Times New Roman" w:cs="Times New Roman"/>
          <w:b/>
          <w:noProof/>
          <w:sz w:val="24"/>
        </w:rPr>
        <w:t>Sanctioning mechanism:</w:t>
      </w:r>
    </w:p>
    <w:p w:rsidR="001B65FF" w:rsidRDefault="003E4EF4">
      <w:pPr>
        <w:numPr>
          <w:ilvl w:val="0"/>
          <w:numId w:val="73"/>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Authorising authorities to compel a service provider to disclose e-evidence in cross-border cases and obliging service providers to respond can only be </w:t>
      </w:r>
      <w:r>
        <w:rPr>
          <w:rFonts w:ascii="Times New Roman" w:hAnsi="Times New Roman" w:cs="Times New Roman"/>
          <w:b/>
          <w:noProof/>
          <w:sz w:val="24"/>
          <w:szCs w:val="24"/>
        </w:rPr>
        <w:t>effective</w:t>
      </w:r>
      <w:r>
        <w:rPr>
          <w:rFonts w:ascii="Times New Roman" w:hAnsi="Times New Roman" w:cs="Times New Roman"/>
          <w:noProof/>
          <w:sz w:val="24"/>
          <w:szCs w:val="24"/>
        </w:rPr>
        <w:t xml:space="preserve"> in practice if there is a possibility for </w:t>
      </w:r>
      <w:r>
        <w:rPr>
          <w:rFonts w:ascii="Times New Roman" w:hAnsi="Times New Roman" w:cs="Times New Roman"/>
          <w:b/>
          <w:noProof/>
          <w:sz w:val="24"/>
          <w:szCs w:val="24"/>
        </w:rPr>
        <w:t>execution</w:t>
      </w:r>
      <w:r>
        <w:rPr>
          <w:rFonts w:ascii="Times New Roman" w:hAnsi="Times New Roman" w:cs="Times New Roman"/>
          <w:noProof/>
          <w:sz w:val="24"/>
          <w:szCs w:val="24"/>
        </w:rPr>
        <w:t xml:space="preserve"> of such orders in case of non-compliance. </w:t>
      </w:r>
      <w:r>
        <w:rPr>
          <w:rFonts w:ascii="Times New Roman" w:hAnsi="Times New Roman" w:cs="Times New Roman"/>
          <w:noProof/>
          <w:sz w:val="24"/>
          <w:szCs w:val="24"/>
        </w:rPr>
        <w:t xml:space="preserve">While compliance with a legal obligation might still be expected from a number of companies, without a possibility for sanctioning in case of non-compliance, the </w:t>
      </w:r>
      <w:r>
        <w:rPr>
          <w:rFonts w:ascii="Times New Roman" w:eastAsia="Calibri" w:hAnsi="Times New Roman" w:cs="Times New Roman"/>
          <w:noProof/>
          <w:sz w:val="24"/>
          <w:szCs w:val="24"/>
        </w:rPr>
        <w:t>European Production Order</w:t>
      </w:r>
      <w:r>
        <w:rPr>
          <w:rFonts w:ascii="Times New Roman" w:hAnsi="Times New Roman" w:cs="Times New Roman"/>
          <w:noProof/>
          <w:sz w:val="24"/>
          <w:szCs w:val="24"/>
        </w:rPr>
        <w:t xml:space="preserve"> would in practice resemble a production request, as the obligatory n</w:t>
      </w:r>
      <w:r>
        <w:rPr>
          <w:rFonts w:ascii="Times New Roman" w:hAnsi="Times New Roman" w:cs="Times New Roman"/>
          <w:noProof/>
          <w:sz w:val="24"/>
          <w:szCs w:val="24"/>
        </w:rPr>
        <w:t>ature would be merely theoretical. The added value would thus be limited.</w:t>
      </w:r>
    </w:p>
    <w:p w:rsidR="001B65FF" w:rsidRDefault="003E4EF4">
      <w:pPr>
        <w:numPr>
          <w:ilvl w:val="0"/>
          <w:numId w:val="73"/>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Currently, not all Member States have a legal framework in place for imposing </w:t>
      </w:r>
      <w:r>
        <w:rPr>
          <w:rFonts w:ascii="Times New Roman" w:hAnsi="Times New Roman" w:cs="Times New Roman"/>
          <w:b/>
          <w:noProof/>
          <w:sz w:val="24"/>
          <w:szCs w:val="24"/>
        </w:rPr>
        <w:t>financial sanctions</w:t>
      </w:r>
      <w:r>
        <w:rPr>
          <w:rFonts w:ascii="Times New Roman" w:hAnsi="Times New Roman" w:cs="Times New Roman"/>
          <w:noProof/>
          <w:sz w:val="24"/>
          <w:szCs w:val="24"/>
        </w:rPr>
        <w:t xml:space="preserve"> against non-compliant service providers in their national laws. </w:t>
      </w:r>
    </w:p>
    <w:p w:rsidR="001B65FF" w:rsidRDefault="003E4EF4">
      <w:pPr>
        <w:numPr>
          <w:ilvl w:val="0"/>
          <w:numId w:val="73"/>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As a minimum, the legal proposal under this measure should therefore impose an obligation on Member States to set up </w:t>
      </w:r>
      <w:r>
        <w:rPr>
          <w:rFonts w:ascii="Times New Roman" w:hAnsi="Times New Roman" w:cs="Times New Roman"/>
          <w:b/>
          <w:noProof/>
          <w:sz w:val="24"/>
          <w:szCs w:val="24"/>
        </w:rPr>
        <w:t>effective, proportionate and dissuasive sanctions</w:t>
      </w:r>
      <w:r>
        <w:rPr>
          <w:rFonts w:ascii="Times New Roman" w:hAnsi="Times New Roman" w:cs="Times New Roman"/>
          <w:noProof/>
          <w:sz w:val="24"/>
          <w:szCs w:val="24"/>
        </w:rPr>
        <w:t xml:space="preserve">. A </w:t>
      </w:r>
      <w:r>
        <w:rPr>
          <w:rFonts w:ascii="Times New Roman" w:hAnsi="Times New Roman" w:cs="Times New Roman"/>
          <w:b/>
          <w:noProof/>
          <w:sz w:val="24"/>
          <w:szCs w:val="24"/>
        </w:rPr>
        <w:t>harmonised</w:t>
      </w:r>
      <w:r>
        <w:rPr>
          <w:rFonts w:ascii="Times New Roman" w:hAnsi="Times New Roman" w:cs="Times New Roman"/>
          <w:noProof/>
          <w:sz w:val="24"/>
          <w:szCs w:val="24"/>
        </w:rPr>
        <w:t xml:space="preserve"> framework for financial administrative sanctions could also be envisaged to</w:t>
      </w:r>
      <w:r>
        <w:rPr>
          <w:rFonts w:ascii="Times New Roman" w:hAnsi="Times New Roman" w:cs="Times New Roman"/>
          <w:noProof/>
          <w:sz w:val="24"/>
          <w:szCs w:val="24"/>
        </w:rPr>
        <w:t xml:space="preserve"> avoid discrepancies between Member States for similar situations.</w:t>
      </w:r>
      <w:r>
        <w:rPr>
          <w:rStyle w:val="FootnoteReference"/>
          <w:rFonts w:ascii="Times New Roman" w:hAnsi="Times New Roman" w:cs="Times New Roman"/>
          <w:noProof/>
          <w:sz w:val="24"/>
          <w:szCs w:val="24"/>
        </w:rPr>
        <w:footnoteReference w:id="87"/>
      </w:r>
    </w:p>
    <w:p w:rsidR="001B65FF" w:rsidRDefault="003E4EF4">
      <w:pPr>
        <w:numPr>
          <w:ilvl w:val="0"/>
          <w:numId w:val="73"/>
        </w:numPr>
        <w:contextualSpacing/>
        <w:jc w:val="both"/>
        <w:rPr>
          <w:rFonts w:ascii="Times New Roman" w:hAnsi="Times New Roman" w:cs="Times New Roman"/>
          <w:noProof/>
          <w:sz w:val="28"/>
        </w:rPr>
      </w:pPr>
      <w:r>
        <w:rPr>
          <w:rFonts w:ascii="Times New Roman" w:hAnsi="Times New Roman" w:cs="Times New Roman"/>
          <w:noProof/>
          <w:sz w:val="24"/>
          <w:szCs w:val="24"/>
        </w:rPr>
        <w:t xml:space="preserve">In order to maximise the efficiency of the new instrument, the proposal could include provisions on the </w:t>
      </w:r>
      <w:r>
        <w:rPr>
          <w:rFonts w:ascii="Times New Roman" w:hAnsi="Times New Roman" w:cs="Times New Roman"/>
          <w:b/>
          <w:noProof/>
          <w:sz w:val="24"/>
          <w:szCs w:val="24"/>
        </w:rPr>
        <w:t>imposition and execution of sanctions</w:t>
      </w:r>
      <w:r>
        <w:rPr>
          <w:rFonts w:ascii="Times New Roman" w:hAnsi="Times New Roman" w:cs="Times New Roman"/>
          <w:noProof/>
          <w:sz w:val="24"/>
          <w:szCs w:val="24"/>
        </w:rPr>
        <w:t>:</w:t>
      </w:r>
    </w:p>
    <w:p w:rsidR="001B65FF" w:rsidRDefault="003E4EF4">
      <w:pPr>
        <w:numPr>
          <w:ilvl w:val="1"/>
          <w:numId w:val="73"/>
        </w:numPr>
        <w:contextualSpacing/>
        <w:jc w:val="both"/>
        <w:rPr>
          <w:rFonts w:ascii="Times New Roman" w:hAnsi="Times New Roman" w:cs="Times New Roman"/>
          <w:noProof/>
          <w:sz w:val="28"/>
        </w:rPr>
      </w:pPr>
      <w:r>
        <w:rPr>
          <w:rFonts w:ascii="Times New Roman" w:hAnsi="Times New Roman" w:cs="Times New Roman"/>
          <w:b/>
          <w:noProof/>
          <w:sz w:val="24"/>
          <w:szCs w:val="24"/>
        </w:rPr>
        <w:t>Within the EU</w:t>
      </w:r>
      <w:r>
        <w:rPr>
          <w:rFonts w:ascii="Times New Roman" w:hAnsi="Times New Roman" w:cs="Times New Roman"/>
          <w:noProof/>
          <w:sz w:val="24"/>
          <w:szCs w:val="24"/>
        </w:rPr>
        <w:t>, the imposition and execution o</w:t>
      </w:r>
      <w:r>
        <w:rPr>
          <w:rFonts w:ascii="Times New Roman" w:hAnsi="Times New Roman" w:cs="Times New Roman"/>
          <w:noProof/>
          <w:sz w:val="24"/>
          <w:szCs w:val="24"/>
        </w:rPr>
        <w:t>f sanctions could be entrusted to the Member State where the service provider is based, based on</w:t>
      </w:r>
      <w:r>
        <w:rPr>
          <w:rFonts w:ascii="Times New Roman" w:hAnsi="Times New Roman" w:cs="Times New Roman"/>
          <w:b/>
          <w:noProof/>
          <w:sz w:val="24"/>
          <w:szCs w:val="24"/>
        </w:rPr>
        <w:t xml:space="preserve"> mutual recognition </w:t>
      </w:r>
      <w:r>
        <w:rPr>
          <w:rFonts w:ascii="Times New Roman" w:hAnsi="Times New Roman" w:cs="Times New Roman"/>
          <w:noProof/>
          <w:sz w:val="24"/>
          <w:szCs w:val="24"/>
        </w:rPr>
        <w:t xml:space="preserve">mechanisms. </w:t>
      </w:r>
    </w:p>
    <w:p w:rsidR="001B65FF" w:rsidRDefault="003E4EF4">
      <w:pPr>
        <w:numPr>
          <w:ilvl w:val="1"/>
          <w:numId w:val="73"/>
        </w:numPr>
        <w:contextualSpacing/>
        <w:jc w:val="both"/>
        <w:rPr>
          <w:rFonts w:ascii="Times New Roman" w:hAnsi="Times New Roman" w:cs="Times New Roman"/>
          <w:noProof/>
          <w:sz w:val="28"/>
        </w:rPr>
      </w:pPr>
      <w:r>
        <w:rPr>
          <w:rFonts w:ascii="Times New Roman" w:hAnsi="Times New Roman" w:cs="Times New Roman"/>
          <w:b/>
          <w:noProof/>
          <w:sz w:val="24"/>
          <w:szCs w:val="24"/>
        </w:rPr>
        <w:t>With non-EU countries</w:t>
      </w:r>
      <w:r>
        <w:rPr>
          <w:rFonts w:ascii="Times New Roman" w:hAnsi="Times New Roman" w:cs="Times New Roman"/>
          <w:noProof/>
          <w:sz w:val="24"/>
          <w:szCs w:val="24"/>
        </w:rPr>
        <w:t xml:space="preserve">, should a financial sanction be imposed against a company based outside the EU, </w:t>
      </w:r>
      <w:r>
        <w:rPr>
          <w:rFonts w:ascii="Times New Roman" w:hAnsi="Times New Roman" w:cs="Times New Roman"/>
          <w:noProof/>
          <w:sz w:val="24"/>
        </w:rPr>
        <w:t xml:space="preserve">the </w:t>
      </w:r>
      <w:r>
        <w:rPr>
          <w:rFonts w:ascii="Times New Roman" w:hAnsi="Times New Roman" w:cs="Times New Roman"/>
          <w:noProof/>
          <w:sz w:val="24"/>
          <w:szCs w:val="24"/>
        </w:rPr>
        <w:t xml:space="preserve">legal representative would also be served with the decision imposing sanctions on the service provider. Such a financial sanction could be executed in a non-EU country only through </w:t>
      </w:r>
      <w:r>
        <w:rPr>
          <w:rFonts w:ascii="Times New Roman" w:hAnsi="Times New Roman" w:cs="Times New Roman"/>
          <w:b/>
          <w:noProof/>
          <w:sz w:val="24"/>
          <w:szCs w:val="24"/>
        </w:rPr>
        <w:t>applicable international agreements</w:t>
      </w:r>
      <w:r>
        <w:rPr>
          <w:rFonts w:ascii="Times New Roman" w:hAnsi="Times New Roman" w:cs="Times New Roman"/>
          <w:noProof/>
          <w:sz w:val="24"/>
          <w:szCs w:val="24"/>
        </w:rPr>
        <w:t>, as the legal proposal could not oblige</w:t>
      </w:r>
      <w:r>
        <w:rPr>
          <w:rFonts w:ascii="Times New Roman" w:hAnsi="Times New Roman" w:cs="Times New Roman"/>
          <w:noProof/>
          <w:sz w:val="24"/>
          <w:szCs w:val="24"/>
        </w:rPr>
        <w:t xml:space="preserve"> the authorities of non-EU countries to execute the sanction. </w:t>
      </w:r>
    </w:p>
    <w:p w:rsidR="001B65FF" w:rsidRDefault="003E4EF4">
      <w:pPr>
        <w:numPr>
          <w:ilvl w:val="0"/>
          <w:numId w:val="73"/>
        </w:numPr>
        <w:contextualSpacing/>
        <w:jc w:val="both"/>
        <w:rPr>
          <w:rFonts w:ascii="Times New Roman" w:hAnsi="Times New Roman" w:cs="Times New Roman"/>
          <w:noProof/>
          <w:sz w:val="24"/>
          <w:szCs w:val="24"/>
        </w:rPr>
      </w:pPr>
      <w:r>
        <w:rPr>
          <w:rFonts w:ascii="Times New Roman" w:hAnsi="Times New Roman" w:cs="Times New Roman"/>
          <w:b/>
          <w:noProof/>
          <w:sz w:val="24"/>
          <w:szCs w:val="24"/>
        </w:rPr>
        <w:t>Conflicts of law</w:t>
      </w:r>
      <w:r>
        <w:rPr>
          <w:rFonts w:ascii="Times New Roman" w:hAnsi="Times New Roman" w:cs="Times New Roman"/>
          <w:noProof/>
          <w:sz w:val="24"/>
          <w:szCs w:val="24"/>
        </w:rPr>
        <w:t>:</w:t>
      </w:r>
    </w:p>
    <w:p w:rsidR="001B65FF" w:rsidRDefault="003E4EF4">
      <w:pPr>
        <w:numPr>
          <w:ilvl w:val="1"/>
          <w:numId w:val="73"/>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need to avoid creating new conflicts of laws was raised repeatedly by service providers, civil society and some Member States during the consultations. This is particularl</w:t>
      </w:r>
      <w:r>
        <w:rPr>
          <w:rFonts w:ascii="Times New Roman" w:hAnsi="Times New Roman" w:cs="Times New Roman"/>
          <w:noProof/>
          <w:sz w:val="24"/>
          <w:szCs w:val="24"/>
        </w:rPr>
        <w:t xml:space="preserve">y relevant when the service provider is based in a non-EU country (e.g. the US). </w:t>
      </w:r>
    </w:p>
    <w:p w:rsidR="001B65FF" w:rsidRDefault="003E4EF4">
      <w:pPr>
        <w:numPr>
          <w:ilvl w:val="1"/>
          <w:numId w:val="73"/>
        </w:numPr>
        <w:spacing w:after="0"/>
        <w:contextualSpacing/>
        <w:jc w:val="both"/>
        <w:rPr>
          <w:rFonts w:ascii="Times New Roman" w:hAnsi="Times New Roman" w:cs="Times New Roman"/>
          <w:noProof/>
          <w:sz w:val="24"/>
          <w:szCs w:val="24"/>
        </w:rPr>
      </w:pPr>
      <w:r>
        <w:rPr>
          <w:rFonts w:ascii="Times New Roman" w:hAnsi="Times New Roman" w:cs="Times New Roman"/>
          <w:b/>
          <w:noProof/>
          <w:sz w:val="24"/>
          <w:szCs w:val="24"/>
        </w:rPr>
        <w:t>Conflicting obligations</w:t>
      </w:r>
      <w:r>
        <w:rPr>
          <w:rFonts w:ascii="Times New Roman" w:hAnsi="Times New Roman" w:cs="Times New Roman"/>
          <w:noProof/>
          <w:sz w:val="24"/>
          <w:szCs w:val="24"/>
        </w:rPr>
        <w:t xml:space="preserve"> for service providers could arise from the national law of non-EU countries, as this EU instrument would cover data stored outside of the EU and servi</w:t>
      </w:r>
      <w:r>
        <w:rPr>
          <w:rFonts w:ascii="Times New Roman" w:hAnsi="Times New Roman" w:cs="Times New Roman"/>
          <w:noProof/>
          <w:sz w:val="24"/>
          <w:szCs w:val="24"/>
        </w:rPr>
        <w:t xml:space="preserve">ce providers established outside of the EU or subject to the law of a non-EU country. In particular, service providers could be caught between the obligation to comply with a </w:t>
      </w:r>
      <w:r>
        <w:rPr>
          <w:rFonts w:ascii="Times New Roman" w:eastAsia="Calibri" w:hAnsi="Times New Roman" w:cs="Times New Roman"/>
          <w:noProof/>
          <w:sz w:val="24"/>
          <w:szCs w:val="24"/>
        </w:rPr>
        <w:t>European Production Order</w:t>
      </w:r>
      <w:r>
        <w:rPr>
          <w:rFonts w:ascii="Times New Roman" w:hAnsi="Times New Roman" w:cs="Times New Roman"/>
          <w:noProof/>
          <w:sz w:val="24"/>
          <w:szCs w:val="24"/>
        </w:rPr>
        <w:t xml:space="preserve"> and the law of the non-EU country applicable to the dat</w:t>
      </w:r>
      <w:r>
        <w:rPr>
          <w:rFonts w:ascii="Times New Roman" w:hAnsi="Times New Roman" w:cs="Times New Roman"/>
          <w:noProof/>
          <w:sz w:val="24"/>
          <w:szCs w:val="24"/>
        </w:rPr>
        <w:t xml:space="preserve">a or the service provider, </w:t>
      </w:r>
      <w:r>
        <w:rPr>
          <w:rFonts w:ascii="Times New Roman" w:hAnsi="Times New Roman" w:cs="Times New Roman"/>
          <w:noProof/>
          <w:sz w:val="24"/>
        </w:rPr>
        <w:t>which may</w:t>
      </w:r>
      <w:r>
        <w:rPr>
          <w:rFonts w:ascii="Times New Roman" w:hAnsi="Times New Roman" w:cs="Times New Roman"/>
          <w:noProof/>
          <w:sz w:val="24"/>
          <w:szCs w:val="24"/>
        </w:rPr>
        <w:t xml:space="preserve"> prohibit or restrict/condition such disclosure of data to foreign authorities. An example is the </w:t>
      </w:r>
      <w:r>
        <w:rPr>
          <w:rFonts w:ascii="Times New Roman" w:hAnsi="Times New Roman" w:cs="Times New Roman"/>
          <w:b/>
          <w:noProof/>
          <w:sz w:val="24"/>
          <w:szCs w:val="24"/>
        </w:rPr>
        <w:t>US Electronic Communication and Privacy Act</w:t>
      </w:r>
      <w:r>
        <w:rPr>
          <w:rFonts w:ascii="Times New Roman" w:hAnsi="Times New Roman" w:cs="Times New Roman"/>
          <w:noProof/>
          <w:sz w:val="24"/>
          <w:szCs w:val="24"/>
        </w:rPr>
        <w:t>, which prevents companies under US jurisdiction from sharing content data dire</w:t>
      </w:r>
      <w:r>
        <w:rPr>
          <w:rFonts w:ascii="Times New Roman" w:hAnsi="Times New Roman" w:cs="Times New Roman"/>
          <w:noProof/>
          <w:sz w:val="24"/>
          <w:szCs w:val="24"/>
        </w:rPr>
        <w:t xml:space="preserve">ctly with foreign law enforcement. </w:t>
      </w:r>
    </w:p>
    <w:p w:rsidR="001B65FF" w:rsidRDefault="003E4EF4">
      <w:pPr>
        <w:numPr>
          <w:ilvl w:val="1"/>
          <w:numId w:val="73"/>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This issue could be addressed by means of a </w:t>
      </w:r>
      <w:r>
        <w:rPr>
          <w:rFonts w:ascii="Times New Roman" w:hAnsi="Times New Roman" w:cs="Times New Roman"/>
          <w:b/>
          <w:noProof/>
          <w:sz w:val="24"/>
          <w:szCs w:val="24"/>
        </w:rPr>
        <w:t>dedicated procedure</w:t>
      </w:r>
      <w:r>
        <w:rPr>
          <w:rFonts w:ascii="Times New Roman" w:hAnsi="Times New Roman" w:cs="Times New Roman"/>
          <w:noProof/>
          <w:sz w:val="24"/>
          <w:szCs w:val="24"/>
        </w:rPr>
        <w:t xml:space="preserve"> for reviewing such conflicting obligations in the issuing Member State. In case of a conflict of obligations arising from the law of a non-EU country, the s</w:t>
      </w:r>
      <w:r>
        <w:rPr>
          <w:rFonts w:ascii="Times New Roman" w:hAnsi="Times New Roman" w:cs="Times New Roman"/>
          <w:noProof/>
          <w:sz w:val="24"/>
          <w:szCs w:val="24"/>
        </w:rPr>
        <w:t>ervice provider could invoke that conflict on the basis of a reasoned refusal to comply. In case of disagreement between the issuing authority and the service provider, a court could be asked to review the case. The court and the issuing authority could al</w:t>
      </w:r>
      <w:r>
        <w:rPr>
          <w:rFonts w:ascii="Times New Roman" w:hAnsi="Times New Roman" w:cs="Times New Roman"/>
          <w:noProof/>
          <w:sz w:val="24"/>
          <w:szCs w:val="24"/>
        </w:rPr>
        <w:t xml:space="preserve">so engage in consultations with the other country’s authorities. The judge could eventually </w:t>
      </w:r>
      <w:r>
        <w:rPr>
          <w:rFonts w:ascii="Times New Roman" w:hAnsi="Times New Roman" w:cs="Times New Roman"/>
          <w:b/>
          <w:noProof/>
          <w:sz w:val="24"/>
          <w:szCs w:val="24"/>
        </w:rPr>
        <w:t xml:space="preserve">either uphold the order </w:t>
      </w:r>
      <w:r>
        <w:rPr>
          <w:rFonts w:ascii="Times New Roman" w:hAnsi="Times New Roman" w:cs="Times New Roman"/>
          <w:noProof/>
          <w:sz w:val="24"/>
          <w:szCs w:val="24"/>
        </w:rPr>
        <w:t>(if he finds there is no conflict of law)</w:t>
      </w:r>
      <w:r>
        <w:rPr>
          <w:rFonts w:ascii="Times New Roman" w:hAnsi="Times New Roman" w:cs="Times New Roman"/>
          <w:b/>
          <w:noProof/>
          <w:sz w:val="24"/>
          <w:szCs w:val="24"/>
        </w:rPr>
        <w:t xml:space="preserve"> or lift the order </w:t>
      </w:r>
      <w:r>
        <w:rPr>
          <w:rFonts w:ascii="Times New Roman" w:hAnsi="Times New Roman" w:cs="Times New Roman"/>
          <w:noProof/>
          <w:sz w:val="24"/>
          <w:szCs w:val="24"/>
        </w:rPr>
        <w:t xml:space="preserve">(if he finds there is a conflict of law) </w:t>
      </w:r>
      <w:r>
        <w:rPr>
          <w:rFonts w:ascii="Times New Roman" w:hAnsi="Times New Roman"/>
          <w:noProof/>
          <w:sz w:val="24"/>
        </w:rPr>
        <w:t>and</w:t>
      </w:r>
      <w:r>
        <w:rPr>
          <w:rFonts w:ascii="Times New Roman" w:hAnsi="Times New Roman" w:cs="Times New Roman"/>
          <w:b/>
          <w:noProof/>
          <w:sz w:val="24"/>
          <w:szCs w:val="24"/>
        </w:rPr>
        <w:t xml:space="preserve"> order preservation of the data</w:t>
      </w:r>
      <w:r>
        <w:rPr>
          <w:rFonts w:ascii="Times New Roman" w:hAnsi="Times New Roman" w:cs="Times New Roman"/>
          <w:noProof/>
          <w:sz w:val="24"/>
          <w:szCs w:val="24"/>
        </w:rPr>
        <w:t xml:space="preserve"> whil</w:t>
      </w:r>
      <w:r>
        <w:rPr>
          <w:rFonts w:ascii="Times New Roman" w:hAnsi="Times New Roman" w:cs="Times New Roman"/>
          <w:noProof/>
          <w:sz w:val="24"/>
          <w:szCs w:val="24"/>
        </w:rPr>
        <w:t xml:space="preserve">e awaiting mutual legal assistance from the authorities of the other country. </w:t>
      </w:r>
    </w:p>
    <w:p w:rsidR="001B65FF" w:rsidRDefault="003E4EF4">
      <w:pPr>
        <w:numPr>
          <w:ilvl w:val="1"/>
          <w:numId w:val="73"/>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As an auxiliary measure to the European Production Order, the legal proposal would include the possibility to execute an </w:t>
      </w:r>
      <w:r>
        <w:rPr>
          <w:rFonts w:ascii="Times New Roman" w:hAnsi="Times New Roman" w:cs="Times New Roman"/>
          <w:b/>
          <w:noProof/>
          <w:sz w:val="24"/>
          <w:szCs w:val="24"/>
        </w:rPr>
        <w:t>order to preserve the data</w:t>
      </w:r>
      <w:r>
        <w:rPr>
          <w:rFonts w:ascii="Times New Roman" w:hAnsi="Times New Roman" w:cs="Times New Roman"/>
          <w:noProof/>
          <w:sz w:val="24"/>
          <w:szCs w:val="24"/>
        </w:rPr>
        <w:t>, which would be sent by the c</w:t>
      </w:r>
      <w:r>
        <w:rPr>
          <w:rFonts w:ascii="Times New Roman" w:hAnsi="Times New Roman" w:cs="Times New Roman"/>
          <w:noProof/>
          <w:sz w:val="24"/>
          <w:szCs w:val="24"/>
        </w:rPr>
        <w:t>ompetent authority directly to the service provider</w:t>
      </w:r>
      <w:r>
        <w:rPr>
          <w:rFonts w:ascii="Times New Roman" w:hAnsi="Times New Roman" w:cs="Times New Roman"/>
          <w:noProof/>
          <w:sz w:val="24"/>
          <w:szCs w:val="24"/>
          <w:vertAlign w:val="superscript"/>
        </w:rPr>
        <w:footnoteReference w:id="88"/>
      </w:r>
      <w:r>
        <w:rPr>
          <w:rFonts w:ascii="Times New Roman" w:hAnsi="Times New Roman" w:cs="Times New Roman"/>
          <w:noProof/>
          <w:sz w:val="24"/>
          <w:szCs w:val="24"/>
        </w:rPr>
        <w:t xml:space="preserve">. </w:t>
      </w:r>
    </w:p>
    <w:p w:rsidR="001B65FF" w:rsidRDefault="003E4EF4">
      <w:pPr>
        <w:numPr>
          <w:ilvl w:val="1"/>
          <w:numId w:val="73"/>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Measures to </w:t>
      </w:r>
      <w:r>
        <w:rPr>
          <w:rFonts w:ascii="Times New Roman" w:hAnsi="Times New Roman" w:cs="Times New Roman"/>
          <w:b/>
          <w:noProof/>
          <w:sz w:val="24"/>
          <w:szCs w:val="24"/>
        </w:rPr>
        <w:t>prevent abuse</w:t>
      </w:r>
      <w:r>
        <w:rPr>
          <w:rFonts w:ascii="Times New Roman" w:hAnsi="Times New Roman" w:cs="Times New Roman"/>
          <w:noProof/>
          <w:sz w:val="24"/>
          <w:szCs w:val="24"/>
        </w:rPr>
        <w:t xml:space="preserve"> of such a "conflict of law clause" would need to be considered. For example, </w:t>
      </w:r>
      <w:r>
        <w:rPr>
          <w:rFonts w:ascii="Times New Roman" w:hAnsi="Times New Roman" w:cs="Times New Roman"/>
          <w:noProof/>
          <w:sz w:val="24"/>
        </w:rPr>
        <w:t xml:space="preserve">the criteria mentioned above should be limited to relevant types of legislation such as criminal </w:t>
      </w:r>
      <w:r>
        <w:rPr>
          <w:rFonts w:ascii="Times New Roman" w:hAnsi="Times New Roman" w:cs="Times New Roman"/>
          <w:noProof/>
          <w:sz w:val="24"/>
        </w:rPr>
        <w:t>procedural law and data protection law.</w:t>
      </w:r>
    </w:p>
    <w:p w:rsidR="001B65FF" w:rsidRDefault="003E4EF4">
      <w:pPr>
        <w:numPr>
          <w:ilvl w:val="1"/>
          <w:numId w:val="73"/>
        </w:numPr>
        <w:spacing w:after="0"/>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rPr>
        <w:t xml:space="preserve">Such a clause would, in addition to protecting service providers from conflicts of law, also address potential issues of </w:t>
      </w:r>
      <w:r>
        <w:rPr>
          <w:rFonts w:ascii="Times New Roman" w:hAnsi="Times New Roman" w:cs="Times New Roman"/>
          <w:b/>
          <w:noProof/>
          <w:sz w:val="24"/>
          <w:szCs w:val="24"/>
        </w:rPr>
        <w:t>extra-territoriality</w:t>
      </w:r>
      <w:r>
        <w:rPr>
          <w:rFonts w:ascii="Times New Roman" w:hAnsi="Times New Roman" w:cs="Times New Roman"/>
          <w:noProof/>
          <w:sz w:val="24"/>
          <w:szCs w:val="24"/>
        </w:rPr>
        <w:t xml:space="preserve">, i.e. the intrusion on the sovereignty of the non-EU country, and of </w:t>
      </w:r>
      <w:r>
        <w:rPr>
          <w:rFonts w:ascii="Times New Roman" w:hAnsi="Times New Roman" w:cs="Times New Roman"/>
          <w:b/>
          <w:noProof/>
          <w:sz w:val="24"/>
          <w:szCs w:val="24"/>
        </w:rPr>
        <w:t>recip</w:t>
      </w:r>
      <w:r>
        <w:rPr>
          <w:rFonts w:ascii="Times New Roman" w:hAnsi="Times New Roman" w:cs="Times New Roman"/>
          <w:b/>
          <w:noProof/>
          <w:sz w:val="24"/>
          <w:szCs w:val="24"/>
        </w:rPr>
        <w:t>rocity</w:t>
      </w:r>
      <w:r>
        <w:rPr>
          <w:rFonts w:ascii="Times New Roman" w:hAnsi="Times New Roman" w:cs="Times New Roman"/>
          <w:noProof/>
          <w:sz w:val="24"/>
          <w:szCs w:val="24"/>
        </w:rPr>
        <w:t>, i.e. legitimisation of similar production orders by non-EU countries with respect to data held in the EU or providers headquartered in the EU. Reciprocity issues would be particularly problematic if they involved countries which do not have fundame</w:t>
      </w:r>
      <w:r>
        <w:rPr>
          <w:rFonts w:ascii="Times New Roman" w:hAnsi="Times New Roman" w:cs="Times New Roman"/>
          <w:noProof/>
          <w:sz w:val="24"/>
          <w:szCs w:val="24"/>
        </w:rPr>
        <w:t>ntal rights safeguards in place that can be considered comparable to those in the EU, including in the field of data protection</w:t>
      </w:r>
      <w:r>
        <w:rPr>
          <w:rFonts w:ascii="Times New Roman" w:hAnsi="Times New Roman" w:cs="Times New Roman"/>
          <w:noProof/>
          <w:sz w:val="24"/>
          <w:szCs w:val="24"/>
          <w:vertAlign w:val="superscript"/>
        </w:rPr>
        <w:footnoteReference w:id="89"/>
      </w:r>
      <w:r>
        <w:rPr>
          <w:rFonts w:ascii="Times New Roman" w:hAnsi="Times New Roman" w:cs="Times New Roman"/>
          <w:noProof/>
          <w:sz w:val="24"/>
          <w:szCs w:val="24"/>
        </w:rPr>
        <w:t>, and if the relevant legislation in those countries did not provide for comparable conditions and safeguards as those that shou</w:t>
      </w:r>
      <w:r>
        <w:rPr>
          <w:rFonts w:ascii="Times New Roman" w:hAnsi="Times New Roman" w:cs="Times New Roman"/>
          <w:noProof/>
          <w:sz w:val="24"/>
          <w:szCs w:val="24"/>
        </w:rPr>
        <w:t xml:space="preserve">ld be included in any </w:t>
      </w:r>
      <w:r>
        <w:rPr>
          <w:rFonts w:ascii="Times New Roman" w:hAnsi="Times New Roman" w:cs="Times New Roman"/>
          <w:noProof/>
          <w:sz w:val="24"/>
        </w:rPr>
        <w:t>European Production Order</w:t>
      </w:r>
      <w:r>
        <w:rPr>
          <w:rFonts w:ascii="Times New Roman" w:hAnsi="Times New Roman" w:cs="Times New Roman"/>
          <w:noProof/>
          <w:sz w:val="24"/>
          <w:szCs w:val="24"/>
        </w:rPr>
        <w:t xml:space="preserve"> proposal. The conflict of laws clause could contribute to mitigating the intrusiveness of the measure, from both an international law and privacy point of view, and would ensure international comity.</w:t>
      </w:r>
      <w:r>
        <w:rPr>
          <w:rFonts w:ascii="Times New Roman" w:hAnsi="Times New Roman"/>
          <w:noProof/>
          <w:sz w:val="24"/>
          <w:szCs w:val="24"/>
        </w:rPr>
        <w:t xml:space="preserve"> Because </w:t>
      </w:r>
      <w:r>
        <w:rPr>
          <w:rFonts w:ascii="Times New Roman" w:hAnsi="Times New Roman"/>
          <w:noProof/>
          <w:sz w:val="24"/>
          <w:szCs w:val="24"/>
        </w:rPr>
        <w:t>the conflicting laws of non-EU countries would be taken into account, the Union and Member States could claim that these countries should do the same when requesting electronic evidence from an EU service provider, e.g. when there is a conflict with the EU</w:t>
      </w:r>
      <w:r>
        <w:rPr>
          <w:rFonts w:ascii="Times New Roman" w:hAnsi="Times New Roman"/>
          <w:noProof/>
          <w:sz w:val="24"/>
          <w:szCs w:val="24"/>
        </w:rPr>
        <w:t xml:space="preserve"> data protection regime. This would mitigate the risk that our data protection acquis is undermined by non-EU countries</w:t>
      </w:r>
      <w:r>
        <w:rPr>
          <w:noProof/>
          <w:color w:val="1F497D" w:themeColor="text2"/>
        </w:rPr>
        <w:t>.</w:t>
      </w:r>
    </w:p>
    <w:p w:rsidR="001B65FF" w:rsidRDefault="001B65FF">
      <w:pPr>
        <w:ind w:left="720"/>
        <w:contextualSpacing/>
        <w:jc w:val="both"/>
        <w:rPr>
          <w:rFonts w:ascii="Times New Roman" w:hAnsi="Times New Roman" w:cs="Times New Roman"/>
          <w:noProof/>
          <w:sz w:val="24"/>
        </w:rPr>
      </w:pPr>
    </w:p>
    <w:p w:rsidR="001B65FF" w:rsidRDefault="003E4EF4">
      <w:pPr>
        <w:numPr>
          <w:ilvl w:val="0"/>
          <w:numId w:val="71"/>
        </w:numPr>
        <w:contextualSpacing/>
        <w:jc w:val="both"/>
        <w:rPr>
          <w:rFonts w:ascii="Times New Roman" w:hAnsi="Times New Roman" w:cs="Times New Roman"/>
          <w:b/>
          <w:noProof/>
          <w:sz w:val="24"/>
        </w:rPr>
      </w:pPr>
      <w:r>
        <w:rPr>
          <w:rFonts w:ascii="Times New Roman" w:hAnsi="Times New Roman" w:cs="Times New Roman"/>
          <w:b/>
          <w:noProof/>
          <w:sz w:val="24"/>
        </w:rPr>
        <w:t>Safeguards:</w:t>
      </w:r>
    </w:p>
    <w:p w:rsidR="001B65FF" w:rsidRDefault="003E4EF4">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rPr>
        <w:t>European Production Order</w:t>
      </w:r>
      <w:r>
        <w:rPr>
          <w:rFonts w:ascii="Times New Roman" w:hAnsi="Times New Roman" w:cs="Times New Roman"/>
          <w:noProof/>
          <w:sz w:val="24"/>
          <w:szCs w:val="24"/>
        </w:rPr>
        <w:t xml:space="preserve"> would be accompanied by comprehensive safeguards, which could include the following: </w:t>
      </w:r>
    </w:p>
    <w:p w:rsidR="001B65FF" w:rsidRDefault="003E4EF4">
      <w:pPr>
        <w:numPr>
          <w:ilvl w:val="0"/>
          <w:numId w:val="74"/>
        </w:numPr>
        <w:contextualSpacing/>
        <w:jc w:val="both"/>
        <w:rPr>
          <w:rFonts w:ascii="Times New Roman" w:hAnsi="Times New Roman" w:cs="Times New Roman"/>
          <w:noProof/>
          <w:sz w:val="24"/>
          <w:szCs w:val="24"/>
        </w:rPr>
      </w:pPr>
      <w:r>
        <w:rPr>
          <w:rFonts w:ascii="Times New Roman" w:hAnsi="Times New Roman" w:cs="Times New Roman"/>
          <w:b/>
          <w:noProof/>
          <w:sz w:val="24"/>
          <w:szCs w:val="24"/>
        </w:rPr>
        <w:t>Proced</w:t>
      </w:r>
      <w:r>
        <w:rPr>
          <w:rFonts w:ascii="Times New Roman" w:hAnsi="Times New Roman" w:cs="Times New Roman"/>
          <w:b/>
          <w:noProof/>
          <w:sz w:val="24"/>
          <w:szCs w:val="24"/>
        </w:rPr>
        <w:t>ural rights</w:t>
      </w:r>
      <w:r>
        <w:rPr>
          <w:rFonts w:ascii="Times New Roman" w:hAnsi="Times New Roman" w:cs="Times New Roman"/>
          <w:noProof/>
          <w:sz w:val="24"/>
          <w:szCs w:val="24"/>
        </w:rPr>
        <w:t xml:space="preserve"> of accused and suspected persons:</w:t>
      </w:r>
    </w:p>
    <w:p w:rsidR="001B65FF" w:rsidRDefault="003E4EF4">
      <w:pPr>
        <w:numPr>
          <w:ilvl w:val="0"/>
          <w:numId w:val="75"/>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suspect would be protected by the EU acquis on the rights of suspected and accused persons in criminal proceedings and the full respect for due process. </w:t>
      </w:r>
    </w:p>
    <w:p w:rsidR="001B65FF" w:rsidRDefault="003E4EF4">
      <w:pPr>
        <w:numPr>
          <w:ilvl w:val="0"/>
          <w:numId w:val="75"/>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In particular, Directive 2012/13/EU on the right to </w:t>
      </w:r>
      <w:r>
        <w:rPr>
          <w:rFonts w:ascii="Times New Roman" w:hAnsi="Times New Roman" w:cs="Times New Roman"/>
          <w:noProof/>
          <w:sz w:val="24"/>
          <w:szCs w:val="24"/>
        </w:rPr>
        <w:t>information in criminal proceedings</w:t>
      </w:r>
      <w:r>
        <w:rPr>
          <w:rFonts w:ascii="Times New Roman" w:hAnsi="Times New Roman" w:cs="Times New Roman"/>
          <w:noProof/>
          <w:sz w:val="24"/>
          <w:szCs w:val="24"/>
          <w:vertAlign w:val="superscript"/>
        </w:rPr>
        <w:footnoteReference w:id="90"/>
      </w:r>
      <w:r>
        <w:rPr>
          <w:rFonts w:ascii="Times New Roman" w:hAnsi="Times New Roman" w:cs="Times New Roman"/>
          <w:noProof/>
          <w:sz w:val="24"/>
          <w:szCs w:val="24"/>
        </w:rPr>
        <w:t xml:space="preserve"> grants the suspected or accused person access to all material evidence in the possession of the competent authorities at minimum, in order to safeguard the fairness of the proceedings and to allow for preparation of the</w:t>
      </w:r>
      <w:r>
        <w:rPr>
          <w:rFonts w:ascii="Times New Roman" w:hAnsi="Times New Roman" w:cs="Times New Roman"/>
          <w:noProof/>
          <w:sz w:val="24"/>
          <w:szCs w:val="24"/>
        </w:rPr>
        <w:t xml:space="preserve"> defence.</w:t>
      </w:r>
    </w:p>
    <w:p w:rsidR="001B65FF" w:rsidRDefault="003E4EF4">
      <w:pPr>
        <w:numPr>
          <w:ilvl w:val="0"/>
          <w:numId w:val="74"/>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Intervention of a </w:t>
      </w:r>
      <w:r>
        <w:rPr>
          <w:rFonts w:ascii="Times New Roman" w:hAnsi="Times New Roman" w:cs="Times New Roman"/>
          <w:b/>
          <w:noProof/>
          <w:sz w:val="24"/>
          <w:szCs w:val="24"/>
        </w:rPr>
        <w:t>judicial authority:</w:t>
      </w:r>
    </w:p>
    <w:p w:rsidR="001B65FF" w:rsidRDefault="003E4EF4">
      <w:pPr>
        <w:numPr>
          <w:ilvl w:val="0"/>
          <w:numId w:val="76"/>
        </w:numPr>
        <w:contextualSpacing/>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Every </w:t>
      </w:r>
      <w:r>
        <w:rPr>
          <w:rFonts w:ascii="Times New Roman" w:hAnsi="Times New Roman" w:cs="Times New Roman"/>
          <w:noProof/>
          <w:sz w:val="24"/>
        </w:rPr>
        <w:t>European Production Order</w:t>
      </w:r>
      <w:r>
        <w:rPr>
          <w:rFonts w:ascii="Times New Roman" w:hAnsi="Times New Roman" w:cs="Times New Roman"/>
          <w:noProof/>
          <w:sz w:val="24"/>
          <w:szCs w:val="24"/>
        </w:rPr>
        <w:t xml:space="preserve"> would have to be issued or validated by a judicial authority. </w:t>
      </w:r>
    </w:p>
    <w:p w:rsidR="001B65FF" w:rsidRDefault="003E4EF4">
      <w:pPr>
        <w:numPr>
          <w:ilvl w:val="0"/>
          <w:numId w:val="76"/>
        </w:numPr>
        <w:contextualSpacing/>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In most Member States, law enforcement authorities can order service providers in their own jurisdiction to disclose </w:t>
      </w:r>
      <w:r>
        <w:rPr>
          <w:rFonts w:ascii="Times New Roman" w:hAnsi="Times New Roman" w:cs="Times New Roman"/>
          <w:b/>
          <w:noProof/>
          <w:sz w:val="24"/>
          <w:szCs w:val="24"/>
        </w:rPr>
        <w:t>subscriber data</w:t>
      </w:r>
      <w:r>
        <w:rPr>
          <w:rFonts w:ascii="Times New Roman" w:hAnsi="Times New Roman" w:cs="Times New Roman"/>
          <w:noProof/>
          <w:sz w:val="24"/>
          <w:szCs w:val="24"/>
        </w:rPr>
        <w:t xml:space="preserve">. The cross-border </w:t>
      </w:r>
      <w:r>
        <w:rPr>
          <w:rFonts w:ascii="Times New Roman" w:hAnsi="Times New Roman" w:cs="Times New Roman"/>
          <w:noProof/>
          <w:sz w:val="24"/>
        </w:rPr>
        <w:t>European Production Order</w:t>
      </w:r>
      <w:r>
        <w:rPr>
          <w:rFonts w:ascii="Times New Roman" w:hAnsi="Times New Roman" w:cs="Times New Roman"/>
          <w:noProof/>
          <w:sz w:val="24"/>
          <w:szCs w:val="24"/>
        </w:rPr>
        <w:t>s would have to be validated by a judicial authority. This creates an additional</w:t>
      </w:r>
      <w:r>
        <w:rPr>
          <w:rFonts w:ascii="Times New Roman" w:hAnsi="Times New Roman" w:cs="Times New Roman"/>
          <w:noProof/>
          <w:sz w:val="24"/>
          <w:szCs w:val="24"/>
        </w:rPr>
        <w:t xml:space="preserve"> safeguard and also matches the approach taken in the European Investigation Order. </w:t>
      </w:r>
    </w:p>
    <w:p w:rsidR="001B65FF" w:rsidRDefault="003E4EF4">
      <w:pPr>
        <w:numPr>
          <w:ilvl w:val="0"/>
          <w:numId w:val="76"/>
        </w:numPr>
        <w:contextualSpacing/>
        <w:jc w:val="both"/>
        <w:rPr>
          <w:rFonts w:ascii="Times New Roman" w:hAnsi="Times New Roman" w:cs="Times New Roman"/>
          <w:noProof/>
          <w:color w:val="000000"/>
          <w:sz w:val="24"/>
          <w:szCs w:val="24"/>
        </w:rPr>
      </w:pPr>
      <w:r>
        <w:rPr>
          <w:rFonts w:ascii="Times New Roman" w:hAnsi="Times New Roman" w:cs="Times New Roman"/>
          <w:noProof/>
          <w:sz w:val="24"/>
          <w:szCs w:val="24"/>
        </w:rPr>
        <w:t>Furthermore, the legal basis of this initiative, Article 82 TFEU, refers to "</w:t>
      </w:r>
      <w:r>
        <w:rPr>
          <w:rFonts w:ascii="Times New Roman" w:hAnsi="Times New Roman" w:cs="Times New Roman"/>
          <w:b/>
          <w:noProof/>
          <w:sz w:val="24"/>
          <w:szCs w:val="24"/>
        </w:rPr>
        <w:t>judicial</w:t>
      </w:r>
      <w:r>
        <w:rPr>
          <w:rFonts w:ascii="Times New Roman" w:hAnsi="Times New Roman" w:cs="Times New Roman"/>
          <w:noProof/>
          <w:sz w:val="24"/>
          <w:szCs w:val="24"/>
        </w:rPr>
        <w:t xml:space="preserve"> cooperation in criminal matters (…) </w:t>
      </w:r>
      <w:r>
        <w:rPr>
          <w:rFonts w:ascii="Times New Roman" w:hAnsi="Times New Roman" w:cs="Times New Roman"/>
          <w:noProof/>
          <w:color w:val="000000"/>
          <w:sz w:val="24"/>
          <w:szCs w:val="24"/>
        </w:rPr>
        <w:t xml:space="preserve">based on the principle of mutual recognition of </w:t>
      </w:r>
      <w:r>
        <w:rPr>
          <w:rFonts w:ascii="Times New Roman" w:hAnsi="Times New Roman" w:cs="Times New Roman"/>
          <w:b/>
          <w:noProof/>
          <w:color w:val="000000"/>
          <w:sz w:val="24"/>
          <w:szCs w:val="24"/>
        </w:rPr>
        <w:t>j</w:t>
      </w:r>
      <w:r>
        <w:rPr>
          <w:rFonts w:ascii="Times New Roman" w:hAnsi="Times New Roman" w:cs="Times New Roman"/>
          <w:b/>
          <w:noProof/>
          <w:color w:val="000000"/>
          <w:sz w:val="24"/>
          <w:szCs w:val="24"/>
        </w:rPr>
        <w:t xml:space="preserve">udgments </w:t>
      </w:r>
      <w:r>
        <w:rPr>
          <w:rFonts w:ascii="Times New Roman" w:hAnsi="Times New Roman" w:cs="Times New Roman"/>
          <w:noProof/>
          <w:color w:val="000000"/>
          <w:sz w:val="24"/>
          <w:szCs w:val="24"/>
        </w:rPr>
        <w:t xml:space="preserve">and </w:t>
      </w:r>
      <w:r>
        <w:rPr>
          <w:rFonts w:ascii="Times New Roman" w:hAnsi="Times New Roman" w:cs="Times New Roman"/>
          <w:b/>
          <w:noProof/>
          <w:color w:val="000000"/>
          <w:sz w:val="24"/>
          <w:szCs w:val="24"/>
        </w:rPr>
        <w:t xml:space="preserve">judicial </w:t>
      </w:r>
      <w:r>
        <w:rPr>
          <w:rFonts w:ascii="Times New Roman" w:hAnsi="Times New Roman" w:cs="Times New Roman"/>
          <w:noProof/>
          <w:color w:val="000000"/>
          <w:sz w:val="24"/>
          <w:szCs w:val="24"/>
        </w:rPr>
        <w:t>decisions</w:t>
      </w:r>
      <w:r>
        <w:rPr>
          <w:rFonts w:ascii="Times New Roman" w:hAnsi="Times New Roman" w:cs="Times New Roman"/>
          <w:noProof/>
          <w:color w:val="000000"/>
          <w:sz w:val="24"/>
        </w:rPr>
        <w:t>."</w:t>
      </w:r>
      <w:r>
        <w:rPr>
          <w:rFonts w:ascii="Times New Roman" w:hAnsi="Times New Roman" w:cs="Times New Roman"/>
          <w:noProof/>
          <w:color w:val="000000"/>
          <w:sz w:val="24"/>
          <w:szCs w:val="24"/>
        </w:rPr>
        <w:t xml:space="preserve"> </w:t>
      </w:r>
    </w:p>
    <w:p w:rsidR="001B65FF" w:rsidRDefault="003E4EF4">
      <w:pPr>
        <w:numPr>
          <w:ilvl w:val="0"/>
          <w:numId w:val="76"/>
        </w:numPr>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intervention of a judicial authority would generate greater </w:t>
      </w:r>
      <w:r>
        <w:rPr>
          <w:rFonts w:ascii="Times New Roman" w:hAnsi="Times New Roman" w:cs="Times New Roman"/>
          <w:b/>
          <w:noProof/>
          <w:color w:val="000000"/>
          <w:sz w:val="24"/>
          <w:szCs w:val="24"/>
        </w:rPr>
        <w:t>mutual trust</w:t>
      </w:r>
      <w:r>
        <w:rPr>
          <w:rFonts w:ascii="Times New Roman" w:hAnsi="Times New Roman" w:cs="Times New Roman"/>
          <w:noProof/>
          <w:color w:val="000000"/>
          <w:sz w:val="24"/>
          <w:szCs w:val="24"/>
        </w:rPr>
        <w:t xml:space="preserve"> and contribute to greater reassurance for the service providers receiving the order. It would also ensure that the </w:t>
      </w:r>
      <w:r>
        <w:rPr>
          <w:rFonts w:ascii="Times New Roman" w:hAnsi="Times New Roman" w:cs="Times New Roman"/>
          <w:b/>
          <w:noProof/>
          <w:color w:val="000000"/>
          <w:sz w:val="24"/>
          <w:szCs w:val="24"/>
        </w:rPr>
        <w:t>proportionality and legality</w:t>
      </w:r>
      <w:r>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 xml:space="preserve">of the measure have been checked and that the order does not infringe </w:t>
      </w:r>
      <w:r>
        <w:rPr>
          <w:rFonts w:ascii="Times New Roman" w:hAnsi="Times New Roman" w:cs="Times New Roman"/>
          <w:b/>
          <w:noProof/>
          <w:color w:val="000000"/>
          <w:sz w:val="24"/>
          <w:szCs w:val="24"/>
        </w:rPr>
        <w:t>fundamental rights</w:t>
      </w:r>
      <w:r>
        <w:rPr>
          <w:rFonts w:ascii="Times New Roman" w:hAnsi="Times New Roman" w:cs="Times New Roman"/>
          <w:noProof/>
          <w:color w:val="000000"/>
          <w:sz w:val="24"/>
          <w:szCs w:val="24"/>
        </w:rPr>
        <w:t xml:space="preserve"> such as the lawyer-client privilege or the right to media freedom.</w:t>
      </w:r>
    </w:p>
    <w:p w:rsidR="001B65FF" w:rsidRDefault="003E4EF4">
      <w:pPr>
        <w:numPr>
          <w:ilvl w:val="0"/>
          <w:numId w:val="74"/>
        </w:numPr>
        <w:contextualSpacing/>
        <w:jc w:val="both"/>
        <w:rPr>
          <w:rFonts w:ascii="Times New Roman" w:hAnsi="Times New Roman" w:cs="Times New Roman"/>
          <w:b/>
          <w:noProof/>
          <w:sz w:val="24"/>
          <w:szCs w:val="24"/>
        </w:rPr>
      </w:pPr>
      <w:r>
        <w:rPr>
          <w:rFonts w:ascii="Times New Roman" w:hAnsi="Times New Roman" w:cs="Times New Roman"/>
          <w:noProof/>
          <w:sz w:val="24"/>
          <w:szCs w:val="24"/>
        </w:rPr>
        <w:t>Charter of Fundamental Rights including the principles of</w:t>
      </w:r>
      <w:r>
        <w:rPr>
          <w:rFonts w:ascii="Times New Roman" w:hAnsi="Times New Roman" w:cs="Times New Roman"/>
          <w:b/>
          <w:noProof/>
          <w:sz w:val="24"/>
          <w:szCs w:val="24"/>
        </w:rPr>
        <w:t xml:space="preserve"> necessity and proportionality:</w:t>
      </w:r>
    </w:p>
    <w:p w:rsidR="001B65FF" w:rsidRDefault="003E4EF4">
      <w:pPr>
        <w:numPr>
          <w:ilvl w:val="0"/>
          <w:numId w:val="76"/>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judicial authority would have to ensure the respect of the Charter of Fundamental Rights including by taking into account the principles of </w:t>
      </w:r>
      <w:r>
        <w:rPr>
          <w:rFonts w:ascii="Times New Roman" w:hAnsi="Times New Roman" w:cs="Times New Roman"/>
          <w:b/>
          <w:noProof/>
          <w:sz w:val="24"/>
          <w:szCs w:val="24"/>
        </w:rPr>
        <w:t>necessity and proportionality</w:t>
      </w:r>
      <w:r>
        <w:rPr>
          <w:rFonts w:ascii="Times New Roman" w:hAnsi="Times New Roman" w:cs="Times New Roman"/>
          <w:noProof/>
          <w:sz w:val="24"/>
          <w:szCs w:val="24"/>
        </w:rPr>
        <w:t xml:space="preserve"> in its decision to issue or validate a production order, and specific aspects to c</w:t>
      </w:r>
      <w:r>
        <w:rPr>
          <w:rFonts w:ascii="Times New Roman" w:hAnsi="Times New Roman" w:cs="Times New Roman"/>
          <w:noProof/>
          <w:sz w:val="24"/>
          <w:szCs w:val="24"/>
        </w:rPr>
        <w:t>onsider could be enumerated. These should include that the data sought, including the data category, is necessary for and the measure is limited to what is necessary and proportionate to the purpose of the proceedings, also in view of the nature and gravit</w:t>
      </w:r>
      <w:r>
        <w:rPr>
          <w:rFonts w:ascii="Times New Roman" w:hAnsi="Times New Roman" w:cs="Times New Roman"/>
          <w:noProof/>
          <w:sz w:val="24"/>
          <w:szCs w:val="24"/>
        </w:rPr>
        <w:t xml:space="preserve">y of the offence under investigation (petty crime versus more serious offences). </w:t>
      </w:r>
    </w:p>
    <w:p w:rsidR="001B65FF" w:rsidRDefault="003E4EF4">
      <w:pPr>
        <w:numPr>
          <w:ilvl w:val="0"/>
          <w:numId w:val="74"/>
        </w:numPr>
        <w:contextualSpacing/>
        <w:jc w:val="both"/>
        <w:rPr>
          <w:rFonts w:ascii="Times New Roman" w:hAnsi="Times New Roman" w:cs="Times New Roman"/>
          <w:b/>
          <w:noProof/>
          <w:sz w:val="24"/>
          <w:szCs w:val="24"/>
        </w:rPr>
      </w:pPr>
      <w:r>
        <w:rPr>
          <w:rFonts w:ascii="Times New Roman" w:hAnsi="Times New Roman" w:cs="Times New Roman"/>
          <w:noProof/>
          <w:sz w:val="24"/>
          <w:szCs w:val="24"/>
        </w:rPr>
        <w:t>Principle of</w:t>
      </w:r>
      <w:r>
        <w:rPr>
          <w:rFonts w:ascii="Times New Roman" w:hAnsi="Times New Roman" w:cs="Times New Roman"/>
          <w:b/>
          <w:noProof/>
          <w:sz w:val="24"/>
          <w:szCs w:val="24"/>
        </w:rPr>
        <w:t xml:space="preserve"> "controller first":</w:t>
      </w:r>
    </w:p>
    <w:p w:rsidR="001B65FF" w:rsidRDefault="003E4EF4">
      <w:pPr>
        <w:numPr>
          <w:ilvl w:val="0"/>
          <w:numId w:val="76"/>
        </w:numPr>
        <w:contextualSpacing/>
        <w:jc w:val="both"/>
        <w:rPr>
          <w:rFonts w:ascii="Times New Roman" w:hAnsi="Times New Roman" w:cs="Times New Roman"/>
          <w:b/>
          <w:noProof/>
          <w:sz w:val="24"/>
          <w:szCs w:val="24"/>
        </w:rPr>
      </w:pPr>
      <w:r>
        <w:rPr>
          <w:rFonts w:ascii="Times New Roman" w:hAnsi="Times New Roman" w:cs="Times New Roman"/>
          <w:noProof/>
          <w:sz w:val="24"/>
          <w:szCs w:val="24"/>
        </w:rPr>
        <w:t xml:space="preserve">The production order should by preference be </w:t>
      </w:r>
      <w:r>
        <w:rPr>
          <w:rFonts w:ascii="Times New Roman" w:hAnsi="Times New Roman" w:cs="Times New Roman"/>
          <w:b/>
          <w:noProof/>
          <w:sz w:val="24"/>
          <w:szCs w:val="24"/>
        </w:rPr>
        <w:t>addressed to the data controller</w:t>
      </w:r>
      <w:r>
        <w:rPr>
          <w:rFonts w:ascii="Times New Roman" w:hAnsi="Times New Roman" w:cs="Times New Roman"/>
          <w:noProof/>
          <w:sz w:val="24"/>
          <w:szCs w:val="24"/>
        </w:rPr>
        <w:t xml:space="preserve">, i.e. the entity that determines the purposes and means of the processing of personal data (Art. 4(7) GDPR). This could be of relevance in particular when it comes to larger entities, such as corporations, that avail themselves of the services of service </w:t>
      </w:r>
      <w:r>
        <w:rPr>
          <w:rFonts w:ascii="Times New Roman" w:hAnsi="Times New Roman" w:cs="Times New Roman"/>
          <w:noProof/>
          <w:sz w:val="24"/>
          <w:szCs w:val="24"/>
        </w:rPr>
        <w:t xml:space="preserve">providers within scope of this instrument to provide their corporate IT infrastructure and/or services. </w:t>
      </w:r>
    </w:p>
    <w:p w:rsidR="001B65FF" w:rsidRDefault="003E4EF4">
      <w:pPr>
        <w:numPr>
          <w:ilvl w:val="0"/>
          <w:numId w:val="76"/>
        </w:numPr>
        <w:contextualSpacing/>
        <w:jc w:val="both"/>
        <w:rPr>
          <w:rFonts w:ascii="Times New Roman" w:hAnsi="Times New Roman" w:cs="Times New Roman"/>
          <w:b/>
          <w:noProof/>
          <w:sz w:val="24"/>
          <w:szCs w:val="24"/>
        </w:rPr>
      </w:pPr>
      <w:r>
        <w:rPr>
          <w:rFonts w:ascii="Times New Roman" w:hAnsi="Times New Roman" w:cs="Times New Roman"/>
          <w:noProof/>
          <w:sz w:val="24"/>
          <w:szCs w:val="24"/>
        </w:rPr>
        <w:t xml:space="preserve">However, for cases where this is </w:t>
      </w:r>
      <w:r>
        <w:rPr>
          <w:rFonts w:ascii="Times New Roman" w:hAnsi="Times New Roman" w:cs="Times New Roman"/>
          <w:b/>
          <w:noProof/>
          <w:sz w:val="24"/>
          <w:szCs w:val="24"/>
        </w:rPr>
        <w:t>not opportune</w:t>
      </w:r>
      <w:r>
        <w:rPr>
          <w:rFonts w:ascii="Times New Roman" w:hAnsi="Times New Roman" w:cs="Times New Roman"/>
          <w:noProof/>
          <w:sz w:val="24"/>
          <w:szCs w:val="24"/>
        </w:rPr>
        <w:t>, e.g. because the controller itself is suspected of involvement in the case under investigation or of ot</w:t>
      </w:r>
      <w:r>
        <w:rPr>
          <w:rFonts w:ascii="Times New Roman" w:hAnsi="Times New Roman" w:cs="Times New Roman"/>
          <w:noProof/>
          <w:sz w:val="24"/>
          <w:szCs w:val="24"/>
        </w:rPr>
        <w:t>herwise colluding with the target of the investigation, authorities should be able to address a service provider able to provide the data in question.</w:t>
      </w:r>
    </w:p>
    <w:p w:rsidR="001B65FF" w:rsidRDefault="003E4EF4">
      <w:pPr>
        <w:numPr>
          <w:ilvl w:val="0"/>
          <w:numId w:val="74"/>
        </w:numPr>
        <w:contextualSpacing/>
        <w:jc w:val="both"/>
        <w:rPr>
          <w:rFonts w:ascii="Times New Roman" w:hAnsi="Times New Roman" w:cs="Times New Roman"/>
          <w:b/>
          <w:noProof/>
          <w:sz w:val="24"/>
          <w:szCs w:val="24"/>
        </w:rPr>
      </w:pPr>
      <w:r>
        <w:rPr>
          <w:rFonts w:ascii="Times New Roman" w:hAnsi="Times New Roman" w:cs="Times New Roman"/>
          <w:b/>
          <w:noProof/>
          <w:sz w:val="24"/>
          <w:szCs w:val="24"/>
        </w:rPr>
        <w:t>User notification:</w:t>
      </w:r>
    </w:p>
    <w:p w:rsidR="001B65FF" w:rsidRDefault="003E4EF4">
      <w:pPr>
        <w:numPr>
          <w:ilvl w:val="0"/>
          <w:numId w:val="7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By </w:t>
      </w:r>
      <w:r>
        <w:rPr>
          <w:rFonts w:ascii="Times New Roman" w:hAnsi="Times New Roman" w:cs="Times New Roman"/>
          <w:b/>
          <w:noProof/>
          <w:sz w:val="24"/>
          <w:szCs w:val="24"/>
        </w:rPr>
        <w:t>public authorities</w:t>
      </w:r>
      <w:r>
        <w:rPr>
          <w:rFonts w:ascii="Times New Roman" w:hAnsi="Times New Roman" w:cs="Times New Roman"/>
          <w:noProof/>
          <w:sz w:val="24"/>
          <w:szCs w:val="24"/>
        </w:rPr>
        <w:t>, in line with national criminal procedural laws which provide fo</w:t>
      </w:r>
      <w:r>
        <w:rPr>
          <w:rFonts w:ascii="Times New Roman" w:hAnsi="Times New Roman" w:cs="Times New Roman"/>
          <w:noProof/>
          <w:sz w:val="24"/>
          <w:szCs w:val="24"/>
        </w:rPr>
        <w:t>r notification and with Directive 2016/680 on the protection of natural persons with regard to the processing of personal data by competent authorities (the "Police Directive")</w:t>
      </w:r>
      <w:r>
        <w:rPr>
          <w:rFonts w:ascii="Times New Roman" w:hAnsi="Times New Roman" w:cs="Times New Roman"/>
          <w:noProof/>
          <w:sz w:val="24"/>
          <w:szCs w:val="24"/>
          <w:vertAlign w:val="superscript"/>
        </w:rPr>
        <w:footnoteReference w:id="91"/>
      </w:r>
      <w:r>
        <w:rPr>
          <w:rFonts w:ascii="Times New Roman" w:hAnsi="Times New Roman" w:cs="Times New Roman"/>
          <w:noProof/>
          <w:sz w:val="24"/>
          <w:szCs w:val="24"/>
        </w:rPr>
        <w:t>, which establishes:</w:t>
      </w:r>
    </w:p>
    <w:p w:rsidR="001B65FF" w:rsidRDefault="003E4EF4">
      <w:pPr>
        <w:numPr>
          <w:ilvl w:val="1"/>
          <w:numId w:val="7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 right for the data subject to be </w:t>
      </w:r>
      <w:r>
        <w:rPr>
          <w:rFonts w:ascii="Times New Roman" w:hAnsi="Times New Roman" w:cs="Times New Roman"/>
          <w:b/>
          <w:noProof/>
          <w:sz w:val="24"/>
          <w:szCs w:val="24"/>
        </w:rPr>
        <w:t>personally informed</w:t>
      </w:r>
      <w:r>
        <w:rPr>
          <w:rFonts w:ascii="Times New Roman" w:hAnsi="Times New Roman" w:cs="Times New Roman"/>
          <w:noProof/>
          <w:sz w:val="24"/>
          <w:szCs w:val="24"/>
        </w:rPr>
        <w:t xml:space="preserve"> by </w:t>
      </w:r>
      <w:r>
        <w:rPr>
          <w:rFonts w:ascii="Times New Roman" w:hAnsi="Times New Roman" w:cs="Times New Roman"/>
          <w:noProof/>
          <w:sz w:val="24"/>
          <w:szCs w:val="24"/>
        </w:rPr>
        <w:t xml:space="preserve">the competent authority about the data processing </w:t>
      </w:r>
      <w:r>
        <w:rPr>
          <w:rFonts w:ascii="Times New Roman" w:hAnsi="Times New Roman" w:cs="Times New Roman"/>
          <w:noProof/>
          <w:sz w:val="24"/>
        </w:rPr>
        <w:t xml:space="preserve">in </w:t>
      </w:r>
      <w:r>
        <w:rPr>
          <w:rFonts w:ascii="Times New Roman" w:hAnsi="Times New Roman" w:cs="Times New Roman"/>
          <w:noProof/>
          <w:sz w:val="24"/>
          <w:szCs w:val="24"/>
        </w:rPr>
        <w:t xml:space="preserve">specific cases, in particular where the personal data are collected without the knowledge of the data subject (Article 12 et seq); </w:t>
      </w:r>
    </w:p>
    <w:p w:rsidR="001B65FF" w:rsidRDefault="003E4EF4">
      <w:pPr>
        <w:numPr>
          <w:ilvl w:val="1"/>
          <w:numId w:val="7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that this right to be informed may be </w:t>
      </w:r>
      <w:r>
        <w:rPr>
          <w:rFonts w:ascii="Times New Roman" w:hAnsi="Times New Roman" w:cs="Times New Roman"/>
          <w:b/>
          <w:noProof/>
          <w:sz w:val="24"/>
          <w:szCs w:val="24"/>
        </w:rPr>
        <w:t>delayed, restricted or omitted</w:t>
      </w:r>
      <w:r>
        <w:rPr>
          <w:rFonts w:ascii="Times New Roman" w:hAnsi="Times New Roman" w:cs="Times New Roman"/>
          <w:noProof/>
          <w:sz w:val="24"/>
          <w:szCs w:val="24"/>
        </w:rPr>
        <w:t xml:space="preserve"> to</w:t>
      </w:r>
      <w:r>
        <w:rPr>
          <w:rFonts w:ascii="Times New Roman" w:hAnsi="Times New Roman" w:cs="Times New Roman"/>
          <w:noProof/>
          <w:sz w:val="24"/>
          <w:szCs w:val="24"/>
        </w:rPr>
        <w:t xml:space="preserve"> "avoid obstructing official (…) investigations [and] prejudicing the prevention, detection, investigation or prosecution of criminal offences or the execution of criminal penalties" (Article 13(3)(a) and (b)); and</w:t>
      </w:r>
    </w:p>
    <w:p w:rsidR="001B65FF" w:rsidRDefault="003E4EF4">
      <w:pPr>
        <w:numPr>
          <w:ilvl w:val="1"/>
          <w:numId w:val="7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that such a restriction requires a </w:t>
      </w:r>
      <w:r>
        <w:rPr>
          <w:rFonts w:ascii="Times New Roman" w:hAnsi="Times New Roman" w:cs="Times New Roman"/>
          <w:b/>
          <w:noProof/>
          <w:sz w:val="24"/>
          <w:szCs w:val="24"/>
        </w:rPr>
        <w:t>legisl</w:t>
      </w:r>
      <w:r>
        <w:rPr>
          <w:rFonts w:ascii="Times New Roman" w:hAnsi="Times New Roman" w:cs="Times New Roman"/>
          <w:b/>
          <w:noProof/>
          <w:sz w:val="24"/>
          <w:szCs w:val="24"/>
        </w:rPr>
        <w:t>ative measure</w:t>
      </w:r>
      <w:r>
        <w:rPr>
          <w:rFonts w:ascii="Times New Roman" w:hAnsi="Times New Roman" w:cs="Times New Roman"/>
          <w:noProof/>
          <w:sz w:val="24"/>
          <w:szCs w:val="24"/>
        </w:rPr>
        <w:t xml:space="preserve"> and can only be imposed to the extent that, and for as long as, such a measure constitutes a necessary and proportionate measure in a democratic society with due regard for the fundamental rights and the legitimate interests of the natural pe</w:t>
      </w:r>
      <w:r>
        <w:rPr>
          <w:rFonts w:ascii="Times New Roman" w:hAnsi="Times New Roman" w:cs="Times New Roman"/>
          <w:noProof/>
          <w:sz w:val="24"/>
          <w:szCs w:val="24"/>
        </w:rPr>
        <w:t>rson concerned (Article 13(3)).</w:t>
      </w:r>
    </w:p>
    <w:p w:rsidR="001B65FF" w:rsidRDefault="003E4EF4">
      <w:pPr>
        <w:numPr>
          <w:ilvl w:val="0"/>
          <w:numId w:val="7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By the </w:t>
      </w:r>
      <w:r>
        <w:rPr>
          <w:rFonts w:ascii="Times New Roman" w:hAnsi="Times New Roman" w:cs="Times New Roman"/>
          <w:b/>
          <w:noProof/>
          <w:sz w:val="24"/>
          <w:szCs w:val="24"/>
        </w:rPr>
        <w:t>service provider</w:t>
      </w:r>
      <w:r>
        <w:rPr>
          <w:rFonts w:ascii="Times New Roman" w:hAnsi="Times New Roman" w:cs="Times New Roman"/>
          <w:noProof/>
          <w:sz w:val="24"/>
          <w:szCs w:val="24"/>
        </w:rPr>
        <w:t>:</w:t>
      </w:r>
    </w:p>
    <w:p w:rsidR="001B65FF" w:rsidRDefault="003E4EF4">
      <w:pPr>
        <w:numPr>
          <w:ilvl w:val="1"/>
          <w:numId w:val="7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An </w:t>
      </w:r>
      <w:r>
        <w:rPr>
          <w:rFonts w:ascii="Times New Roman" w:hAnsi="Times New Roman" w:cs="Times New Roman"/>
          <w:b/>
          <w:noProof/>
          <w:sz w:val="24"/>
          <w:szCs w:val="24"/>
        </w:rPr>
        <w:t>immediate notification</w:t>
      </w:r>
      <w:r>
        <w:rPr>
          <w:rFonts w:ascii="Times New Roman" w:hAnsi="Times New Roman" w:cs="Times New Roman"/>
          <w:noProof/>
          <w:sz w:val="24"/>
          <w:szCs w:val="24"/>
        </w:rPr>
        <w:t xml:space="preserve"> to the user could jeopardise the investigation and is therefore not provided in the criminal procedural laws of most Member States. </w:t>
      </w:r>
    </w:p>
    <w:p w:rsidR="001B65FF" w:rsidRDefault="003E4EF4">
      <w:pPr>
        <w:numPr>
          <w:ilvl w:val="1"/>
          <w:numId w:val="77"/>
        </w:numPr>
        <w:contextualSpacing/>
        <w:jc w:val="both"/>
        <w:rPr>
          <w:rFonts w:ascii="Times New Roman" w:hAnsi="Times New Roman" w:cs="Times New Roman"/>
          <w:noProof/>
          <w:sz w:val="24"/>
          <w:szCs w:val="24"/>
        </w:rPr>
      </w:pPr>
      <w:r>
        <w:rPr>
          <w:rFonts w:ascii="Times New Roman" w:hAnsi="Times New Roman" w:cs="Times New Roman"/>
          <w:noProof/>
          <w:sz w:val="24"/>
          <w:szCs w:val="24"/>
        </w:rPr>
        <w:t>For the same reason, the legal framework</w:t>
      </w:r>
      <w:r>
        <w:rPr>
          <w:rFonts w:ascii="Times New Roman" w:hAnsi="Times New Roman" w:cs="Times New Roman"/>
          <w:noProof/>
          <w:sz w:val="24"/>
          <w:szCs w:val="24"/>
        </w:rPr>
        <w:t xml:space="preserve"> would include a provision that gives the issuing authority the right to </w:t>
      </w:r>
      <w:r>
        <w:rPr>
          <w:rFonts w:ascii="Times New Roman" w:hAnsi="Times New Roman" w:cs="Times New Roman"/>
          <w:b/>
          <w:noProof/>
          <w:sz w:val="24"/>
          <w:szCs w:val="24"/>
        </w:rPr>
        <w:t>prohibit or delay</w:t>
      </w:r>
      <w:r>
        <w:rPr>
          <w:rFonts w:ascii="Times New Roman" w:hAnsi="Times New Roman" w:cs="Times New Roman"/>
          <w:noProof/>
          <w:sz w:val="24"/>
          <w:szCs w:val="24"/>
        </w:rPr>
        <w:t xml:space="preserve"> the notification to the user by the service provider for such cases. </w:t>
      </w:r>
    </w:p>
    <w:p w:rsidR="001B65FF" w:rsidRDefault="003E4EF4">
      <w:pPr>
        <w:numPr>
          <w:ilvl w:val="1"/>
          <w:numId w:val="77"/>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affected person would have to </w:t>
      </w:r>
      <w:r>
        <w:rPr>
          <w:rFonts w:ascii="Times New Roman" w:hAnsi="Times New Roman" w:cs="Times New Roman"/>
          <w:b/>
          <w:noProof/>
          <w:sz w:val="24"/>
          <w:szCs w:val="24"/>
        </w:rPr>
        <w:t>be informed</w:t>
      </w:r>
      <w:r>
        <w:rPr>
          <w:rFonts w:ascii="Times New Roman" w:hAnsi="Times New Roman" w:cs="Times New Roman"/>
          <w:noProof/>
          <w:sz w:val="24"/>
          <w:szCs w:val="24"/>
        </w:rPr>
        <w:t xml:space="preserve"> as soon as the risk of obstructing the investigat</w:t>
      </w:r>
      <w:r>
        <w:rPr>
          <w:rFonts w:ascii="Times New Roman" w:hAnsi="Times New Roman" w:cs="Times New Roman"/>
          <w:noProof/>
          <w:sz w:val="24"/>
          <w:szCs w:val="24"/>
        </w:rPr>
        <w:t xml:space="preserve">ion no longer exists. At the latest, this occurs when taking open measures against the affected person, e.g. bringing charges in court or arresting the person. </w:t>
      </w:r>
    </w:p>
    <w:p w:rsidR="001B65FF" w:rsidRDefault="003E4EF4">
      <w:pPr>
        <w:numPr>
          <w:ilvl w:val="1"/>
          <w:numId w:val="77"/>
        </w:numPr>
        <w:contextualSpacing/>
        <w:jc w:val="both"/>
        <w:rPr>
          <w:rFonts w:ascii="Times New Roman" w:hAnsi="Times New Roman" w:cs="Times New Roman"/>
          <w:noProof/>
          <w:sz w:val="24"/>
          <w:szCs w:val="24"/>
        </w:rPr>
      </w:pPr>
      <w:r>
        <w:rPr>
          <w:rFonts w:ascii="Times New Roman" w:hAnsi="Times New Roman" w:cs="Times New Roman"/>
          <w:noProof/>
          <w:sz w:val="24"/>
          <w:szCs w:val="24"/>
        </w:rPr>
        <w:t>If a decision is taken not to prosecute the suspect or the investigation is closed or abandoned</w:t>
      </w:r>
      <w:r>
        <w:rPr>
          <w:rFonts w:ascii="Times New Roman" w:hAnsi="Times New Roman" w:cs="Times New Roman"/>
          <w:noProof/>
          <w:sz w:val="24"/>
          <w:szCs w:val="24"/>
        </w:rPr>
        <w:t>, user notification should in principle be done at this point, to avoid circumventing the obligation to notify</w:t>
      </w:r>
      <w:r>
        <w:rPr>
          <w:rFonts w:ascii="Times New Roman" w:hAnsi="Times New Roman" w:cs="Times New Roman"/>
          <w:noProof/>
          <w:sz w:val="24"/>
          <w:szCs w:val="24"/>
          <w:vertAlign w:val="superscript"/>
        </w:rPr>
        <w:footnoteReference w:id="92"/>
      </w:r>
      <w:r>
        <w:rPr>
          <w:rFonts w:ascii="Times New Roman" w:hAnsi="Times New Roman" w:cs="Times New Roman"/>
          <w:noProof/>
          <w:sz w:val="24"/>
          <w:szCs w:val="24"/>
        </w:rPr>
        <w:t xml:space="preserve">. </w:t>
      </w:r>
    </w:p>
    <w:p w:rsidR="001B65FF" w:rsidRDefault="003E4EF4">
      <w:pPr>
        <w:numPr>
          <w:ilvl w:val="0"/>
          <w:numId w:val="74"/>
        </w:numPr>
        <w:contextualSpacing/>
        <w:jc w:val="both"/>
        <w:rPr>
          <w:rFonts w:ascii="Times New Roman" w:hAnsi="Times New Roman" w:cs="Times New Roman"/>
          <w:b/>
          <w:noProof/>
          <w:sz w:val="24"/>
          <w:szCs w:val="24"/>
        </w:rPr>
      </w:pPr>
      <w:r>
        <w:rPr>
          <w:rFonts w:ascii="Times New Roman" w:hAnsi="Times New Roman" w:cs="Times New Roman"/>
          <w:b/>
          <w:noProof/>
          <w:sz w:val="24"/>
          <w:szCs w:val="24"/>
        </w:rPr>
        <w:t>Legal remedies:</w:t>
      </w:r>
    </w:p>
    <w:p w:rsidR="001B65FF" w:rsidRDefault="003E4EF4">
      <w:pPr>
        <w:numPr>
          <w:ilvl w:val="0"/>
          <w:numId w:val="78"/>
        </w:numPr>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For the </w:t>
      </w:r>
      <w:r>
        <w:rPr>
          <w:rFonts w:ascii="Times New Roman" w:hAnsi="Times New Roman" w:cs="Times New Roman"/>
          <w:b/>
          <w:noProof/>
          <w:sz w:val="24"/>
          <w:szCs w:val="24"/>
        </w:rPr>
        <w:t>target of the investigation</w:t>
      </w:r>
      <w:r>
        <w:rPr>
          <w:rFonts w:ascii="Times New Roman" w:hAnsi="Times New Roman" w:cs="Times New Roman"/>
          <w:noProof/>
          <w:sz w:val="24"/>
          <w:szCs w:val="24"/>
        </w:rPr>
        <w:t>:</w:t>
      </w:r>
    </w:p>
    <w:p w:rsidR="001B65FF" w:rsidRDefault="003E4EF4">
      <w:pPr>
        <w:numPr>
          <w:ilvl w:val="0"/>
          <w:numId w:val="110"/>
        </w:numPr>
        <w:contextualSpacing/>
        <w:jc w:val="both"/>
        <w:rPr>
          <w:rFonts w:ascii="Times New Roman" w:hAnsi="Times New Roman" w:cs="Times New Roman"/>
          <w:noProof/>
          <w:sz w:val="24"/>
          <w:szCs w:val="24"/>
        </w:rPr>
      </w:pPr>
      <w:r>
        <w:rPr>
          <w:rFonts w:ascii="Times New Roman" w:hAnsi="Times New Roman" w:cs="Times New Roman"/>
          <w:noProof/>
          <w:sz w:val="24"/>
          <w:szCs w:val="24"/>
        </w:rPr>
        <w:t>The remedies in Member States against national production orders vary substantially: from</w:t>
      </w:r>
      <w:r>
        <w:rPr>
          <w:rFonts w:ascii="Times New Roman" w:hAnsi="Times New Roman" w:cs="Times New Roman"/>
          <w:noProof/>
          <w:sz w:val="24"/>
          <w:szCs w:val="24"/>
        </w:rPr>
        <w:t xml:space="preserve"> no legal review (except for the accused person during his trial) to the right for every affected person to seek judicial review. </w:t>
      </w:r>
    </w:p>
    <w:p w:rsidR="001B65FF" w:rsidRDefault="003E4EF4">
      <w:pPr>
        <w:numPr>
          <w:ilvl w:val="0"/>
          <w:numId w:val="110"/>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It is essential that the suspect whose data is requested in the framework of criminal investigations or proceedings can have </w:t>
      </w:r>
      <w:r>
        <w:rPr>
          <w:rFonts w:ascii="Times New Roman" w:hAnsi="Times New Roman" w:cs="Times New Roman"/>
          <w:noProof/>
          <w:sz w:val="24"/>
          <w:szCs w:val="24"/>
        </w:rPr>
        <w:t xml:space="preserve">access to an effective legal remedy in the issuing country. The legislation should therefore set out, as a minimum, the possibility for the accused to challenge during the trial the legality of an </w:t>
      </w:r>
      <w:r>
        <w:rPr>
          <w:rFonts w:ascii="Times New Roman" w:hAnsi="Times New Roman" w:cs="Times New Roman"/>
          <w:noProof/>
          <w:sz w:val="24"/>
        </w:rPr>
        <w:t>European Production Order</w:t>
      </w:r>
      <w:r>
        <w:rPr>
          <w:rFonts w:ascii="Times New Roman" w:hAnsi="Times New Roman" w:cs="Times New Roman"/>
          <w:noProof/>
          <w:sz w:val="24"/>
          <w:szCs w:val="24"/>
        </w:rPr>
        <w:t xml:space="preserve"> as well as the admissibility (or </w:t>
      </w:r>
      <w:r>
        <w:rPr>
          <w:rFonts w:ascii="Times New Roman" w:hAnsi="Times New Roman" w:cs="Times New Roman"/>
          <w:noProof/>
          <w:sz w:val="24"/>
          <w:szCs w:val="24"/>
        </w:rPr>
        <w:t xml:space="preserve">the weight in the proceedings) of the evidence obtained by such means. </w:t>
      </w:r>
    </w:p>
    <w:p w:rsidR="001B65FF" w:rsidRDefault="003E4EF4">
      <w:pPr>
        <w:numPr>
          <w:ilvl w:val="0"/>
          <w:numId w:val="110"/>
        </w:numPr>
        <w:contextualSpacing/>
        <w:jc w:val="both"/>
        <w:rPr>
          <w:rFonts w:ascii="Times New Roman" w:hAnsi="Times New Roman" w:cs="Times New Roman"/>
          <w:noProof/>
          <w:sz w:val="24"/>
          <w:szCs w:val="24"/>
        </w:rPr>
      </w:pPr>
      <w:r>
        <w:rPr>
          <w:rFonts w:ascii="Times New Roman" w:hAnsi="Times New Roman" w:cs="Times New Roman"/>
          <w:noProof/>
          <w:sz w:val="24"/>
        </w:rPr>
        <w:t xml:space="preserve">Remedies for situations without trial should also be considered. </w:t>
      </w:r>
    </w:p>
    <w:p w:rsidR="001B65FF" w:rsidRDefault="003E4EF4">
      <w:pPr>
        <w:numPr>
          <w:ilvl w:val="0"/>
          <w:numId w:val="110"/>
        </w:numPr>
        <w:contextualSpacing/>
        <w:jc w:val="both"/>
        <w:rPr>
          <w:rFonts w:ascii="Times New Roman" w:hAnsi="Times New Roman" w:cs="Times New Roman"/>
          <w:noProof/>
          <w:sz w:val="24"/>
          <w:szCs w:val="24"/>
        </w:rPr>
      </w:pPr>
      <w:r>
        <w:rPr>
          <w:rFonts w:ascii="Times New Roman" w:hAnsi="Times New Roman" w:cs="Times New Roman"/>
          <w:noProof/>
          <w:sz w:val="24"/>
          <w:szCs w:val="24"/>
        </w:rPr>
        <w:t>Remedies should in any case not have suspensive effect, like the EIO. The proposal could refer to legal remedies provi</w:t>
      </w:r>
      <w:r>
        <w:rPr>
          <w:rFonts w:ascii="Times New Roman" w:hAnsi="Times New Roman" w:cs="Times New Roman"/>
          <w:noProof/>
          <w:sz w:val="24"/>
          <w:szCs w:val="24"/>
        </w:rPr>
        <w:t>ded by national law available in similar domestic cases as provided in Article 14 of the EIO Directive.</w:t>
      </w:r>
    </w:p>
    <w:p w:rsidR="001B65FF" w:rsidRDefault="003E4EF4">
      <w:pPr>
        <w:numPr>
          <w:ilvl w:val="0"/>
          <w:numId w:val="78"/>
        </w:numPr>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b/>
          <w:noProof/>
          <w:sz w:val="24"/>
          <w:szCs w:val="24"/>
        </w:rPr>
        <w:t>service providers:</w:t>
      </w:r>
    </w:p>
    <w:p w:rsidR="001B65FF" w:rsidRDefault="003E4EF4">
      <w:pPr>
        <w:numPr>
          <w:ilvl w:val="0"/>
          <w:numId w:val="79"/>
        </w:numPr>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Service providers may be also be affected by the investigative measure. </w:t>
      </w:r>
    </w:p>
    <w:p w:rsidR="001B65FF" w:rsidRDefault="003E4EF4">
      <w:pPr>
        <w:numPr>
          <w:ilvl w:val="0"/>
          <w:numId w:val="79"/>
        </w:numPr>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situation in Member States varies from no legal review, as the service provider is regarded as a third party unaffected by the investigation, to the possibility to challenge the order, which only exists in few Member States. </w:t>
      </w:r>
    </w:p>
    <w:p w:rsidR="001B65FF" w:rsidRDefault="003E4EF4">
      <w:pPr>
        <w:numPr>
          <w:ilvl w:val="0"/>
          <w:numId w:val="79"/>
        </w:numPr>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Given the ambitious approa</w:t>
      </w:r>
      <w:r>
        <w:rPr>
          <w:rFonts w:ascii="Times New Roman" w:hAnsi="Times New Roman" w:cs="Times New Roman"/>
          <w:noProof/>
          <w:color w:val="000000"/>
          <w:sz w:val="24"/>
          <w:szCs w:val="24"/>
        </w:rPr>
        <w:t xml:space="preserve">ch of the </w:t>
      </w:r>
      <w:r>
        <w:rPr>
          <w:rFonts w:ascii="Times New Roman" w:hAnsi="Times New Roman" w:cs="Times New Roman"/>
          <w:noProof/>
          <w:sz w:val="24"/>
        </w:rPr>
        <w:t>European Production Order</w:t>
      </w: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service providers should have the possibility to react in particular cases, including:</w:t>
      </w:r>
    </w:p>
    <w:p w:rsidR="001B65FF" w:rsidRDefault="003E4EF4">
      <w:pPr>
        <w:numPr>
          <w:ilvl w:val="1"/>
          <w:numId w:val="111"/>
        </w:numPr>
        <w:contextualSpacing/>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requesting legal review if the </w:t>
      </w:r>
      <w:r>
        <w:rPr>
          <w:rFonts w:ascii="Times New Roman" w:hAnsi="Times New Roman" w:cs="Times New Roman"/>
          <w:noProof/>
          <w:sz w:val="24"/>
        </w:rPr>
        <w:t>European Production Order</w:t>
      </w:r>
      <w:r>
        <w:rPr>
          <w:rFonts w:ascii="Times New Roman" w:hAnsi="Times New Roman" w:cs="Times New Roman"/>
          <w:noProof/>
          <w:sz w:val="24"/>
          <w:szCs w:val="24"/>
        </w:rPr>
        <w:t xml:space="preserve"> has not been issued or validated by a judicial authority; </w:t>
      </w:r>
    </w:p>
    <w:p w:rsidR="001B65FF" w:rsidRDefault="003E4EF4">
      <w:pPr>
        <w:numPr>
          <w:ilvl w:val="1"/>
          <w:numId w:val="111"/>
        </w:numPr>
        <w:contextualSpacing/>
        <w:jc w:val="both"/>
        <w:rPr>
          <w:rFonts w:ascii="Times New Roman" w:hAnsi="Times New Roman" w:cs="Times New Roman"/>
          <w:noProof/>
          <w:color w:val="000000"/>
          <w:sz w:val="24"/>
          <w:szCs w:val="24"/>
        </w:rPr>
      </w:pPr>
      <w:r>
        <w:rPr>
          <w:rFonts w:ascii="Times New Roman" w:hAnsi="Times New Roman" w:cs="Times New Roman"/>
          <w:noProof/>
          <w:sz w:val="24"/>
          <w:szCs w:val="24"/>
        </w:rPr>
        <w:t>requesting legal</w:t>
      </w:r>
      <w:r>
        <w:rPr>
          <w:rFonts w:ascii="Times New Roman" w:hAnsi="Times New Roman" w:cs="Times New Roman"/>
          <w:noProof/>
          <w:sz w:val="24"/>
          <w:szCs w:val="24"/>
        </w:rPr>
        <w:t xml:space="preserve"> review if the metadata requested is erroneously qualified as subscriber data;</w:t>
      </w:r>
    </w:p>
    <w:p w:rsidR="001B65FF" w:rsidRDefault="003E4EF4">
      <w:pPr>
        <w:numPr>
          <w:ilvl w:val="1"/>
          <w:numId w:val="111"/>
        </w:numPr>
        <w:contextualSpacing/>
        <w:jc w:val="both"/>
        <w:rPr>
          <w:rFonts w:ascii="Times New Roman" w:hAnsi="Times New Roman" w:cs="Times New Roman"/>
          <w:noProof/>
          <w:color w:val="000000"/>
          <w:sz w:val="24"/>
          <w:szCs w:val="24"/>
        </w:rPr>
      </w:pPr>
      <w:r>
        <w:rPr>
          <w:rFonts w:ascii="Times New Roman" w:hAnsi="Times New Roman" w:cs="Times New Roman"/>
          <w:noProof/>
          <w:sz w:val="24"/>
          <w:szCs w:val="24"/>
        </w:rPr>
        <w:t>asking for clarifications if the request is unclear</w:t>
      </w:r>
    </w:p>
    <w:p w:rsidR="001B65FF" w:rsidRDefault="003E4EF4">
      <w:pPr>
        <w:numPr>
          <w:ilvl w:val="1"/>
          <w:numId w:val="111"/>
        </w:numPr>
        <w:contextualSpacing/>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claiming any remedies set out in national law of the issuing state for a domestic case. </w:t>
      </w:r>
    </w:p>
    <w:p w:rsidR="001B65FF" w:rsidRDefault="003E4EF4">
      <w:pPr>
        <w:numPr>
          <w:ilvl w:val="0"/>
          <w:numId w:val="79"/>
        </w:numPr>
        <w:contextualSpacing/>
        <w:jc w:val="both"/>
        <w:rPr>
          <w:rFonts w:ascii="Times New Roman" w:hAnsi="Times New Roman" w:cs="Times New Roman"/>
          <w:noProof/>
          <w:color w:val="000000"/>
          <w:sz w:val="24"/>
        </w:rPr>
      </w:pPr>
      <w:r>
        <w:rPr>
          <w:rFonts w:ascii="Times New Roman" w:hAnsi="Times New Roman" w:cs="Times New Roman"/>
          <w:noProof/>
          <w:sz w:val="24"/>
          <w:szCs w:val="24"/>
        </w:rPr>
        <w:t>In cases of non-compliance, the (sep</w:t>
      </w:r>
      <w:r>
        <w:rPr>
          <w:rFonts w:ascii="Times New Roman" w:hAnsi="Times New Roman" w:cs="Times New Roman"/>
          <w:noProof/>
          <w:sz w:val="24"/>
          <w:szCs w:val="24"/>
        </w:rPr>
        <w:t xml:space="preserve">arate) decision to impose a fine should be subject to legal remedies, as it directly affects the service provider. </w:t>
      </w:r>
    </w:p>
    <w:p w:rsidR="001B65FF" w:rsidRDefault="003E4EF4">
      <w:pPr>
        <w:numPr>
          <w:ilvl w:val="0"/>
          <w:numId w:val="79"/>
        </w:numPr>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all these cases, legal remedies should be brought before the courts of the issuing State. Even though it would be easier for the service </w:t>
      </w:r>
      <w:r>
        <w:rPr>
          <w:rFonts w:ascii="Times New Roman" w:hAnsi="Times New Roman" w:cs="Times New Roman"/>
          <w:noProof/>
          <w:color w:val="000000"/>
          <w:sz w:val="24"/>
          <w:szCs w:val="24"/>
        </w:rPr>
        <w:t xml:space="preserve">provider to bring an action to its domestic courts, it should be the courts of the issuing State who should review decisions of issuing authorities in accordance with the applicable law of the issuing State. The courts in the State of the service provider </w:t>
      </w:r>
      <w:r>
        <w:rPr>
          <w:rFonts w:ascii="Times New Roman" w:hAnsi="Times New Roman" w:cs="Times New Roman"/>
          <w:noProof/>
          <w:color w:val="000000"/>
          <w:sz w:val="24"/>
          <w:szCs w:val="24"/>
        </w:rPr>
        <w:t>would not be well-placed to apply the criminal procedural law of another Member State to control the authorities of this other Member State. This could lead to conflicts between Member States, and would create a risk of diverging decisions.</w:t>
      </w:r>
    </w:p>
    <w:p w:rsidR="001B65FF" w:rsidRDefault="003E4EF4">
      <w:pPr>
        <w:numPr>
          <w:ilvl w:val="0"/>
          <w:numId w:val="78"/>
        </w:numPr>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b/>
          <w:noProof/>
          <w:sz w:val="24"/>
          <w:szCs w:val="24"/>
        </w:rPr>
        <w:t>third perso</w:t>
      </w:r>
      <w:r>
        <w:rPr>
          <w:rFonts w:ascii="Times New Roman" w:hAnsi="Times New Roman" w:cs="Times New Roman"/>
          <w:b/>
          <w:noProof/>
          <w:sz w:val="24"/>
          <w:szCs w:val="24"/>
        </w:rPr>
        <w:t>ns</w:t>
      </w:r>
      <w:r>
        <w:rPr>
          <w:rFonts w:ascii="Times New Roman" w:hAnsi="Times New Roman" w:cs="Times New Roman"/>
          <w:noProof/>
          <w:sz w:val="24"/>
          <w:szCs w:val="24"/>
        </w:rPr>
        <w:t xml:space="preserve"> (e.g. </w:t>
      </w:r>
      <w:r>
        <w:rPr>
          <w:rFonts w:ascii="Times New Roman" w:hAnsi="Times New Roman" w:cs="Times New Roman"/>
          <w:b/>
          <w:noProof/>
          <w:sz w:val="24"/>
          <w:szCs w:val="24"/>
        </w:rPr>
        <w:t>victims, witnesses</w:t>
      </w:r>
      <w:r>
        <w:rPr>
          <w:rFonts w:ascii="Times New Roman" w:hAnsi="Times New Roman" w:cs="Times New Roman"/>
          <w:noProof/>
          <w:sz w:val="24"/>
          <w:szCs w:val="24"/>
        </w:rPr>
        <w:t>):</w:t>
      </w:r>
    </w:p>
    <w:p w:rsidR="001B65FF" w:rsidRDefault="003E4EF4">
      <w:pPr>
        <w:numPr>
          <w:ilvl w:val="0"/>
          <w:numId w:val="79"/>
        </w:numPr>
        <w:contextualSpacing/>
        <w:rPr>
          <w:rFonts w:ascii="Times New Roman" w:hAnsi="Times New Roman" w:cs="Times New Roman"/>
          <w:noProof/>
          <w:sz w:val="24"/>
          <w:szCs w:val="24"/>
        </w:rPr>
      </w:pPr>
      <w:r>
        <w:rPr>
          <w:rFonts w:ascii="Times New Roman" w:hAnsi="Times New Roman" w:cs="Times New Roman"/>
          <w:noProof/>
          <w:sz w:val="24"/>
          <w:szCs w:val="24"/>
        </w:rPr>
        <w:t xml:space="preserve">In addition to suspects and service providers, third persons (e.g. </w:t>
      </w:r>
      <w:r>
        <w:rPr>
          <w:rFonts w:ascii="Times New Roman" w:hAnsi="Times New Roman" w:cs="Times New Roman"/>
          <w:b/>
          <w:noProof/>
          <w:sz w:val="24"/>
          <w:szCs w:val="24"/>
        </w:rPr>
        <w:t>victims or witnesses</w:t>
      </w:r>
      <w:r>
        <w:rPr>
          <w:rFonts w:ascii="Times New Roman" w:hAnsi="Times New Roman" w:cs="Times New Roman"/>
          <w:noProof/>
          <w:sz w:val="24"/>
          <w:szCs w:val="24"/>
        </w:rPr>
        <w:t xml:space="preserve">, whose data is requested) may be affected by the investigative measure. </w:t>
      </w:r>
    </w:p>
    <w:p w:rsidR="001B65FF" w:rsidRDefault="003E4EF4">
      <w:pPr>
        <w:numPr>
          <w:ilvl w:val="0"/>
          <w:numId w:val="79"/>
        </w:numPr>
        <w:contextualSpacing/>
        <w:jc w:val="both"/>
        <w:rPr>
          <w:rFonts w:ascii="Times New Roman" w:hAnsi="Times New Roman" w:cs="Times New Roman"/>
          <w:noProof/>
          <w:sz w:val="24"/>
          <w:szCs w:val="24"/>
        </w:rPr>
      </w:pPr>
      <w:r>
        <w:rPr>
          <w:rFonts w:ascii="Times New Roman" w:hAnsi="Times New Roman" w:cs="Times New Roman"/>
          <w:noProof/>
          <w:sz w:val="24"/>
          <w:szCs w:val="24"/>
        </w:rPr>
        <w:t>A legal remedy could also be considered for third persons whose d</w:t>
      </w:r>
      <w:r>
        <w:rPr>
          <w:rFonts w:ascii="Times New Roman" w:hAnsi="Times New Roman" w:cs="Times New Roman"/>
          <w:noProof/>
          <w:sz w:val="24"/>
          <w:szCs w:val="24"/>
        </w:rPr>
        <w:t>ata was sought and who do not have the opportunity to challenge the legality of the order in a subsequent trial against the accused person</w:t>
      </w:r>
      <w:r>
        <w:rPr>
          <w:rFonts w:ascii="Times New Roman" w:hAnsi="Times New Roman" w:cs="Times New Roman"/>
          <w:noProof/>
          <w:sz w:val="24"/>
          <w:szCs w:val="24"/>
          <w:vertAlign w:val="superscript"/>
        </w:rPr>
        <w:footnoteReference w:id="93"/>
      </w:r>
      <w:r>
        <w:rPr>
          <w:rFonts w:ascii="Times New Roman" w:hAnsi="Times New Roman" w:cs="Times New Roman"/>
          <w:noProof/>
          <w:sz w:val="24"/>
          <w:szCs w:val="24"/>
        </w:rPr>
        <w:t>.</w:t>
      </w:r>
    </w:p>
    <w:p w:rsidR="001B65FF" w:rsidRDefault="003E4EF4">
      <w:pPr>
        <w:numPr>
          <w:ilvl w:val="0"/>
          <w:numId w:val="79"/>
        </w:numPr>
        <w:contextualSpacing/>
        <w:jc w:val="both"/>
        <w:rPr>
          <w:rFonts w:ascii="Times New Roman" w:hAnsi="Times New Roman" w:cs="Times New Roman"/>
          <w:noProof/>
          <w:sz w:val="24"/>
          <w:szCs w:val="24"/>
        </w:rPr>
      </w:pPr>
      <w:r>
        <w:rPr>
          <w:rFonts w:ascii="Times New Roman" w:hAnsi="Times New Roman" w:cs="Times New Roman"/>
          <w:noProof/>
          <w:color w:val="000000"/>
          <w:sz w:val="24"/>
          <w:szCs w:val="24"/>
        </w:rPr>
        <w:t>The right of any data subject to lodge a complaint with a supervisory authority under the data protection rules mus</w:t>
      </w:r>
      <w:r>
        <w:rPr>
          <w:rFonts w:ascii="Times New Roman" w:hAnsi="Times New Roman" w:cs="Times New Roman"/>
          <w:noProof/>
          <w:color w:val="000000"/>
          <w:sz w:val="24"/>
          <w:szCs w:val="24"/>
        </w:rPr>
        <w:t>t also be respected</w:t>
      </w:r>
      <w:r>
        <w:rPr>
          <w:rFonts w:ascii="Times New Roman" w:hAnsi="Times New Roman" w:cs="Times New Roman"/>
          <w:noProof/>
          <w:color w:val="000000"/>
          <w:sz w:val="24"/>
          <w:szCs w:val="24"/>
          <w:vertAlign w:val="superscript"/>
        </w:rPr>
        <w:footnoteReference w:id="94"/>
      </w:r>
      <w:r>
        <w:rPr>
          <w:rFonts w:ascii="Times New Roman" w:hAnsi="Times New Roman" w:cs="Times New Roman"/>
          <w:noProof/>
          <w:color w:val="000000"/>
          <w:sz w:val="24"/>
          <w:szCs w:val="24"/>
        </w:rPr>
        <w:t>.</w:t>
      </w:r>
    </w:p>
    <w:p w:rsidR="001B65FF" w:rsidRDefault="003E4EF4">
      <w:pPr>
        <w:numPr>
          <w:ilvl w:val="0"/>
          <w:numId w:val="74"/>
        </w:numPr>
        <w:contextualSpacing/>
        <w:jc w:val="both"/>
        <w:rPr>
          <w:rFonts w:ascii="Times New Roman" w:hAnsi="Times New Roman" w:cs="Times New Roman"/>
          <w:b/>
          <w:noProof/>
          <w:sz w:val="24"/>
          <w:szCs w:val="24"/>
        </w:rPr>
      </w:pPr>
      <w:r>
        <w:rPr>
          <w:rFonts w:ascii="Times New Roman" w:hAnsi="Times New Roman" w:cs="Times New Roman"/>
          <w:b/>
          <w:noProof/>
          <w:sz w:val="24"/>
          <w:szCs w:val="24"/>
        </w:rPr>
        <w:t>Privileges and immunities</w:t>
      </w:r>
      <w:r>
        <w:rPr>
          <w:rFonts w:ascii="Times New Roman" w:hAnsi="Times New Roman" w:cs="Times New Roman"/>
          <w:noProof/>
          <w:sz w:val="24"/>
          <w:szCs w:val="24"/>
        </w:rPr>
        <w:t>:</w:t>
      </w:r>
    </w:p>
    <w:p w:rsidR="001B65FF" w:rsidRDefault="003E4EF4">
      <w:pPr>
        <w:numPr>
          <w:ilvl w:val="0"/>
          <w:numId w:val="80"/>
        </w:numPr>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Judicial cooperation in criminal matters in the Union has so far relied on mutual recognition involving two authorities, i.e. a judicial decision taken in one Member State is recognised and executed in another Member State. Since the entry into force of th</w:t>
      </w:r>
      <w:r>
        <w:rPr>
          <w:rFonts w:ascii="Times New Roman" w:hAnsi="Times New Roman" w:cs="Times New Roman"/>
          <w:noProof/>
          <w:sz w:val="24"/>
          <w:szCs w:val="24"/>
        </w:rPr>
        <w:t xml:space="preserve">e EIO this also applies to the access to evidence. </w:t>
      </w:r>
    </w:p>
    <w:p w:rsidR="001B65FF" w:rsidRDefault="003E4EF4">
      <w:pPr>
        <w:numPr>
          <w:ilvl w:val="0"/>
          <w:numId w:val="80"/>
        </w:numPr>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The EIO contains a limited set of grounds for non-recognition or non-execution (Article 11). These include cases in which there is an immunity or privilege under the law of the country receiving the EIO (</w:t>
      </w:r>
      <w:r>
        <w:rPr>
          <w:rFonts w:ascii="Times New Roman" w:hAnsi="Times New Roman" w:cs="Times New Roman"/>
          <w:noProof/>
          <w:sz w:val="24"/>
          <w:szCs w:val="24"/>
        </w:rPr>
        <w:t>e.g. for certain professions such as medical and legal) and absence of dual criminality. Because of their importance,</w:t>
      </w:r>
      <w:r>
        <w:rPr>
          <w:rStyle w:val="FootnoteReference"/>
          <w:rFonts w:ascii="Times New Roman" w:hAnsi="Times New Roman" w:cs="Times New Roman"/>
          <w:noProof/>
          <w:sz w:val="24"/>
          <w:szCs w:val="24"/>
        </w:rPr>
        <w:footnoteReference w:id="95"/>
      </w:r>
      <w:r>
        <w:rPr>
          <w:rFonts w:ascii="Times New Roman" w:hAnsi="Times New Roman" w:cs="Times New Roman"/>
          <w:noProof/>
          <w:sz w:val="24"/>
          <w:szCs w:val="24"/>
        </w:rPr>
        <w:t xml:space="preserve"> the </w:t>
      </w:r>
      <w:r>
        <w:rPr>
          <w:rFonts w:ascii="Times New Roman" w:hAnsi="Times New Roman" w:cs="Times New Roman"/>
          <w:noProof/>
          <w:sz w:val="24"/>
        </w:rPr>
        <w:t>European Production Order</w:t>
      </w:r>
      <w:r>
        <w:rPr>
          <w:rFonts w:ascii="Times New Roman" w:hAnsi="Times New Roman" w:cs="Times New Roman"/>
          <w:noProof/>
          <w:sz w:val="24"/>
          <w:szCs w:val="24"/>
        </w:rPr>
        <w:t xml:space="preserve"> should include the possibility for some of these grounds for non-recognition or non-execution to be taken i</w:t>
      </w:r>
      <w:r>
        <w:rPr>
          <w:rFonts w:ascii="Times New Roman" w:hAnsi="Times New Roman" w:cs="Times New Roman"/>
          <w:noProof/>
          <w:sz w:val="24"/>
          <w:szCs w:val="24"/>
        </w:rPr>
        <w:t>nto account in the issuing State during the trial, e.g. if raised by the accused person</w:t>
      </w:r>
      <w:r>
        <w:rPr>
          <w:rFonts w:ascii="Times New Roman" w:hAnsi="Times New Roman" w:cs="Times New Roman"/>
          <w:noProof/>
          <w:sz w:val="24"/>
          <w:szCs w:val="24"/>
          <w:vertAlign w:val="superscript"/>
        </w:rPr>
        <w:footnoteReference w:id="96"/>
      </w:r>
      <w:r>
        <w:rPr>
          <w:rFonts w:ascii="Times New Roman" w:hAnsi="Times New Roman" w:cs="Times New Roman"/>
          <w:noProof/>
          <w:sz w:val="24"/>
          <w:szCs w:val="24"/>
        </w:rPr>
        <w:t>. In addition, the issuing judicial authority should be obliged to carefully assess a number of criteria before issuing the order, e.g. that persons benefiting from imm</w:t>
      </w:r>
      <w:r>
        <w:rPr>
          <w:rFonts w:ascii="Times New Roman" w:hAnsi="Times New Roman" w:cs="Times New Roman"/>
          <w:noProof/>
          <w:sz w:val="24"/>
          <w:szCs w:val="24"/>
        </w:rPr>
        <w:t>unities are not affected by the order.</w:t>
      </w:r>
    </w:p>
    <w:p w:rsidR="001B65FF" w:rsidRDefault="003E4EF4">
      <w:pPr>
        <w:numPr>
          <w:ilvl w:val="0"/>
          <w:numId w:val="80"/>
        </w:numPr>
        <w:spacing w:after="0"/>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Subscriber data should be left outside the scope of these grounds for non-recognition or non-execution due to its lesser sensitivity, and because this is regularly the first step in identifying a person. This is alrea</w:t>
      </w:r>
      <w:r>
        <w:rPr>
          <w:rFonts w:ascii="Times New Roman" w:hAnsi="Times New Roman" w:cs="Times New Roman"/>
          <w:noProof/>
          <w:sz w:val="24"/>
          <w:szCs w:val="24"/>
        </w:rPr>
        <w:t>dy recognised to some extent in the EIO, where double criminality cannot be invoked as ground for refusal for subscriber data (Articles 11(2) and 10(2)(e)).</w:t>
      </w:r>
    </w:p>
    <w:p w:rsidR="001B65FF" w:rsidRDefault="001B65FF">
      <w:pPr>
        <w:spacing w:after="0"/>
        <w:jc w:val="both"/>
        <w:rPr>
          <w:rFonts w:ascii="Times New Roman" w:hAnsi="Times New Roman" w:cs="Times New Roman"/>
          <w:noProof/>
          <w:sz w:val="24"/>
          <w:highlight w:val="yellow"/>
          <w:u w:val="single"/>
        </w:rPr>
      </w:pPr>
    </w:p>
    <w:p w:rsidR="001B65FF" w:rsidRDefault="003E4EF4">
      <w:pPr>
        <w:pStyle w:val="Heading5"/>
        <w:spacing w:before="0"/>
        <w:rPr>
          <w:rFonts w:ascii="Times New Roman" w:eastAsia="Times New Roman" w:hAnsi="Times New Roman" w:cs="Times New Roman"/>
          <w:b w:val="0"/>
          <w:noProof/>
          <w:color w:val="auto"/>
          <w:sz w:val="24"/>
          <w:u w:val="single"/>
        </w:rPr>
      </w:pPr>
      <w:r>
        <w:rPr>
          <w:rFonts w:ascii="Times New Roman" w:eastAsia="Times New Roman" w:hAnsi="Times New Roman" w:cs="Times New Roman"/>
          <w:b w:val="0"/>
          <w:noProof/>
          <w:color w:val="auto"/>
          <w:sz w:val="24"/>
          <w:u w:val="single"/>
        </w:rPr>
        <w:t>Measure 5*: European Production Request (EPR)</w:t>
      </w:r>
    </w:p>
    <w:p w:rsidR="001B65FF" w:rsidRDefault="003E4EF4">
      <w:pPr>
        <w:numPr>
          <w:ilvl w:val="0"/>
          <w:numId w:val="87"/>
        </w:numPr>
        <w:spacing w:before="240"/>
        <w:contextualSpacing/>
        <w:jc w:val="both"/>
        <w:rPr>
          <w:rFonts w:ascii="Times New Roman" w:hAnsi="Times New Roman" w:cs="Times New Roman"/>
          <w:b/>
          <w:noProof/>
          <w:sz w:val="24"/>
        </w:rPr>
      </w:pPr>
      <w:r>
        <w:rPr>
          <w:rFonts w:ascii="Times New Roman" w:hAnsi="Times New Roman" w:cs="Times New Roman"/>
          <w:b/>
          <w:noProof/>
          <w:sz w:val="24"/>
        </w:rPr>
        <w:t>Overview:</w:t>
      </w:r>
    </w:p>
    <w:p w:rsidR="001B65FF" w:rsidRDefault="003E4EF4">
      <w:pPr>
        <w:numPr>
          <w:ilvl w:val="0"/>
          <w:numId w:val="85"/>
        </w:numPr>
        <w:ind w:left="720"/>
        <w:contextualSpacing/>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eastAsia="Times New Roman" w:hAnsi="Times New Roman" w:cs="Times New Roman"/>
          <w:noProof/>
          <w:sz w:val="24"/>
        </w:rPr>
        <w:t>European Production Request</w:t>
      </w:r>
      <w:r>
        <w:rPr>
          <w:rFonts w:ascii="Times New Roman" w:hAnsi="Times New Roman" w:cs="Times New Roman"/>
          <w:noProof/>
          <w:sz w:val="24"/>
        </w:rPr>
        <w:t xml:space="preserve"> would provide, through the production request, a harmonised legal basis across Member States to recognise the legality of the current practices of direct cooperation and to further enable such cooperation between Member State by removing existing hurdles </w:t>
      </w:r>
      <w:r>
        <w:rPr>
          <w:rFonts w:ascii="Times New Roman" w:hAnsi="Times New Roman" w:cs="Times New Roman"/>
          <w:noProof/>
          <w:sz w:val="24"/>
        </w:rPr>
        <w:t xml:space="preserve">and prohibitions. It would provide judicial authorities with the competence to make </w:t>
      </w:r>
      <w:r>
        <w:rPr>
          <w:rFonts w:ascii="Times New Roman" w:hAnsi="Times New Roman"/>
          <w:noProof/>
          <w:sz w:val="24"/>
        </w:rPr>
        <w:t>non-binding</w:t>
      </w:r>
      <w:r>
        <w:rPr>
          <w:rFonts w:ascii="Times New Roman" w:hAnsi="Times New Roman" w:cs="Times New Roman"/>
          <w:noProof/>
          <w:sz w:val="24"/>
        </w:rPr>
        <w:t xml:space="preserve"> requests for cross-border access to electronic evidence to service providers located in another Member State or outside of the EU, and for these service provide</w:t>
      </w:r>
      <w:r>
        <w:rPr>
          <w:rFonts w:ascii="Times New Roman" w:hAnsi="Times New Roman" w:cs="Times New Roman"/>
          <w:noProof/>
          <w:sz w:val="24"/>
        </w:rPr>
        <w:t>rs to reply to such requests, without passing through local law enforcement or judicial authorities. The main added value of production requests is that they would provide legal certainty for a process that is currently not clearly regulated in Member Stat</w:t>
      </w:r>
      <w:r>
        <w:rPr>
          <w:rFonts w:ascii="Times New Roman" w:hAnsi="Times New Roman" w:cs="Times New Roman"/>
          <w:noProof/>
          <w:sz w:val="24"/>
        </w:rPr>
        <w:t>es' laws. This is advantageous from a fundamental rights perspective and adds clarity to a non-transparent system</w:t>
      </w:r>
    </w:p>
    <w:p w:rsidR="001B65FF" w:rsidRDefault="003E4EF4">
      <w:pPr>
        <w:numPr>
          <w:ilvl w:val="0"/>
          <w:numId w:val="86"/>
        </w:numPr>
        <w:contextualSpacing/>
        <w:jc w:val="both"/>
        <w:rPr>
          <w:rFonts w:ascii="Times New Roman" w:hAnsi="Times New Roman" w:cs="Times New Roman"/>
          <w:b/>
          <w:noProof/>
          <w:sz w:val="24"/>
        </w:rPr>
      </w:pPr>
      <w:r>
        <w:rPr>
          <w:rFonts w:ascii="Times New Roman" w:hAnsi="Times New Roman" w:cs="Times New Roman"/>
          <w:b/>
          <w:noProof/>
          <w:sz w:val="24"/>
        </w:rPr>
        <w:t>Sanctioning mechanism :</w:t>
      </w:r>
    </w:p>
    <w:p w:rsidR="001B65FF" w:rsidRDefault="003E4EF4">
      <w:pPr>
        <w:numPr>
          <w:ilvl w:val="0"/>
          <w:numId w:val="85"/>
        </w:numPr>
        <w:ind w:left="720"/>
        <w:contextualSpacing/>
        <w:jc w:val="both"/>
        <w:rPr>
          <w:rFonts w:ascii="Times New Roman" w:hAnsi="Times New Roman" w:cs="Times New Roman"/>
          <w:noProof/>
          <w:sz w:val="24"/>
        </w:rPr>
      </w:pPr>
      <w:r>
        <w:rPr>
          <w:rFonts w:ascii="Times New Roman" w:hAnsi="Times New Roman" w:cs="Times New Roman"/>
          <w:noProof/>
          <w:sz w:val="24"/>
        </w:rPr>
        <w:t xml:space="preserve">There would be no sanctioning mechanism for the </w:t>
      </w:r>
      <w:r>
        <w:rPr>
          <w:rFonts w:ascii="Times New Roman" w:eastAsia="Times New Roman" w:hAnsi="Times New Roman" w:cs="Times New Roman"/>
          <w:noProof/>
          <w:sz w:val="24"/>
        </w:rPr>
        <w:t>European Production Request</w:t>
      </w:r>
      <w:r>
        <w:rPr>
          <w:rFonts w:ascii="Times New Roman" w:hAnsi="Times New Roman" w:cs="Times New Roman"/>
          <w:noProof/>
          <w:sz w:val="24"/>
        </w:rPr>
        <w:t xml:space="preserve"> could not be executed in the country of th</w:t>
      </w:r>
      <w:r>
        <w:rPr>
          <w:rFonts w:ascii="Times New Roman" w:hAnsi="Times New Roman" w:cs="Times New Roman"/>
          <w:noProof/>
          <w:sz w:val="24"/>
        </w:rPr>
        <w:t>e service provider.</w:t>
      </w:r>
    </w:p>
    <w:p w:rsidR="001B65FF" w:rsidRDefault="003E4EF4">
      <w:pPr>
        <w:numPr>
          <w:ilvl w:val="0"/>
          <w:numId w:val="86"/>
        </w:numPr>
        <w:contextualSpacing/>
        <w:jc w:val="both"/>
        <w:rPr>
          <w:rFonts w:ascii="Times New Roman" w:hAnsi="Times New Roman" w:cs="Times New Roman"/>
          <w:b/>
          <w:noProof/>
          <w:sz w:val="24"/>
        </w:rPr>
      </w:pPr>
      <w:r>
        <w:rPr>
          <w:rFonts w:ascii="Times New Roman" w:hAnsi="Times New Roman" w:cs="Times New Roman"/>
          <w:b/>
          <w:noProof/>
          <w:sz w:val="24"/>
        </w:rPr>
        <w:t>Safeguards:</w:t>
      </w:r>
    </w:p>
    <w:p w:rsidR="001B65FF" w:rsidRDefault="003E4EF4">
      <w:pPr>
        <w:ind w:left="360"/>
        <w:contextualSpacing/>
        <w:jc w:val="both"/>
        <w:rPr>
          <w:rFonts w:ascii="Times New Roman" w:hAnsi="Times New Roman" w:cs="Times New Roman"/>
          <w:noProof/>
          <w:sz w:val="24"/>
        </w:rPr>
      </w:pPr>
      <w:r>
        <w:rPr>
          <w:rFonts w:ascii="Times New Roman" w:hAnsi="Times New Roman" w:cs="Times New Roman"/>
          <w:noProof/>
          <w:sz w:val="24"/>
        </w:rPr>
        <w:t>The same safeguards as for the European Production Order would apply, with the exception of:</w:t>
      </w:r>
    </w:p>
    <w:p w:rsidR="001B65FF" w:rsidRDefault="003E4EF4">
      <w:pPr>
        <w:numPr>
          <w:ilvl w:val="0"/>
          <w:numId w:val="85"/>
        </w:numPr>
        <w:contextualSpacing/>
        <w:jc w:val="both"/>
        <w:rPr>
          <w:rFonts w:ascii="Times New Roman" w:hAnsi="Times New Roman" w:cs="Times New Roman"/>
          <w:noProof/>
          <w:sz w:val="24"/>
        </w:rPr>
      </w:pPr>
      <w:r>
        <w:rPr>
          <w:rFonts w:ascii="Times New Roman" w:hAnsi="Times New Roman" w:cs="Times New Roman"/>
          <w:noProof/>
          <w:sz w:val="24"/>
        </w:rPr>
        <w:t>the immunities and privileges which should not apply to a non-executable instrument;</w:t>
      </w:r>
    </w:p>
    <w:p w:rsidR="001B65FF" w:rsidRDefault="003E4EF4">
      <w:pPr>
        <w:numPr>
          <w:ilvl w:val="0"/>
          <w:numId w:val="85"/>
        </w:numPr>
        <w:contextualSpacing/>
        <w:jc w:val="both"/>
        <w:rPr>
          <w:rFonts w:ascii="Times New Roman" w:hAnsi="Times New Roman" w:cs="Times New Roman"/>
          <w:noProof/>
          <w:sz w:val="24"/>
        </w:rPr>
      </w:pPr>
      <w:r>
        <w:rPr>
          <w:rFonts w:ascii="Times New Roman" w:hAnsi="Times New Roman" w:cs="Times New Roman"/>
          <w:noProof/>
          <w:sz w:val="24"/>
        </w:rPr>
        <w:t>the conflicts of laws clause, as no specific r</w:t>
      </w:r>
      <w:r>
        <w:rPr>
          <w:rFonts w:ascii="Times New Roman" w:hAnsi="Times New Roman" w:cs="Times New Roman"/>
          <w:noProof/>
          <w:sz w:val="24"/>
        </w:rPr>
        <w:t>eview procedure is required if service providers can simply choose not to comply, forcing authorities to recur to traditional tools for formal judicial cooperation.</w:t>
      </w:r>
    </w:p>
    <w:p w:rsidR="001B65FF" w:rsidRDefault="003E4EF4">
      <w:pPr>
        <w:contextualSpacing/>
        <w:jc w:val="both"/>
        <w:rPr>
          <w:rFonts w:ascii="Times New Roman" w:hAnsi="Times New Roman" w:cs="Times New Roman"/>
          <w:noProof/>
          <w:sz w:val="24"/>
        </w:rPr>
      </w:pPr>
      <w:r>
        <w:rPr>
          <w:rFonts w:ascii="Times New Roman" w:hAnsi="Times New Roman" w:cs="Times New Roman"/>
          <w:noProof/>
          <w:sz w:val="24"/>
        </w:rPr>
        <w:t>In addition, the fact that the request cannot be executed creates a further safeguard in th</w:t>
      </w:r>
      <w:r>
        <w:rPr>
          <w:rFonts w:ascii="Times New Roman" w:hAnsi="Times New Roman" w:cs="Times New Roman"/>
          <w:noProof/>
          <w:sz w:val="24"/>
        </w:rPr>
        <w:t>e form of the possibility for the service provider not to comply in case of doubt as to the legitimacy of the request. While this assessment should not be outsourced to the service provider, this could be a de facto consequence of the non-enforceable natur</w:t>
      </w:r>
      <w:r>
        <w:rPr>
          <w:rFonts w:ascii="Times New Roman" w:hAnsi="Times New Roman" w:cs="Times New Roman"/>
          <w:noProof/>
          <w:sz w:val="24"/>
        </w:rPr>
        <w:t xml:space="preserve">e of the </w:t>
      </w:r>
      <w:r>
        <w:rPr>
          <w:rFonts w:ascii="Times New Roman" w:eastAsia="Times New Roman" w:hAnsi="Times New Roman" w:cs="Times New Roman"/>
          <w:noProof/>
          <w:sz w:val="24"/>
        </w:rPr>
        <w:t>European Production Request</w:t>
      </w:r>
      <w:r>
        <w:rPr>
          <w:rFonts w:ascii="Times New Roman" w:hAnsi="Times New Roman" w:cs="Times New Roman"/>
          <w:noProof/>
          <w:sz w:val="24"/>
        </w:rPr>
        <w:t xml:space="preserve">. </w:t>
      </w:r>
    </w:p>
    <w:p w:rsidR="001B65FF" w:rsidRDefault="003E4EF4">
      <w:pPr>
        <w:pStyle w:val="Heading5"/>
        <w:spacing w:before="0"/>
        <w:rPr>
          <w:rFonts w:ascii="Times New Roman" w:eastAsia="Times New Roman" w:hAnsi="Times New Roman" w:cs="Times New Roman"/>
          <w:b w:val="0"/>
          <w:noProof/>
          <w:color w:val="auto"/>
          <w:sz w:val="24"/>
          <w:u w:val="single"/>
        </w:rPr>
      </w:pPr>
      <w:r>
        <w:rPr>
          <w:rFonts w:ascii="Times New Roman" w:eastAsia="Times New Roman" w:hAnsi="Times New Roman" w:cs="Times New Roman"/>
          <w:b w:val="0"/>
          <w:noProof/>
          <w:color w:val="auto"/>
          <w:sz w:val="24"/>
          <w:u w:val="single"/>
        </w:rPr>
        <w:t>Measure 5**: European Production Request and Order (EPRO)</w:t>
      </w:r>
    </w:p>
    <w:p w:rsidR="001B65FF" w:rsidRDefault="003E4EF4">
      <w:pPr>
        <w:numPr>
          <w:ilvl w:val="0"/>
          <w:numId w:val="87"/>
        </w:numPr>
        <w:spacing w:before="240"/>
        <w:contextualSpacing/>
        <w:jc w:val="both"/>
        <w:rPr>
          <w:rFonts w:ascii="Times New Roman" w:hAnsi="Times New Roman" w:cs="Times New Roman"/>
          <w:b/>
          <w:noProof/>
          <w:sz w:val="24"/>
        </w:rPr>
      </w:pPr>
      <w:r>
        <w:rPr>
          <w:rFonts w:ascii="Times New Roman" w:hAnsi="Times New Roman" w:cs="Times New Roman"/>
          <w:b/>
          <w:noProof/>
          <w:sz w:val="24"/>
        </w:rPr>
        <w:t>Overview:</w:t>
      </w:r>
    </w:p>
    <w:p w:rsidR="001B65FF" w:rsidRDefault="003E4EF4">
      <w:pPr>
        <w:numPr>
          <w:ilvl w:val="0"/>
          <w:numId w:val="82"/>
        </w:numPr>
        <w:contextualSpacing/>
        <w:jc w:val="both"/>
        <w:rPr>
          <w:rFonts w:ascii="Times New Roman" w:hAnsi="Times New Roman" w:cs="Times New Roman"/>
          <w:noProof/>
          <w:sz w:val="24"/>
        </w:rPr>
      </w:pPr>
      <w:r>
        <w:rPr>
          <w:rFonts w:ascii="Times New Roman" w:hAnsi="Times New Roman" w:cs="Times New Roman"/>
          <w:noProof/>
          <w:sz w:val="24"/>
        </w:rPr>
        <w:t xml:space="preserve">This measure would take the form of a production </w:t>
      </w:r>
      <w:r>
        <w:rPr>
          <w:rFonts w:ascii="Times New Roman" w:hAnsi="Times New Roman" w:cs="Times New Roman"/>
          <w:b/>
          <w:noProof/>
          <w:sz w:val="24"/>
        </w:rPr>
        <w:t xml:space="preserve">request </w:t>
      </w:r>
      <w:r>
        <w:rPr>
          <w:rFonts w:ascii="Times New Roman" w:hAnsi="Times New Roman" w:cs="Times New Roman"/>
          <w:noProof/>
          <w:sz w:val="24"/>
        </w:rPr>
        <w:t xml:space="preserve">for </w:t>
      </w:r>
      <w:r>
        <w:rPr>
          <w:rFonts w:ascii="Times New Roman" w:hAnsi="Times New Roman" w:cs="Times New Roman"/>
          <w:b/>
          <w:noProof/>
          <w:sz w:val="24"/>
        </w:rPr>
        <w:t xml:space="preserve">content </w:t>
      </w:r>
      <w:r>
        <w:rPr>
          <w:rFonts w:ascii="Times New Roman" w:hAnsi="Times New Roman" w:cs="Times New Roman"/>
          <w:noProof/>
          <w:sz w:val="24"/>
        </w:rPr>
        <w:t xml:space="preserve">data. The </w:t>
      </w:r>
      <w:r>
        <w:rPr>
          <w:rFonts w:ascii="Times New Roman" w:eastAsia="Times New Roman" w:hAnsi="Times New Roman" w:cs="Times New Roman"/>
          <w:noProof/>
          <w:sz w:val="24"/>
        </w:rPr>
        <w:t>European Production Request and Order</w:t>
      </w:r>
      <w:r>
        <w:rPr>
          <w:rFonts w:ascii="Times New Roman" w:hAnsi="Times New Roman" w:cs="Times New Roman"/>
          <w:noProof/>
          <w:sz w:val="24"/>
        </w:rPr>
        <w:t xml:space="preserve"> would provide judicial authoriti</w:t>
      </w:r>
      <w:r>
        <w:rPr>
          <w:rFonts w:ascii="Times New Roman" w:hAnsi="Times New Roman" w:cs="Times New Roman"/>
          <w:noProof/>
          <w:sz w:val="24"/>
        </w:rPr>
        <w:t xml:space="preserve">es with the competence to make </w:t>
      </w:r>
      <w:r>
        <w:rPr>
          <w:rFonts w:ascii="Times New Roman" w:hAnsi="Times New Roman" w:cs="Times New Roman"/>
          <w:b/>
          <w:noProof/>
          <w:sz w:val="24"/>
        </w:rPr>
        <w:t>non-binding</w:t>
      </w:r>
      <w:r>
        <w:rPr>
          <w:rFonts w:ascii="Times New Roman" w:hAnsi="Times New Roman" w:cs="Times New Roman"/>
          <w:noProof/>
          <w:sz w:val="24"/>
        </w:rPr>
        <w:t xml:space="preserve"> requests for cross-border access to </w:t>
      </w:r>
      <w:r>
        <w:rPr>
          <w:rFonts w:ascii="Times New Roman" w:hAnsi="Times New Roman" w:cs="Times New Roman"/>
          <w:b/>
          <w:noProof/>
          <w:sz w:val="24"/>
        </w:rPr>
        <w:t>content</w:t>
      </w:r>
      <w:r>
        <w:rPr>
          <w:rFonts w:ascii="Times New Roman" w:hAnsi="Times New Roman" w:cs="Times New Roman"/>
          <w:noProof/>
          <w:sz w:val="24"/>
        </w:rPr>
        <w:t xml:space="preserve"> data to service providers located in another Member State or outside of the EU, and for these service providers to reply to such requests, without necessarily passing th</w:t>
      </w:r>
      <w:r>
        <w:rPr>
          <w:rFonts w:ascii="Times New Roman" w:hAnsi="Times New Roman" w:cs="Times New Roman"/>
          <w:noProof/>
          <w:sz w:val="24"/>
        </w:rPr>
        <w:t>rough local law enforcement or judicial authorities.</w:t>
      </w:r>
    </w:p>
    <w:p w:rsidR="001B65FF" w:rsidRDefault="003E4EF4">
      <w:pPr>
        <w:numPr>
          <w:ilvl w:val="0"/>
          <w:numId w:val="82"/>
        </w:numPr>
        <w:contextualSpacing/>
        <w:jc w:val="both"/>
        <w:rPr>
          <w:rFonts w:ascii="Times New Roman" w:hAnsi="Times New Roman" w:cs="Times New Roman"/>
          <w:noProof/>
          <w:sz w:val="24"/>
        </w:rPr>
      </w:pPr>
      <w:r>
        <w:rPr>
          <w:rFonts w:ascii="Times New Roman" w:hAnsi="Times New Roman" w:cs="Times New Roman"/>
          <w:noProof/>
          <w:sz w:val="24"/>
        </w:rPr>
        <w:t xml:space="preserve">For </w:t>
      </w:r>
      <w:r>
        <w:rPr>
          <w:rFonts w:ascii="Times New Roman" w:hAnsi="Times New Roman" w:cs="Times New Roman"/>
          <w:b/>
          <w:noProof/>
          <w:sz w:val="24"/>
        </w:rPr>
        <w:t xml:space="preserve">non-content </w:t>
      </w:r>
      <w:r>
        <w:rPr>
          <w:rFonts w:ascii="Times New Roman" w:hAnsi="Times New Roman" w:cs="Times New Roman"/>
          <w:noProof/>
          <w:sz w:val="24"/>
        </w:rPr>
        <w:t xml:space="preserve">data, it would be the same as the European Production Order. The </w:t>
      </w:r>
      <w:r>
        <w:rPr>
          <w:rFonts w:ascii="Times New Roman" w:eastAsia="Times New Roman" w:hAnsi="Times New Roman" w:cs="Times New Roman"/>
          <w:noProof/>
          <w:sz w:val="24"/>
        </w:rPr>
        <w:t>European Production Request and Order</w:t>
      </w:r>
      <w:r>
        <w:rPr>
          <w:rFonts w:ascii="Times New Roman" w:hAnsi="Times New Roman" w:cs="Times New Roman"/>
          <w:noProof/>
          <w:sz w:val="24"/>
        </w:rPr>
        <w:t xml:space="preserve"> would introduce a harmonised legal basis across Member States</w:t>
      </w:r>
      <w:r>
        <w:rPr>
          <w:rFonts w:ascii="Times New Roman" w:hAnsi="Times New Roman" w:cs="Times New Roman"/>
          <w:b/>
          <w:noProof/>
          <w:sz w:val="24"/>
        </w:rPr>
        <w:t xml:space="preserve"> </w:t>
      </w:r>
      <w:r>
        <w:rPr>
          <w:rFonts w:ascii="Times New Roman" w:hAnsi="Times New Roman" w:cs="Times New Roman"/>
          <w:noProof/>
          <w:sz w:val="24"/>
        </w:rPr>
        <w:t>for issuing</w:t>
      </w:r>
      <w:r>
        <w:rPr>
          <w:rFonts w:ascii="Times New Roman" w:hAnsi="Times New Roman" w:cs="Times New Roman"/>
          <w:b/>
          <w:noProof/>
          <w:sz w:val="24"/>
        </w:rPr>
        <w:t xml:space="preserve"> production</w:t>
      </w:r>
      <w:r>
        <w:rPr>
          <w:rFonts w:ascii="Times New Roman" w:hAnsi="Times New Roman" w:cs="Times New Roman"/>
          <w:b/>
          <w:noProof/>
          <w:sz w:val="24"/>
        </w:rPr>
        <w:t xml:space="preserve"> orders</w:t>
      </w:r>
      <w:r>
        <w:rPr>
          <w:rFonts w:ascii="Times New Roman" w:hAnsi="Times New Roman" w:cs="Times New Roman"/>
          <w:noProof/>
          <w:sz w:val="24"/>
        </w:rPr>
        <w:t xml:space="preserve"> for </w:t>
      </w:r>
      <w:r>
        <w:rPr>
          <w:rFonts w:ascii="Times New Roman" w:hAnsi="Times New Roman" w:cs="Times New Roman"/>
          <w:b/>
          <w:noProof/>
          <w:sz w:val="24"/>
        </w:rPr>
        <w:t xml:space="preserve">non-content </w:t>
      </w:r>
      <w:r>
        <w:rPr>
          <w:rFonts w:ascii="Times New Roman" w:hAnsi="Times New Roman" w:cs="Times New Roman"/>
          <w:noProof/>
          <w:sz w:val="24"/>
        </w:rPr>
        <w:t>data, taking one step further the current practices of direct cooperation for non-content data on a voluntary basis.</w:t>
      </w:r>
    </w:p>
    <w:p w:rsidR="001B65FF" w:rsidRDefault="001B65FF">
      <w:pPr>
        <w:ind w:left="720"/>
        <w:contextualSpacing/>
        <w:jc w:val="both"/>
        <w:rPr>
          <w:rFonts w:ascii="Times New Roman" w:hAnsi="Times New Roman" w:cs="Times New Roman"/>
          <w:noProof/>
          <w:sz w:val="24"/>
        </w:rPr>
      </w:pPr>
    </w:p>
    <w:p w:rsidR="001B65FF" w:rsidRDefault="003E4EF4">
      <w:pPr>
        <w:numPr>
          <w:ilvl w:val="0"/>
          <w:numId w:val="87"/>
        </w:numPr>
        <w:contextualSpacing/>
        <w:jc w:val="both"/>
        <w:rPr>
          <w:rFonts w:ascii="Times New Roman" w:hAnsi="Times New Roman" w:cs="Times New Roman"/>
          <w:b/>
          <w:noProof/>
          <w:sz w:val="24"/>
        </w:rPr>
      </w:pPr>
      <w:r>
        <w:rPr>
          <w:rFonts w:ascii="Times New Roman" w:hAnsi="Times New Roman" w:cs="Times New Roman"/>
          <w:b/>
          <w:noProof/>
          <w:sz w:val="24"/>
        </w:rPr>
        <w:t>Sanctioning mechanism:</w:t>
      </w:r>
    </w:p>
    <w:p w:rsidR="001B65FF" w:rsidRDefault="003E4EF4">
      <w:pPr>
        <w:numPr>
          <w:ilvl w:val="0"/>
          <w:numId w:val="83"/>
        </w:numPr>
        <w:contextualSpacing/>
        <w:jc w:val="both"/>
        <w:rPr>
          <w:rFonts w:ascii="Times New Roman" w:hAnsi="Times New Roman" w:cs="Times New Roman"/>
          <w:noProof/>
          <w:sz w:val="24"/>
        </w:rPr>
      </w:pPr>
      <w:r>
        <w:rPr>
          <w:rFonts w:ascii="Times New Roman" w:hAnsi="Times New Roman" w:cs="Times New Roman"/>
          <w:noProof/>
          <w:sz w:val="24"/>
        </w:rPr>
        <w:t xml:space="preserve">For </w:t>
      </w:r>
      <w:r>
        <w:rPr>
          <w:rFonts w:ascii="Times New Roman" w:hAnsi="Times New Roman" w:cs="Times New Roman"/>
          <w:b/>
          <w:noProof/>
          <w:sz w:val="24"/>
        </w:rPr>
        <w:t>content</w:t>
      </w:r>
      <w:r>
        <w:rPr>
          <w:rFonts w:ascii="Times New Roman" w:hAnsi="Times New Roman" w:cs="Times New Roman"/>
          <w:noProof/>
          <w:sz w:val="24"/>
        </w:rPr>
        <w:t xml:space="preserve"> data, there would be no sanctioning mechanism., as the measure would in essence be voluntary.</w:t>
      </w:r>
    </w:p>
    <w:p w:rsidR="001B65FF" w:rsidRDefault="003E4EF4">
      <w:pPr>
        <w:numPr>
          <w:ilvl w:val="0"/>
          <w:numId w:val="83"/>
        </w:numPr>
        <w:contextualSpacing/>
        <w:jc w:val="both"/>
        <w:rPr>
          <w:rFonts w:ascii="Times New Roman" w:hAnsi="Times New Roman" w:cs="Times New Roman"/>
          <w:noProof/>
          <w:sz w:val="24"/>
        </w:rPr>
      </w:pPr>
      <w:r>
        <w:rPr>
          <w:rFonts w:ascii="Times New Roman" w:hAnsi="Times New Roman" w:cs="Times New Roman"/>
          <w:noProof/>
          <w:sz w:val="24"/>
        </w:rPr>
        <w:t xml:space="preserve">For </w:t>
      </w:r>
      <w:r>
        <w:rPr>
          <w:rFonts w:ascii="Times New Roman" w:hAnsi="Times New Roman" w:cs="Times New Roman"/>
          <w:b/>
          <w:noProof/>
          <w:sz w:val="24"/>
        </w:rPr>
        <w:t>non-content</w:t>
      </w:r>
      <w:r>
        <w:rPr>
          <w:rFonts w:ascii="Times New Roman" w:hAnsi="Times New Roman" w:cs="Times New Roman"/>
          <w:noProof/>
          <w:sz w:val="24"/>
        </w:rPr>
        <w:t xml:space="preserve"> data, the sanctioning mechanism would be idem the European Production Order. </w:t>
      </w:r>
    </w:p>
    <w:p w:rsidR="001B65FF" w:rsidRDefault="003E4EF4">
      <w:pPr>
        <w:numPr>
          <w:ilvl w:val="0"/>
          <w:numId w:val="87"/>
        </w:numPr>
        <w:contextualSpacing/>
        <w:jc w:val="both"/>
        <w:rPr>
          <w:rFonts w:ascii="Times New Roman" w:hAnsi="Times New Roman" w:cs="Times New Roman"/>
          <w:b/>
          <w:noProof/>
          <w:sz w:val="24"/>
        </w:rPr>
      </w:pPr>
      <w:r>
        <w:rPr>
          <w:rFonts w:ascii="Times New Roman" w:hAnsi="Times New Roman" w:cs="Times New Roman"/>
          <w:b/>
          <w:noProof/>
          <w:sz w:val="24"/>
        </w:rPr>
        <w:t>Safeguards:</w:t>
      </w:r>
    </w:p>
    <w:p w:rsidR="001B65FF" w:rsidRDefault="003E4EF4">
      <w:pPr>
        <w:numPr>
          <w:ilvl w:val="0"/>
          <w:numId w:val="83"/>
        </w:numPr>
        <w:contextualSpacing/>
        <w:jc w:val="both"/>
        <w:rPr>
          <w:rFonts w:ascii="Times New Roman" w:hAnsi="Times New Roman" w:cs="Times New Roman"/>
          <w:noProof/>
          <w:sz w:val="24"/>
        </w:rPr>
      </w:pPr>
      <w:r>
        <w:rPr>
          <w:rFonts w:ascii="Times New Roman" w:hAnsi="Times New Roman" w:cs="Times New Roman"/>
          <w:noProof/>
          <w:sz w:val="24"/>
        </w:rPr>
        <w:t xml:space="preserve">For </w:t>
      </w:r>
      <w:r>
        <w:rPr>
          <w:rFonts w:ascii="Times New Roman" w:hAnsi="Times New Roman" w:cs="Times New Roman"/>
          <w:b/>
          <w:noProof/>
          <w:sz w:val="24"/>
        </w:rPr>
        <w:t>content</w:t>
      </w:r>
      <w:r>
        <w:rPr>
          <w:rFonts w:ascii="Times New Roman" w:hAnsi="Times New Roman" w:cs="Times New Roman"/>
          <w:noProof/>
          <w:sz w:val="24"/>
        </w:rPr>
        <w:t xml:space="preserve"> data, the same safeguards as for the European Production Order would apply, with the exception of :</w:t>
      </w:r>
    </w:p>
    <w:p w:rsidR="001B65FF" w:rsidRDefault="003E4EF4">
      <w:pPr>
        <w:numPr>
          <w:ilvl w:val="1"/>
          <w:numId w:val="83"/>
        </w:numPr>
        <w:contextualSpacing/>
        <w:jc w:val="both"/>
        <w:rPr>
          <w:rFonts w:ascii="Times New Roman" w:hAnsi="Times New Roman" w:cs="Times New Roman"/>
          <w:noProof/>
          <w:sz w:val="24"/>
        </w:rPr>
      </w:pPr>
      <w:r>
        <w:rPr>
          <w:rFonts w:ascii="Times New Roman" w:hAnsi="Times New Roman" w:cs="Times New Roman"/>
          <w:noProof/>
          <w:sz w:val="24"/>
        </w:rPr>
        <w:t>the immunities and privileges which should not apply to a non-executable instrument;</w:t>
      </w:r>
    </w:p>
    <w:p w:rsidR="001B65FF" w:rsidRDefault="003E4EF4">
      <w:pPr>
        <w:numPr>
          <w:ilvl w:val="1"/>
          <w:numId w:val="83"/>
        </w:numPr>
        <w:contextualSpacing/>
        <w:jc w:val="both"/>
        <w:rPr>
          <w:rFonts w:ascii="Times New Roman" w:hAnsi="Times New Roman" w:cs="Times New Roman"/>
          <w:noProof/>
          <w:sz w:val="24"/>
        </w:rPr>
      </w:pPr>
      <w:r>
        <w:rPr>
          <w:rFonts w:ascii="Times New Roman" w:hAnsi="Times New Roman" w:cs="Times New Roman"/>
          <w:noProof/>
          <w:sz w:val="24"/>
        </w:rPr>
        <w:t>the conflicts of laws clause, as no specific review procedure is requi</w:t>
      </w:r>
      <w:r>
        <w:rPr>
          <w:rFonts w:ascii="Times New Roman" w:hAnsi="Times New Roman" w:cs="Times New Roman"/>
          <w:noProof/>
          <w:sz w:val="24"/>
        </w:rPr>
        <w:t>red if service providers can simply choose not to comply, forcing authorities to recur to traditional tools for formal judicial cooperation.</w:t>
      </w:r>
    </w:p>
    <w:p w:rsidR="001B65FF" w:rsidRDefault="003E4EF4">
      <w:pPr>
        <w:ind w:left="720"/>
        <w:contextualSpacing/>
        <w:jc w:val="both"/>
        <w:rPr>
          <w:rFonts w:ascii="Times New Roman" w:hAnsi="Times New Roman" w:cs="Times New Roman"/>
          <w:noProof/>
          <w:sz w:val="24"/>
        </w:rPr>
      </w:pPr>
      <w:r>
        <w:rPr>
          <w:rFonts w:ascii="Times New Roman" w:hAnsi="Times New Roman" w:cs="Times New Roman"/>
          <w:noProof/>
          <w:sz w:val="24"/>
        </w:rPr>
        <w:t>In addition, the fact that the request cannot be executed creates a further safeguard in the form of the possibilit</w:t>
      </w:r>
      <w:r>
        <w:rPr>
          <w:rFonts w:ascii="Times New Roman" w:hAnsi="Times New Roman" w:cs="Times New Roman"/>
          <w:noProof/>
          <w:sz w:val="24"/>
        </w:rPr>
        <w:t>y for the service provider not to comply in case of doubt as to the legitimacy of the request. While this assessment should not be outsourced to the service provider, this could be a de facto consequence of the non-executable nature of the production reque</w:t>
      </w:r>
      <w:r>
        <w:rPr>
          <w:rFonts w:ascii="Times New Roman" w:hAnsi="Times New Roman" w:cs="Times New Roman"/>
          <w:noProof/>
          <w:sz w:val="24"/>
        </w:rPr>
        <w:t xml:space="preserve">st. </w:t>
      </w:r>
    </w:p>
    <w:p w:rsidR="001B65FF" w:rsidRDefault="003E4EF4">
      <w:pPr>
        <w:numPr>
          <w:ilvl w:val="0"/>
          <w:numId w:val="83"/>
        </w:numPr>
        <w:contextualSpacing/>
        <w:jc w:val="both"/>
        <w:rPr>
          <w:rFonts w:ascii="Times New Roman" w:hAnsi="Times New Roman" w:cs="Times New Roman"/>
          <w:noProof/>
          <w:sz w:val="24"/>
        </w:rPr>
      </w:pPr>
      <w:r>
        <w:rPr>
          <w:rFonts w:ascii="Times New Roman" w:hAnsi="Times New Roman" w:cs="Times New Roman"/>
          <w:noProof/>
          <w:sz w:val="24"/>
        </w:rPr>
        <w:t xml:space="preserve">For </w:t>
      </w:r>
      <w:r>
        <w:rPr>
          <w:rFonts w:ascii="Times New Roman" w:hAnsi="Times New Roman" w:cs="Times New Roman"/>
          <w:b/>
          <w:noProof/>
          <w:sz w:val="24"/>
        </w:rPr>
        <w:t>non-content</w:t>
      </w:r>
      <w:r>
        <w:rPr>
          <w:rFonts w:ascii="Times New Roman" w:hAnsi="Times New Roman" w:cs="Times New Roman"/>
          <w:noProof/>
          <w:sz w:val="24"/>
        </w:rPr>
        <w:t xml:space="preserve"> data, the safeguards would be idem the European Production Order.</w:t>
      </w:r>
    </w:p>
    <w:p w:rsidR="001B65FF" w:rsidRDefault="001B65FF">
      <w:pPr>
        <w:spacing w:after="0"/>
        <w:jc w:val="both"/>
        <w:rPr>
          <w:rFonts w:ascii="Times New Roman" w:hAnsi="Times New Roman" w:cs="Times New Roman"/>
          <w:noProof/>
          <w:sz w:val="24"/>
          <w:u w:val="single"/>
        </w:rPr>
      </w:pPr>
    </w:p>
    <w:p w:rsidR="001B65FF" w:rsidRDefault="003E4EF4">
      <w:pPr>
        <w:pStyle w:val="Heading5"/>
        <w:spacing w:before="0"/>
        <w:rPr>
          <w:rFonts w:ascii="Times New Roman" w:eastAsia="Times New Roman" w:hAnsi="Times New Roman" w:cs="Times New Roman"/>
          <w:b w:val="0"/>
          <w:noProof/>
          <w:color w:val="auto"/>
          <w:sz w:val="24"/>
          <w:u w:val="single"/>
        </w:rPr>
      </w:pPr>
      <w:r>
        <w:rPr>
          <w:rFonts w:ascii="Times New Roman" w:eastAsia="Times New Roman" w:hAnsi="Times New Roman" w:cs="Times New Roman"/>
          <w:b w:val="0"/>
          <w:noProof/>
          <w:color w:val="auto"/>
          <w:sz w:val="24"/>
          <w:u w:val="single"/>
        </w:rPr>
        <w:t>Measure 6: access to data without individualised review (WHOIS)</w:t>
      </w:r>
    </w:p>
    <w:p w:rsidR="001B65FF" w:rsidRDefault="003E4EF4">
      <w:pPr>
        <w:pBdr>
          <w:top w:val="single" w:sz="4" w:space="1" w:color="auto"/>
          <w:left w:val="single" w:sz="4" w:space="4" w:color="auto"/>
          <w:bottom w:val="single" w:sz="4" w:space="1" w:color="auto"/>
          <w:right w:val="single" w:sz="4" w:space="4" w:color="auto"/>
        </w:pBdr>
        <w:spacing w:before="360" w:after="360"/>
        <w:jc w:val="both"/>
        <w:rPr>
          <w:rFonts w:ascii="Times New Roman" w:hAnsi="Times New Roman" w:cs="Times New Roman"/>
          <w:noProof/>
          <w:sz w:val="24"/>
        </w:rPr>
      </w:pPr>
      <w:r>
        <w:rPr>
          <w:rFonts w:ascii="Times New Roman" w:hAnsi="Times New Roman" w:cs="Times New Roman"/>
          <w:noProof/>
          <w:sz w:val="24"/>
        </w:rPr>
        <w:t>This measure would seek to address problem driver 1 by reducing the need for judicial cooperation. It wo</w:t>
      </w:r>
      <w:r>
        <w:rPr>
          <w:rFonts w:ascii="Times New Roman" w:hAnsi="Times New Roman" w:cs="Times New Roman"/>
          <w:noProof/>
          <w:sz w:val="24"/>
        </w:rPr>
        <w:t>uld address specific objective 1.</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 xml:space="preserve">For data that service providers </w:t>
      </w:r>
      <w:r>
        <w:rPr>
          <w:rFonts w:ascii="Times New Roman" w:hAnsi="Times New Roman" w:cs="Times New Roman"/>
          <w:b/>
          <w:noProof/>
          <w:sz w:val="24"/>
        </w:rPr>
        <w:t>make available for access by authorities through a system of databases</w:t>
      </w:r>
      <w:r>
        <w:rPr>
          <w:rFonts w:ascii="Times New Roman" w:hAnsi="Times New Roman" w:cs="Times New Roman"/>
          <w:noProof/>
          <w:sz w:val="24"/>
        </w:rPr>
        <w:t xml:space="preserve"> without individual review by the service provider (e.g. the WHOIS systems), legislation could provide for a legal basis</w:t>
      </w:r>
      <w:r>
        <w:rPr>
          <w:rFonts w:ascii="Times New Roman" w:hAnsi="Times New Roman" w:cs="Times New Roman"/>
          <w:noProof/>
          <w:sz w:val="24"/>
        </w:rPr>
        <w:t xml:space="preserve"> to perform searches in the system, in line with the rules of the system, national frameworks and EU law, including data protection rules. The main added value of a legal base to access online databases such as WHOIS would be to maintain the same possibili</w:t>
      </w:r>
      <w:r>
        <w:rPr>
          <w:rFonts w:ascii="Times New Roman" w:hAnsi="Times New Roman" w:cs="Times New Roman"/>
          <w:noProof/>
          <w:sz w:val="24"/>
        </w:rPr>
        <w:t>ty for access once the information is no longer publicly available. Currently, WHOIS information is extensively used by law enforcement, in particular as the starting point for investigations. Once the information is no longer publicly available, those pos</w:t>
      </w:r>
      <w:r>
        <w:rPr>
          <w:rFonts w:ascii="Times New Roman" w:hAnsi="Times New Roman" w:cs="Times New Roman"/>
          <w:noProof/>
          <w:sz w:val="24"/>
        </w:rPr>
        <w:t xml:space="preserve">sibilities would disappear and access would be subject to the more strictly conditions required for more intrusive searches, which however were not conceived for this situation. This would in turn frustrate the start of investigations. </w:t>
      </w:r>
    </w:p>
    <w:p w:rsidR="001B65FF" w:rsidRDefault="001B65FF">
      <w:pPr>
        <w:spacing w:before="240"/>
        <w:jc w:val="both"/>
        <w:rPr>
          <w:rFonts w:ascii="Times New Roman" w:hAnsi="Times New Roman" w:cs="Times New Roman"/>
          <w:noProof/>
          <w:sz w:val="24"/>
        </w:rPr>
      </w:pPr>
    </w:p>
    <w:p w:rsidR="001B65FF" w:rsidRDefault="003E4EF4">
      <w:pPr>
        <w:spacing w:after="0"/>
        <w:jc w:val="both"/>
        <w:rPr>
          <w:rFonts w:ascii="Times New Roman" w:hAnsi="Times New Roman" w:cs="Times New Roman"/>
          <w:b/>
          <w:noProof/>
          <w:sz w:val="24"/>
        </w:rPr>
      </w:pPr>
      <w:r>
        <w:rPr>
          <w:rFonts w:ascii="Times New Roman" w:hAnsi="Times New Roman" w:cs="Times New Roman"/>
          <w:b/>
          <w:noProof/>
          <w:sz w:val="24"/>
        </w:rPr>
        <w:t>1) Scope</w:t>
      </w:r>
      <w:r>
        <w:rPr>
          <w:rFonts w:ascii="Times New Roman" w:hAnsi="Times New Roman" w:cs="Times New Roman"/>
          <w:noProof/>
          <w:sz w:val="24"/>
        </w:rPr>
        <w:t>:</w:t>
      </w:r>
    </w:p>
    <w:p w:rsidR="001B65FF" w:rsidRDefault="003E4EF4">
      <w:pPr>
        <w:numPr>
          <w:ilvl w:val="0"/>
          <w:numId w:val="70"/>
        </w:numPr>
        <w:spacing w:after="0"/>
        <w:jc w:val="both"/>
        <w:rPr>
          <w:rFonts w:ascii="Times New Roman" w:hAnsi="Times New Roman" w:cs="Times New Roman"/>
          <w:b/>
          <w:noProof/>
          <w:sz w:val="24"/>
        </w:rPr>
      </w:pPr>
      <w:r>
        <w:rPr>
          <w:rFonts w:ascii="Times New Roman" w:hAnsi="Times New Roman" w:cs="Times New Roman"/>
          <w:noProof/>
          <w:sz w:val="24"/>
        </w:rPr>
        <w:t>Data (ma</w:t>
      </w:r>
      <w:r>
        <w:rPr>
          <w:rFonts w:ascii="Times New Roman" w:hAnsi="Times New Roman" w:cs="Times New Roman"/>
          <w:noProof/>
          <w:sz w:val="24"/>
        </w:rPr>
        <w:t>terial scope):</w:t>
      </w:r>
    </w:p>
    <w:p w:rsidR="001B65FF" w:rsidRDefault="003E4EF4">
      <w:pPr>
        <w:numPr>
          <w:ilvl w:val="1"/>
          <w:numId w:val="70"/>
        </w:numPr>
        <w:spacing w:after="0"/>
        <w:jc w:val="both"/>
        <w:rPr>
          <w:rFonts w:ascii="Times New Roman" w:hAnsi="Times New Roman" w:cs="Times New Roman"/>
          <w:i/>
          <w:noProof/>
          <w:sz w:val="24"/>
        </w:rPr>
      </w:pPr>
      <w:r>
        <w:rPr>
          <w:rFonts w:ascii="Times New Roman" w:hAnsi="Times New Roman" w:cs="Times New Roman"/>
          <w:noProof/>
          <w:sz w:val="24"/>
        </w:rPr>
        <w:t xml:space="preserve">Subscriber information, stored (not intercept), concerning concrete criminal offences (no mass surveillance), all crimes (not limited to serious ones). </w:t>
      </w:r>
    </w:p>
    <w:p w:rsidR="001B65FF" w:rsidRDefault="003E4EF4">
      <w:pPr>
        <w:numPr>
          <w:ilvl w:val="0"/>
          <w:numId w:val="70"/>
        </w:numPr>
        <w:spacing w:after="0"/>
        <w:jc w:val="both"/>
        <w:rPr>
          <w:rFonts w:ascii="Times New Roman" w:hAnsi="Times New Roman" w:cs="Times New Roman"/>
          <w:b/>
          <w:noProof/>
          <w:sz w:val="24"/>
        </w:rPr>
      </w:pPr>
      <w:r>
        <w:rPr>
          <w:rFonts w:ascii="Times New Roman" w:hAnsi="Times New Roman" w:cs="Times New Roman"/>
          <w:noProof/>
          <w:sz w:val="24"/>
        </w:rPr>
        <w:t>Geography:</w:t>
      </w:r>
    </w:p>
    <w:p w:rsidR="001B65FF" w:rsidRDefault="003E4EF4">
      <w:pPr>
        <w:numPr>
          <w:ilvl w:val="1"/>
          <w:numId w:val="70"/>
        </w:numPr>
        <w:spacing w:after="0"/>
        <w:jc w:val="both"/>
        <w:rPr>
          <w:rFonts w:ascii="Times New Roman" w:hAnsi="Times New Roman" w:cs="Times New Roman"/>
          <w:b/>
          <w:noProof/>
          <w:sz w:val="24"/>
        </w:rPr>
      </w:pPr>
      <w:r>
        <w:rPr>
          <w:rFonts w:ascii="Times New Roman" w:hAnsi="Times New Roman" w:cs="Times New Roman"/>
          <w:noProof/>
          <w:sz w:val="24"/>
        </w:rPr>
        <w:t xml:space="preserve">In line with the geographical scope described in section 5.1., this legislative measure would cover </w:t>
      </w:r>
      <w:r>
        <w:rPr>
          <w:rFonts w:ascii="Times New Roman" w:hAnsi="Times New Roman" w:cs="Times New Roman"/>
          <w:b/>
          <w:noProof/>
          <w:sz w:val="24"/>
        </w:rPr>
        <w:t>data regardless of where it is stored</w:t>
      </w:r>
      <w:r>
        <w:rPr>
          <w:rFonts w:ascii="Times New Roman" w:hAnsi="Times New Roman" w:cs="Times New Roman"/>
          <w:noProof/>
          <w:sz w:val="24"/>
          <w:vertAlign w:val="superscript"/>
        </w:rPr>
        <w:footnoteReference w:id="97"/>
      </w:r>
      <w:r>
        <w:rPr>
          <w:rFonts w:ascii="Times New Roman" w:hAnsi="Times New Roman" w:cs="Times New Roman"/>
          <w:noProof/>
          <w:sz w:val="24"/>
        </w:rPr>
        <w:t xml:space="preserve">. </w:t>
      </w:r>
      <w:r>
        <w:rPr>
          <w:rFonts w:ascii="Times New Roman" w:hAnsi="Times New Roman" w:cs="Times New Roman"/>
          <w:b/>
          <w:noProof/>
          <w:sz w:val="24"/>
        </w:rPr>
        <w:t xml:space="preserve">Data storage </w:t>
      </w:r>
      <w:r>
        <w:rPr>
          <w:rFonts w:ascii="Times New Roman" w:hAnsi="Times New Roman" w:cs="Times New Roman"/>
          <w:noProof/>
          <w:sz w:val="24"/>
        </w:rPr>
        <w:t xml:space="preserve">location is not a feasible connecting factor for a worldwide federated data access system underpinning </w:t>
      </w:r>
      <w:r>
        <w:rPr>
          <w:rFonts w:ascii="Times New Roman" w:hAnsi="Times New Roman" w:cs="Times New Roman"/>
          <w:noProof/>
          <w:sz w:val="24"/>
        </w:rPr>
        <w:t>a global resource such as the domain name or IP address systems.</w:t>
      </w:r>
    </w:p>
    <w:p w:rsidR="001B65FF" w:rsidRDefault="003E4EF4">
      <w:pPr>
        <w:contextualSpacing/>
        <w:jc w:val="both"/>
        <w:rPr>
          <w:rFonts w:ascii="Times New Roman" w:hAnsi="Times New Roman" w:cs="Times New Roman"/>
          <w:b/>
          <w:noProof/>
          <w:sz w:val="24"/>
        </w:rPr>
      </w:pPr>
      <w:r>
        <w:rPr>
          <w:rFonts w:ascii="Times New Roman" w:hAnsi="Times New Roman" w:cs="Times New Roman"/>
          <w:b/>
          <w:noProof/>
          <w:sz w:val="24"/>
        </w:rPr>
        <w:t>2) Safeguards:</w:t>
      </w:r>
    </w:p>
    <w:p w:rsidR="001B65FF" w:rsidRDefault="003E4EF4">
      <w:pPr>
        <w:spacing w:after="0"/>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Safeguards could include the following: </w:t>
      </w:r>
    </w:p>
    <w:p w:rsidR="001B65FF" w:rsidRDefault="003E4EF4">
      <w:pPr>
        <w:numPr>
          <w:ilvl w:val="0"/>
          <w:numId w:val="247"/>
        </w:numPr>
        <w:contextualSpacing/>
        <w:jc w:val="both"/>
        <w:rPr>
          <w:rFonts w:ascii="Times New Roman" w:hAnsi="Times New Roman" w:cs="Times New Roman"/>
          <w:noProof/>
          <w:sz w:val="24"/>
          <w:szCs w:val="24"/>
        </w:rPr>
      </w:pPr>
      <w:r>
        <w:rPr>
          <w:rFonts w:ascii="Times New Roman" w:hAnsi="Times New Roman" w:cs="Times New Roman"/>
          <w:b/>
          <w:noProof/>
          <w:sz w:val="24"/>
          <w:szCs w:val="24"/>
        </w:rPr>
        <w:t>Procedural rights</w:t>
      </w:r>
      <w:r>
        <w:rPr>
          <w:rFonts w:ascii="Times New Roman" w:hAnsi="Times New Roman" w:cs="Times New Roman"/>
          <w:noProof/>
          <w:sz w:val="24"/>
          <w:szCs w:val="24"/>
        </w:rPr>
        <w:t xml:space="preserve"> of accused and suspected persons:</w:t>
      </w:r>
    </w:p>
    <w:p w:rsidR="001B65FF" w:rsidRDefault="003E4EF4">
      <w:pPr>
        <w:numPr>
          <w:ilvl w:val="0"/>
          <w:numId w:val="7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suspect whose data is accessed would be protected by the EU acquis on the right</w:t>
      </w:r>
      <w:r>
        <w:rPr>
          <w:rFonts w:ascii="Times New Roman" w:hAnsi="Times New Roman" w:cs="Times New Roman"/>
          <w:noProof/>
          <w:sz w:val="24"/>
          <w:szCs w:val="24"/>
        </w:rPr>
        <w:t xml:space="preserve">s of suspected and accused persons in criminal proceedings and the full respect for due process. </w:t>
      </w:r>
    </w:p>
    <w:p w:rsidR="001B65FF" w:rsidRDefault="003E4EF4">
      <w:pPr>
        <w:numPr>
          <w:ilvl w:val="0"/>
          <w:numId w:val="75"/>
        </w:numPr>
        <w:contextualSpacing/>
        <w:jc w:val="both"/>
        <w:rPr>
          <w:rFonts w:ascii="Times New Roman" w:hAnsi="Times New Roman" w:cs="Times New Roman"/>
          <w:noProof/>
          <w:sz w:val="24"/>
          <w:szCs w:val="24"/>
        </w:rPr>
      </w:pPr>
      <w:r>
        <w:rPr>
          <w:rFonts w:ascii="Times New Roman" w:hAnsi="Times New Roman" w:cs="Times New Roman"/>
          <w:noProof/>
          <w:sz w:val="24"/>
          <w:szCs w:val="24"/>
        </w:rPr>
        <w:t>In particular, Directive 2012/13/EU on the right to information in criminal proceedings</w:t>
      </w:r>
      <w:r>
        <w:rPr>
          <w:rFonts w:ascii="Times New Roman" w:hAnsi="Times New Roman" w:cs="Times New Roman"/>
          <w:noProof/>
          <w:sz w:val="24"/>
          <w:szCs w:val="24"/>
          <w:vertAlign w:val="superscript"/>
        </w:rPr>
        <w:footnoteReference w:id="98"/>
      </w:r>
      <w:r>
        <w:rPr>
          <w:rFonts w:ascii="Times New Roman" w:hAnsi="Times New Roman" w:cs="Times New Roman"/>
          <w:noProof/>
          <w:sz w:val="24"/>
          <w:szCs w:val="24"/>
        </w:rPr>
        <w:t xml:space="preserve"> grants the suspected or accused person access to all material evidenc</w:t>
      </w:r>
      <w:r>
        <w:rPr>
          <w:rFonts w:ascii="Times New Roman" w:hAnsi="Times New Roman" w:cs="Times New Roman"/>
          <w:noProof/>
          <w:sz w:val="24"/>
          <w:szCs w:val="24"/>
        </w:rPr>
        <w:t>e in the possession of the competent authorities at minimum, in order to safeguard the fairness of the proceedings and to allow for preparation of the defence.</w:t>
      </w:r>
    </w:p>
    <w:p w:rsidR="001B65FF" w:rsidRDefault="003E4EF4">
      <w:pPr>
        <w:numPr>
          <w:ilvl w:val="0"/>
          <w:numId w:val="247"/>
        </w:numPr>
        <w:contextualSpacing/>
        <w:jc w:val="both"/>
        <w:rPr>
          <w:rFonts w:ascii="Times New Roman" w:hAnsi="Times New Roman" w:cs="Times New Roman"/>
          <w:b/>
          <w:noProof/>
          <w:sz w:val="24"/>
          <w:szCs w:val="24"/>
        </w:rPr>
      </w:pPr>
      <w:r>
        <w:rPr>
          <w:rFonts w:ascii="Times New Roman" w:hAnsi="Times New Roman" w:cs="Times New Roman"/>
          <w:noProof/>
          <w:sz w:val="24"/>
          <w:szCs w:val="24"/>
        </w:rPr>
        <w:t>Principles of</w:t>
      </w:r>
      <w:r>
        <w:rPr>
          <w:rFonts w:ascii="Times New Roman" w:hAnsi="Times New Roman" w:cs="Times New Roman"/>
          <w:b/>
          <w:noProof/>
          <w:sz w:val="24"/>
          <w:szCs w:val="24"/>
        </w:rPr>
        <w:t xml:space="preserve"> necessity and proportionality:</w:t>
      </w:r>
    </w:p>
    <w:p w:rsidR="001B65FF" w:rsidRDefault="003E4EF4">
      <w:pPr>
        <w:numPr>
          <w:ilvl w:val="0"/>
          <w:numId w:val="76"/>
        </w:numPr>
        <w:contextualSpacing/>
        <w:jc w:val="both"/>
        <w:rPr>
          <w:rFonts w:ascii="Times New Roman" w:hAnsi="Times New Roman" w:cs="Times New Roman"/>
          <w:noProof/>
          <w:sz w:val="24"/>
          <w:szCs w:val="24"/>
        </w:rPr>
      </w:pPr>
      <w:r>
        <w:rPr>
          <w:rFonts w:ascii="Times New Roman" w:hAnsi="Times New Roman" w:cs="Times New Roman"/>
          <w:noProof/>
          <w:sz w:val="24"/>
          <w:szCs w:val="24"/>
        </w:rPr>
        <w:t>The authority would take into account the principle</w:t>
      </w:r>
      <w:r>
        <w:rPr>
          <w:rFonts w:ascii="Times New Roman" w:hAnsi="Times New Roman" w:cs="Times New Roman"/>
          <w:noProof/>
          <w:sz w:val="24"/>
          <w:szCs w:val="24"/>
        </w:rPr>
        <w:t xml:space="preserve">s of </w:t>
      </w:r>
      <w:r>
        <w:rPr>
          <w:rFonts w:ascii="Times New Roman" w:hAnsi="Times New Roman" w:cs="Times New Roman"/>
          <w:b/>
          <w:noProof/>
          <w:sz w:val="24"/>
          <w:szCs w:val="24"/>
        </w:rPr>
        <w:t>necessity and proportionality</w:t>
      </w:r>
      <w:r>
        <w:rPr>
          <w:rFonts w:ascii="Times New Roman" w:hAnsi="Times New Roman" w:cs="Times New Roman"/>
          <w:noProof/>
          <w:sz w:val="24"/>
          <w:szCs w:val="24"/>
        </w:rPr>
        <w:t xml:space="preserve"> in its decision to access records in the database system, and specific aspects to consider could be enumerated. </w:t>
      </w:r>
    </w:p>
    <w:p w:rsidR="001B65FF" w:rsidRDefault="003E4EF4">
      <w:pPr>
        <w:numPr>
          <w:ilvl w:val="0"/>
          <w:numId w:val="247"/>
        </w:numPr>
        <w:contextualSpacing/>
        <w:jc w:val="both"/>
        <w:rPr>
          <w:rFonts w:ascii="Times New Roman" w:hAnsi="Times New Roman" w:cs="Times New Roman"/>
          <w:b/>
          <w:noProof/>
          <w:sz w:val="24"/>
          <w:szCs w:val="24"/>
        </w:rPr>
      </w:pPr>
      <w:r>
        <w:rPr>
          <w:rFonts w:ascii="Times New Roman" w:hAnsi="Times New Roman" w:cs="Times New Roman"/>
          <w:b/>
          <w:noProof/>
          <w:sz w:val="24"/>
          <w:szCs w:val="24"/>
        </w:rPr>
        <w:t>User notification:</w:t>
      </w:r>
    </w:p>
    <w:p w:rsidR="001B65FF" w:rsidRDefault="003E4EF4">
      <w:pPr>
        <w:numPr>
          <w:ilvl w:val="0"/>
          <w:numId w:val="77"/>
        </w:numPr>
        <w:contextualSpacing/>
        <w:jc w:val="both"/>
        <w:rPr>
          <w:rFonts w:ascii="Times New Roman" w:hAnsi="Times New Roman" w:cs="Times New Roman"/>
          <w:noProof/>
          <w:sz w:val="24"/>
          <w:szCs w:val="24"/>
        </w:rPr>
      </w:pPr>
      <w:r>
        <w:rPr>
          <w:rFonts w:ascii="Times New Roman" w:hAnsi="Times New Roman" w:cs="Times New Roman"/>
          <w:b/>
          <w:noProof/>
          <w:sz w:val="24"/>
          <w:szCs w:val="24"/>
        </w:rPr>
        <w:t>Authorities</w:t>
      </w:r>
      <w:r>
        <w:rPr>
          <w:rFonts w:ascii="Times New Roman" w:hAnsi="Times New Roman" w:cs="Times New Roman"/>
          <w:noProof/>
          <w:sz w:val="24"/>
          <w:szCs w:val="24"/>
        </w:rPr>
        <w:t xml:space="preserve"> would have to notify users in line with national criminal procedural laws whi</w:t>
      </w:r>
      <w:r>
        <w:rPr>
          <w:rFonts w:ascii="Times New Roman" w:hAnsi="Times New Roman" w:cs="Times New Roman"/>
          <w:noProof/>
          <w:sz w:val="24"/>
          <w:szCs w:val="24"/>
        </w:rPr>
        <w:t>ch provide for notification and with the Police Directive</w:t>
      </w:r>
      <w:r>
        <w:rPr>
          <w:rFonts w:ascii="Times New Roman" w:hAnsi="Times New Roman" w:cs="Times New Roman"/>
          <w:noProof/>
          <w:sz w:val="24"/>
          <w:szCs w:val="24"/>
          <w:vertAlign w:val="superscript"/>
        </w:rPr>
        <w:footnoteReference w:id="99"/>
      </w:r>
      <w:r>
        <w:rPr>
          <w:rFonts w:ascii="Times New Roman" w:hAnsi="Times New Roman" w:cs="Times New Roman"/>
          <w:noProof/>
          <w:sz w:val="24"/>
          <w:szCs w:val="24"/>
        </w:rPr>
        <w:t>.</w:t>
      </w:r>
    </w:p>
    <w:p w:rsidR="001B65FF" w:rsidRDefault="003E4EF4">
      <w:pPr>
        <w:numPr>
          <w:ilvl w:val="0"/>
          <w:numId w:val="247"/>
        </w:numPr>
        <w:contextualSpacing/>
        <w:jc w:val="both"/>
        <w:rPr>
          <w:rFonts w:ascii="Times New Roman" w:hAnsi="Times New Roman" w:cs="Times New Roman"/>
          <w:b/>
          <w:noProof/>
          <w:sz w:val="24"/>
          <w:szCs w:val="24"/>
        </w:rPr>
      </w:pPr>
      <w:r>
        <w:rPr>
          <w:rFonts w:ascii="Times New Roman" w:hAnsi="Times New Roman" w:cs="Times New Roman"/>
          <w:b/>
          <w:noProof/>
          <w:sz w:val="24"/>
          <w:szCs w:val="24"/>
        </w:rPr>
        <w:t>Legal remedies:</w:t>
      </w:r>
    </w:p>
    <w:p w:rsidR="001B65FF" w:rsidRDefault="003E4EF4">
      <w:pPr>
        <w:numPr>
          <w:ilvl w:val="0"/>
          <w:numId w:val="78"/>
        </w:numPr>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For the </w:t>
      </w:r>
      <w:r>
        <w:rPr>
          <w:rFonts w:ascii="Times New Roman" w:hAnsi="Times New Roman" w:cs="Times New Roman"/>
          <w:b/>
          <w:noProof/>
          <w:sz w:val="24"/>
          <w:szCs w:val="24"/>
        </w:rPr>
        <w:t>target of the investigation</w:t>
      </w:r>
      <w:r>
        <w:rPr>
          <w:rFonts w:ascii="Times New Roman" w:hAnsi="Times New Roman" w:cs="Times New Roman"/>
          <w:noProof/>
          <w:sz w:val="24"/>
          <w:szCs w:val="24"/>
        </w:rPr>
        <w:t>:</w:t>
      </w:r>
    </w:p>
    <w:p w:rsidR="001B65FF" w:rsidRDefault="003E4EF4">
      <w:pPr>
        <w:numPr>
          <w:ilvl w:val="0"/>
          <w:numId w:val="110"/>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suspect whose data is requested in the framework of criminal investigations or proceedings must have access to an effective legal remedy in the issuing country. The legislation should therefore set out, as a minimum, the possibility for the accused to </w:t>
      </w:r>
      <w:r>
        <w:rPr>
          <w:rFonts w:ascii="Times New Roman" w:hAnsi="Times New Roman" w:cs="Times New Roman"/>
          <w:noProof/>
          <w:sz w:val="24"/>
          <w:szCs w:val="24"/>
        </w:rPr>
        <w:t xml:space="preserve">challenge during the trial the legality of the database lookup as well as the admissibility (or the weight in the proceedings) of the evidence obtained by such means. </w:t>
      </w:r>
    </w:p>
    <w:p w:rsidR="001B65FF" w:rsidRDefault="003E4EF4">
      <w:pPr>
        <w:numPr>
          <w:ilvl w:val="0"/>
          <w:numId w:val="110"/>
        </w:numPr>
        <w:contextualSpacing/>
        <w:jc w:val="both"/>
        <w:rPr>
          <w:rFonts w:ascii="Times New Roman" w:hAnsi="Times New Roman" w:cs="Times New Roman"/>
          <w:noProof/>
          <w:sz w:val="24"/>
          <w:szCs w:val="24"/>
        </w:rPr>
      </w:pPr>
      <w:r>
        <w:rPr>
          <w:rFonts w:ascii="Times New Roman" w:hAnsi="Times New Roman" w:cs="Times New Roman"/>
          <w:noProof/>
          <w:sz w:val="24"/>
        </w:rPr>
        <w:t xml:space="preserve">A remedy in case of no trial should also be considered. </w:t>
      </w:r>
    </w:p>
    <w:p w:rsidR="001B65FF" w:rsidRDefault="003E4EF4">
      <w:pPr>
        <w:numPr>
          <w:ilvl w:val="0"/>
          <w:numId w:val="110"/>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proposal could refer to the</w:t>
      </w:r>
      <w:r>
        <w:rPr>
          <w:rFonts w:ascii="Times New Roman" w:hAnsi="Times New Roman" w:cs="Times New Roman"/>
          <w:noProof/>
          <w:sz w:val="24"/>
          <w:szCs w:val="24"/>
        </w:rPr>
        <w:t xml:space="preserve"> legal remedies provided by national law available in similar domestic cases.</w:t>
      </w:r>
    </w:p>
    <w:p w:rsidR="001B65FF" w:rsidRDefault="001B65FF">
      <w:pPr>
        <w:contextualSpacing/>
        <w:jc w:val="both"/>
        <w:rPr>
          <w:rFonts w:ascii="Times New Roman" w:hAnsi="Times New Roman" w:cs="Times New Roman"/>
          <w:noProof/>
          <w:sz w:val="24"/>
        </w:rPr>
      </w:pPr>
    </w:p>
    <w:p w:rsidR="001B65FF" w:rsidRDefault="003E4EF4">
      <w:pPr>
        <w:spacing w:before="240"/>
        <w:contextualSpacing/>
        <w:jc w:val="both"/>
        <w:rPr>
          <w:rFonts w:ascii="Times New Roman" w:hAnsi="Times New Roman" w:cs="Times New Roman"/>
          <w:noProof/>
          <w:sz w:val="24"/>
        </w:rPr>
      </w:pPr>
      <w:r>
        <w:rPr>
          <w:rFonts w:ascii="Times New Roman" w:hAnsi="Times New Roman" w:cs="Times New Roman"/>
          <w:noProof/>
          <w:sz w:val="24"/>
        </w:rPr>
        <w:t>There would be no added administrative burden compared to today, besides implementation, as the measure proposes to maintain the same procedures as today, i.e. not requiring ind</w:t>
      </w:r>
      <w:r>
        <w:rPr>
          <w:rFonts w:ascii="Times New Roman" w:hAnsi="Times New Roman" w:cs="Times New Roman"/>
          <w:noProof/>
          <w:sz w:val="24"/>
        </w:rPr>
        <w:t xml:space="preserve">ividual judicial review. This measure could usefully be combined with either the European Production Order, the </w:t>
      </w:r>
      <w:r>
        <w:rPr>
          <w:rFonts w:ascii="Times New Roman" w:eastAsia="Times New Roman" w:hAnsi="Times New Roman" w:cs="Times New Roman"/>
          <w:noProof/>
          <w:sz w:val="24"/>
        </w:rPr>
        <w:t>European Production Request and Order</w:t>
      </w:r>
      <w:r>
        <w:rPr>
          <w:rFonts w:ascii="Times New Roman" w:hAnsi="Times New Roman" w:cs="Times New Roman"/>
          <w:noProof/>
          <w:sz w:val="24"/>
        </w:rPr>
        <w:t xml:space="preserve"> or the </w:t>
      </w:r>
      <w:r>
        <w:rPr>
          <w:rFonts w:ascii="Times New Roman" w:eastAsia="Times New Roman" w:hAnsi="Times New Roman" w:cs="Times New Roman"/>
          <w:noProof/>
          <w:sz w:val="24"/>
        </w:rPr>
        <w:t>European Production Request</w:t>
      </w:r>
      <w:r>
        <w:rPr>
          <w:rFonts w:ascii="Times New Roman" w:hAnsi="Times New Roman" w:cs="Times New Roman"/>
          <w:noProof/>
          <w:sz w:val="24"/>
        </w:rPr>
        <w:t>. While this measure and the latter three address different aspects of d</w:t>
      </w:r>
      <w:r>
        <w:rPr>
          <w:rFonts w:ascii="Times New Roman" w:hAnsi="Times New Roman" w:cs="Times New Roman"/>
          <w:noProof/>
          <w:sz w:val="24"/>
        </w:rPr>
        <w:t>irect cooperation, they are complementary and do not overlap, as they cover different cooperation mechanisms.</w:t>
      </w:r>
    </w:p>
    <w:p w:rsidR="001B65FF" w:rsidRDefault="003E4EF4">
      <w:pPr>
        <w:pStyle w:val="Heading4"/>
        <w:tabs>
          <w:tab w:val="num" w:pos="1200"/>
        </w:tabs>
        <w:rPr>
          <w:rFonts w:ascii="Times New Roman" w:hAnsi="Times New Roman" w:cs="Times New Roman"/>
          <w:b w:val="0"/>
          <w:noProof/>
          <w:sz w:val="24"/>
        </w:rPr>
      </w:pPr>
      <w:bookmarkStart w:id="1226" w:name="_Toc497927262"/>
      <w:bookmarkStart w:id="1227" w:name="_Toc497927875"/>
      <w:bookmarkStart w:id="1228" w:name="_Toc497928141"/>
      <w:r>
        <w:rPr>
          <w:rFonts w:ascii="Times New Roman" w:hAnsi="Times New Roman" w:cs="Times New Roman"/>
          <w:b w:val="0"/>
          <w:noProof/>
          <w:sz w:val="24"/>
        </w:rPr>
        <w:t>Legislation on direct access</w:t>
      </w:r>
      <w:bookmarkEnd w:id="1226"/>
      <w:bookmarkEnd w:id="1227"/>
      <w:bookmarkEnd w:id="1228"/>
    </w:p>
    <w:p w:rsidR="001B65FF" w:rsidRDefault="003E4EF4">
      <w:pPr>
        <w:pStyle w:val="Heading5"/>
        <w:rPr>
          <w:rFonts w:ascii="Times New Roman" w:eastAsia="Times New Roman" w:hAnsi="Times New Roman" w:cs="Times New Roman"/>
          <w:b w:val="0"/>
          <w:noProof/>
          <w:color w:val="auto"/>
          <w:sz w:val="24"/>
          <w:u w:val="single"/>
        </w:rPr>
      </w:pPr>
      <w:r>
        <w:rPr>
          <w:rFonts w:ascii="Times New Roman" w:eastAsia="Times New Roman" w:hAnsi="Times New Roman" w:cs="Times New Roman"/>
          <w:b w:val="0"/>
          <w:noProof/>
          <w:color w:val="auto"/>
          <w:sz w:val="24"/>
          <w:u w:val="single"/>
        </w:rPr>
        <w:t>Measure 7: legislation on harmonised safeguards for direct access</w:t>
      </w:r>
    </w:p>
    <w:p w:rsidR="001B65FF" w:rsidRDefault="003E4EF4">
      <w:pPr>
        <w:pBdr>
          <w:top w:val="single" w:sz="4" w:space="1" w:color="auto"/>
          <w:left w:val="single" w:sz="4" w:space="4" w:color="auto"/>
          <w:bottom w:val="single" w:sz="4" w:space="1" w:color="auto"/>
          <w:right w:val="single" w:sz="4" w:space="4" w:color="auto"/>
        </w:pBdr>
        <w:spacing w:before="360" w:after="360"/>
        <w:jc w:val="both"/>
        <w:rPr>
          <w:rFonts w:ascii="Times New Roman" w:hAnsi="Times New Roman" w:cs="Times New Roman"/>
          <w:noProof/>
          <w:sz w:val="24"/>
        </w:rPr>
      </w:pPr>
      <w:r>
        <w:rPr>
          <w:rFonts w:ascii="Times New Roman" w:hAnsi="Times New Roman" w:cs="Times New Roman"/>
          <w:noProof/>
          <w:sz w:val="24"/>
        </w:rPr>
        <w:t>This measure focuses on addressing through a new le</w:t>
      </w:r>
      <w:r>
        <w:rPr>
          <w:rFonts w:ascii="Times New Roman" w:hAnsi="Times New Roman" w:cs="Times New Roman"/>
          <w:noProof/>
          <w:sz w:val="24"/>
        </w:rPr>
        <w:t xml:space="preserve">gislative instrument problem driver 3 (section 2.2.3.), specifically the part that concerns direct access to e-evidence across borders from an information system within the jurisdiction. It would address specific objective 3, and to a more limited extent, </w:t>
      </w:r>
      <w:r>
        <w:rPr>
          <w:rFonts w:ascii="Times New Roman" w:hAnsi="Times New Roman" w:cs="Times New Roman"/>
          <w:noProof/>
          <w:sz w:val="24"/>
        </w:rPr>
        <w:t>1 and 2.</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This measure focuses on addressing through a new legislative instrument problem driver 3 (section 2.2.3.), specifically the part that concerns direct access to e-evidence across borders from an information system within the jurisdiction.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In partic</w:t>
      </w:r>
      <w:r>
        <w:rPr>
          <w:rFonts w:ascii="Times New Roman" w:hAnsi="Times New Roman" w:cs="Times New Roman"/>
          <w:noProof/>
          <w:sz w:val="24"/>
        </w:rPr>
        <w:t xml:space="preserve">ular, the new legislation under this measure would allow public authorities to access data directly when it is not certain that the data is stored in the same Member State, and also set minimum standards. It would define a set of </w:t>
      </w:r>
      <w:r>
        <w:rPr>
          <w:rFonts w:ascii="Times New Roman" w:hAnsi="Times New Roman" w:cs="Times New Roman"/>
          <w:b/>
          <w:noProof/>
          <w:sz w:val="24"/>
        </w:rPr>
        <w:t>conditions</w:t>
      </w:r>
      <w:r>
        <w:rPr>
          <w:rFonts w:ascii="Times New Roman" w:hAnsi="Times New Roman" w:cs="Times New Roman"/>
          <w:noProof/>
          <w:sz w:val="24"/>
        </w:rPr>
        <w:t xml:space="preserve"> for the issuing</w:t>
      </w:r>
      <w:r>
        <w:rPr>
          <w:rFonts w:ascii="Times New Roman" w:hAnsi="Times New Roman" w:cs="Times New Roman"/>
          <w:noProof/>
          <w:sz w:val="24"/>
        </w:rPr>
        <w:t xml:space="preserve"> of a judicial order permitting direct access, as well as a number of </w:t>
      </w:r>
      <w:r>
        <w:rPr>
          <w:rFonts w:ascii="Times New Roman" w:hAnsi="Times New Roman" w:cs="Times New Roman"/>
          <w:b/>
          <w:noProof/>
          <w:sz w:val="24"/>
        </w:rPr>
        <w:t>safeguards</w:t>
      </w:r>
      <w:r>
        <w:rPr>
          <w:rFonts w:ascii="Times New Roman" w:hAnsi="Times New Roman" w:cs="Times New Roman"/>
          <w:noProof/>
          <w:sz w:val="24"/>
        </w:rPr>
        <w:t xml:space="preserve">. The aim would be to establish common principles for accessing data that may be stored outside of the issuing Member State, thereby reducing </w:t>
      </w:r>
      <w:r>
        <w:rPr>
          <w:rFonts w:ascii="Times New Roman" w:hAnsi="Times New Roman" w:cs="Times New Roman"/>
          <w:b/>
          <w:noProof/>
          <w:sz w:val="24"/>
        </w:rPr>
        <w:t>fragmentation</w:t>
      </w:r>
      <w:r>
        <w:rPr>
          <w:rFonts w:ascii="Times New Roman" w:hAnsi="Times New Roman" w:cs="Times New Roman"/>
          <w:noProof/>
          <w:sz w:val="24"/>
        </w:rPr>
        <w:t xml:space="preserve"> and increasing </w:t>
      </w:r>
      <w:r>
        <w:rPr>
          <w:rFonts w:ascii="Times New Roman" w:hAnsi="Times New Roman" w:cs="Times New Roman"/>
          <w:b/>
          <w:noProof/>
          <w:sz w:val="24"/>
        </w:rPr>
        <w:t>mutual trust</w:t>
      </w:r>
      <w:r>
        <w:rPr>
          <w:rFonts w:ascii="Times New Roman" w:hAnsi="Times New Roman" w:cs="Times New Roman"/>
          <w:noProof/>
          <w:sz w:val="24"/>
        </w:rPr>
        <w:t xml:space="preserve"> among Member States . </w:t>
      </w:r>
    </w:p>
    <w:p w:rsidR="001B65FF" w:rsidRDefault="003E4EF4">
      <w:pPr>
        <w:numPr>
          <w:ilvl w:val="0"/>
          <w:numId w:val="91"/>
        </w:numPr>
        <w:contextualSpacing/>
        <w:jc w:val="both"/>
        <w:rPr>
          <w:rFonts w:ascii="Times New Roman" w:hAnsi="Times New Roman" w:cs="Times New Roman"/>
          <w:b/>
          <w:noProof/>
          <w:sz w:val="24"/>
        </w:rPr>
      </w:pPr>
      <w:r>
        <w:rPr>
          <w:rFonts w:ascii="Times New Roman" w:hAnsi="Times New Roman" w:cs="Times New Roman"/>
          <w:b/>
          <w:noProof/>
          <w:sz w:val="24"/>
        </w:rPr>
        <w:t>Scope:</w:t>
      </w:r>
    </w:p>
    <w:p w:rsidR="001B65FF" w:rsidRDefault="003E4EF4">
      <w:pPr>
        <w:numPr>
          <w:ilvl w:val="0"/>
          <w:numId w:val="70"/>
        </w:numPr>
        <w:contextualSpacing/>
        <w:jc w:val="both"/>
        <w:rPr>
          <w:rFonts w:ascii="Times New Roman" w:hAnsi="Times New Roman" w:cs="Times New Roman"/>
          <w:b/>
          <w:noProof/>
          <w:sz w:val="24"/>
        </w:rPr>
      </w:pPr>
      <w:r>
        <w:rPr>
          <w:rFonts w:ascii="Times New Roman" w:hAnsi="Times New Roman" w:cs="Times New Roman"/>
          <w:noProof/>
          <w:sz w:val="24"/>
        </w:rPr>
        <w:t>Types of investigative actions covered:</w:t>
      </w:r>
    </w:p>
    <w:p w:rsidR="001B65FF" w:rsidRDefault="003E4EF4">
      <w:pPr>
        <w:numPr>
          <w:ilvl w:val="1"/>
          <w:numId w:val="70"/>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Direct access with the </w:t>
      </w:r>
      <w:r>
        <w:rPr>
          <w:rFonts w:ascii="Times New Roman" w:hAnsi="Times New Roman" w:cs="Times New Roman"/>
          <w:b/>
          <w:noProof/>
          <w:sz w:val="24"/>
        </w:rPr>
        <w:t>agreement of the data subject</w:t>
      </w:r>
      <w:r>
        <w:rPr>
          <w:rFonts w:ascii="Times New Roman" w:hAnsi="Times New Roman" w:cs="Times New Roman"/>
          <w:noProof/>
          <w:sz w:val="24"/>
          <w:szCs w:val="24"/>
        </w:rPr>
        <w:t>: e.g. if a victim or witness gives access to his or her mailbox to allow the authorities to view a relevant exchange wit</w:t>
      </w:r>
      <w:r>
        <w:rPr>
          <w:rFonts w:ascii="Times New Roman" w:hAnsi="Times New Roman" w:cs="Times New Roman"/>
          <w:noProof/>
          <w:sz w:val="24"/>
          <w:szCs w:val="24"/>
        </w:rPr>
        <w:t>h a suspect.</w:t>
      </w:r>
    </w:p>
    <w:p w:rsidR="001B65FF" w:rsidRDefault="003E4EF4">
      <w:pPr>
        <w:numPr>
          <w:ilvl w:val="1"/>
          <w:numId w:val="70"/>
        </w:numPr>
        <w:spacing w:after="0"/>
        <w:contextualSpacing/>
        <w:jc w:val="both"/>
        <w:rPr>
          <w:rFonts w:ascii="Times New Roman" w:hAnsi="Times New Roman" w:cs="Times New Roman"/>
          <w:noProof/>
          <w:sz w:val="24"/>
          <w:szCs w:val="24"/>
        </w:rPr>
      </w:pPr>
      <w:r>
        <w:rPr>
          <w:rFonts w:ascii="Times New Roman" w:hAnsi="Times New Roman" w:cs="Times New Roman"/>
          <w:b/>
          <w:noProof/>
          <w:sz w:val="24"/>
          <w:szCs w:val="24"/>
        </w:rPr>
        <w:t>Extended</w:t>
      </w:r>
      <w:r>
        <w:rPr>
          <w:rFonts w:ascii="Times New Roman" w:hAnsi="Times New Roman" w:cs="Times New Roman"/>
          <w:noProof/>
          <w:sz w:val="24"/>
          <w:szCs w:val="24"/>
        </w:rPr>
        <w:t xml:space="preserve"> search in the context of an </w:t>
      </w:r>
      <w:r>
        <w:rPr>
          <w:rFonts w:ascii="Times New Roman" w:hAnsi="Times New Roman" w:cs="Times New Roman"/>
          <w:b/>
          <w:noProof/>
          <w:sz w:val="24"/>
          <w:szCs w:val="24"/>
        </w:rPr>
        <w:t>ongoing search</w:t>
      </w:r>
      <w:r>
        <w:rPr>
          <w:rFonts w:ascii="Times New Roman" w:hAnsi="Times New Roman" w:cs="Times New Roman"/>
          <w:noProof/>
          <w:sz w:val="24"/>
          <w:szCs w:val="24"/>
        </w:rPr>
        <w:t xml:space="preserve"> under national law: e.g. when a person is searched on the basis of a warrant that extends to the search of any digital device the person is carrying.</w:t>
      </w:r>
    </w:p>
    <w:p w:rsidR="001B65FF" w:rsidRDefault="003E4EF4">
      <w:pPr>
        <w:numPr>
          <w:ilvl w:val="1"/>
          <w:numId w:val="70"/>
        </w:numPr>
        <w:contextualSpacing/>
        <w:jc w:val="both"/>
        <w:rPr>
          <w:rFonts w:ascii="Times New Roman" w:hAnsi="Times New Roman" w:cs="Times New Roman"/>
          <w:b/>
          <w:noProof/>
          <w:sz w:val="24"/>
        </w:rPr>
      </w:pPr>
      <w:r>
        <w:rPr>
          <w:rFonts w:ascii="Times New Roman" w:hAnsi="Times New Roman" w:cs="Times New Roman"/>
          <w:b/>
          <w:noProof/>
          <w:sz w:val="24"/>
          <w:szCs w:val="24"/>
        </w:rPr>
        <w:t xml:space="preserve">Remote </w:t>
      </w:r>
      <w:r>
        <w:rPr>
          <w:rFonts w:ascii="Times New Roman" w:hAnsi="Times New Roman" w:cs="Times New Roman"/>
          <w:noProof/>
          <w:sz w:val="24"/>
          <w:szCs w:val="24"/>
        </w:rPr>
        <w:t xml:space="preserve">search based on </w:t>
      </w:r>
      <w:r>
        <w:rPr>
          <w:rFonts w:ascii="Times New Roman" w:hAnsi="Times New Roman" w:cs="Times New Roman"/>
          <w:b/>
          <w:noProof/>
          <w:sz w:val="24"/>
          <w:szCs w:val="24"/>
        </w:rPr>
        <w:t xml:space="preserve">lawfully obtained </w:t>
      </w:r>
      <w:r>
        <w:rPr>
          <w:rFonts w:ascii="Times New Roman" w:hAnsi="Times New Roman" w:cs="Times New Roman"/>
          <w:b/>
          <w:noProof/>
          <w:sz w:val="24"/>
          <w:szCs w:val="24"/>
        </w:rPr>
        <w:t xml:space="preserve">user credentials: </w:t>
      </w:r>
      <w:r>
        <w:rPr>
          <w:rFonts w:ascii="Times New Roman" w:hAnsi="Times New Roman" w:cs="Times New Roman"/>
          <w:noProof/>
          <w:sz w:val="24"/>
          <w:szCs w:val="24"/>
        </w:rPr>
        <w:t>e.g. when authorities use login information obtained during a house search to access a dark web forum the suspect was active on.</w:t>
      </w:r>
    </w:p>
    <w:p w:rsidR="001B65FF" w:rsidRDefault="003E4EF4">
      <w:pPr>
        <w:numPr>
          <w:ilvl w:val="0"/>
          <w:numId w:val="70"/>
        </w:numPr>
        <w:contextualSpacing/>
        <w:jc w:val="both"/>
        <w:rPr>
          <w:rFonts w:ascii="Times New Roman" w:hAnsi="Times New Roman" w:cs="Times New Roman"/>
          <w:b/>
          <w:noProof/>
          <w:sz w:val="24"/>
        </w:rPr>
      </w:pPr>
      <w:r>
        <w:rPr>
          <w:rFonts w:ascii="Times New Roman" w:hAnsi="Times New Roman" w:cs="Times New Roman"/>
          <w:noProof/>
          <w:sz w:val="24"/>
        </w:rPr>
        <w:t>Material scope:</w:t>
      </w:r>
    </w:p>
    <w:p w:rsidR="001B65FF" w:rsidRDefault="003E4EF4">
      <w:pPr>
        <w:numPr>
          <w:ilvl w:val="1"/>
          <w:numId w:val="70"/>
        </w:numPr>
        <w:tabs>
          <w:tab w:val="left" w:pos="90"/>
        </w:tabs>
        <w:contextualSpacing/>
        <w:jc w:val="both"/>
        <w:rPr>
          <w:rFonts w:ascii="Times New Roman" w:eastAsia="Calibri" w:hAnsi="Times New Roman" w:cs="Times New Roman"/>
          <w:i/>
          <w:noProof/>
          <w:sz w:val="24"/>
        </w:rPr>
      </w:pPr>
      <w:r>
        <w:rPr>
          <w:rFonts w:ascii="Times New Roman" w:hAnsi="Times New Roman" w:cs="Times New Roman"/>
          <w:noProof/>
          <w:sz w:val="24"/>
        </w:rPr>
        <w:t xml:space="preserve">Content and non-content, stored (not intercept), concerning concrete criminal offences (no </w:t>
      </w:r>
      <w:r>
        <w:rPr>
          <w:rFonts w:ascii="Times New Roman" w:hAnsi="Times New Roman" w:cs="Times New Roman"/>
          <w:noProof/>
          <w:sz w:val="24"/>
        </w:rPr>
        <w:t>mass surveillance).</w:t>
      </w:r>
    </w:p>
    <w:p w:rsidR="001B65FF" w:rsidRDefault="003E4EF4">
      <w:pPr>
        <w:numPr>
          <w:ilvl w:val="0"/>
          <w:numId w:val="70"/>
        </w:numPr>
        <w:contextualSpacing/>
        <w:jc w:val="both"/>
        <w:rPr>
          <w:rFonts w:ascii="Times New Roman" w:hAnsi="Times New Roman" w:cs="Times New Roman"/>
          <w:b/>
          <w:noProof/>
          <w:sz w:val="24"/>
        </w:rPr>
      </w:pPr>
      <w:r>
        <w:rPr>
          <w:rFonts w:ascii="Times New Roman" w:hAnsi="Times New Roman" w:cs="Times New Roman"/>
          <w:noProof/>
          <w:sz w:val="24"/>
        </w:rPr>
        <w:t>Geography:</w:t>
      </w:r>
    </w:p>
    <w:p w:rsidR="001B65FF" w:rsidRDefault="003E4EF4">
      <w:pPr>
        <w:numPr>
          <w:ilvl w:val="1"/>
          <w:numId w:val="70"/>
        </w:numPr>
        <w:contextualSpacing/>
        <w:jc w:val="both"/>
        <w:rPr>
          <w:rFonts w:ascii="Times New Roman" w:hAnsi="Times New Roman" w:cs="Times New Roman"/>
          <w:b/>
          <w:noProof/>
          <w:sz w:val="24"/>
        </w:rPr>
      </w:pPr>
      <w:r>
        <w:rPr>
          <w:rFonts w:ascii="Times New Roman" w:hAnsi="Times New Roman" w:cs="Times New Roman"/>
          <w:noProof/>
          <w:sz w:val="24"/>
        </w:rPr>
        <w:t xml:space="preserve">In line with the geographical scope described in section 2.1.1., these legislative measure would cover </w:t>
      </w:r>
      <w:r>
        <w:rPr>
          <w:rFonts w:ascii="Times New Roman" w:hAnsi="Times New Roman" w:cs="Times New Roman"/>
          <w:b/>
          <w:noProof/>
          <w:sz w:val="24"/>
        </w:rPr>
        <w:t>data regardless of where it is stored</w:t>
      </w:r>
      <w:r>
        <w:rPr>
          <w:rFonts w:ascii="Times New Roman" w:hAnsi="Times New Roman" w:cs="Times New Roman"/>
          <w:noProof/>
          <w:sz w:val="24"/>
        </w:rPr>
        <w:t>, for the reasons described in sections 2 and 5, and to ensure that it encompasses th</w:t>
      </w:r>
      <w:r>
        <w:rPr>
          <w:rFonts w:ascii="Times New Roman" w:hAnsi="Times New Roman" w:cs="Times New Roman"/>
          <w:noProof/>
          <w:sz w:val="24"/>
        </w:rPr>
        <w:t>e wide range of existing solutions in place in the Member States.</w:t>
      </w:r>
    </w:p>
    <w:p w:rsidR="001B65FF" w:rsidRDefault="003E4EF4">
      <w:pPr>
        <w:numPr>
          <w:ilvl w:val="0"/>
          <w:numId w:val="91"/>
        </w:numPr>
        <w:contextualSpacing/>
        <w:jc w:val="both"/>
        <w:rPr>
          <w:rFonts w:ascii="Times New Roman" w:hAnsi="Times New Roman" w:cs="Times New Roman"/>
          <w:b/>
          <w:noProof/>
          <w:sz w:val="24"/>
        </w:rPr>
      </w:pPr>
      <w:r>
        <w:rPr>
          <w:rFonts w:ascii="Times New Roman" w:hAnsi="Times New Roman" w:cs="Times New Roman"/>
          <w:b/>
          <w:noProof/>
          <w:sz w:val="24"/>
        </w:rPr>
        <w:t>Conditions:</w:t>
      </w:r>
    </w:p>
    <w:p w:rsidR="001B65FF" w:rsidRDefault="003E4EF4">
      <w:pPr>
        <w:numPr>
          <w:ilvl w:val="0"/>
          <w:numId w:val="92"/>
        </w:numPr>
        <w:contextualSpacing/>
        <w:jc w:val="both"/>
        <w:rPr>
          <w:rFonts w:ascii="Times New Roman" w:hAnsi="Times New Roman" w:cs="Times New Roman"/>
          <w:noProof/>
          <w:sz w:val="24"/>
        </w:rPr>
      </w:pPr>
      <w:r>
        <w:rPr>
          <w:rFonts w:ascii="Times New Roman" w:hAnsi="Times New Roman" w:cs="Times New Roman"/>
          <w:noProof/>
          <w:sz w:val="24"/>
          <w:szCs w:val="24"/>
        </w:rPr>
        <w:t>The conditions should be enumerated in an exhaustive list, following the examples of the European Arrest Warrant</w:t>
      </w:r>
      <w:r>
        <w:rPr>
          <w:rStyle w:val="FootnoteReference"/>
          <w:rFonts w:ascii="Times New Roman" w:hAnsi="Times New Roman" w:cs="Times New Roman"/>
          <w:noProof/>
          <w:sz w:val="24"/>
          <w:szCs w:val="24"/>
        </w:rPr>
        <w:footnoteReference w:id="100"/>
      </w:r>
      <w:r>
        <w:rPr>
          <w:rFonts w:ascii="Times New Roman" w:hAnsi="Times New Roman" w:cs="Times New Roman"/>
          <w:noProof/>
          <w:sz w:val="24"/>
          <w:szCs w:val="24"/>
        </w:rPr>
        <w:t xml:space="preserve"> or the Europol Regulation</w:t>
      </w:r>
      <w:r>
        <w:rPr>
          <w:rStyle w:val="FootnoteReference"/>
          <w:rFonts w:ascii="Times New Roman" w:hAnsi="Times New Roman" w:cs="Times New Roman"/>
          <w:noProof/>
          <w:sz w:val="24"/>
          <w:szCs w:val="24"/>
        </w:rPr>
        <w:footnoteReference w:id="101"/>
      </w:r>
      <w:r>
        <w:rPr>
          <w:rFonts w:ascii="Times New Roman" w:hAnsi="Times New Roman" w:cs="Times New Roman"/>
          <w:noProof/>
          <w:sz w:val="24"/>
          <w:szCs w:val="24"/>
        </w:rPr>
        <w:t>.</w:t>
      </w:r>
    </w:p>
    <w:p w:rsidR="001B65FF" w:rsidRDefault="003E4EF4">
      <w:pPr>
        <w:numPr>
          <w:ilvl w:val="0"/>
          <w:numId w:val="92"/>
        </w:numPr>
        <w:tabs>
          <w:tab w:val="left" w:pos="90"/>
        </w:tabs>
        <w:contextualSpacing/>
        <w:jc w:val="both"/>
        <w:rPr>
          <w:rFonts w:ascii="Times New Roman" w:eastAsia="Calibri" w:hAnsi="Times New Roman" w:cs="Times New Roman"/>
          <w:i/>
          <w:noProof/>
          <w:sz w:val="24"/>
        </w:rPr>
      </w:pPr>
      <w:r>
        <w:rPr>
          <w:rFonts w:ascii="Times New Roman" w:hAnsi="Times New Roman" w:cs="Times New Roman"/>
          <w:noProof/>
          <w:sz w:val="24"/>
        </w:rPr>
        <w:t xml:space="preserve">The legislation would cover </w:t>
      </w:r>
      <w:r>
        <w:rPr>
          <w:rFonts w:ascii="Times New Roman" w:hAnsi="Times New Roman" w:cs="Times New Roman"/>
          <w:b/>
          <w:noProof/>
          <w:sz w:val="24"/>
        </w:rPr>
        <w:t>at least</w:t>
      </w:r>
      <w:r>
        <w:rPr>
          <w:rFonts w:ascii="Times New Roman" w:hAnsi="Times New Roman" w:cs="Times New Roman"/>
          <w:b/>
          <w:noProof/>
          <w:sz w:val="24"/>
        </w:rPr>
        <w:t xml:space="preserve"> serious crimes</w:t>
      </w:r>
      <w:r>
        <w:rPr>
          <w:rFonts w:ascii="Times New Roman" w:hAnsi="Times New Roman" w:cs="Times New Roman"/>
          <w:noProof/>
          <w:sz w:val="24"/>
        </w:rPr>
        <w:t xml:space="preserve"> and would leave it up to the Member States to cover also other types of crime, or cover all types of crimes.</w:t>
      </w:r>
    </w:p>
    <w:p w:rsidR="001B65FF" w:rsidRDefault="003E4EF4">
      <w:pPr>
        <w:numPr>
          <w:ilvl w:val="1"/>
          <w:numId w:val="92"/>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Direct access to data always takes place in the framework of a national investigative measure (e.g. seize and search). National law frameworks impose different conditions on the use of these investigating measures, which may include </w:t>
      </w:r>
      <w:r>
        <w:rPr>
          <w:rFonts w:ascii="Times New Roman" w:eastAsia="Calibri" w:hAnsi="Times New Roman" w:cs="Times New Roman"/>
          <w:b/>
          <w:noProof/>
          <w:sz w:val="24"/>
        </w:rPr>
        <w:t>limitations</w:t>
      </w:r>
      <w:r>
        <w:rPr>
          <w:rFonts w:ascii="Times New Roman" w:eastAsia="Calibri" w:hAnsi="Times New Roman" w:cs="Times New Roman"/>
          <w:noProof/>
          <w:sz w:val="24"/>
        </w:rPr>
        <w:t xml:space="preserve"> with regard</w:t>
      </w:r>
      <w:r>
        <w:rPr>
          <w:rFonts w:ascii="Times New Roman" w:eastAsia="Calibri" w:hAnsi="Times New Roman" w:cs="Times New Roman"/>
          <w:noProof/>
          <w:sz w:val="24"/>
        </w:rPr>
        <w:t xml:space="preserve"> to the </w:t>
      </w:r>
      <w:r>
        <w:rPr>
          <w:rFonts w:ascii="Times New Roman" w:eastAsia="Calibri" w:hAnsi="Times New Roman" w:cs="Times New Roman"/>
          <w:b/>
          <w:noProof/>
          <w:sz w:val="24"/>
        </w:rPr>
        <w:t>types of crime</w:t>
      </w:r>
      <w:r>
        <w:rPr>
          <w:rFonts w:ascii="Times New Roman" w:eastAsia="Calibri" w:hAnsi="Times New Roman" w:cs="Times New Roman"/>
          <w:noProof/>
          <w:sz w:val="24"/>
        </w:rPr>
        <w:t xml:space="preserve"> that would be applicable for obtaining the data stored on the device or in a cloud, when it is allowed. </w:t>
      </w:r>
    </w:p>
    <w:p w:rsidR="001B65FF" w:rsidRDefault="003E4EF4">
      <w:pPr>
        <w:numPr>
          <w:ilvl w:val="1"/>
          <w:numId w:val="92"/>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By establishing that Member States could introduce such measures </w:t>
      </w:r>
      <w:r>
        <w:rPr>
          <w:rFonts w:ascii="Times New Roman" w:eastAsia="Calibri" w:hAnsi="Times New Roman" w:cs="Times New Roman"/>
          <w:b/>
          <w:noProof/>
          <w:sz w:val="24"/>
        </w:rPr>
        <w:t>at least for serious</w:t>
      </w:r>
      <w:r>
        <w:rPr>
          <w:rFonts w:ascii="Times New Roman" w:eastAsia="Calibri" w:hAnsi="Times New Roman" w:cs="Times New Roman"/>
          <w:noProof/>
          <w:sz w:val="24"/>
        </w:rPr>
        <w:t xml:space="preserve"> </w:t>
      </w:r>
      <w:r>
        <w:rPr>
          <w:rFonts w:ascii="Times New Roman" w:eastAsia="Calibri" w:hAnsi="Times New Roman" w:cs="Times New Roman"/>
          <w:b/>
          <w:noProof/>
          <w:sz w:val="24"/>
        </w:rPr>
        <w:t>crimes</w:t>
      </w:r>
      <w:r>
        <w:rPr>
          <w:rFonts w:ascii="Times New Roman" w:eastAsia="Calibri" w:hAnsi="Times New Roman" w:cs="Times New Roman"/>
          <w:noProof/>
          <w:sz w:val="24"/>
        </w:rPr>
        <w:t xml:space="preserve"> without preventing them from going </w:t>
      </w:r>
      <w:r>
        <w:rPr>
          <w:rFonts w:ascii="Times New Roman" w:eastAsia="Calibri" w:hAnsi="Times New Roman" w:cs="Times New Roman"/>
          <w:noProof/>
          <w:sz w:val="24"/>
        </w:rPr>
        <w:t>further, the proposal would allow Member States to adapt the provisions to their specific situation.</w:t>
      </w:r>
    </w:p>
    <w:p w:rsidR="001B65FF" w:rsidRDefault="003E4EF4">
      <w:pPr>
        <w:numPr>
          <w:ilvl w:val="1"/>
          <w:numId w:val="92"/>
        </w:numPr>
        <w:tabs>
          <w:tab w:val="left" w:pos="90"/>
        </w:tabs>
        <w:contextualSpacing/>
        <w:jc w:val="both"/>
        <w:rPr>
          <w:rFonts w:ascii="Times New Roman" w:eastAsia="Calibri" w:hAnsi="Times New Roman" w:cs="Times New Roman"/>
          <w:noProof/>
          <w:sz w:val="24"/>
        </w:rPr>
      </w:pPr>
      <w:r>
        <w:rPr>
          <w:rFonts w:ascii="Times New Roman" w:eastAsia="Calibri" w:hAnsi="Times New Roman" w:cs="Times New Roman"/>
          <w:noProof/>
          <w:sz w:val="24"/>
        </w:rPr>
        <w:t>Serious forms of crime could be defined, like in mutual recognition instruments, through a list of crimes or through criteria established in the proposal (</w:t>
      </w:r>
      <w:r>
        <w:rPr>
          <w:rFonts w:ascii="Times New Roman" w:eastAsia="Calibri" w:hAnsi="Times New Roman" w:cs="Times New Roman"/>
          <w:noProof/>
          <w:sz w:val="24"/>
        </w:rPr>
        <w:t xml:space="preserve">e.g. by referring to a minimum sanction of a crime), in a way that </w:t>
      </w:r>
      <w:r>
        <w:rPr>
          <w:rFonts w:ascii="Times New Roman" w:eastAsia="Calibri" w:hAnsi="Times New Roman" w:cs="Times New Roman"/>
          <w:b/>
          <w:noProof/>
          <w:sz w:val="24"/>
        </w:rPr>
        <w:t>avoids conflicts</w:t>
      </w:r>
      <w:r>
        <w:rPr>
          <w:rFonts w:ascii="Times New Roman" w:eastAsia="Calibri" w:hAnsi="Times New Roman" w:cs="Times New Roman"/>
          <w:noProof/>
          <w:sz w:val="24"/>
        </w:rPr>
        <w:t xml:space="preserve"> with the national frameworks.</w:t>
      </w:r>
    </w:p>
    <w:p w:rsidR="001B65FF" w:rsidRDefault="003E4EF4">
      <w:pPr>
        <w:numPr>
          <w:ilvl w:val="1"/>
          <w:numId w:val="92"/>
        </w:numPr>
        <w:contextualSpacing/>
        <w:jc w:val="both"/>
        <w:rPr>
          <w:rFonts w:ascii="Times New Roman" w:hAnsi="Times New Roman" w:cs="Times New Roman"/>
          <w:noProof/>
          <w:sz w:val="24"/>
        </w:rPr>
      </w:pPr>
      <w:r>
        <w:rPr>
          <w:rFonts w:ascii="Times New Roman" w:hAnsi="Times New Roman" w:cs="Times New Roman"/>
          <w:noProof/>
          <w:sz w:val="24"/>
        </w:rPr>
        <w:t>At the same time, imposing conditions and safeguards for serious crime only would open a path for Member States to apply less conditions and l</w:t>
      </w:r>
      <w:r>
        <w:rPr>
          <w:rFonts w:ascii="Times New Roman" w:hAnsi="Times New Roman" w:cs="Times New Roman"/>
          <w:noProof/>
          <w:sz w:val="24"/>
        </w:rPr>
        <w:t>ower safeguards to direct access for lesser crimes. This might be inappropriate given the need to ensure proportionality of conditions and safeguards to the situation at hand, including the severity of the offence. Viewed from that perspective, it could be</w:t>
      </w:r>
      <w:r>
        <w:rPr>
          <w:rFonts w:ascii="Times New Roman" w:hAnsi="Times New Roman" w:cs="Times New Roman"/>
          <w:noProof/>
          <w:sz w:val="24"/>
        </w:rPr>
        <w:t xml:space="preserve"> counterproductive to impose stricter conditions for more serious offences only.</w:t>
      </w:r>
    </w:p>
    <w:p w:rsidR="001B65FF" w:rsidRDefault="003E4EF4">
      <w:pPr>
        <w:numPr>
          <w:ilvl w:val="0"/>
          <w:numId w:val="92"/>
        </w:numPr>
        <w:tabs>
          <w:tab w:val="left" w:pos="90"/>
        </w:tabs>
        <w:contextualSpacing/>
        <w:jc w:val="both"/>
        <w:rPr>
          <w:rFonts w:ascii="Times New Roman" w:hAnsi="Times New Roman" w:cs="Times New Roman"/>
          <w:noProof/>
          <w:sz w:val="24"/>
          <w:szCs w:val="24"/>
        </w:rPr>
      </w:pPr>
      <w:r>
        <w:rPr>
          <w:rFonts w:ascii="Times New Roman" w:hAnsi="Times New Roman" w:cs="Times New Roman"/>
          <w:noProof/>
          <w:sz w:val="24"/>
        </w:rPr>
        <w:t xml:space="preserve">Specific conditions for </w:t>
      </w:r>
      <w:r>
        <w:rPr>
          <w:rFonts w:ascii="Times New Roman" w:hAnsi="Times New Roman" w:cs="Times New Roman"/>
          <w:noProof/>
          <w:sz w:val="24"/>
          <w:szCs w:val="24"/>
        </w:rPr>
        <w:t xml:space="preserve">direct access </w:t>
      </w:r>
      <w:r>
        <w:rPr>
          <w:rFonts w:ascii="Times New Roman" w:hAnsi="Times New Roman" w:cs="Times New Roman"/>
          <w:b/>
          <w:noProof/>
          <w:sz w:val="24"/>
          <w:szCs w:val="24"/>
        </w:rPr>
        <w:t>with the agreement</w:t>
      </w:r>
      <w:r>
        <w:rPr>
          <w:rFonts w:ascii="Times New Roman" w:hAnsi="Times New Roman" w:cs="Times New Roman"/>
          <w:noProof/>
          <w:sz w:val="24"/>
          <w:szCs w:val="24"/>
        </w:rPr>
        <w:t xml:space="preserve"> of the data subject. </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data subject (the suspect or a third person) would have given his or her agreement to access</w:t>
      </w:r>
      <w:r>
        <w:rPr>
          <w:rFonts w:ascii="Times New Roman" w:hAnsi="Times New Roman" w:cs="Times New Roman"/>
          <w:noProof/>
          <w:sz w:val="24"/>
          <w:szCs w:val="24"/>
        </w:rPr>
        <w:t xml:space="preserve"> his or her data stored in another territory, irrespective whether it is via the device of the data subject or via another computer system in the investigating State. </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National law would have to provide an appropriate legal basis for the processing of pers</w:t>
      </w:r>
      <w:r>
        <w:rPr>
          <w:rFonts w:ascii="Times New Roman" w:hAnsi="Times New Roman" w:cs="Times New Roman"/>
          <w:noProof/>
          <w:sz w:val="24"/>
          <w:szCs w:val="24"/>
        </w:rPr>
        <w:t xml:space="preserve">onal data to comply with the Police Directive which requires a legal basis either in national or in European law, even when the data is processed with the agreement of the affected person. </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A similar situation is already covered by the Budapest Convention</w:t>
      </w:r>
      <w:r>
        <w:rPr>
          <w:rFonts w:ascii="Times New Roman" w:hAnsi="Times New Roman" w:cs="Times New Roman"/>
          <w:noProof/>
          <w:sz w:val="24"/>
          <w:szCs w:val="24"/>
          <w:vertAlign w:val="superscript"/>
        </w:rPr>
        <w:footnoteReference w:id="102"/>
      </w:r>
      <w:r>
        <w:rPr>
          <w:rFonts w:ascii="Times New Roman" w:hAnsi="Times New Roman" w:cs="Times New Roman"/>
          <w:noProof/>
          <w:sz w:val="24"/>
          <w:szCs w:val="24"/>
        </w:rPr>
        <w:t>, which provides for a search with the consent of the person who has the authority to disclose the data through a computer system in the territory of the investigating state.</w:t>
      </w:r>
    </w:p>
    <w:p w:rsidR="001B65FF" w:rsidRDefault="003E4EF4">
      <w:pPr>
        <w:numPr>
          <w:ilvl w:val="0"/>
          <w:numId w:val="92"/>
        </w:numPr>
        <w:tabs>
          <w:tab w:val="left" w:pos="90"/>
        </w:tabs>
        <w:contextualSpacing/>
        <w:jc w:val="both"/>
        <w:rPr>
          <w:rFonts w:ascii="Times New Roman" w:hAnsi="Times New Roman" w:cs="Times New Roman"/>
          <w:noProof/>
          <w:sz w:val="24"/>
          <w:szCs w:val="24"/>
        </w:rPr>
      </w:pPr>
      <w:r>
        <w:rPr>
          <w:rFonts w:ascii="Times New Roman" w:hAnsi="Times New Roman" w:cs="Times New Roman"/>
          <w:noProof/>
          <w:sz w:val="24"/>
        </w:rPr>
        <w:t xml:space="preserve">Specific conditions for an </w:t>
      </w:r>
      <w:r>
        <w:rPr>
          <w:rFonts w:ascii="Times New Roman" w:hAnsi="Times New Roman" w:cs="Times New Roman"/>
          <w:b/>
          <w:noProof/>
          <w:sz w:val="24"/>
          <w:szCs w:val="24"/>
        </w:rPr>
        <w:t>extended</w:t>
      </w:r>
      <w:r>
        <w:rPr>
          <w:rFonts w:ascii="Times New Roman" w:hAnsi="Times New Roman" w:cs="Times New Roman"/>
          <w:noProof/>
          <w:sz w:val="24"/>
          <w:szCs w:val="24"/>
        </w:rPr>
        <w:t xml:space="preserve"> search in the context of an </w:t>
      </w:r>
      <w:r>
        <w:rPr>
          <w:rFonts w:ascii="Times New Roman" w:hAnsi="Times New Roman" w:cs="Times New Roman"/>
          <w:b/>
          <w:noProof/>
          <w:sz w:val="24"/>
          <w:szCs w:val="24"/>
        </w:rPr>
        <w:t>ongoing search</w:t>
      </w:r>
      <w:r>
        <w:rPr>
          <w:rFonts w:ascii="Times New Roman" w:hAnsi="Times New Roman" w:cs="Times New Roman"/>
          <w:noProof/>
          <w:sz w:val="24"/>
          <w:szCs w:val="24"/>
        </w:rPr>
        <w:t xml:space="preserve"> un</w:t>
      </w:r>
      <w:r>
        <w:rPr>
          <w:rFonts w:ascii="Times New Roman" w:hAnsi="Times New Roman" w:cs="Times New Roman"/>
          <w:noProof/>
          <w:sz w:val="24"/>
          <w:szCs w:val="24"/>
        </w:rPr>
        <w:t>der national law:</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Direct access through a seized device would be covered if there is an </w:t>
      </w:r>
      <w:r>
        <w:rPr>
          <w:rFonts w:ascii="Times New Roman" w:hAnsi="Times New Roman" w:cs="Times New Roman"/>
          <w:b/>
          <w:noProof/>
          <w:sz w:val="24"/>
          <w:szCs w:val="24"/>
        </w:rPr>
        <w:t>ongoing search</w:t>
      </w:r>
      <w:r>
        <w:rPr>
          <w:rFonts w:ascii="Times New Roman" w:hAnsi="Times New Roman" w:cs="Times New Roman"/>
          <w:noProof/>
          <w:sz w:val="24"/>
          <w:szCs w:val="24"/>
        </w:rPr>
        <w:t xml:space="preserve"> (and seizure) of an electronic storage medium located in the territory of the investigating State on the basis of national law </w:t>
      </w:r>
      <w:r>
        <w:rPr>
          <w:rFonts w:ascii="Times New Roman" w:hAnsi="Times New Roman" w:cs="Times New Roman"/>
          <w:b/>
          <w:noProof/>
          <w:sz w:val="24"/>
          <w:szCs w:val="24"/>
        </w:rPr>
        <w:t>with the knowledge</w:t>
      </w:r>
      <w:r>
        <w:rPr>
          <w:rFonts w:ascii="Times New Roman" w:hAnsi="Times New Roman" w:cs="Times New Roman"/>
          <w:noProof/>
          <w:sz w:val="24"/>
          <w:szCs w:val="24"/>
        </w:rPr>
        <w:t xml:space="preserve"> of the </w:t>
      </w:r>
      <w:r>
        <w:rPr>
          <w:rFonts w:ascii="Times New Roman" w:hAnsi="Times New Roman" w:cs="Times New Roman"/>
          <w:noProof/>
          <w:sz w:val="24"/>
          <w:szCs w:val="24"/>
        </w:rPr>
        <w:t>affected person.</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data concerned has to be considered </w:t>
      </w:r>
      <w:r>
        <w:rPr>
          <w:rFonts w:ascii="Times New Roman" w:hAnsi="Times New Roman" w:cs="Times New Roman"/>
          <w:b/>
          <w:noProof/>
          <w:sz w:val="24"/>
          <w:szCs w:val="24"/>
        </w:rPr>
        <w:t>necessary</w:t>
      </w:r>
      <w:r>
        <w:rPr>
          <w:rFonts w:ascii="Times New Roman" w:hAnsi="Times New Roman" w:cs="Times New Roman"/>
          <w:noProof/>
          <w:sz w:val="24"/>
          <w:szCs w:val="24"/>
        </w:rPr>
        <w:t xml:space="preserve"> for the investigation; furthermore, direct access to the data would have to be </w:t>
      </w:r>
      <w:r>
        <w:rPr>
          <w:rFonts w:ascii="Times New Roman" w:hAnsi="Times New Roman" w:cs="Times New Roman"/>
          <w:b/>
          <w:noProof/>
          <w:sz w:val="24"/>
          <w:szCs w:val="24"/>
        </w:rPr>
        <w:t>required in order to avert the threat of losing the data</w:t>
      </w:r>
      <w:r>
        <w:rPr>
          <w:rFonts w:ascii="Times New Roman" w:hAnsi="Times New Roman" w:cs="Times New Roman"/>
          <w:noProof/>
          <w:sz w:val="24"/>
          <w:szCs w:val="24"/>
        </w:rPr>
        <w:t>. This threat can be particularly acute in the context</w:t>
      </w:r>
      <w:r>
        <w:rPr>
          <w:rFonts w:ascii="Times New Roman" w:hAnsi="Times New Roman" w:cs="Times New Roman"/>
          <w:noProof/>
          <w:sz w:val="24"/>
          <w:szCs w:val="24"/>
        </w:rPr>
        <w:t xml:space="preserve"> of an open search as the suspect becomes aware of the investigation and may seek to destroy evidence. However, if swift cooperation from a service provider can be expected, direct access should not be necessary. </w:t>
      </w:r>
    </w:p>
    <w:p w:rsidR="001B65FF" w:rsidRDefault="003E4EF4">
      <w:pPr>
        <w:numPr>
          <w:ilvl w:val="0"/>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Specific conditions for a </w:t>
      </w:r>
      <w:r>
        <w:rPr>
          <w:rFonts w:ascii="Times New Roman" w:hAnsi="Times New Roman" w:cs="Times New Roman"/>
          <w:b/>
          <w:noProof/>
          <w:sz w:val="24"/>
          <w:szCs w:val="24"/>
        </w:rPr>
        <w:t xml:space="preserve">remote </w:t>
      </w:r>
      <w:r>
        <w:rPr>
          <w:rFonts w:ascii="Times New Roman" w:hAnsi="Times New Roman" w:cs="Times New Roman"/>
          <w:noProof/>
          <w:sz w:val="24"/>
          <w:szCs w:val="24"/>
        </w:rPr>
        <w:t xml:space="preserve">search based on </w:t>
      </w:r>
      <w:r>
        <w:rPr>
          <w:rFonts w:ascii="Times New Roman" w:hAnsi="Times New Roman" w:cs="Times New Roman"/>
          <w:b/>
          <w:noProof/>
          <w:sz w:val="24"/>
          <w:szCs w:val="24"/>
        </w:rPr>
        <w:t>lawfully obtained user credentials</w:t>
      </w:r>
      <w:r>
        <w:rPr>
          <w:rFonts w:ascii="Times New Roman" w:hAnsi="Times New Roman" w:cs="Times New Roman"/>
          <w:noProof/>
          <w:sz w:val="24"/>
          <w:szCs w:val="24"/>
        </w:rPr>
        <w:t>:</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Direct access to data stored remotely through an authority’s device would be covered if the credentials to an online account have been lawfully obtained. </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credentials can have been provided by a perso</w:t>
      </w:r>
      <w:r>
        <w:rPr>
          <w:rFonts w:ascii="Times New Roman" w:hAnsi="Times New Roman" w:cs="Times New Roman"/>
          <w:noProof/>
          <w:sz w:val="24"/>
          <w:szCs w:val="24"/>
        </w:rPr>
        <w:t xml:space="preserve">n other than the service provider, or found during the search of a premises or a device. </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knowledge of the user would not be required. </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data concerned again has to be considered </w:t>
      </w:r>
      <w:r>
        <w:rPr>
          <w:rFonts w:ascii="Times New Roman" w:hAnsi="Times New Roman" w:cs="Times New Roman"/>
          <w:b/>
          <w:noProof/>
          <w:sz w:val="24"/>
          <w:szCs w:val="24"/>
        </w:rPr>
        <w:t>necessary</w:t>
      </w:r>
      <w:r>
        <w:rPr>
          <w:rFonts w:ascii="Times New Roman" w:hAnsi="Times New Roman" w:cs="Times New Roman"/>
          <w:noProof/>
          <w:sz w:val="24"/>
          <w:szCs w:val="24"/>
        </w:rPr>
        <w:t xml:space="preserve"> for the investigation; furthermore, direct access to the dat</w:t>
      </w:r>
      <w:r>
        <w:rPr>
          <w:rFonts w:ascii="Times New Roman" w:hAnsi="Times New Roman" w:cs="Times New Roman"/>
          <w:noProof/>
          <w:sz w:val="24"/>
          <w:szCs w:val="24"/>
        </w:rPr>
        <w:t xml:space="preserve">a would have to be </w:t>
      </w:r>
      <w:r>
        <w:rPr>
          <w:rFonts w:ascii="Times New Roman" w:hAnsi="Times New Roman" w:cs="Times New Roman"/>
          <w:b/>
          <w:noProof/>
          <w:sz w:val="24"/>
          <w:szCs w:val="24"/>
        </w:rPr>
        <w:t>required in order to avert the threat of losing the data</w:t>
      </w:r>
      <w:r>
        <w:rPr>
          <w:rFonts w:ascii="Times New Roman" w:hAnsi="Times New Roman" w:cs="Times New Roman"/>
          <w:noProof/>
          <w:sz w:val="24"/>
          <w:szCs w:val="24"/>
        </w:rPr>
        <w:t>. The same considerations set out immediately above also apply.</w:t>
      </w:r>
    </w:p>
    <w:p w:rsidR="001B65FF" w:rsidRDefault="003E4EF4">
      <w:pPr>
        <w:numPr>
          <w:ilvl w:val="0"/>
          <w:numId w:val="92"/>
        </w:numPr>
        <w:spacing w:after="0"/>
        <w:contextualSpacing/>
        <w:jc w:val="both"/>
        <w:rPr>
          <w:rFonts w:ascii="Times New Roman" w:hAnsi="Times New Roman" w:cs="Times New Roman"/>
          <w:noProof/>
          <w:sz w:val="24"/>
        </w:rPr>
      </w:pPr>
      <w:r>
        <w:rPr>
          <w:rFonts w:ascii="Times New Roman" w:hAnsi="Times New Roman" w:cs="Times New Roman"/>
          <w:noProof/>
          <w:sz w:val="24"/>
          <w:szCs w:val="24"/>
        </w:rPr>
        <w:t xml:space="preserve">The conditions applicable for the search of the data on the device itself already set out by the respective </w:t>
      </w:r>
      <w:r>
        <w:rPr>
          <w:rFonts w:ascii="Times New Roman" w:hAnsi="Times New Roman" w:cs="Times New Roman"/>
          <w:b/>
          <w:noProof/>
          <w:sz w:val="24"/>
          <w:szCs w:val="24"/>
        </w:rPr>
        <w:t xml:space="preserve">national </w:t>
      </w:r>
      <w:r>
        <w:rPr>
          <w:rFonts w:ascii="Times New Roman" w:hAnsi="Times New Roman" w:cs="Times New Roman"/>
          <w:b/>
          <w:noProof/>
          <w:sz w:val="24"/>
          <w:szCs w:val="24"/>
        </w:rPr>
        <w:t>law</w:t>
      </w:r>
      <w:r>
        <w:rPr>
          <w:rFonts w:ascii="Times New Roman" w:hAnsi="Times New Roman" w:cs="Times New Roman"/>
          <w:noProof/>
          <w:sz w:val="24"/>
          <w:szCs w:val="24"/>
        </w:rPr>
        <w:t xml:space="preserve"> would be preserved. </w:t>
      </w:r>
    </w:p>
    <w:p w:rsidR="001B65FF" w:rsidRDefault="003E4EF4">
      <w:pPr>
        <w:numPr>
          <w:ilvl w:val="0"/>
          <w:numId w:val="91"/>
        </w:numPr>
        <w:contextualSpacing/>
        <w:jc w:val="both"/>
        <w:rPr>
          <w:rFonts w:ascii="Times New Roman" w:hAnsi="Times New Roman" w:cs="Times New Roman"/>
          <w:b/>
          <w:noProof/>
          <w:sz w:val="24"/>
        </w:rPr>
      </w:pPr>
      <w:r>
        <w:rPr>
          <w:rFonts w:ascii="Times New Roman" w:hAnsi="Times New Roman" w:cs="Times New Roman"/>
          <w:b/>
          <w:noProof/>
          <w:sz w:val="24"/>
        </w:rPr>
        <w:t>Safeguards:</w:t>
      </w:r>
    </w:p>
    <w:p w:rsidR="001B65FF" w:rsidRDefault="003E4EF4">
      <w:pPr>
        <w:numPr>
          <w:ilvl w:val="0"/>
          <w:numId w:val="96"/>
        </w:numPr>
        <w:contextualSpacing/>
        <w:jc w:val="both"/>
        <w:rPr>
          <w:rFonts w:ascii="Times New Roman" w:hAnsi="Times New Roman" w:cs="Times New Roman"/>
          <w:noProof/>
          <w:sz w:val="24"/>
          <w:szCs w:val="24"/>
        </w:rPr>
      </w:pPr>
      <w:r>
        <w:rPr>
          <w:rFonts w:ascii="Times New Roman" w:hAnsi="Times New Roman" w:cs="Times New Roman"/>
          <w:b/>
          <w:noProof/>
          <w:sz w:val="24"/>
          <w:szCs w:val="24"/>
        </w:rPr>
        <w:t>Procedural rights</w:t>
      </w:r>
      <w:r>
        <w:rPr>
          <w:rFonts w:ascii="Times New Roman" w:hAnsi="Times New Roman" w:cs="Times New Roman"/>
          <w:noProof/>
          <w:sz w:val="24"/>
          <w:szCs w:val="24"/>
        </w:rPr>
        <w:t xml:space="preserve"> of accused and suspected persons (idem </w:t>
      </w:r>
      <w:r>
        <w:rPr>
          <w:rFonts w:ascii="Times New Roman" w:hAnsi="Times New Roman" w:cs="Times New Roman"/>
          <w:noProof/>
          <w:sz w:val="24"/>
        </w:rPr>
        <w:t>European Production Order</w:t>
      </w:r>
      <w:r>
        <w:rPr>
          <w:rFonts w:ascii="Times New Roman" w:hAnsi="Times New Roman" w:cs="Times New Roman"/>
          <w:noProof/>
          <w:sz w:val="24"/>
          <w:szCs w:val="24"/>
        </w:rPr>
        <w:t xml:space="preserve">, see above).   </w:t>
      </w:r>
    </w:p>
    <w:p w:rsidR="001B65FF" w:rsidRDefault="003E4EF4">
      <w:pPr>
        <w:numPr>
          <w:ilvl w:val="0"/>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Intervention of a </w:t>
      </w:r>
      <w:r>
        <w:rPr>
          <w:rFonts w:ascii="Times New Roman" w:hAnsi="Times New Roman" w:cs="Times New Roman"/>
          <w:b/>
          <w:noProof/>
          <w:sz w:val="24"/>
          <w:szCs w:val="24"/>
        </w:rPr>
        <w:t>judicial authority:</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Any of the forms of direct access covered by the legal act would have to be valida</w:t>
      </w:r>
      <w:r>
        <w:rPr>
          <w:rFonts w:ascii="Times New Roman" w:hAnsi="Times New Roman" w:cs="Times New Roman"/>
          <w:noProof/>
          <w:sz w:val="24"/>
          <w:szCs w:val="24"/>
        </w:rPr>
        <w:t>ted by a judicial authority.</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decision by the judicial authority to validate a form of direct access would take into account the respect of the Charter of Fundamental Rights including the principles of </w:t>
      </w:r>
      <w:r>
        <w:rPr>
          <w:rFonts w:ascii="Times New Roman" w:hAnsi="Times New Roman" w:cs="Times New Roman"/>
          <w:b/>
          <w:noProof/>
          <w:sz w:val="24"/>
          <w:szCs w:val="24"/>
        </w:rPr>
        <w:t>necessity and proportionality</w:t>
      </w:r>
      <w:r>
        <w:rPr>
          <w:rFonts w:ascii="Times New Roman" w:hAnsi="Times New Roman" w:cs="Times New Roman"/>
          <w:noProof/>
          <w:sz w:val="24"/>
          <w:szCs w:val="24"/>
        </w:rPr>
        <w:t xml:space="preserve">, taking into account </w:t>
      </w:r>
      <w:r>
        <w:rPr>
          <w:rFonts w:ascii="Times New Roman" w:hAnsi="Times New Roman" w:cs="Times New Roman"/>
          <w:noProof/>
          <w:sz w:val="24"/>
          <w:szCs w:val="24"/>
        </w:rPr>
        <w:t>that:</w:t>
      </w:r>
    </w:p>
    <w:p w:rsidR="001B65FF" w:rsidRDefault="003E4EF4">
      <w:pPr>
        <w:numPr>
          <w:ilvl w:val="2"/>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Access should be limited to what is </w:t>
      </w:r>
      <w:r>
        <w:rPr>
          <w:rFonts w:ascii="Times New Roman" w:hAnsi="Times New Roman" w:cs="Times New Roman"/>
          <w:b/>
          <w:noProof/>
          <w:sz w:val="24"/>
          <w:szCs w:val="24"/>
        </w:rPr>
        <w:t>necessary and proportionate</w:t>
      </w:r>
      <w:r>
        <w:rPr>
          <w:rFonts w:ascii="Times New Roman" w:hAnsi="Times New Roman" w:cs="Times New Roman"/>
          <w:noProof/>
          <w:sz w:val="24"/>
          <w:szCs w:val="24"/>
        </w:rPr>
        <w:t xml:space="preserve"> to the purpose of the proceedings, also in view of the nature and gravity of the offence under investigation.</w:t>
      </w:r>
    </w:p>
    <w:p w:rsidR="001B65FF" w:rsidRDefault="003E4EF4">
      <w:pPr>
        <w:numPr>
          <w:ilvl w:val="2"/>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In addition, direct access to the data would have to be necessary in order t</w:t>
      </w:r>
      <w:r>
        <w:rPr>
          <w:rFonts w:ascii="Times New Roman" w:hAnsi="Times New Roman" w:cs="Times New Roman"/>
          <w:noProof/>
          <w:sz w:val="24"/>
          <w:szCs w:val="24"/>
        </w:rPr>
        <w:t xml:space="preserve">o avert the </w:t>
      </w:r>
      <w:r>
        <w:rPr>
          <w:rFonts w:ascii="Times New Roman" w:hAnsi="Times New Roman" w:cs="Times New Roman"/>
          <w:b/>
          <w:noProof/>
          <w:sz w:val="24"/>
          <w:szCs w:val="24"/>
        </w:rPr>
        <w:t>risk of losing the data</w:t>
      </w:r>
      <w:r>
        <w:rPr>
          <w:rFonts w:ascii="Times New Roman" w:hAnsi="Times New Roman" w:cs="Times New Roman"/>
          <w:noProof/>
          <w:sz w:val="24"/>
          <w:szCs w:val="24"/>
        </w:rPr>
        <w:t>, or because of other exigent circumstances</w:t>
      </w:r>
      <w:r>
        <w:rPr>
          <w:rStyle w:val="FootnoteReference"/>
          <w:rFonts w:ascii="Times New Roman" w:hAnsi="Times New Roman" w:cs="Times New Roman"/>
          <w:noProof/>
          <w:sz w:val="24"/>
          <w:szCs w:val="24"/>
        </w:rPr>
        <w:footnoteReference w:id="103"/>
      </w:r>
      <w:r>
        <w:rPr>
          <w:rFonts w:ascii="Times New Roman" w:hAnsi="Times New Roman" w:cs="Times New Roman"/>
          <w:noProof/>
          <w:sz w:val="24"/>
          <w:szCs w:val="24"/>
        </w:rPr>
        <w:t xml:space="preserve">. </w:t>
      </w:r>
    </w:p>
    <w:p w:rsidR="001B65FF" w:rsidRDefault="003E4EF4">
      <w:pPr>
        <w:numPr>
          <w:ilvl w:val="2"/>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In case of remote access, the suspect is often unaware of the measure. As a result, the risk of deletion of evidence by the suspect is reduced. Therefore, remote access could</w:t>
      </w:r>
      <w:r>
        <w:rPr>
          <w:rFonts w:ascii="Times New Roman" w:hAnsi="Times New Roman" w:cs="Times New Roman"/>
          <w:noProof/>
          <w:sz w:val="24"/>
          <w:szCs w:val="24"/>
        </w:rPr>
        <w:t xml:space="preserve"> be considered in situations where other forms of access (e.g. direct cooperation with service providers) are:</w:t>
      </w:r>
    </w:p>
    <w:p w:rsidR="001B65FF" w:rsidRDefault="003E4EF4">
      <w:pPr>
        <w:numPr>
          <w:ilvl w:val="3"/>
          <w:numId w:val="92"/>
        </w:numPr>
        <w:spacing w:after="0"/>
        <w:contextualSpacing/>
        <w:jc w:val="both"/>
        <w:rPr>
          <w:rFonts w:ascii="Times New Roman" w:hAnsi="Times New Roman" w:cs="Times New Roman"/>
          <w:noProof/>
          <w:sz w:val="24"/>
          <w:szCs w:val="24"/>
        </w:rPr>
      </w:pPr>
      <w:r>
        <w:rPr>
          <w:rFonts w:ascii="Times New Roman" w:hAnsi="Times New Roman" w:cs="Times New Roman"/>
          <w:b/>
          <w:noProof/>
          <w:sz w:val="24"/>
          <w:szCs w:val="24"/>
        </w:rPr>
        <w:t>not possible or cannot be considered as feasible</w:t>
      </w:r>
      <w:r>
        <w:rPr>
          <w:rFonts w:ascii="Times New Roman" w:hAnsi="Times New Roman" w:cs="Times New Roman"/>
          <w:noProof/>
          <w:sz w:val="24"/>
          <w:szCs w:val="24"/>
        </w:rPr>
        <w:t>: e.g. the location of the provider is unknown, such as Telegram; or in case of use of the Dark n</w:t>
      </w:r>
      <w:r>
        <w:rPr>
          <w:rFonts w:ascii="Times New Roman" w:hAnsi="Times New Roman" w:cs="Times New Roman"/>
          <w:noProof/>
          <w:sz w:val="24"/>
          <w:szCs w:val="24"/>
        </w:rPr>
        <w:t>et, where it is rarely possible to determine the identity of the service provider because of the techniques used to conceal the origin of the information/data;</w:t>
      </w:r>
    </w:p>
    <w:p w:rsidR="001B65FF" w:rsidRDefault="003E4EF4">
      <w:pPr>
        <w:numPr>
          <w:ilvl w:val="3"/>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could seriously </w:t>
      </w:r>
      <w:r>
        <w:rPr>
          <w:rFonts w:ascii="Times New Roman" w:hAnsi="Times New Roman" w:cs="Times New Roman"/>
          <w:b/>
          <w:noProof/>
          <w:sz w:val="24"/>
          <w:szCs w:val="24"/>
        </w:rPr>
        <w:t>undermine the investigation</w:t>
      </w:r>
      <w:r>
        <w:rPr>
          <w:rFonts w:ascii="Times New Roman" w:hAnsi="Times New Roman" w:cs="Times New Roman"/>
          <w:noProof/>
          <w:sz w:val="24"/>
          <w:szCs w:val="24"/>
        </w:rPr>
        <w:t xml:space="preserve">: e.g. in covert investigations to infiltrate </w:t>
      </w:r>
      <w:r>
        <w:rPr>
          <w:rFonts w:ascii="Times New Roman" w:hAnsi="Times New Roman" w:cs="Times New Roman"/>
          <w:noProof/>
          <w:sz w:val="24"/>
          <w:szCs w:val="24"/>
        </w:rPr>
        <w:t>paedophile networks. A remote search could be conducted in the course of the covert operation, and without compromising the covert investigation.</w:t>
      </w:r>
    </w:p>
    <w:p w:rsidR="001B65FF" w:rsidRDefault="003E4EF4">
      <w:pPr>
        <w:numPr>
          <w:ilvl w:val="2"/>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Access should be limited to securing the data by </w:t>
      </w:r>
      <w:r>
        <w:rPr>
          <w:rFonts w:ascii="Times New Roman" w:hAnsi="Times New Roman" w:cs="Times New Roman"/>
          <w:b/>
          <w:noProof/>
          <w:sz w:val="24"/>
          <w:szCs w:val="24"/>
        </w:rPr>
        <w:t>copying</w:t>
      </w:r>
      <w:r>
        <w:rPr>
          <w:rFonts w:ascii="Times New Roman" w:hAnsi="Times New Roman" w:cs="Times New Roman"/>
          <w:noProof/>
          <w:sz w:val="24"/>
          <w:szCs w:val="24"/>
        </w:rPr>
        <w:t xml:space="preserve"> it.</w:t>
      </w:r>
    </w:p>
    <w:p w:rsidR="001B65FF" w:rsidRDefault="003E4EF4">
      <w:pPr>
        <w:numPr>
          <w:ilvl w:val="0"/>
          <w:numId w:val="92"/>
        </w:numPr>
        <w:spacing w:after="0"/>
        <w:contextualSpacing/>
        <w:jc w:val="both"/>
        <w:rPr>
          <w:rFonts w:ascii="Times New Roman" w:hAnsi="Times New Roman" w:cs="Times New Roman"/>
          <w:noProof/>
          <w:sz w:val="24"/>
          <w:szCs w:val="24"/>
        </w:rPr>
      </w:pPr>
      <w:r>
        <w:rPr>
          <w:rFonts w:ascii="Times New Roman" w:hAnsi="Times New Roman" w:cs="Times New Roman"/>
          <w:b/>
          <w:noProof/>
          <w:sz w:val="24"/>
          <w:szCs w:val="24"/>
        </w:rPr>
        <w:t>User notification:</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Where direct access takes plac</w:t>
      </w:r>
      <w:r>
        <w:rPr>
          <w:rFonts w:ascii="Times New Roman" w:hAnsi="Times New Roman" w:cs="Times New Roman"/>
          <w:noProof/>
          <w:sz w:val="24"/>
          <w:szCs w:val="24"/>
        </w:rPr>
        <w:t xml:space="preserve">e without the knowledge of the user concerned, user notification needs to be ensured. </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relevant considerations set out above for the European Production Order for user notification by public authorities (i.e. in coherence with Directive 2016/680) would</w:t>
      </w:r>
      <w:r>
        <w:rPr>
          <w:rFonts w:ascii="Times New Roman" w:hAnsi="Times New Roman" w:cs="Times New Roman"/>
          <w:noProof/>
          <w:sz w:val="24"/>
          <w:szCs w:val="24"/>
        </w:rPr>
        <w:t xml:space="preserve"> also apply.</w:t>
      </w:r>
    </w:p>
    <w:p w:rsidR="001B65FF" w:rsidRDefault="003E4EF4">
      <w:pPr>
        <w:numPr>
          <w:ilvl w:val="0"/>
          <w:numId w:val="92"/>
        </w:numPr>
        <w:spacing w:after="0"/>
        <w:contextualSpacing/>
        <w:jc w:val="both"/>
        <w:rPr>
          <w:rFonts w:ascii="Times New Roman" w:hAnsi="Times New Roman" w:cs="Times New Roman"/>
          <w:noProof/>
          <w:sz w:val="24"/>
          <w:szCs w:val="24"/>
        </w:rPr>
      </w:pPr>
      <w:r>
        <w:rPr>
          <w:rFonts w:ascii="Times New Roman" w:hAnsi="Times New Roman" w:cs="Times New Roman"/>
          <w:b/>
          <w:noProof/>
          <w:sz w:val="24"/>
          <w:szCs w:val="24"/>
        </w:rPr>
        <w:t>Legal remedies:</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possibility for judicial review in the issuing State in accordance with its national law should be ensured.</w:t>
      </w:r>
    </w:p>
    <w:p w:rsidR="001B65FF" w:rsidRDefault="003E4EF4">
      <w:pPr>
        <w:numPr>
          <w:ilvl w:val="1"/>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relevant considerations set out above for the European Production Order for legal remedies (including for third</w:t>
      </w:r>
      <w:r>
        <w:rPr>
          <w:rFonts w:ascii="Times New Roman" w:hAnsi="Times New Roman" w:cs="Times New Roman"/>
          <w:noProof/>
          <w:sz w:val="24"/>
          <w:szCs w:val="24"/>
        </w:rPr>
        <w:t xml:space="preserve"> persons such as victims or witnesses) would also apply.</w:t>
      </w:r>
    </w:p>
    <w:p w:rsidR="001B65FF" w:rsidRDefault="003E4EF4">
      <w:pPr>
        <w:numPr>
          <w:ilvl w:val="0"/>
          <w:numId w:val="92"/>
        </w:numPr>
        <w:contextualSpacing/>
        <w:jc w:val="both"/>
        <w:rPr>
          <w:rFonts w:ascii="Times New Roman" w:hAnsi="Times New Roman" w:cs="Times New Roman"/>
          <w:noProof/>
          <w:sz w:val="24"/>
        </w:rPr>
      </w:pPr>
      <w:r>
        <w:rPr>
          <w:rFonts w:ascii="Times New Roman" w:hAnsi="Times New Roman" w:cs="Times New Roman"/>
          <w:noProof/>
          <w:sz w:val="24"/>
        </w:rPr>
        <w:t xml:space="preserve">The safeguards applicable for the search of the data on the device in </w:t>
      </w:r>
      <w:r>
        <w:rPr>
          <w:rFonts w:ascii="Times New Roman" w:hAnsi="Times New Roman" w:cs="Times New Roman"/>
          <w:b/>
          <w:noProof/>
          <w:sz w:val="24"/>
        </w:rPr>
        <w:t>national law</w:t>
      </w:r>
      <w:r>
        <w:rPr>
          <w:rFonts w:ascii="Times New Roman" w:hAnsi="Times New Roman" w:cs="Times New Roman"/>
          <w:noProof/>
          <w:sz w:val="24"/>
        </w:rPr>
        <w:t xml:space="preserve"> (including e.g. thresholds and privileges) would be preserved.</w:t>
      </w:r>
    </w:p>
    <w:p w:rsidR="001B65FF" w:rsidRDefault="003E4EF4">
      <w:pPr>
        <w:numPr>
          <w:ilvl w:val="0"/>
          <w:numId w:val="92"/>
        </w:numPr>
        <w:tabs>
          <w:tab w:val="left" w:pos="90"/>
        </w:tabs>
        <w:contextualSpacing/>
        <w:jc w:val="both"/>
        <w:rPr>
          <w:rFonts w:ascii="Times New Roman" w:hAnsi="Times New Roman" w:cs="Times New Roman"/>
          <w:noProof/>
          <w:sz w:val="24"/>
        </w:rPr>
      </w:pPr>
      <w:r>
        <w:rPr>
          <w:rFonts w:ascii="Times New Roman" w:hAnsi="Times New Roman" w:cs="Times New Roman"/>
          <w:noProof/>
          <w:sz w:val="24"/>
        </w:rPr>
        <w:t>A drawback lies in the fact that the measure could ad</w:t>
      </w:r>
      <w:r>
        <w:rPr>
          <w:rFonts w:ascii="Times New Roman" w:hAnsi="Times New Roman" w:cs="Times New Roman"/>
          <w:noProof/>
          <w:sz w:val="24"/>
        </w:rPr>
        <w:t xml:space="preserve">d to the existing </w:t>
      </w:r>
      <w:r>
        <w:rPr>
          <w:rFonts w:ascii="Times New Roman" w:hAnsi="Times New Roman" w:cs="Times New Roman"/>
          <w:b/>
          <w:noProof/>
          <w:sz w:val="24"/>
        </w:rPr>
        <w:t>administrative burden</w:t>
      </w:r>
      <w:r>
        <w:rPr>
          <w:rFonts w:ascii="Times New Roman" w:hAnsi="Times New Roman" w:cs="Times New Roman"/>
          <w:noProof/>
          <w:sz w:val="24"/>
        </w:rPr>
        <w:t xml:space="preserve"> in Member States that already have direct access measures in place, as it may impose additional conditions and safeguards.</w:t>
      </w:r>
      <w:r>
        <w:rPr>
          <w:noProof/>
        </w:rPr>
        <w:t xml:space="preserve"> </w:t>
      </w:r>
    </w:p>
    <w:p w:rsidR="001B65FF" w:rsidRDefault="003E4EF4">
      <w:pPr>
        <w:numPr>
          <w:ilvl w:val="0"/>
          <w:numId w:val="92"/>
        </w:numPr>
        <w:tabs>
          <w:tab w:val="left" w:pos="90"/>
        </w:tabs>
        <w:contextualSpacing/>
        <w:jc w:val="both"/>
        <w:rPr>
          <w:rFonts w:ascii="Times New Roman" w:hAnsi="Times New Roman" w:cs="Times New Roman"/>
          <w:noProof/>
          <w:sz w:val="24"/>
        </w:rPr>
      </w:pPr>
      <w:r>
        <w:rPr>
          <w:rFonts w:ascii="Times New Roman" w:hAnsi="Times New Roman" w:cs="Times New Roman"/>
          <w:noProof/>
          <w:sz w:val="24"/>
        </w:rPr>
        <w:t xml:space="preserve">These additional conditions and safeguards might result in </w:t>
      </w:r>
      <w:r>
        <w:rPr>
          <w:rFonts w:ascii="Times New Roman" w:hAnsi="Times New Roman" w:cs="Times New Roman"/>
          <w:b/>
          <w:noProof/>
          <w:sz w:val="24"/>
        </w:rPr>
        <w:t>restricting direct access</w:t>
      </w:r>
      <w:r>
        <w:rPr>
          <w:rFonts w:ascii="Times New Roman" w:hAnsi="Times New Roman" w:cs="Times New Roman"/>
          <w:noProof/>
          <w:sz w:val="24"/>
        </w:rPr>
        <w:t xml:space="preserve"> to a na</w:t>
      </w:r>
      <w:r>
        <w:rPr>
          <w:rFonts w:ascii="Times New Roman" w:hAnsi="Times New Roman" w:cs="Times New Roman"/>
          <w:noProof/>
          <w:sz w:val="24"/>
        </w:rPr>
        <w:t>rrower set of conditions as currently in place in those Member States that enable direct access. This is a result of an overall balancing act between the interest in effective investigation and prosecution of crimes and the fundamental rights of targets of</w:t>
      </w:r>
      <w:r>
        <w:rPr>
          <w:rFonts w:ascii="Times New Roman" w:hAnsi="Times New Roman" w:cs="Times New Roman"/>
          <w:noProof/>
          <w:sz w:val="24"/>
        </w:rPr>
        <w:t xml:space="preserve"> those investigations, a balance that may have been determined in different ways at national level.</w:t>
      </w:r>
    </w:p>
    <w:p w:rsidR="001B65FF" w:rsidRDefault="001B65FF">
      <w:pPr>
        <w:spacing w:after="0"/>
        <w:ind w:left="720"/>
        <w:contextualSpacing/>
        <w:jc w:val="both"/>
        <w:rPr>
          <w:noProof/>
        </w:rPr>
      </w:pPr>
    </w:p>
    <w:p w:rsidR="001B65FF" w:rsidRDefault="003E4EF4">
      <w:pPr>
        <w:pStyle w:val="Heading5"/>
        <w:spacing w:before="0"/>
        <w:rPr>
          <w:rFonts w:ascii="Times New Roman" w:eastAsia="Times New Roman" w:hAnsi="Times New Roman" w:cs="Times New Roman"/>
          <w:b w:val="0"/>
          <w:noProof/>
          <w:color w:val="auto"/>
          <w:sz w:val="24"/>
          <w:u w:val="single"/>
        </w:rPr>
      </w:pPr>
      <w:bookmarkStart w:id="1229" w:name="_Toc481484474"/>
      <w:bookmarkStart w:id="1230" w:name="_Toc497927265"/>
      <w:bookmarkStart w:id="1231" w:name="_Toc497927878"/>
      <w:bookmarkStart w:id="1232" w:name="_Toc497928144"/>
      <w:bookmarkStart w:id="1233" w:name="_Toc498509666"/>
      <w:bookmarkStart w:id="1234" w:name="_Toc498521221"/>
      <w:bookmarkStart w:id="1235" w:name="_Toc498701965"/>
      <w:bookmarkStart w:id="1236" w:name="_Toc498704697"/>
      <w:bookmarkStart w:id="1237" w:name="_Toc499020454"/>
      <w:bookmarkStart w:id="1238" w:name="_Toc499030357"/>
      <w:bookmarkStart w:id="1239" w:name="_Toc499044931"/>
      <w:bookmarkStart w:id="1240" w:name="_Toc499051315"/>
      <w:r>
        <w:rPr>
          <w:rFonts w:ascii="Times New Roman" w:eastAsia="Times New Roman" w:hAnsi="Times New Roman" w:cs="Times New Roman"/>
          <w:b w:val="0"/>
          <w:noProof/>
          <w:color w:val="auto"/>
          <w:sz w:val="24"/>
          <w:u w:val="single"/>
        </w:rPr>
        <w:t>Measure 7*: recommendation on conditions and safeguards for cross-border online searches</w:t>
      </w:r>
    </w:p>
    <w:p w:rsidR="001B65FF" w:rsidRDefault="003E4EF4">
      <w:pPr>
        <w:pBdr>
          <w:top w:val="single" w:sz="4" w:space="1" w:color="auto"/>
          <w:left w:val="single" w:sz="4" w:space="4" w:color="auto"/>
          <w:bottom w:val="single" w:sz="4" w:space="1" w:color="auto"/>
          <w:right w:val="single" w:sz="4" w:space="4" w:color="auto"/>
        </w:pBdr>
        <w:spacing w:before="360" w:after="360"/>
        <w:jc w:val="both"/>
        <w:rPr>
          <w:rFonts w:ascii="Times New Roman" w:hAnsi="Times New Roman" w:cs="Times New Roman"/>
          <w:noProof/>
          <w:sz w:val="24"/>
        </w:rPr>
      </w:pPr>
      <w:r>
        <w:rPr>
          <w:rFonts w:ascii="Times New Roman" w:hAnsi="Times New Roman" w:cs="Times New Roman"/>
          <w:noProof/>
          <w:sz w:val="24"/>
        </w:rPr>
        <w:t>This measure seeks to address problem driver 3 (section 2.2.3.), s</w:t>
      </w:r>
      <w:r>
        <w:rPr>
          <w:rFonts w:ascii="Times New Roman" w:hAnsi="Times New Roman" w:cs="Times New Roman"/>
          <w:noProof/>
          <w:sz w:val="24"/>
        </w:rPr>
        <w:t>pecifically the part that concerns direct access to e-evidence across borders from an information system within the jurisdiction. It would address specific objective 3, and to a more limited extent, 1 and 2.</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This measure seeks to address problem driver 3 (</w:t>
      </w:r>
      <w:r>
        <w:rPr>
          <w:rFonts w:ascii="Times New Roman" w:hAnsi="Times New Roman" w:cs="Times New Roman"/>
          <w:noProof/>
          <w:sz w:val="24"/>
        </w:rPr>
        <w:t>section 2.2.3.), specifically the part that concerns direct access for e-evidence across borders from an information system.</w:t>
      </w:r>
    </w:p>
    <w:p w:rsidR="001B65FF" w:rsidRDefault="003E4EF4">
      <w:pPr>
        <w:jc w:val="both"/>
        <w:rPr>
          <w:rFonts w:ascii="Times New Roman" w:hAnsi="Times New Roman" w:cs="Times New Roman"/>
          <w:noProof/>
          <w:sz w:val="24"/>
        </w:rPr>
      </w:pPr>
      <w:r>
        <w:rPr>
          <w:rFonts w:ascii="Times New Roman" w:hAnsi="Times New Roman" w:cs="Times New Roman"/>
          <w:noProof/>
          <w:sz w:val="24"/>
        </w:rPr>
        <w:t>Although this measure does not involve legislation at EU level, it could entail legislation in Member States, hence its inclusion u</w:t>
      </w:r>
      <w:r>
        <w:rPr>
          <w:rFonts w:ascii="Times New Roman" w:hAnsi="Times New Roman" w:cs="Times New Roman"/>
          <w:noProof/>
          <w:sz w:val="24"/>
        </w:rPr>
        <w:t>nder legislative action. A recommendation would set out a non-binding set of minimum standards for cross-border direct access to e-evidence. These minimum standards could be adopted by Member States and made part of national laws governing direct access. T</w:t>
      </w:r>
      <w:r>
        <w:rPr>
          <w:rFonts w:ascii="Times New Roman" w:hAnsi="Times New Roman" w:cs="Times New Roman"/>
          <w:noProof/>
          <w:sz w:val="24"/>
        </w:rPr>
        <w:t xml:space="preserve">he recommendation would define </w:t>
      </w:r>
      <w:r>
        <w:rPr>
          <w:rFonts w:ascii="Times New Roman" w:hAnsi="Times New Roman" w:cs="Times New Roman"/>
          <w:b/>
          <w:noProof/>
          <w:sz w:val="24"/>
        </w:rPr>
        <w:t>conditions</w:t>
      </w:r>
      <w:r>
        <w:rPr>
          <w:rFonts w:ascii="Times New Roman" w:hAnsi="Times New Roman" w:cs="Times New Roman"/>
          <w:noProof/>
          <w:sz w:val="24"/>
        </w:rPr>
        <w:t xml:space="preserve"> for the issuing of a judicial order permitting direct access, as well as a number of </w:t>
      </w:r>
      <w:r>
        <w:rPr>
          <w:rFonts w:ascii="Times New Roman" w:hAnsi="Times New Roman" w:cs="Times New Roman"/>
          <w:b/>
          <w:noProof/>
          <w:sz w:val="24"/>
        </w:rPr>
        <w:t>safeguards</w:t>
      </w:r>
      <w:r>
        <w:rPr>
          <w:rFonts w:ascii="Times New Roman" w:hAnsi="Times New Roman" w:cs="Times New Roman"/>
          <w:noProof/>
          <w:sz w:val="24"/>
        </w:rPr>
        <w:t xml:space="preserve">. The aim would be to provide common principles for accessing data that may be stored outside of the issuing Member State, thereby reducing </w:t>
      </w:r>
      <w:r>
        <w:rPr>
          <w:rFonts w:ascii="Times New Roman" w:hAnsi="Times New Roman" w:cs="Times New Roman"/>
          <w:b/>
          <w:noProof/>
          <w:sz w:val="24"/>
        </w:rPr>
        <w:t>fragmentation</w:t>
      </w:r>
      <w:r>
        <w:rPr>
          <w:rFonts w:ascii="Times New Roman" w:hAnsi="Times New Roman" w:cs="Times New Roman"/>
          <w:noProof/>
          <w:sz w:val="24"/>
        </w:rPr>
        <w:t xml:space="preserve"> and increasing </w:t>
      </w:r>
      <w:r>
        <w:rPr>
          <w:rFonts w:ascii="Times New Roman" w:hAnsi="Times New Roman" w:cs="Times New Roman"/>
          <w:b/>
          <w:noProof/>
          <w:sz w:val="24"/>
        </w:rPr>
        <w:t>mutual trust</w:t>
      </w:r>
      <w:r>
        <w:rPr>
          <w:rFonts w:ascii="Times New Roman" w:hAnsi="Times New Roman" w:cs="Times New Roman"/>
          <w:noProof/>
          <w:sz w:val="24"/>
        </w:rPr>
        <w:t xml:space="preserve"> among Member States. Given the non-binding nature, the impact of the measu</w:t>
      </w:r>
      <w:r>
        <w:rPr>
          <w:rFonts w:ascii="Times New Roman" w:hAnsi="Times New Roman" w:cs="Times New Roman"/>
          <w:noProof/>
          <w:sz w:val="24"/>
        </w:rPr>
        <w:t xml:space="preserve">re would largely depend on Member States' willingness to adopt the proposed conditions and safeguards. </w:t>
      </w:r>
    </w:p>
    <w:p w:rsidR="001B65FF" w:rsidRDefault="003E4EF4">
      <w:pPr>
        <w:numPr>
          <w:ilvl w:val="0"/>
          <w:numId w:val="146"/>
        </w:numPr>
        <w:contextualSpacing/>
        <w:jc w:val="both"/>
        <w:rPr>
          <w:rFonts w:ascii="Times New Roman" w:hAnsi="Times New Roman" w:cs="Times New Roman"/>
          <w:b/>
          <w:noProof/>
          <w:sz w:val="24"/>
        </w:rPr>
      </w:pPr>
      <w:r>
        <w:rPr>
          <w:rFonts w:ascii="Times New Roman" w:hAnsi="Times New Roman" w:cs="Times New Roman"/>
          <w:b/>
          <w:noProof/>
          <w:sz w:val="24"/>
        </w:rPr>
        <w:t>Scope:</w:t>
      </w:r>
    </w:p>
    <w:p w:rsidR="001B65FF" w:rsidRDefault="003E4EF4">
      <w:pPr>
        <w:ind w:left="360"/>
        <w:contextualSpacing/>
        <w:jc w:val="both"/>
        <w:rPr>
          <w:rFonts w:ascii="Times New Roman" w:hAnsi="Times New Roman" w:cs="Times New Roman"/>
          <w:noProof/>
          <w:sz w:val="24"/>
        </w:rPr>
      </w:pPr>
      <w:r>
        <w:rPr>
          <w:rFonts w:ascii="Times New Roman" w:hAnsi="Times New Roman" w:cs="Times New Roman"/>
          <w:noProof/>
          <w:sz w:val="24"/>
        </w:rPr>
        <w:t>The recommendation would have the same scope as Measure 7 with respect to types of investigative measures covered, material and geographic scope.</w:t>
      </w:r>
    </w:p>
    <w:p w:rsidR="001B65FF" w:rsidRDefault="003E4EF4">
      <w:pPr>
        <w:numPr>
          <w:ilvl w:val="0"/>
          <w:numId w:val="146"/>
        </w:numPr>
        <w:contextualSpacing/>
        <w:jc w:val="both"/>
        <w:rPr>
          <w:rFonts w:ascii="Times New Roman" w:hAnsi="Times New Roman" w:cs="Times New Roman"/>
          <w:b/>
          <w:noProof/>
          <w:sz w:val="24"/>
        </w:rPr>
      </w:pPr>
      <w:r>
        <w:rPr>
          <w:rFonts w:ascii="Times New Roman" w:hAnsi="Times New Roman" w:cs="Times New Roman"/>
          <w:b/>
          <w:noProof/>
          <w:sz w:val="24"/>
        </w:rPr>
        <w:t>Conditions:</w:t>
      </w:r>
    </w:p>
    <w:p w:rsidR="001B65FF" w:rsidRDefault="003E4EF4">
      <w:pPr>
        <w:numPr>
          <w:ilvl w:val="0"/>
          <w:numId w:val="92"/>
        </w:numPr>
        <w:contextualSpacing/>
        <w:jc w:val="both"/>
        <w:rPr>
          <w:rFonts w:ascii="Times New Roman" w:hAnsi="Times New Roman" w:cs="Times New Roman"/>
          <w:noProof/>
          <w:sz w:val="24"/>
        </w:rPr>
      </w:pPr>
      <w:r>
        <w:rPr>
          <w:rFonts w:ascii="Times New Roman" w:hAnsi="Times New Roman" w:cs="Times New Roman"/>
          <w:noProof/>
          <w:sz w:val="24"/>
          <w:szCs w:val="24"/>
        </w:rPr>
        <w:t>The conditions should be enumerated in an exhaustive list.</w:t>
      </w:r>
    </w:p>
    <w:p w:rsidR="001B65FF" w:rsidRDefault="003E4EF4">
      <w:pPr>
        <w:numPr>
          <w:ilvl w:val="0"/>
          <w:numId w:val="92"/>
        </w:numPr>
        <w:tabs>
          <w:tab w:val="left" w:pos="90"/>
        </w:tabs>
        <w:contextualSpacing/>
        <w:jc w:val="both"/>
        <w:rPr>
          <w:rFonts w:ascii="Times New Roman" w:eastAsia="Calibri" w:hAnsi="Times New Roman" w:cs="Times New Roman"/>
          <w:i/>
          <w:noProof/>
          <w:sz w:val="24"/>
        </w:rPr>
      </w:pPr>
      <w:r>
        <w:rPr>
          <w:rFonts w:ascii="Times New Roman" w:hAnsi="Times New Roman" w:cs="Times New Roman"/>
          <w:noProof/>
          <w:sz w:val="24"/>
        </w:rPr>
        <w:t>The recommendation would cover all types of crimes.</w:t>
      </w:r>
      <w:r>
        <w:rPr>
          <w:rFonts w:ascii="Times New Roman" w:eastAsia="Calibri" w:hAnsi="Times New Roman" w:cs="Times New Roman"/>
          <w:i/>
          <w:noProof/>
          <w:sz w:val="24"/>
        </w:rPr>
        <w:t xml:space="preserve"> </w:t>
      </w:r>
      <w:r>
        <w:rPr>
          <w:rFonts w:ascii="Times New Roman" w:hAnsi="Times New Roman" w:cs="Times New Roman"/>
          <w:noProof/>
          <w:sz w:val="24"/>
        </w:rPr>
        <w:t>Imposing conditions and safeguards for serious crime only would open a path for Member States to apply less conditions and lower safeguards to direct access for lesser crimes. This would be not logical and in fact inappropriate given the need to ensure pro</w:t>
      </w:r>
      <w:r>
        <w:rPr>
          <w:rFonts w:ascii="Times New Roman" w:hAnsi="Times New Roman" w:cs="Times New Roman"/>
          <w:noProof/>
          <w:sz w:val="24"/>
        </w:rPr>
        <w:t xml:space="preserve">portionality of conditions and safeguards to the situation at hand, including the severity of the offence. </w:t>
      </w:r>
    </w:p>
    <w:p w:rsidR="001B65FF" w:rsidRDefault="003E4EF4">
      <w:pPr>
        <w:numPr>
          <w:ilvl w:val="0"/>
          <w:numId w:val="92"/>
        </w:numPr>
        <w:tabs>
          <w:tab w:val="left" w:pos="90"/>
        </w:tabs>
        <w:contextualSpacing/>
        <w:jc w:val="both"/>
        <w:rPr>
          <w:rFonts w:ascii="Times New Roman" w:eastAsia="Times New Roman" w:hAnsi="Times New Roman" w:cs="Times New Roman"/>
          <w:noProof/>
          <w:sz w:val="24"/>
          <w:szCs w:val="20"/>
        </w:rPr>
      </w:pPr>
      <w:r>
        <w:rPr>
          <w:rFonts w:ascii="Times New Roman" w:hAnsi="Times New Roman" w:cs="Times New Roman"/>
          <w:noProof/>
          <w:sz w:val="24"/>
        </w:rPr>
        <w:t xml:space="preserve">The specific conditions for the three types of </w:t>
      </w:r>
      <w:r>
        <w:rPr>
          <w:rFonts w:ascii="Times New Roman" w:hAnsi="Times New Roman" w:cs="Times New Roman"/>
          <w:noProof/>
          <w:sz w:val="24"/>
          <w:szCs w:val="24"/>
        </w:rPr>
        <w:t xml:space="preserve">direct access measures to be set out in the Recommendation would be the same as those outlined above </w:t>
      </w:r>
      <w:r>
        <w:rPr>
          <w:rFonts w:ascii="Times New Roman" w:hAnsi="Times New Roman" w:cs="Times New Roman"/>
          <w:noProof/>
          <w:sz w:val="24"/>
          <w:szCs w:val="24"/>
        </w:rPr>
        <w:t xml:space="preserve">under Measure 7. </w:t>
      </w:r>
    </w:p>
    <w:p w:rsidR="001B65FF" w:rsidRDefault="003E4EF4">
      <w:pPr>
        <w:numPr>
          <w:ilvl w:val="0"/>
          <w:numId w:val="146"/>
        </w:numPr>
        <w:contextualSpacing/>
        <w:jc w:val="both"/>
        <w:rPr>
          <w:rFonts w:ascii="Times New Roman" w:hAnsi="Times New Roman" w:cs="Times New Roman"/>
          <w:noProof/>
          <w:sz w:val="24"/>
          <w:szCs w:val="24"/>
        </w:rPr>
      </w:pPr>
      <w:r>
        <w:rPr>
          <w:rFonts w:ascii="Times New Roman" w:hAnsi="Times New Roman" w:cs="Times New Roman"/>
          <w:b/>
          <w:noProof/>
          <w:sz w:val="24"/>
        </w:rPr>
        <w:t>User</w:t>
      </w:r>
      <w:r>
        <w:rPr>
          <w:rFonts w:ascii="Times New Roman" w:hAnsi="Times New Roman" w:cs="Times New Roman"/>
          <w:b/>
          <w:noProof/>
          <w:sz w:val="24"/>
          <w:szCs w:val="24"/>
        </w:rPr>
        <w:t xml:space="preserve"> notification:</w:t>
      </w:r>
    </w:p>
    <w:p w:rsidR="001B65FF" w:rsidRDefault="003E4EF4">
      <w:pPr>
        <w:numPr>
          <w:ilvl w:val="0"/>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Recommendation would suggest that, where direct access takes place without the knowledge of the user concerned, user notification needs to be ensured. </w:t>
      </w:r>
    </w:p>
    <w:p w:rsidR="001B65FF" w:rsidRDefault="003E4EF4">
      <w:pPr>
        <w:numPr>
          <w:ilvl w:val="0"/>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relevant considerations set out above for the European Prod</w:t>
      </w:r>
      <w:r>
        <w:rPr>
          <w:rFonts w:ascii="Times New Roman" w:hAnsi="Times New Roman" w:cs="Times New Roman"/>
          <w:noProof/>
          <w:sz w:val="24"/>
          <w:szCs w:val="24"/>
        </w:rPr>
        <w:t xml:space="preserve">uction Order for user notification by public authorities (i.e. in coherence with Directive 2016/680) would also apply </w:t>
      </w:r>
      <w:r>
        <w:rPr>
          <w:rFonts w:ascii="Times New Roman" w:hAnsi="Times New Roman" w:cs="Times New Roman"/>
          <w:i/>
          <w:noProof/>
          <w:sz w:val="24"/>
          <w:szCs w:val="24"/>
        </w:rPr>
        <w:t>mutatis mutandis</w:t>
      </w:r>
      <w:r>
        <w:rPr>
          <w:rFonts w:ascii="Times New Roman" w:hAnsi="Times New Roman" w:cs="Times New Roman"/>
          <w:noProof/>
          <w:sz w:val="24"/>
          <w:szCs w:val="24"/>
        </w:rPr>
        <w:t>, given that a Recommendation is a non-binding instrument.</w:t>
      </w:r>
    </w:p>
    <w:p w:rsidR="001B65FF" w:rsidRDefault="003E4EF4">
      <w:pPr>
        <w:numPr>
          <w:ilvl w:val="0"/>
          <w:numId w:val="146"/>
        </w:numPr>
        <w:contextualSpacing/>
        <w:jc w:val="both"/>
        <w:rPr>
          <w:rFonts w:ascii="Times New Roman" w:hAnsi="Times New Roman" w:cs="Times New Roman"/>
          <w:noProof/>
          <w:sz w:val="24"/>
          <w:szCs w:val="24"/>
        </w:rPr>
      </w:pPr>
      <w:r>
        <w:rPr>
          <w:rFonts w:ascii="Times New Roman" w:hAnsi="Times New Roman" w:cs="Times New Roman"/>
          <w:b/>
          <w:noProof/>
          <w:sz w:val="24"/>
          <w:szCs w:val="24"/>
        </w:rPr>
        <w:t>Legal remedies:</w:t>
      </w:r>
    </w:p>
    <w:p w:rsidR="001B65FF" w:rsidRDefault="003E4EF4">
      <w:pPr>
        <w:numPr>
          <w:ilvl w:val="0"/>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Recommendation would suggest that judicial </w:t>
      </w:r>
      <w:r>
        <w:rPr>
          <w:rFonts w:ascii="Times New Roman" w:hAnsi="Times New Roman" w:cs="Times New Roman"/>
          <w:noProof/>
          <w:sz w:val="24"/>
          <w:szCs w:val="24"/>
        </w:rPr>
        <w:t>review in the issuing State in accordance with its national law should be ensured.</w:t>
      </w:r>
    </w:p>
    <w:p w:rsidR="001B65FF" w:rsidRDefault="003E4EF4">
      <w:pPr>
        <w:numPr>
          <w:ilvl w:val="0"/>
          <w:numId w:val="92"/>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relevant considerations set out above for the European Production Order for legal remedies (including for third persons such as victims or witnesses) would also apply </w:t>
      </w:r>
      <w:r>
        <w:rPr>
          <w:rFonts w:ascii="Times New Roman" w:hAnsi="Times New Roman" w:cs="Times New Roman"/>
          <w:i/>
          <w:noProof/>
          <w:sz w:val="24"/>
          <w:szCs w:val="24"/>
        </w:rPr>
        <w:t>mu</w:t>
      </w:r>
      <w:r>
        <w:rPr>
          <w:rFonts w:ascii="Times New Roman" w:hAnsi="Times New Roman" w:cs="Times New Roman"/>
          <w:i/>
          <w:noProof/>
          <w:sz w:val="24"/>
          <w:szCs w:val="24"/>
        </w:rPr>
        <w:t>tatis mutandis</w:t>
      </w:r>
      <w:r>
        <w:rPr>
          <w:rFonts w:ascii="Times New Roman" w:hAnsi="Times New Roman" w:cs="Times New Roman"/>
          <w:noProof/>
          <w:sz w:val="24"/>
          <w:szCs w:val="24"/>
        </w:rPr>
        <w:t>, given that a Recommendation is a non-binding instrument.</w:t>
      </w:r>
    </w:p>
    <w:p w:rsidR="001B65FF" w:rsidRDefault="003E4EF4">
      <w:pPr>
        <w:numPr>
          <w:ilvl w:val="0"/>
          <w:numId w:val="92"/>
        </w:numPr>
        <w:spacing w:after="0"/>
        <w:contextualSpacing/>
        <w:jc w:val="both"/>
        <w:rPr>
          <w:noProof/>
        </w:rPr>
      </w:pPr>
      <w:r>
        <w:rPr>
          <w:rFonts w:ascii="Times New Roman" w:hAnsi="Times New Roman" w:cs="Times New Roman"/>
          <w:noProof/>
          <w:sz w:val="24"/>
        </w:rPr>
        <w:t xml:space="preserve">The </w:t>
      </w:r>
      <w:r>
        <w:rPr>
          <w:rFonts w:ascii="Times New Roman" w:hAnsi="Times New Roman" w:cs="Times New Roman"/>
          <w:noProof/>
          <w:sz w:val="24"/>
          <w:szCs w:val="24"/>
        </w:rPr>
        <w:t>safeguards</w:t>
      </w:r>
      <w:r>
        <w:rPr>
          <w:rFonts w:ascii="Times New Roman" w:hAnsi="Times New Roman" w:cs="Times New Roman"/>
          <w:noProof/>
          <w:sz w:val="24"/>
        </w:rPr>
        <w:t xml:space="preserve"> applicable for the search of the data on the device itself already set out by the respective </w:t>
      </w:r>
      <w:r>
        <w:rPr>
          <w:rFonts w:ascii="Times New Roman" w:hAnsi="Times New Roman" w:cs="Times New Roman"/>
          <w:b/>
          <w:noProof/>
          <w:sz w:val="24"/>
        </w:rPr>
        <w:t>national law</w:t>
      </w:r>
      <w:r>
        <w:rPr>
          <w:rFonts w:ascii="Times New Roman" w:hAnsi="Times New Roman" w:cs="Times New Roman"/>
          <w:noProof/>
          <w:sz w:val="24"/>
        </w:rPr>
        <w:t xml:space="preserve"> (including e.g. thresholds and privileges) would remain unaffe</w:t>
      </w:r>
      <w:r>
        <w:rPr>
          <w:rFonts w:ascii="Times New Roman" w:hAnsi="Times New Roman" w:cs="Times New Roman"/>
          <w:noProof/>
          <w:sz w:val="24"/>
        </w:rPr>
        <w:t>cted by the Recommendation.</w:t>
      </w:r>
    </w:p>
    <w:p w:rsidR="001B65FF" w:rsidRDefault="001B65FF">
      <w:pPr>
        <w:spacing w:after="0"/>
        <w:ind w:left="720"/>
        <w:contextualSpacing/>
        <w:jc w:val="both"/>
        <w:rPr>
          <w:noProof/>
        </w:rPr>
      </w:pPr>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0"/>
        </w:rPr>
      </w:pPr>
      <w:bookmarkStart w:id="1241" w:name="_Toc499133303"/>
      <w:bookmarkStart w:id="1242" w:name="_Toc499142841"/>
      <w:bookmarkStart w:id="1243" w:name="_Toc510952869"/>
      <w:r>
        <w:rPr>
          <w:rFonts w:ascii="Times New Roman" w:eastAsia="Times New Roman" w:hAnsi="Times New Roman" w:cs="Times New Roman"/>
          <w:b/>
          <w:noProof/>
          <w:sz w:val="24"/>
          <w:szCs w:val="20"/>
        </w:rPr>
        <w:t>Measures discarded at an early stage</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rsidR="001B65FF" w:rsidRDefault="003E4EF4">
      <w:pPr>
        <w:jc w:val="both"/>
        <w:rPr>
          <w:rFonts w:ascii="Times New Roman" w:hAnsi="Times New Roman" w:cs="Times New Roman"/>
          <w:noProof/>
          <w:sz w:val="24"/>
        </w:rPr>
      </w:pPr>
      <w:r>
        <w:rPr>
          <w:rFonts w:ascii="Times New Roman" w:hAnsi="Times New Roman" w:cs="Times New Roman"/>
          <w:noProof/>
          <w:sz w:val="24"/>
        </w:rPr>
        <w:t>This section lists the policy measures discarded at an early stage. Please see Annex 8 for a complete analysis of the reasons why the measures were discarded.</w:t>
      </w:r>
    </w:p>
    <w:p w:rsidR="001B65FF" w:rsidRDefault="003E4EF4">
      <w:pPr>
        <w:numPr>
          <w:ilvl w:val="0"/>
          <w:numId w:val="29"/>
        </w:numPr>
        <w:spacing w:after="0"/>
        <w:contextualSpacing/>
        <w:jc w:val="both"/>
        <w:rPr>
          <w:rFonts w:ascii="Times New Roman" w:hAnsi="Times New Roman" w:cs="Times New Roman"/>
          <w:noProof/>
          <w:sz w:val="24"/>
        </w:rPr>
      </w:pPr>
      <w:r>
        <w:rPr>
          <w:rFonts w:ascii="Times New Roman" w:hAnsi="Times New Roman" w:cs="Times New Roman"/>
          <w:noProof/>
          <w:sz w:val="24"/>
        </w:rPr>
        <w:t>Non legislative action.</w:t>
      </w:r>
    </w:p>
    <w:p w:rsidR="001B65FF" w:rsidRDefault="003E4EF4">
      <w:pPr>
        <w:pStyle w:val="ListParagraph"/>
        <w:numPr>
          <w:ilvl w:val="0"/>
          <w:numId w:val="137"/>
        </w:numPr>
        <w:tabs>
          <w:tab w:val="left" w:pos="630"/>
        </w:tabs>
        <w:spacing w:after="0"/>
        <w:ind w:left="630" w:hanging="270"/>
        <w:jc w:val="both"/>
        <w:rPr>
          <w:rFonts w:ascii="Times New Roman" w:hAnsi="Times New Roman" w:cs="Times New Roman"/>
          <w:noProof/>
          <w:sz w:val="24"/>
        </w:rPr>
      </w:pPr>
      <w:r>
        <w:rPr>
          <w:rFonts w:ascii="Times New Roman" w:hAnsi="Times New Roman" w:cs="Times New Roman"/>
          <w:noProof/>
          <w:sz w:val="24"/>
        </w:rPr>
        <w:t>Practic</w:t>
      </w:r>
      <w:r>
        <w:rPr>
          <w:rFonts w:ascii="Times New Roman" w:hAnsi="Times New Roman" w:cs="Times New Roman"/>
          <w:noProof/>
          <w:sz w:val="24"/>
        </w:rPr>
        <w:t>al measures to enhance judicial cooperation among public authorities and direct cooperation between public authorities and service providers.</w:t>
      </w:r>
    </w:p>
    <w:p w:rsidR="001B65FF" w:rsidRDefault="003E4EF4">
      <w:pPr>
        <w:numPr>
          <w:ilvl w:val="1"/>
          <w:numId w:val="11"/>
        </w:numPr>
        <w:ind w:left="990"/>
        <w:contextualSpacing/>
        <w:jc w:val="both"/>
        <w:rPr>
          <w:rFonts w:ascii="Times New Roman" w:hAnsi="Times New Roman" w:cs="Times New Roman"/>
          <w:noProof/>
          <w:sz w:val="24"/>
        </w:rPr>
      </w:pPr>
      <w:r>
        <w:rPr>
          <w:rFonts w:ascii="Times New Roman" w:hAnsi="Times New Roman" w:cs="Times New Roman"/>
          <w:noProof/>
          <w:sz w:val="24"/>
        </w:rPr>
        <w:t xml:space="preserve">Within the EU: </w:t>
      </w:r>
    </w:p>
    <w:p w:rsidR="001B65FF" w:rsidRDefault="003E4EF4">
      <w:pPr>
        <w:numPr>
          <w:ilvl w:val="2"/>
          <w:numId w:val="11"/>
        </w:numPr>
        <w:ind w:left="1440"/>
        <w:contextualSpacing/>
        <w:jc w:val="both"/>
        <w:rPr>
          <w:rFonts w:ascii="Times New Roman" w:hAnsi="Times New Roman" w:cs="Times New Roman"/>
          <w:noProof/>
          <w:sz w:val="24"/>
        </w:rPr>
      </w:pPr>
      <w:r>
        <w:rPr>
          <w:rFonts w:ascii="Times New Roman" w:hAnsi="Times New Roman" w:cs="Times New Roman"/>
          <w:noProof/>
          <w:sz w:val="24"/>
        </w:rPr>
        <w:t xml:space="preserve">Develop a </w:t>
      </w:r>
      <w:r>
        <w:rPr>
          <w:rFonts w:ascii="Times New Roman" w:hAnsi="Times New Roman" w:cs="Times New Roman"/>
          <w:b/>
          <w:noProof/>
          <w:sz w:val="24"/>
        </w:rPr>
        <w:t>platform</w:t>
      </w:r>
      <w:r>
        <w:rPr>
          <w:rFonts w:ascii="Times New Roman" w:hAnsi="Times New Roman" w:cs="Times New Roman"/>
          <w:noProof/>
          <w:sz w:val="24"/>
        </w:rPr>
        <w:t xml:space="preserve"> to centralise the communication between service providers and public authorities across the EU. </w:t>
      </w:r>
    </w:p>
    <w:p w:rsidR="001B65FF" w:rsidRDefault="003E4EF4">
      <w:pPr>
        <w:numPr>
          <w:ilvl w:val="2"/>
          <w:numId w:val="11"/>
        </w:numPr>
        <w:ind w:left="1440"/>
        <w:contextualSpacing/>
        <w:jc w:val="both"/>
        <w:rPr>
          <w:rFonts w:ascii="Times New Roman" w:hAnsi="Times New Roman" w:cs="Times New Roman"/>
          <w:noProof/>
          <w:sz w:val="24"/>
        </w:rPr>
      </w:pPr>
      <w:r>
        <w:rPr>
          <w:rFonts w:ascii="Times New Roman" w:hAnsi="Times New Roman" w:cs="Times New Roman"/>
          <w:noProof/>
          <w:sz w:val="24"/>
        </w:rPr>
        <w:t xml:space="preserve">Facilitate coordination of </w:t>
      </w:r>
      <w:r>
        <w:rPr>
          <w:rFonts w:ascii="Times New Roman" w:hAnsi="Times New Roman" w:cs="Times New Roman"/>
          <w:b/>
          <w:noProof/>
          <w:sz w:val="24"/>
        </w:rPr>
        <w:t>service providers</w:t>
      </w:r>
      <w:r>
        <w:rPr>
          <w:rFonts w:ascii="Times New Roman" w:hAnsi="Times New Roman" w:cs="Times New Roman"/>
          <w:noProof/>
          <w:sz w:val="24"/>
        </w:rPr>
        <w:t xml:space="preserve"> to achieve </w:t>
      </w:r>
      <w:r>
        <w:rPr>
          <w:rFonts w:ascii="Times New Roman" w:hAnsi="Times New Roman" w:cs="Times New Roman"/>
          <w:b/>
          <w:noProof/>
          <w:sz w:val="24"/>
        </w:rPr>
        <w:t>full harmonisation</w:t>
      </w:r>
      <w:r>
        <w:rPr>
          <w:rFonts w:ascii="Times New Roman" w:hAnsi="Times New Roman" w:cs="Times New Roman"/>
          <w:noProof/>
          <w:sz w:val="24"/>
        </w:rPr>
        <w:t xml:space="preserve"> of policies, standards and forms to provide access to e-evidence. </w:t>
      </w:r>
    </w:p>
    <w:p w:rsidR="001B65FF" w:rsidRDefault="003E4EF4">
      <w:pPr>
        <w:numPr>
          <w:ilvl w:val="1"/>
          <w:numId w:val="30"/>
        </w:numPr>
        <w:ind w:left="1440"/>
        <w:contextualSpacing/>
        <w:jc w:val="both"/>
        <w:rPr>
          <w:rFonts w:ascii="Times New Roman" w:hAnsi="Times New Roman" w:cs="Times New Roman"/>
          <w:noProof/>
          <w:sz w:val="24"/>
        </w:rPr>
      </w:pPr>
      <w:r>
        <w:rPr>
          <w:rFonts w:ascii="Times New Roman" w:hAnsi="Times New Roman" w:cs="Times New Roman"/>
          <w:noProof/>
          <w:sz w:val="24"/>
        </w:rPr>
        <w:t xml:space="preserve">Leverage </w:t>
      </w:r>
      <w:r>
        <w:rPr>
          <w:rFonts w:ascii="Times New Roman" w:hAnsi="Times New Roman" w:cs="Times New Roman"/>
          <w:b/>
          <w:noProof/>
          <w:sz w:val="24"/>
        </w:rPr>
        <w:t>ETSI (E</w:t>
      </w:r>
      <w:r>
        <w:rPr>
          <w:rFonts w:ascii="Times New Roman" w:hAnsi="Times New Roman" w:cs="Times New Roman"/>
          <w:b/>
          <w:noProof/>
          <w:sz w:val="24"/>
        </w:rPr>
        <w:t>uropean Telecommunications Standards Institute) standards</w:t>
      </w:r>
      <w:r>
        <w:rPr>
          <w:rFonts w:ascii="Times New Roman" w:hAnsi="Times New Roman" w:cs="Times New Roman"/>
          <w:noProof/>
          <w:sz w:val="24"/>
        </w:rPr>
        <w:t xml:space="preserve"> for lawful interception in telecommunications to facilitate the interactions between public authorities and service providers across the EU.</w:t>
      </w:r>
    </w:p>
    <w:p w:rsidR="001B65FF" w:rsidRDefault="003E4EF4">
      <w:pPr>
        <w:numPr>
          <w:ilvl w:val="1"/>
          <w:numId w:val="11"/>
        </w:numPr>
        <w:ind w:left="1418"/>
        <w:contextualSpacing/>
        <w:jc w:val="both"/>
        <w:rPr>
          <w:rFonts w:ascii="Times New Roman" w:hAnsi="Times New Roman" w:cs="Times New Roman"/>
          <w:noProof/>
          <w:sz w:val="24"/>
        </w:rPr>
      </w:pPr>
      <w:r>
        <w:rPr>
          <w:rFonts w:ascii="Times New Roman" w:hAnsi="Times New Roman" w:cs="Times New Roman"/>
          <w:noProof/>
          <w:sz w:val="24"/>
        </w:rPr>
        <w:t xml:space="preserve">Modify the </w:t>
      </w:r>
      <w:r>
        <w:rPr>
          <w:rFonts w:ascii="Times New Roman" w:hAnsi="Times New Roman" w:cs="Times New Roman"/>
          <w:b/>
          <w:noProof/>
          <w:sz w:val="24"/>
        </w:rPr>
        <w:t>EIO form</w:t>
      </w:r>
      <w:r>
        <w:rPr>
          <w:rFonts w:ascii="Times New Roman" w:hAnsi="Times New Roman" w:cs="Times New Roman"/>
          <w:noProof/>
          <w:sz w:val="24"/>
        </w:rPr>
        <w:t xml:space="preserve"> contained in the annex to the EIO Dir</w:t>
      </w:r>
      <w:r>
        <w:rPr>
          <w:rFonts w:ascii="Times New Roman" w:hAnsi="Times New Roman" w:cs="Times New Roman"/>
          <w:noProof/>
          <w:sz w:val="24"/>
        </w:rPr>
        <w:t xml:space="preserve">ective to adapt it better to the needs of cross-border access to e-evidence. </w:t>
      </w:r>
    </w:p>
    <w:p w:rsidR="001B65FF" w:rsidRDefault="003E4EF4">
      <w:pPr>
        <w:numPr>
          <w:ilvl w:val="1"/>
          <w:numId w:val="11"/>
        </w:numPr>
        <w:ind w:left="990"/>
        <w:contextualSpacing/>
        <w:jc w:val="both"/>
        <w:rPr>
          <w:rFonts w:ascii="Times New Roman" w:hAnsi="Times New Roman" w:cs="Times New Roman"/>
          <w:noProof/>
          <w:sz w:val="24"/>
        </w:rPr>
      </w:pPr>
      <w:r>
        <w:rPr>
          <w:rFonts w:ascii="Times New Roman" w:hAnsi="Times New Roman" w:cs="Times New Roman"/>
          <w:noProof/>
          <w:sz w:val="24"/>
        </w:rPr>
        <w:t>With non-EU countries:</w:t>
      </w:r>
    </w:p>
    <w:p w:rsidR="001B65FF" w:rsidRDefault="003E4EF4">
      <w:pPr>
        <w:numPr>
          <w:ilvl w:val="2"/>
          <w:numId w:val="11"/>
        </w:numPr>
        <w:spacing w:after="0"/>
        <w:ind w:left="1440"/>
        <w:contextualSpacing/>
        <w:jc w:val="both"/>
        <w:rPr>
          <w:rFonts w:ascii="Times New Roman" w:hAnsi="Times New Roman" w:cs="Times New Roman"/>
          <w:noProof/>
          <w:sz w:val="24"/>
        </w:rPr>
      </w:pPr>
      <w:r>
        <w:rPr>
          <w:rFonts w:ascii="Times New Roman" w:hAnsi="Times New Roman" w:cs="Times New Roman"/>
          <w:noProof/>
          <w:sz w:val="24"/>
        </w:rPr>
        <w:t xml:space="preserve">Develop a common online </w:t>
      </w:r>
      <w:r>
        <w:rPr>
          <w:rFonts w:ascii="Times New Roman" w:hAnsi="Times New Roman" w:cs="Times New Roman"/>
          <w:b/>
          <w:noProof/>
          <w:sz w:val="24"/>
        </w:rPr>
        <w:t>form</w:t>
      </w:r>
      <w:r>
        <w:rPr>
          <w:rFonts w:ascii="Times New Roman" w:hAnsi="Times New Roman" w:cs="Times New Roman"/>
          <w:b/>
          <w:noProof/>
          <w:sz w:val="24"/>
          <w:vertAlign w:val="superscript"/>
        </w:rPr>
        <w:footnoteReference w:id="104"/>
      </w:r>
      <w:r>
        <w:rPr>
          <w:rFonts w:ascii="Times New Roman" w:hAnsi="Times New Roman" w:cs="Times New Roman"/>
          <w:b/>
          <w:noProof/>
          <w:sz w:val="24"/>
        </w:rPr>
        <w:t xml:space="preserve"> </w:t>
      </w:r>
      <w:r>
        <w:rPr>
          <w:rFonts w:ascii="Times New Roman" w:hAnsi="Times New Roman" w:cs="Times New Roman"/>
          <w:noProof/>
          <w:sz w:val="24"/>
        </w:rPr>
        <w:t xml:space="preserve">for MLAT requests to the US which could help public authorities in Member States to better comply with US requirements, in </w:t>
      </w:r>
      <w:r>
        <w:rPr>
          <w:rFonts w:ascii="Times New Roman" w:hAnsi="Times New Roman" w:cs="Times New Roman"/>
          <w:noProof/>
          <w:sz w:val="24"/>
        </w:rPr>
        <w:t>particular for probable cause in the requests for content.</w:t>
      </w:r>
    </w:p>
    <w:p w:rsidR="001B65FF" w:rsidRDefault="003E4EF4">
      <w:pPr>
        <w:numPr>
          <w:ilvl w:val="0"/>
          <w:numId w:val="29"/>
        </w:numPr>
        <w:spacing w:after="0"/>
        <w:contextualSpacing/>
        <w:jc w:val="both"/>
        <w:rPr>
          <w:rFonts w:ascii="Times New Roman" w:hAnsi="Times New Roman" w:cs="Times New Roman"/>
          <w:noProof/>
          <w:sz w:val="24"/>
        </w:rPr>
      </w:pPr>
      <w:r>
        <w:rPr>
          <w:rFonts w:ascii="Times New Roman" w:hAnsi="Times New Roman" w:cs="Times New Roman"/>
          <w:noProof/>
          <w:sz w:val="24"/>
        </w:rPr>
        <w:t>Legislative action.</w:t>
      </w:r>
    </w:p>
    <w:p w:rsidR="001B65FF" w:rsidRDefault="003E4EF4">
      <w:pPr>
        <w:pStyle w:val="ListParagraph"/>
        <w:numPr>
          <w:ilvl w:val="0"/>
          <w:numId w:val="137"/>
        </w:numPr>
        <w:tabs>
          <w:tab w:val="left" w:pos="630"/>
        </w:tabs>
        <w:spacing w:after="0"/>
        <w:ind w:left="630" w:hanging="270"/>
        <w:jc w:val="both"/>
        <w:rPr>
          <w:rFonts w:ascii="Times New Roman" w:hAnsi="Times New Roman" w:cs="Times New Roman"/>
          <w:noProof/>
          <w:sz w:val="24"/>
        </w:rPr>
      </w:pPr>
      <w:r>
        <w:rPr>
          <w:rFonts w:ascii="Times New Roman" w:hAnsi="Times New Roman" w:cs="Times New Roman"/>
          <w:noProof/>
          <w:sz w:val="24"/>
        </w:rPr>
        <w:t xml:space="preserve">Legislative measures on </w:t>
      </w:r>
      <w:r>
        <w:rPr>
          <w:rFonts w:ascii="Times New Roman" w:hAnsi="Times New Roman" w:cs="Times New Roman"/>
          <w:b/>
          <w:noProof/>
          <w:sz w:val="24"/>
        </w:rPr>
        <w:t>judicial and direct cooperation</w:t>
      </w:r>
      <w:r>
        <w:rPr>
          <w:rFonts w:ascii="Times New Roman" w:hAnsi="Times New Roman" w:cs="Times New Roman"/>
          <w:noProof/>
          <w:sz w:val="24"/>
        </w:rPr>
        <w:t xml:space="preserve">: amendment of the </w:t>
      </w:r>
      <w:r>
        <w:rPr>
          <w:rFonts w:ascii="Times New Roman" w:hAnsi="Times New Roman" w:cs="Times New Roman"/>
          <w:b/>
          <w:noProof/>
          <w:sz w:val="24"/>
        </w:rPr>
        <w:t xml:space="preserve">EIO Directive </w:t>
      </w:r>
      <w:r>
        <w:rPr>
          <w:rFonts w:ascii="Times New Roman" w:hAnsi="Times New Roman" w:cs="Times New Roman"/>
          <w:noProof/>
          <w:sz w:val="24"/>
        </w:rPr>
        <w:t xml:space="preserve">to include provisions on e-evidence. </w:t>
      </w:r>
    </w:p>
    <w:p w:rsidR="001B65FF" w:rsidRDefault="003E4EF4">
      <w:pPr>
        <w:pStyle w:val="ListParagraph"/>
        <w:numPr>
          <w:ilvl w:val="0"/>
          <w:numId w:val="137"/>
        </w:numPr>
        <w:tabs>
          <w:tab w:val="left" w:pos="630"/>
        </w:tabs>
        <w:spacing w:after="0"/>
        <w:ind w:left="630" w:hanging="270"/>
        <w:jc w:val="both"/>
        <w:rPr>
          <w:rFonts w:ascii="Times New Roman" w:hAnsi="Times New Roman" w:cs="Times New Roman"/>
          <w:noProof/>
          <w:sz w:val="24"/>
        </w:rPr>
      </w:pPr>
      <w:r>
        <w:rPr>
          <w:rFonts w:ascii="Times New Roman" w:hAnsi="Times New Roman" w:cs="Times New Roman"/>
          <w:noProof/>
          <w:sz w:val="24"/>
        </w:rPr>
        <w:t xml:space="preserve">Legislative measures on </w:t>
      </w:r>
      <w:r>
        <w:rPr>
          <w:rFonts w:ascii="Times New Roman" w:hAnsi="Times New Roman" w:cs="Times New Roman"/>
          <w:b/>
          <w:noProof/>
          <w:sz w:val="24"/>
        </w:rPr>
        <w:t>judicial cooperation</w:t>
      </w:r>
      <w:r>
        <w:rPr>
          <w:rFonts w:ascii="Times New Roman" w:hAnsi="Times New Roman" w:cs="Times New Roman"/>
          <w:noProof/>
          <w:sz w:val="24"/>
        </w:rPr>
        <w:t xml:space="preserve">: </w:t>
      </w:r>
      <w:r>
        <w:rPr>
          <w:rFonts w:ascii="Times New Roman" w:hAnsi="Times New Roman" w:cs="Times New Roman"/>
          <w:b/>
          <w:noProof/>
          <w:sz w:val="24"/>
        </w:rPr>
        <w:t>inter</w:t>
      </w:r>
      <w:r>
        <w:rPr>
          <w:rFonts w:ascii="Times New Roman" w:hAnsi="Times New Roman" w:cs="Times New Roman"/>
          <w:b/>
          <w:noProof/>
          <w:sz w:val="24"/>
        </w:rPr>
        <w:t>national agreements</w:t>
      </w:r>
      <w:r>
        <w:rPr>
          <w:rFonts w:ascii="Times New Roman" w:hAnsi="Times New Roman" w:cs="Times New Roman"/>
          <w:noProof/>
          <w:sz w:val="24"/>
        </w:rPr>
        <w:t>.</w:t>
      </w:r>
    </w:p>
    <w:p w:rsidR="001B65FF" w:rsidRDefault="003E4EF4">
      <w:pPr>
        <w:numPr>
          <w:ilvl w:val="1"/>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Promote a new </w:t>
      </w:r>
      <w:r>
        <w:rPr>
          <w:rFonts w:ascii="Times New Roman" w:hAnsi="Times New Roman" w:cs="Times New Roman"/>
          <w:b/>
          <w:noProof/>
          <w:sz w:val="24"/>
        </w:rPr>
        <w:t>United Nations convention</w:t>
      </w:r>
      <w:r>
        <w:rPr>
          <w:rFonts w:ascii="Times New Roman" w:hAnsi="Times New Roman" w:cs="Times New Roman"/>
          <w:noProof/>
          <w:sz w:val="24"/>
        </w:rPr>
        <w:t xml:space="preserve"> on cross-border access to e-evidence, which would replace the Council of Europe Convention on Cybercrime. </w:t>
      </w:r>
    </w:p>
    <w:p w:rsidR="001B65FF" w:rsidRDefault="003E4EF4">
      <w:pPr>
        <w:pStyle w:val="ListParagraph"/>
        <w:numPr>
          <w:ilvl w:val="0"/>
          <w:numId w:val="137"/>
        </w:numPr>
        <w:tabs>
          <w:tab w:val="left" w:pos="630"/>
        </w:tabs>
        <w:spacing w:after="0"/>
        <w:ind w:left="630" w:hanging="270"/>
        <w:jc w:val="both"/>
        <w:rPr>
          <w:rFonts w:ascii="Times New Roman" w:hAnsi="Times New Roman" w:cs="Times New Roman"/>
          <w:noProof/>
          <w:sz w:val="24"/>
        </w:rPr>
      </w:pPr>
      <w:r>
        <w:rPr>
          <w:rFonts w:ascii="Times New Roman" w:hAnsi="Times New Roman" w:cs="Times New Roman"/>
          <w:noProof/>
          <w:sz w:val="24"/>
        </w:rPr>
        <w:t xml:space="preserve">Legislative measures on </w:t>
      </w:r>
      <w:r>
        <w:rPr>
          <w:rFonts w:ascii="Times New Roman" w:hAnsi="Times New Roman" w:cs="Times New Roman"/>
          <w:b/>
          <w:noProof/>
          <w:sz w:val="24"/>
        </w:rPr>
        <w:t>direct cooperation</w:t>
      </w:r>
      <w:r>
        <w:rPr>
          <w:rFonts w:ascii="Times New Roman" w:hAnsi="Times New Roman" w:cs="Times New Roman"/>
          <w:noProof/>
          <w:sz w:val="24"/>
        </w:rPr>
        <w:t xml:space="preserve"> with service providers.</w:t>
      </w:r>
    </w:p>
    <w:p w:rsidR="001B65FF" w:rsidRDefault="003E4EF4">
      <w:pPr>
        <w:numPr>
          <w:ilvl w:val="0"/>
          <w:numId w:val="11"/>
        </w:numPr>
        <w:ind w:left="990"/>
        <w:contextualSpacing/>
        <w:jc w:val="both"/>
        <w:rPr>
          <w:rFonts w:ascii="Times New Roman" w:hAnsi="Times New Roman" w:cs="Times New Roman"/>
          <w:noProof/>
          <w:sz w:val="24"/>
        </w:rPr>
      </w:pPr>
      <w:r>
        <w:rPr>
          <w:rFonts w:ascii="Times New Roman" w:hAnsi="Times New Roman" w:cs="Times New Roman"/>
          <w:noProof/>
          <w:sz w:val="24"/>
        </w:rPr>
        <w:t xml:space="preserve">Introduce mandatory </w:t>
      </w:r>
      <w:r>
        <w:rPr>
          <w:rFonts w:ascii="Times New Roman" w:hAnsi="Times New Roman" w:cs="Times New Roman"/>
          <w:b/>
          <w:noProof/>
          <w:sz w:val="24"/>
        </w:rPr>
        <w:t>d</w:t>
      </w:r>
      <w:r>
        <w:rPr>
          <w:rFonts w:ascii="Times New Roman" w:hAnsi="Times New Roman" w:cs="Times New Roman"/>
          <w:b/>
          <w:noProof/>
          <w:sz w:val="24"/>
        </w:rPr>
        <w:t>ata localisation</w:t>
      </w:r>
      <w:r>
        <w:rPr>
          <w:rFonts w:ascii="Times New Roman" w:hAnsi="Times New Roman" w:cs="Times New Roman"/>
          <w:noProof/>
          <w:sz w:val="24"/>
        </w:rPr>
        <w:t xml:space="preserve">, i.e. require service providers offering services in the EU to store their data in the EU. </w:t>
      </w:r>
    </w:p>
    <w:p w:rsidR="001B65FF" w:rsidRDefault="003E4EF4">
      <w:pPr>
        <w:numPr>
          <w:ilvl w:val="0"/>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Restrict the </w:t>
      </w:r>
      <w:r>
        <w:rPr>
          <w:rFonts w:ascii="Times New Roman" w:hAnsi="Times New Roman" w:cs="Times New Roman"/>
          <w:b/>
          <w:noProof/>
          <w:sz w:val="24"/>
        </w:rPr>
        <w:t>scope</w:t>
      </w:r>
      <w:r>
        <w:rPr>
          <w:rFonts w:ascii="Times New Roman" w:hAnsi="Times New Roman" w:cs="Times New Roman"/>
          <w:noProof/>
          <w:sz w:val="24"/>
        </w:rPr>
        <w:t xml:space="preserve"> of the legislation to </w:t>
      </w:r>
      <w:r>
        <w:rPr>
          <w:rFonts w:ascii="Times New Roman" w:hAnsi="Times New Roman" w:cs="Times New Roman"/>
          <w:b/>
          <w:noProof/>
          <w:sz w:val="24"/>
        </w:rPr>
        <w:t>data stored in the EU</w:t>
      </w:r>
      <w:r>
        <w:rPr>
          <w:rFonts w:ascii="Times New Roman" w:hAnsi="Times New Roman" w:cs="Times New Roman"/>
          <w:noProof/>
          <w:sz w:val="24"/>
        </w:rPr>
        <w:t>.</w:t>
      </w:r>
    </w:p>
    <w:p w:rsidR="001B65FF" w:rsidRDefault="003E4EF4">
      <w:pPr>
        <w:numPr>
          <w:ilvl w:val="0"/>
          <w:numId w:val="11"/>
        </w:numPr>
        <w:tabs>
          <w:tab w:val="left" w:pos="90"/>
        </w:tabs>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Introduce an </w:t>
      </w:r>
      <w:r>
        <w:rPr>
          <w:rFonts w:ascii="Times New Roman" w:hAnsi="Times New Roman" w:cs="Times New Roman"/>
          <w:b/>
          <w:noProof/>
          <w:sz w:val="24"/>
        </w:rPr>
        <w:t>obligation</w:t>
      </w:r>
      <w:r>
        <w:rPr>
          <w:rFonts w:ascii="Times New Roman" w:hAnsi="Times New Roman" w:cs="Times New Roman"/>
          <w:noProof/>
          <w:sz w:val="24"/>
        </w:rPr>
        <w:t xml:space="preserve"> for service providers </w:t>
      </w:r>
      <w:r>
        <w:rPr>
          <w:rFonts w:ascii="Times New Roman" w:hAnsi="Times New Roman" w:cs="Times New Roman"/>
          <w:b/>
          <w:noProof/>
          <w:sz w:val="24"/>
        </w:rPr>
        <w:t>to decrypt encrypted data</w:t>
      </w:r>
      <w:r>
        <w:rPr>
          <w:rFonts w:ascii="Times New Roman" w:hAnsi="Times New Roman" w:cs="Times New Roman"/>
          <w:noProof/>
          <w:sz w:val="24"/>
        </w:rPr>
        <w:t xml:space="preserve"> before giving access to public authorities to e-evidence.</w:t>
      </w:r>
    </w:p>
    <w:p w:rsidR="001B65FF" w:rsidRDefault="003E4EF4">
      <w:pPr>
        <w:numPr>
          <w:ilvl w:val="0"/>
          <w:numId w:val="11"/>
        </w:numPr>
        <w:tabs>
          <w:tab w:val="left" w:pos="90"/>
        </w:tabs>
        <w:spacing w:after="0"/>
        <w:ind w:left="99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Limit the </w:t>
      </w:r>
      <w:r>
        <w:rPr>
          <w:rFonts w:ascii="Times New Roman" w:eastAsia="Times New Roman" w:hAnsi="Times New Roman" w:cs="Times New Roman"/>
          <w:b/>
          <w:noProof/>
          <w:color w:val="000000"/>
          <w:sz w:val="24"/>
          <w:szCs w:val="24"/>
        </w:rPr>
        <w:t>scope</w:t>
      </w:r>
      <w:r>
        <w:rPr>
          <w:rFonts w:ascii="Times New Roman" w:eastAsia="Times New Roman" w:hAnsi="Times New Roman" w:cs="Times New Roman"/>
          <w:b/>
          <w:noProof/>
          <w:color w:val="000000"/>
          <w:sz w:val="24"/>
        </w:rPr>
        <w:t xml:space="preserve"> </w:t>
      </w:r>
      <w:r>
        <w:rPr>
          <w:rFonts w:ascii="Times New Roman" w:eastAsia="Times New Roman" w:hAnsi="Times New Roman" w:cs="Times New Roman"/>
          <w:noProof/>
          <w:color w:val="000000"/>
          <w:sz w:val="24"/>
          <w:szCs w:val="24"/>
        </w:rPr>
        <w:t xml:space="preserve">of application of the European Production Order to </w:t>
      </w:r>
      <w:r>
        <w:rPr>
          <w:rFonts w:ascii="Times New Roman" w:eastAsia="Times New Roman" w:hAnsi="Times New Roman" w:cs="Times New Roman"/>
          <w:b/>
          <w:noProof/>
          <w:color w:val="000000"/>
          <w:sz w:val="24"/>
          <w:szCs w:val="24"/>
        </w:rPr>
        <w:t xml:space="preserve">certain crimes </w:t>
      </w:r>
      <w:r>
        <w:rPr>
          <w:rFonts w:ascii="Times New Roman" w:eastAsia="Times New Roman" w:hAnsi="Times New Roman" w:cs="Times New Roman"/>
          <w:noProof/>
          <w:color w:val="000000"/>
          <w:sz w:val="24"/>
          <w:szCs w:val="24"/>
        </w:rPr>
        <w:t>(e.g. serious crimes).</w:t>
      </w:r>
    </w:p>
    <w:p w:rsidR="001B65FF" w:rsidRDefault="003E4EF4">
      <w:pPr>
        <w:numPr>
          <w:ilvl w:val="0"/>
          <w:numId w:val="11"/>
        </w:numPr>
        <w:tabs>
          <w:tab w:val="left" w:pos="90"/>
        </w:tabs>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Use as a </w:t>
      </w:r>
      <w:r>
        <w:rPr>
          <w:rFonts w:ascii="Times New Roman" w:hAnsi="Times New Roman" w:cs="Times New Roman"/>
          <w:b/>
          <w:noProof/>
          <w:sz w:val="24"/>
        </w:rPr>
        <w:t>connecting factor</w:t>
      </w:r>
      <w:r>
        <w:rPr>
          <w:rFonts w:ascii="Times New Roman" w:hAnsi="Times New Roman" w:cs="Times New Roman"/>
          <w:noProof/>
          <w:sz w:val="24"/>
        </w:rPr>
        <w:t xml:space="preserve"> to exercise jurisdiction:</w:t>
      </w:r>
    </w:p>
    <w:p w:rsidR="001B65FF" w:rsidRDefault="003E4EF4">
      <w:pPr>
        <w:pStyle w:val="ListParagraph"/>
        <w:numPr>
          <w:ilvl w:val="0"/>
          <w:numId w:val="189"/>
        </w:numPr>
        <w:tabs>
          <w:tab w:val="left" w:pos="90"/>
        </w:tabs>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accessibility of the service</w:t>
      </w:r>
      <w:r>
        <w:rPr>
          <w:rFonts w:ascii="Times New Roman" w:hAnsi="Times New Roman" w:cs="Times New Roman"/>
          <w:noProof/>
          <w:sz w:val="24"/>
        </w:rPr>
        <w:t xml:space="preserve"> (e.g. web site or app) from the EU;</w:t>
      </w:r>
    </w:p>
    <w:p w:rsidR="001B65FF" w:rsidRDefault="003E4EF4">
      <w:pPr>
        <w:pStyle w:val="ListParagraph"/>
        <w:numPr>
          <w:ilvl w:val="0"/>
          <w:numId w:val="189"/>
        </w:numPr>
        <w:tabs>
          <w:tab w:val="left" w:pos="90"/>
        </w:tabs>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pure corporate presence</w:t>
      </w:r>
      <w:r>
        <w:rPr>
          <w:rFonts w:ascii="Times New Roman" w:hAnsi="Times New Roman" w:cs="Times New Roman"/>
          <w:noProof/>
          <w:sz w:val="24"/>
        </w:rPr>
        <w:t xml:space="preserve"> in the EU of a service provider;</w:t>
      </w:r>
    </w:p>
    <w:p w:rsidR="001B65FF" w:rsidRDefault="003E4EF4">
      <w:pPr>
        <w:pStyle w:val="ListParagraph"/>
        <w:numPr>
          <w:ilvl w:val="0"/>
          <w:numId w:val="189"/>
        </w:numPr>
        <w:tabs>
          <w:tab w:val="left" w:pos="90"/>
        </w:tabs>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 xml:space="preserve">nationality of the suspect. </w:t>
      </w:r>
      <w:r>
        <w:rPr>
          <w:rFonts w:ascii="Times New Roman" w:hAnsi="Times New Roman" w:cs="Times New Roman"/>
          <w:noProof/>
          <w:sz w:val="24"/>
        </w:rPr>
        <w:t>Some of the service providers currently use this criterion to decide whether to cooperate voluntary with foreign public author</w:t>
      </w:r>
      <w:r>
        <w:rPr>
          <w:rFonts w:ascii="Times New Roman" w:hAnsi="Times New Roman" w:cs="Times New Roman"/>
          <w:noProof/>
          <w:sz w:val="24"/>
        </w:rPr>
        <w:t>ities (e.g. a service provider only facilitates access to e-evidence to Italian law enforcement if it concerns Italian nationals).</w:t>
      </w:r>
    </w:p>
    <w:p w:rsidR="001B65FF" w:rsidRDefault="003E4EF4">
      <w:pPr>
        <w:pStyle w:val="ListParagraph"/>
        <w:numPr>
          <w:ilvl w:val="0"/>
          <w:numId w:val="189"/>
        </w:numPr>
        <w:tabs>
          <w:tab w:val="left" w:pos="90"/>
        </w:tabs>
        <w:spacing w:after="0"/>
        <w:jc w:val="both"/>
        <w:rPr>
          <w:rFonts w:ascii="Times New Roman" w:hAnsi="Times New Roman" w:cs="Times New Roman"/>
          <w:noProof/>
          <w:sz w:val="24"/>
        </w:rPr>
      </w:pPr>
      <w:r>
        <w:rPr>
          <w:rFonts w:ascii="Times New Roman" w:hAnsi="Times New Roman" w:cs="Times New Roman"/>
          <w:noProof/>
          <w:sz w:val="24"/>
        </w:rPr>
        <w:t xml:space="preserve">any factor susceptible to be shaped by </w:t>
      </w:r>
      <w:r>
        <w:rPr>
          <w:rFonts w:ascii="Times New Roman" w:hAnsi="Times New Roman" w:cs="Times New Roman"/>
          <w:b/>
          <w:noProof/>
          <w:sz w:val="24"/>
        </w:rPr>
        <w:t>internal company policies</w:t>
      </w:r>
      <w:r>
        <w:rPr>
          <w:rFonts w:ascii="Times New Roman" w:hAnsi="Times New Roman" w:cs="Times New Roman"/>
          <w:noProof/>
          <w:sz w:val="24"/>
        </w:rPr>
        <w:t>.</w:t>
      </w:r>
    </w:p>
    <w:p w:rsidR="001B65FF" w:rsidRDefault="003E4EF4">
      <w:pPr>
        <w:numPr>
          <w:ilvl w:val="0"/>
          <w:numId w:val="11"/>
        </w:numPr>
        <w:tabs>
          <w:tab w:val="left" w:pos="90"/>
        </w:tabs>
        <w:spacing w:after="0"/>
        <w:ind w:left="990"/>
        <w:contextualSpacing/>
        <w:jc w:val="both"/>
        <w:rPr>
          <w:rFonts w:ascii="Times New Roman" w:hAnsi="Times New Roman" w:cs="Times New Roman"/>
          <w:noProof/>
          <w:sz w:val="24"/>
        </w:rPr>
      </w:pPr>
      <w:r>
        <w:rPr>
          <w:rFonts w:ascii="Times New Roman" w:hAnsi="Times New Roman" w:cs="Times New Roman"/>
          <w:noProof/>
          <w:sz w:val="24"/>
        </w:rPr>
        <w:t>Use as a criterion to require service providers to designat</w:t>
      </w:r>
      <w:r>
        <w:rPr>
          <w:rFonts w:ascii="Times New Roman" w:hAnsi="Times New Roman" w:cs="Times New Roman"/>
          <w:noProof/>
          <w:sz w:val="24"/>
        </w:rPr>
        <w:t xml:space="preserve">e a </w:t>
      </w:r>
      <w:r>
        <w:rPr>
          <w:rFonts w:ascii="Times New Roman" w:hAnsi="Times New Roman" w:cs="Times New Roman"/>
          <w:b/>
          <w:noProof/>
          <w:sz w:val="24"/>
        </w:rPr>
        <w:t>legal representative</w:t>
      </w:r>
      <w:r>
        <w:rPr>
          <w:rFonts w:ascii="Times New Roman" w:hAnsi="Times New Roman" w:cs="Times New Roman"/>
          <w:noProof/>
          <w:sz w:val="24"/>
        </w:rPr>
        <w:t xml:space="preserve"> in the EU that the service has at least </w:t>
      </w:r>
      <w:r>
        <w:rPr>
          <w:rFonts w:ascii="Times New Roman" w:hAnsi="Times New Roman" w:cs="Times New Roman"/>
          <w:b/>
          <w:noProof/>
          <w:sz w:val="24"/>
        </w:rPr>
        <w:t>1 million users</w:t>
      </w:r>
      <w:r>
        <w:rPr>
          <w:rFonts w:ascii="Times New Roman" w:hAnsi="Times New Roman" w:cs="Times New Roman"/>
          <w:noProof/>
          <w:sz w:val="24"/>
        </w:rPr>
        <w:t xml:space="preserve"> in the EU.</w:t>
      </w:r>
    </w:p>
    <w:p w:rsidR="001B65FF" w:rsidRDefault="003E4EF4">
      <w:pPr>
        <w:numPr>
          <w:ilvl w:val="0"/>
          <w:numId w:val="11"/>
        </w:numPr>
        <w:tabs>
          <w:tab w:val="left" w:pos="90"/>
        </w:tabs>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Oblige service providers to nominate </w:t>
      </w:r>
      <w:r>
        <w:rPr>
          <w:rFonts w:ascii="Times New Roman" w:hAnsi="Times New Roman" w:cs="Times New Roman"/>
          <w:b/>
          <w:noProof/>
          <w:sz w:val="24"/>
        </w:rPr>
        <w:t>a legal representative in every Member State</w:t>
      </w:r>
      <w:r>
        <w:rPr>
          <w:rFonts w:ascii="Times New Roman" w:hAnsi="Times New Roman" w:cs="Times New Roman"/>
          <w:noProof/>
          <w:sz w:val="24"/>
        </w:rPr>
        <w:t xml:space="preserve"> in which they are active or which they are targeting.</w:t>
      </w:r>
    </w:p>
    <w:p w:rsidR="001B65FF" w:rsidRDefault="003E4EF4">
      <w:pPr>
        <w:numPr>
          <w:ilvl w:val="0"/>
          <w:numId w:val="11"/>
        </w:numPr>
        <w:tabs>
          <w:tab w:val="left" w:pos="90"/>
        </w:tabs>
        <w:spacing w:after="0"/>
        <w:ind w:left="990"/>
        <w:contextualSpacing/>
        <w:jc w:val="both"/>
        <w:rPr>
          <w:rFonts w:ascii="Times New Roman" w:hAnsi="Times New Roman" w:cs="Times New Roman"/>
          <w:noProof/>
          <w:sz w:val="24"/>
        </w:rPr>
      </w:pPr>
      <w:r>
        <w:rPr>
          <w:rFonts w:ascii="Times New Roman" w:hAnsi="Times New Roman" w:cs="Times New Roman"/>
          <w:noProof/>
          <w:sz w:val="24"/>
        </w:rPr>
        <w:t>Allow to address an European</w:t>
      </w:r>
      <w:r>
        <w:rPr>
          <w:rFonts w:ascii="Times New Roman" w:hAnsi="Times New Roman" w:cs="Times New Roman"/>
          <w:noProof/>
          <w:sz w:val="24"/>
        </w:rPr>
        <w:t xml:space="preserve"> Production Order to </w:t>
      </w:r>
      <w:r>
        <w:rPr>
          <w:rFonts w:ascii="Times New Roman" w:hAnsi="Times New Roman" w:cs="Times New Roman"/>
          <w:b/>
          <w:noProof/>
          <w:sz w:val="24"/>
        </w:rPr>
        <w:t>any corporate presence</w:t>
      </w:r>
      <w:r>
        <w:rPr>
          <w:rFonts w:ascii="Times New Roman" w:hAnsi="Times New Roman" w:cs="Times New Roman"/>
          <w:noProof/>
          <w:sz w:val="24"/>
        </w:rPr>
        <w:t xml:space="preserve"> of the service provider in the EU, without requiring service providers to nominate a legal representative in such cases.</w:t>
      </w:r>
    </w:p>
    <w:p w:rsidR="001B65FF" w:rsidRDefault="003E4EF4">
      <w:pPr>
        <w:numPr>
          <w:ilvl w:val="0"/>
          <w:numId w:val="11"/>
        </w:numPr>
        <w:ind w:left="993"/>
        <w:contextualSpacing/>
        <w:jc w:val="both"/>
        <w:rPr>
          <w:rFonts w:ascii="Times New Roman" w:hAnsi="Times New Roman" w:cs="Times New Roman"/>
          <w:noProof/>
          <w:sz w:val="24"/>
          <w:szCs w:val="24"/>
        </w:rPr>
      </w:pPr>
      <w:r>
        <w:rPr>
          <w:rFonts w:ascii="Times New Roman" w:hAnsi="Times New Roman" w:cs="Times New Roman"/>
          <w:b/>
          <w:noProof/>
          <w:sz w:val="24"/>
          <w:szCs w:val="24"/>
        </w:rPr>
        <w:t>Rely on non-EU countries</w:t>
      </w:r>
      <w:r>
        <w:rPr>
          <w:rFonts w:ascii="Times New Roman" w:hAnsi="Times New Roman" w:cs="Times New Roman"/>
          <w:noProof/>
          <w:sz w:val="24"/>
          <w:szCs w:val="24"/>
        </w:rPr>
        <w:t xml:space="preserve"> for service of orders to service providers established in those co</w:t>
      </w:r>
      <w:r>
        <w:rPr>
          <w:rFonts w:ascii="Times New Roman" w:hAnsi="Times New Roman" w:cs="Times New Roman"/>
          <w:noProof/>
          <w:sz w:val="24"/>
          <w:szCs w:val="24"/>
        </w:rPr>
        <w:t xml:space="preserve">untries. </w:t>
      </w:r>
    </w:p>
    <w:p w:rsidR="001B65FF" w:rsidRDefault="003E4EF4">
      <w:pPr>
        <w:numPr>
          <w:ilvl w:val="0"/>
          <w:numId w:val="11"/>
        </w:numPr>
        <w:ind w:left="993"/>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Enter into an </w:t>
      </w:r>
      <w:r>
        <w:rPr>
          <w:rFonts w:ascii="Times New Roman" w:hAnsi="Times New Roman" w:cs="Times New Roman"/>
          <w:b/>
          <w:noProof/>
          <w:sz w:val="24"/>
          <w:szCs w:val="24"/>
        </w:rPr>
        <w:t>agreement with the US</w:t>
      </w:r>
      <w:r>
        <w:rPr>
          <w:rFonts w:ascii="Times New Roman" w:hAnsi="Times New Roman" w:cs="Times New Roman"/>
          <w:noProof/>
          <w:sz w:val="24"/>
          <w:szCs w:val="24"/>
        </w:rPr>
        <w:t xml:space="preserve"> to allow service of documents directly in the US on US-based service providers.</w:t>
      </w:r>
    </w:p>
    <w:p w:rsidR="001B65FF" w:rsidRDefault="003E4EF4">
      <w:pPr>
        <w:numPr>
          <w:ilvl w:val="0"/>
          <w:numId w:val="11"/>
        </w:numPr>
        <w:ind w:left="993"/>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Use under the </w:t>
      </w:r>
      <w:r>
        <w:rPr>
          <w:rFonts w:ascii="Times New Roman" w:hAnsi="Times New Roman" w:cs="Times New Roman"/>
          <w:noProof/>
          <w:sz w:val="24"/>
        </w:rPr>
        <w:t>European Production Order</w:t>
      </w:r>
      <w:r>
        <w:rPr>
          <w:rFonts w:ascii="Times New Roman" w:hAnsi="Times New Roman" w:cs="Times New Roman"/>
          <w:noProof/>
          <w:sz w:val="24"/>
          <w:szCs w:val="24"/>
        </w:rPr>
        <w:t xml:space="preserve"> a </w:t>
      </w:r>
      <w:r>
        <w:rPr>
          <w:rFonts w:ascii="Times New Roman" w:hAnsi="Times New Roman" w:cs="Times New Roman"/>
          <w:b/>
          <w:noProof/>
          <w:sz w:val="24"/>
          <w:szCs w:val="24"/>
        </w:rPr>
        <w:t>notification system</w:t>
      </w:r>
      <w:r>
        <w:rPr>
          <w:rFonts w:ascii="Times New Roman" w:hAnsi="Times New Roman" w:cs="Times New Roman"/>
          <w:noProof/>
          <w:sz w:val="24"/>
          <w:szCs w:val="24"/>
        </w:rPr>
        <w:t xml:space="preserve"> to the receiving State (where the service provider is located) with the right to object within 96 hours.</w:t>
      </w:r>
    </w:p>
    <w:p w:rsidR="001B65FF" w:rsidRDefault="003E4EF4">
      <w:pPr>
        <w:numPr>
          <w:ilvl w:val="0"/>
          <w:numId w:val="11"/>
        </w:numPr>
        <w:spacing w:after="0"/>
        <w:ind w:left="993"/>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 production </w:t>
      </w:r>
      <w:r>
        <w:rPr>
          <w:rFonts w:ascii="Times New Roman" w:hAnsi="Times New Roman" w:cs="Times New Roman"/>
          <w:b/>
          <w:noProof/>
          <w:sz w:val="24"/>
          <w:szCs w:val="24"/>
        </w:rPr>
        <w:t xml:space="preserve">request </w:t>
      </w:r>
      <w:r>
        <w:rPr>
          <w:rFonts w:ascii="Times New Roman" w:hAnsi="Times New Roman" w:cs="Times New Roman"/>
          <w:noProof/>
          <w:sz w:val="24"/>
          <w:szCs w:val="24"/>
        </w:rPr>
        <w:t>for</w:t>
      </w:r>
      <w:r>
        <w:rPr>
          <w:rFonts w:ascii="Times New Roman" w:hAnsi="Times New Roman" w:cs="Times New Roman"/>
          <w:b/>
          <w:noProof/>
          <w:sz w:val="24"/>
          <w:szCs w:val="24"/>
        </w:rPr>
        <w:t xml:space="preserve"> non-content</w:t>
      </w:r>
      <w:r>
        <w:rPr>
          <w:rFonts w:ascii="Times New Roman" w:hAnsi="Times New Roman" w:cs="Times New Roman"/>
          <w:noProof/>
          <w:sz w:val="24"/>
          <w:szCs w:val="24"/>
        </w:rPr>
        <w:t xml:space="preserve"> and a production </w:t>
      </w:r>
      <w:r>
        <w:rPr>
          <w:rFonts w:ascii="Times New Roman" w:hAnsi="Times New Roman" w:cs="Times New Roman"/>
          <w:b/>
          <w:noProof/>
          <w:sz w:val="24"/>
          <w:szCs w:val="24"/>
        </w:rPr>
        <w:t xml:space="preserve">order </w:t>
      </w:r>
      <w:r>
        <w:rPr>
          <w:rFonts w:ascii="Times New Roman" w:hAnsi="Times New Roman" w:cs="Times New Roman"/>
          <w:noProof/>
          <w:sz w:val="24"/>
          <w:szCs w:val="24"/>
        </w:rPr>
        <w:t>for</w:t>
      </w:r>
      <w:r>
        <w:rPr>
          <w:rFonts w:ascii="Times New Roman" w:hAnsi="Times New Roman" w:cs="Times New Roman"/>
          <w:b/>
          <w:noProof/>
          <w:sz w:val="24"/>
          <w:szCs w:val="24"/>
        </w:rPr>
        <w:t xml:space="preserve"> content</w:t>
      </w:r>
      <w:r>
        <w:rPr>
          <w:rFonts w:ascii="Times New Roman" w:hAnsi="Times New Roman" w:cs="Times New Roman"/>
          <w:noProof/>
          <w:sz w:val="24"/>
          <w:szCs w:val="24"/>
        </w:rPr>
        <w:t xml:space="preserve"> data.</w:t>
      </w:r>
    </w:p>
    <w:p w:rsidR="001B65FF" w:rsidRDefault="003E4EF4">
      <w:pPr>
        <w:pStyle w:val="ListParagraph"/>
        <w:numPr>
          <w:ilvl w:val="0"/>
          <w:numId w:val="137"/>
        </w:numPr>
        <w:tabs>
          <w:tab w:val="left" w:pos="630"/>
        </w:tabs>
        <w:spacing w:after="0"/>
        <w:ind w:left="630" w:hanging="270"/>
        <w:jc w:val="both"/>
        <w:rPr>
          <w:rFonts w:ascii="Times New Roman" w:hAnsi="Times New Roman" w:cs="Times New Roman"/>
          <w:noProof/>
          <w:sz w:val="24"/>
        </w:rPr>
      </w:pPr>
      <w:r>
        <w:rPr>
          <w:rFonts w:ascii="Times New Roman" w:hAnsi="Times New Roman" w:cs="Times New Roman"/>
          <w:noProof/>
          <w:sz w:val="24"/>
        </w:rPr>
        <w:t xml:space="preserve">Legislative measures on </w:t>
      </w:r>
      <w:r>
        <w:rPr>
          <w:rFonts w:ascii="Times New Roman" w:hAnsi="Times New Roman" w:cs="Times New Roman"/>
          <w:b/>
          <w:noProof/>
          <w:sz w:val="24"/>
        </w:rPr>
        <w:t>direct access</w:t>
      </w:r>
      <w:r>
        <w:rPr>
          <w:rFonts w:ascii="Times New Roman" w:hAnsi="Times New Roman" w:cs="Times New Roman"/>
          <w:noProof/>
          <w:sz w:val="24"/>
        </w:rPr>
        <w:t xml:space="preserve"> to electronic evidence.</w:t>
      </w:r>
    </w:p>
    <w:p w:rsidR="001B65FF" w:rsidRDefault="003E4EF4">
      <w:pPr>
        <w:numPr>
          <w:ilvl w:val="0"/>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Set up an </w:t>
      </w:r>
      <w:r>
        <w:rPr>
          <w:rFonts w:ascii="Times New Roman" w:hAnsi="Times New Roman" w:cs="Times New Roman"/>
          <w:b/>
          <w:noProof/>
          <w:sz w:val="24"/>
        </w:rPr>
        <w:t>EU legal basis</w:t>
      </w:r>
      <w:r>
        <w:rPr>
          <w:rFonts w:ascii="Times New Roman" w:hAnsi="Times New Roman" w:cs="Times New Roman"/>
          <w:noProof/>
          <w:sz w:val="24"/>
        </w:rPr>
        <w:t xml:space="preserve"> for direct access to electronic evidence.</w:t>
      </w:r>
    </w:p>
    <w:p w:rsidR="001B65FF" w:rsidRDefault="003E4EF4">
      <w:pPr>
        <w:numPr>
          <w:ilvl w:val="0"/>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Harmonise at EU level </w:t>
      </w:r>
      <w:r>
        <w:rPr>
          <w:rFonts w:ascii="Times New Roman" w:hAnsi="Times New Roman" w:cs="Times New Roman"/>
          <w:b/>
          <w:noProof/>
          <w:sz w:val="24"/>
        </w:rPr>
        <w:t>search and seizure</w:t>
      </w:r>
      <w:r>
        <w:rPr>
          <w:rFonts w:ascii="Times New Roman" w:hAnsi="Times New Roman" w:cs="Times New Roman"/>
          <w:noProof/>
          <w:sz w:val="24"/>
        </w:rPr>
        <w:t xml:space="preserve"> measures. </w:t>
      </w:r>
    </w:p>
    <w:p w:rsidR="001B65FF" w:rsidRDefault="003E4EF4">
      <w:pPr>
        <w:numPr>
          <w:ilvl w:val="0"/>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Restrict the scope of the legislation to service providers with a given </w:t>
      </w:r>
      <w:r>
        <w:rPr>
          <w:rFonts w:ascii="Times New Roman" w:hAnsi="Times New Roman" w:cs="Times New Roman"/>
          <w:b/>
          <w:noProof/>
          <w:sz w:val="24"/>
        </w:rPr>
        <w:t>connection to the EU</w:t>
      </w:r>
      <w:r>
        <w:rPr>
          <w:rFonts w:ascii="Times New Roman" w:hAnsi="Times New Roman" w:cs="Times New Roman"/>
          <w:noProof/>
          <w:sz w:val="24"/>
        </w:rPr>
        <w:t>.</w:t>
      </w:r>
    </w:p>
    <w:p w:rsidR="001B65FF" w:rsidRDefault="003E4EF4">
      <w:pPr>
        <w:numPr>
          <w:ilvl w:val="0"/>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Restrict the scope of the legislation to data stored </w:t>
      </w:r>
      <w:r>
        <w:rPr>
          <w:rFonts w:ascii="Times New Roman" w:hAnsi="Times New Roman" w:cs="Times New Roman"/>
          <w:noProof/>
          <w:sz w:val="24"/>
        </w:rPr>
        <w:t xml:space="preserve">in the EU (i.e. </w:t>
      </w:r>
      <w:r>
        <w:rPr>
          <w:rFonts w:ascii="Times New Roman" w:hAnsi="Times New Roman" w:cs="Times New Roman"/>
          <w:b/>
          <w:noProof/>
          <w:sz w:val="24"/>
        </w:rPr>
        <w:t>data storage</w:t>
      </w:r>
      <w:r>
        <w:rPr>
          <w:rFonts w:ascii="Times New Roman" w:hAnsi="Times New Roman" w:cs="Times New Roman"/>
          <w:noProof/>
          <w:sz w:val="24"/>
        </w:rPr>
        <w:t xml:space="preserve"> requirements).</w:t>
      </w:r>
    </w:p>
    <w:p w:rsidR="001B65FF" w:rsidRDefault="003E4EF4">
      <w:pPr>
        <w:numPr>
          <w:ilvl w:val="0"/>
          <w:numId w:val="97"/>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Introduce </w:t>
      </w:r>
      <w:r>
        <w:rPr>
          <w:rFonts w:ascii="Times New Roman" w:hAnsi="Times New Roman" w:cs="Times New Roman"/>
          <w:b/>
          <w:noProof/>
          <w:sz w:val="24"/>
        </w:rPr>
        <w:t>mandatory notification</w:t>
      </w:r>
      <w:r>
        <w:rPr>
          <w:rFonts w:ascii="Times New Roman" w:hAnsi="Times New Roman" w:cs="Times New Roman"/>
          <w:noProof/>
          <w:sz w:val="24"/>
        </w:rPr>
        <w:t xml:space="preserve"> to the </w:t>
      </w:r>
      <w:r>
        <w:rPr>
          <w:rFonts w:ascii="Times New Roman" w:hAnsi="Times New Roman" w:cs="Times New Roman"/>
          <w:b/>
          <w:noProof/>
          <w:sz w:val="24"/>
        </w:rPr>
        <w:t>public authorities</w:t>
      </w:r>
      <w:r>
        <w:rPr>
          <w:rFonts w:ascii="Times New Roman" w:hAnsi="Times New Roman" w:cs="Times New Roman"/>
          <w:noProof/>
          <w:sz w:val="24"/>
        </w:rPr>
        <w:t xml:space="preserve"> of the country of habitual residence of the target of the measure by the public authorities of the Member State carrying out the measure.</w:t>
      </w:r>
    </w:p>
    <w:p w:rsidR="001B65FF" w:rsidRDefault="003E4EF4">
      <w:pPr>
        <w:numPr>
          <w:ilvl w:val="0"/>
          <w:numId w:val="97"/>
        </w:numPr>
        <w:spacing w:after="0"/>
        <w:ind w:left="993"/>
        <w:contextualSpacing/>
        <w:jc w:val="both"/>
        <w:rPr>
          <w:rFonts w:ascii="Times New Roman" w:hAnsi="Times New Roman" w:cs="Times New Roman"/>
          <w:noProof/>
          <w:sz w:val="24"/>
        </w:rPr>
      </w:pPr>
      <w:r>
        <w:rPr>
          <w:rFonts w:ascii="Times New Roman" w:hAnsi="Times New Roman" w:cs="Times New Roman"/>
          <w:noProof/>
          <w:sz w:val="24"/>
        </w:rPr>
        <w:t xml:space="preserve">Introduce </w:t>
      </w:r>
      <w:r>
        <w:rPr>
          <w:rFonts w:ascii="Times New Roman" w:hAnsi="Times New Roman" w:cs="Times New Roman"/>
          <w:b/>
          <w:noProof/>
          <w:sz w:val="24"/>
        </w:rPr>
        <w:t>manda</w:t>
      </w:r>
      <w:r>
        <w:rPr>
          <w:rFonts w:ascii="Times New Roman" w:hAnsi="Times New Roman" w:cs="Times New Roman"/>
          <w:b/>
          <w:noProof/>
          <w:sz w:val="24"/>
        </w:rPr>
        <w:t>tory notification</w:t>
      </w:r>
      <w:r>
        <w:rPr>
          <w:rFonts w:ascii="Times New Roman" w:hAnsi="Times New Roman" w:cs="Times New Roman"/>
          <w:noProof/>
          <w:sz w:val="24"/>
        </w:rPr>
        <w:t xml:space="preserve"> to the </w:t>
      </w:r>
      <w:r>
        <w:rPr>
          <w:rFonts w:ascii="Times New Roman" w:hAnsi="Times New Roman" w:cs="Times New Roman"/>
          <w:b/>
          <w:noProof/>
          <w:sz w:val="24"/>
        </w:rPr>
        <w:t>public authorities</w:t>
      </w:r>
      <w:r>
        <w:rPr>
          <w:rFonts w:ascii="Times New Roman" w:hAnsi="Times New Roman" w:cs="Times New Roman"/>
          <w:noProof/>
          <w:sz w:val="24"/>
        </w:rPr>
        <w:t xml:space="preserve"> of the country where the data is stored.</w:t>
      </w:r>
    </w:p>
    <w:p w:rsidR="001B65FF" w:rsidRDefault="001B65FF">
      <w:pPr>
        <w:tabs>
          <w:tab w:val="left" w:pos="90"/>
        </w:tabs>
        <w:spacing w:after="0"/>
        <w:ind w:left="990"/>
        <w:jc w:val="both"/>
        <w:rPr>
          <w:rFonts w:ascii="Times New Roman" w:hAnsi="Times New Roman" w:cs="Times New Roman"/>
          <w:noProof/>
          <w:sz w:val="24"/>
        </w:rPr>
      </w:pPr>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cs="Times New Roman"/>
          <w:b/>
          <w:noProof/>
          <w:sz w:val="24"/>
          <w:szCs w:val="20"/>
        </w:rPr>
      </w:pPr>
      <w:bookmarkStart w:id="1244" w:name="_Toc481484473"/>
      <w:bookmarkStart w:id="1245" w:name="_Toc497927258"/>
      <w:bookmarkStart w:id="1246" w:name="_Toc497927871"/>
      <w:bookmarkStart w:id="1247" w:name="_Toc497928137"/>
      <w:bookmarkStart w:id="1248" w:name="_Toc498509667"/>
      <w:bookmarkStart w:id="1249" w:name="_Toc498521222"/>
      <w:bookmarkStart w:id="1250" w:name="_Toc498701966"/>
      <w:bookmarkStart w:id="1251" w:name="_Toc498704698"/>
      <w:bookmarkStart w:id="1252" w:name="_Toc499020455"/>
      <w:bookmarkStart w:id="1253" w:name="_Toc499030358"/>
      <w:bookmarkStart w:id="1254" w:name="_Toc499044932"/>
      <w:bookmarkStart w:id="1255" w:name="_Toc499051316"/>
      <w:bookmarkStart w:id="1256" w:name="_Toc499133304"/>
      <w:bookmarkStart w:id="1257" w:name="_Toc499142842"/>
      <w:bookmarkStart w:id="1258" w:name="_Toc510952870"/>
      <w:bookmarkEnd w:id="453"/>
      <w:bookmarkEnd w:id="454"/>
      <w:bookmarkEnd w:id="455"/>
      <w:bookmarkEnd w:id="456"/>
      <w:r>
        <w:rPr>
          <w:rFonts w:ascii="Times New Roman" w:eastAsia="Times New Roman" w:hAnsi="Times New Roman" w:cs="Times New Roman"/>
          <w:b/>
          <w:noProof/>
          <w:sz w:val="24"/>
          <w:szCs w:val="20"/>
        </w:rPr>
        <w:t>Description of the policy options</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rsidR="001B65FF" w:rsidRDefault="003E4EF4">
      <w:p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The detailed analysis (see Annex 4) of the policy measures retained in the mapping stage discarded the following measures:</w:t>
      </w:r>
    </w:p>
    <w:p w:rsidR="001B65FF" w:rsidRDefault="003E4EF4">
      <w:pPr>
        <w:pStyle w:val="ListParagraph"/>
        <w:numPr>
          <w:ilvl w:val="0"/>
          <w:numId w:val="187"/>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 direct </w:t>
      </w:r>
      <w:r>
        <w:rPr>
          <w:rFonts w:ascii="Times New Roman" w:hAnsi="Times New Roman" w:cs="Times New Roman"/>
          <w:noProof/>
          <w:sz w:val="24"/>
          <w:lang w:eastAsia="en-GB"/>
        </w:rPr>
        <w:t>cooperation:</w:t>
      </w:r>
    </w:p>
    <w:p w:rsidR="001B65FF" w:rsidRDefault="003E4EF4">
      <w:pPr>
        <w:pStyle w:val="ListParagraph"/>
        <w:numPr>
          <w:ilvl w:val="1"/>
          <w:numId w:val="187"/>
        </w:numPr>
        <w:jc w:val="both"/>
        <w:rPr>
          <w:rFonts w:ascii="Times New Roman" w:hAnsi="Times New Roman" w:cs="Times New Roman"/>
          <w:noProof/>
          <w:sz w:val="24"/>
          <w:lang w:eastAsia="en-GB"/>
        </w:rPr>
      </w:pPr>
      <w:r>
        <w:rPr>
          <w:rFonts w:ascii="Times New Roman" w:hAnsi="Times New Roman" w:cs="Times New Roman"/>
          <w:noProof/>
          <w:sz w:val="24"/>
          <w:lang w:eastAsia="en-GB"/>
        </w:rPr>
        <w:t>European Production Request (measure 5*);</w:t>
      </w:r>
    </w:p>
    <w:p w:rsidR="001B65FF" w:rsidRDefault="003E4EF4">
      <w:pPr>
        <w:pStyle w:val="ListParagraph"/>
        <w:numPr>
          <w:ilvl w:val="1"/>
          <w:numId w:val="187"/>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European Production Request and Order (measure 5**);</w:t>
      </w:r>
    </w:p>
    <w:p w:rsidR="001B65FF" w:rsidRDefault="003E4EF4">
      <w:pPr>
        <w:spacing w:after="0"/>
        <w:ind w:left="720"/>
        <w:jc w:val="both"/>
        <w:rPr>
          <w:rFonts w:ascii="Times New Roman" w:hAnsi="Times New Roman" w:cs="Times New Roman"/>
          <w:noProof/>
          <w:sz w:val="24"/>
          <w:lang w:eastAsia="en-GB"/>
        </w:rPr>
      </w:pPr>
      <w:r>
        <w:rPr>
          <w:rFonts w:ascii="Times New Roman" w:hAnsi="Times New Roman"/>
          <w:noProof/>
          <w:sz w:val="24"/>
          <w:szCs w:val="24"/>
        </w:rPr>
        <w:t xml:space="preserve">Both measures were discarded for being less effective without bringing any additional benefits compared to the European Production Order. See Annex </w:t>
      </w:r>
      <w:r>
        <w:rPr>
          <w:rFonts w:ascii="Times New Roman" w:hAnsi="Times New Roman"/>
          <w:noProof/>
          <w:sz w:val="24"/>
          <w:szCs w:val="24"/>
        </w:rPr>
        <w:t>4 for further details.</w:t>
      </w:r>
    </w:p>
    <w:p w:rsidR="001B65FF" w:rsidRDefault="003E4EF4">
      <w:pPr>
        <w:pStyle w:val="ListParagraph"/>
        <w:numPr>
          <w:ilvl w:val="0"/>
          <w:numId w:val="187"/>
        </w:numPr>
        <w:jc w:val="both"/>
        <w:rPr>
          <w:rFonts w:ascii="Times New Roman" w:hAnsi="Times New Roman" w:cs="Times New Roman"/>
          <w:noProof/>
          <w:sz w:val="24"/>
          <w:lang w:eastAsia="en-GB"/>
        </w:rPr>
      </w:pPr>
      <w:r>
        <w:rPr>
          <w:rFonts w:ascii="Times New Roman" w:hAnsi="Times New Roman" w:cs="Times New Roman"/>
          <w:noProof/>
          <w:sz w:val="24"/>
          <w:lang w:eastAsia="en-GB"/>
        </w:rPr>
        <w:t>in direct access:</w:t>
      </w:r>
    </w:p>
    <w:p w:rsidR="001B65FF" w:rsidRDefault="003E4EF4">
      <w:pPr>
        <w:pStyle w:val="ListParagraph"/>
        <w:numPr>
          <w:ilvl w:val="1"/>
          <w:numId w:val="187"/>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recommendation on conditions and safeguards for cross-border online searches in direct access (measure 7*).</w:t>
      </w:r>
    </w:p>
    <w:p w:rsidR="001B65FF" w:rsidRDefault="003E4EF4">
      <w:pPr>
        <w:ind w:left="1147"/>
        <w:jc w:val="both"/>
        <w:rPr>
          <w:rFonts w:ascii="Times New Roman" w:hAnsi="Times New Roman" w:cs="Times New Roman"/>
          <w:noProof/>
          <w:sz w:val="24"/>
          <w:lang w:eastAsia="en-GB"/>
        </w:rPr>
      </w:pPr>
      <w:r>
        <w:rPr>
          <w:rFonts w:ascii="Times New Roman" w:hAnsi="Times New Roman"/>
          <w:noProof/>
          <w:sz w:val="24"/>
          <w:szCs w:val="24"/>
        </w:rPr>
        <w:t>This measure was discarded because given its nonbinding nature, its  effectiveness would likely be limited.</w:t>
      </w:r>
      <w:r>
        <w:rPr>
          <w:rFonts w:ascii="Times New Roman" w:hAnsi="Times New Roman"/>
          <w:noProof/>
          <w:sz w:val="24"/>
          <w:szCs w:val="24"/>
        </w:rPr>
        <w:t xml:space="preserve"> Its main benefit would lie in further increasing fundamental rights protections; however, these possible benefits are outweighed by the lack of legal certainty and the added risk of fragmentation. See Annex 4 for further details.</w:t>
      </w:r>
    </w:p>
    <w:p w:rsidR="001B65FF" w:rsidRDefault="003E4EF4">
      <w:p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The figure below provides</w:t>
      </w:r>
      <w:r>
        <w:rPr>
          <w:rFonts w:ascii="Times New Roman" w:hAnsi="Times New Roman" w:cs="Times New Roman"/>
          <w:noProof/>
          <w:sz w:val="24"/>
          <w:lang w:eastAsia="en-GB"/>
        </w:rPr>
        <w:t xml:space="preserve"> an overview of the measures 1 to 7 retained to form the policy options A to D. It also includes the baseline (option O):</w:t>
      </w:r>
    </w:p>
    <w:p w:rsidR="001B65FF" w:rsidRDefault="003E4EF4">
      <w:pPr>
        <w:spacing w:after="0"/>
        <w:jc w:val="both"/>
        <w:rPr>
          <w:rFonts w:ascii="Times New Roman" w:hAnsi="Times New Roman" w:cs="Times New Roman"/>
          <w:noProof/>
          <w:sz w:val="24"/>
          <w:lang w:eastAsia="en-GB"/>
        </w:rPr>
        <w:sectPr w:rsidR="001B65FF">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pPr>
      <w:r>
        <w:rPr>
          <w:rFonts w:ascii="Times New Roman" w:hAnsi="Times New Roman" w:cs="Times New Roman"/>
          <w:noProof/>
          <w:sz w:val="24"/>
          <w:lang w:eastAsia="en-GB"/>
        </w:rPr>
        <w:t xml:space="preserve">                       </w:t>
      </w:r>
    </w:p>
    <w:p w:rsidR="001B65FF" w:rsidRDefault="003E4EF4">
      <w:pPr>
        <w:jc w:val="center"/>
        <w:rPr>
          <w:rFonts w:ascii="Times New Roman" w:hAnsi="Times New Roman" w:cs="Times New Roman"/>
          <w:noProof/>
        </w:rPr>
      </w:pPr>
      <w:r>
        <w:rPr>
          <w:rFonts w:ascii="Times New Roman" w:hAnsi="Times New Roman" w:cs="Times New Roman"/>
          <w:i/>
          <w:noProof/>
          <w:sz w:val="24"/>
          <w:lang w:eastAsia="en-GB"/>
        </w:rPr>
        <w:t>Figure 5: mapping of policy measures and policy opt</w:t>
      </w:r>
      <w:r>
        <w:rPr>
          <w:rFonts w:ascii="Times New Roman" w:hAnsi="Times New Roman" w:cs="Times New Roman"/>
          <w:i/>
          <w:noProof/>
          <w:sz w:val="24"/>
          <w:lang w:eastAsia="en-GB"/>
        </w:rPr>
        <w:t>ions</w:t>
      </w:r>
    </w:p>
    <w:p w:rsidR="001B65FF" w:rsidRDefault="003E4EF4">
      <w:pPr>
        <w:tabs>
          <w:tab w:val="left" w:pos="5245"/>
          <w:tab w:val="left" w:pos="5387"/>
        </w:tabs>
        <w:rPr>
          <w:rFonts w:ascii="Times New Roman" w:hAnsi="Times New Roman" w:cs="Times New Roman"/>
          <w:noProof/>
        </w:rPr>
        <w:sectPr w:rsidR="001B65FF">
          <w:headerReference w:type="even" r:id="rId45"/>
          <w:headerReference w:type="default" r:id="rId46"/>
          <w:footerReference w:type="even" r:id="rId47"/>
          <w:footerReference w:type="default" r:id="rId48"/>
          <w:headerReference w:type="first" r:id="rId49"/>
          <w:footerReference w:type="first" r:id="rId50"/>
          <w:pgSz w:w="16838" w:h="11906" w:orient="landscape"/>
          <w:pgMar w:top="1417" w:right="1417" w:bottom="1417" w:left="1417" w:header="708" w:footer="708" w:gutter="0"/>
          <w:cols w:space="708"/>
          <w:docGrid w:linePitch="360"/>
        </w:sectPr>
      </w:pPr>
      <w:r>
        <w:rPr>
          <w:rFonts w:ascii="Times New Roman" w:hAnsi="Times New Roman" w:cs="Times New Roman"/>
          <w:noProof/>
          <w:lang w:eastAsia="en-GB"/>
        </w:rPr>
        <mc:AlternateContent>
          <mc:Choice Requires="wpg">
            <w:drawing>
              <wp:anchor distT="0" distB="0" distL="114300" distR="114300" simplePos="0" relativeHeight="251658272" behindDoc="0" locked="0" layoutInCell="1" allowOverlap="1" wp14:anchorId="21B49A62" wp14:editId="28936FC1">
                <wp:simplePos x="0" y="0"/>
                <wp:positionH relativeFrom="column">
                  <wp:posOffset>-222885</wp:posOffset>
                </wp:positionH>
                <wp:positionV relativeFrom="paragraph">
                  <wp:posOffset>2009140</wp:posOffset>
                </wp:positionV>
                <wp:extent cx="926465" cy="264160"/>
                <wp:effectExtent l="0" t="0" r="6985" b="2540"/>
                <wp:wrapNone/>
                <wp:docPr id="55" name="Group 55"/>
                <wp:cNvGraphicFramePr/>
                <a:graphic xmlns:a="http://schemas.openxmlformats.org/drawingml/2006/main">
                  <a:graphicData uri="http://schemas.microsoft.com/office/word/2010/wordprocessingGroup">
                    <wpg:wgp>
                      <wpg:cNvGrpSpPr/>
                      <wpg:grpSpPr>
                        <a:xfrm>
                          <a:off x="0" y="0"/>
                          <a:ext cx="926465" cy="264160"/>
                          <a:chOff x="0" y="2505694"/>
                          <a:chExt cx="927244" cy="265430"/>
                        </a:xfrm>
                      </wpg:grpSpPr>
                      <wps:wsp>
                        <wps:cNvPr id="111" name="Text Box 2"/>
                        <wps:cNvSpPr txBox="1">
                          <a:spLocks noChangeArrowheads="1"/>
                        </wps:cNvSpPr>
                        <wps:spPr bwMode="auto">
                          <a:xfrm>
                            <a:off x="0" y="2505694"/>
                            <a:ext cx="786765" cy="265430"/>
                          </a:xfrm>
                          <a:prstGeom prst="rect">
                            <a:avLst/>
                          </a:prstGeom>
                          <a:solidFill>
                            <a:srgbClr val="FFFFFF"/>
                          </a:solidFill>
                          <a:ln w="9525">
                            <a:noFill/>
                            <a:miter lim="800000"/>
                            <a:headEnd/>
                            <a:tailEnd/>
                          </a:ln>
                        </wps:spPr>
                        <wps:txbx>
                          <w:txbxContent>
                            <w:p w:rsidR="001B65FF" w:rsidRDefault="003E4EF4">
                              <w:pPr>
                                <w:jc w:val="center"/>
                                <w:rPr>
                                  <w:rFonts w:ascii="Times New Roman" w:hAnsi="Times New Roman" w:cs="Times New Roman"/>
                                </w:rPr>
                              </w:pPr>
                              <w:r>
                                <w:rPr>
                                  <w:rFonts w:ascii="Times New Roman" w:hAnsi="Times New Roman" w:cs="Times New Roman"/>
                                </w:rPr>
                                <w:t>EU action</w:t>
                              </w:r>
                            </w:p>
                          </w:txbxContent>
                        </wps:txbx>
                        <wps:bodyPr rot="0" vert="horz" wrap="square" lIns="91440" tIns="45720" rIns="91440" bIns="45720" anchor="t" anchorCtr="0">
                          <a:noAutofit/>
                        </wps:bodyPr>
                      </wps:wsp>
                      <wps:wsp>
                        <wps:cNvPr id="112" name="Straight Connector 112"/>
                        <wps:cNvCnPr/>
                        <wps:spPr>
                          <a:xfrm>
                            <a:off x="785004" y="2617837"/>
                            <a:ext cx="14224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33" style="position:absolute;margin-left:-17.55pt;margin-top:158.2pt;width:72.95pt;height:20.8pt;z-index:251658272" coordorigin=",25056" coordsize="9272,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">
                <v:shape id="_x0000_s1034" type="#_x0000_t202" style="position:absolute;top:25056;width:7867;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rsidR="001B65FF" w:rsidRDefault="003E4EF4">
                        <w:pPr>
                          <w:jc w:val="center"/>
                          <w:rPr>
                            <w:rFonts w:ascii="Times New Roman" w:hAnsi="Times New Roman" w:cs="Times New Roman"/>
                          </w:rPr>
                        </w:pPr>
                        <w:r>
                          <w:rPr>
                            <w:rFonts w:ascii="Times New Roman" w:hAnsi="Times New Roman" w:cs="Times New Roman"/>
                          </w:rPr>
                          <w:t>EU action</w:t>
                        </w:r>
                      </w:p>
                    </w:txbxContent>
                  </v:textbox>
                </v:shape>
                <v:line id="Straight Connector 112" o:spid="_x0000_s1035" style="position:absolute;visibility:visible;mso-wrap-style:square" from="7850,26178" to="9272,2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8McMAAADcAAAADwAAAGRycy9kb3ducmV2LnhtbERPzWrCQBC+C32HZQq9iNkkiC2pq5SG&#10;gnhr7ANMs2OyNjubZrcafXq3IHibj+93luvRduJIgzeOFWRJCoK4dtpwo+Br9zF7AeEDssbOMSk4&#10;k4f16mGyxEK7E3/SsQqNiCHsC1TQhtAXUvq6JYs+cT1x5PZusBgiHBqpBzzFcNvJPE0X0qLh2NBi&#10;T+8t1T/Vn1VgLuft9Pf5G6dp1c3L8VBeTHZQ6ulxfHsFEWgMd/HNvdFxfpbD/zPx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XvDHDAAAA3AAAAA8AAAAAAAAAAAAA&#10;AAAAoQIAAGRycy9kb3ducmV2LnhtbFBLBQYAAAAABAAEAPkAAACRAwAAAAA=&#10;" strokecolor="#4579b8 [3044]" strokeweight="1.5pt"/>
              </v:group>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70" behindDoc="0" locked="0" layoutInCell="1" allowOverlap="1" wp14:anchorId="3B3303E6" wp14:editId="2F295EA8">
                <wp:simplePos x="0" y="0"/>
                <wp:positionH relativeFrom="column">
                  <wp:posOffset>716280</wp:posOffset>
                </wp:positionH>
                <wp:positionV relativeFrom="paragraph">
                  <wp:posOffset>803910</wp:posOffset>
                </wp:positionV>
                <wp:extent cx="0" cy="2567305"/>
                <wp:effectExtent l="0" t="0" r="19050" b="23495"/>
                <wp:wrapNone/>
                <wp:docPr id="53" name="Straight Connector 53"/>
                <wp:cNvGraphicFramePr/>
                <a:graphic xmlns:a="http://schemas.openxmlformats.org/drawingml/2006/main">
                  <a:graphicData uri="http://schemas.microsoft.com/office/word/2010/wordprocessingShape">
                    <wps:wsp>
                      <wps:cNvCnPr/>
                      <wps:spPr>
                        <a:xfrm>
                          <a:off x="0" y="0"/>
                          <a:ext cx="0" cy="2567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
            <w:pict>
              <v:line id="Straight Connector 53" o:spid="_x0000_s1026" style="position:absolute;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4pt,63.3pt" to="56.4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57" behindDoc="0" locked="0" layoutInCell="1" allowOverlap="1" wp14:anchorId="61210D2D" wp14:editId="4C034F63">
                <wp:simplePos x="0" y="0"/>
                <wp:positionH relativeFrom="column">
                  <wp:posOffset>3451225</wp:posOffset>
                </wp:positionH>
                <wp:positionV relativeFrom="paragraph">
                  <wp:posOffset>2166620</wp:posOffset>
                </wp:positionV>
                <wp:extent cx="0" cy="405130"/>
                <wp:effectExtent l="0" t="0" r="19050" b="13970"/>
                <wp:wrapNone/>
                <wp:docPr id="36" name="Straight Connector 36"/>
                <wp:cNvGraphicFramePr/>
                <a:graphic xmlns:a="http://schemas.openxmlformats.org/drawingml/2006/main">
                  <a:graphicData uri="http://schemas.microsoft.com/office/word/2010/wordprocessingShape">
                    <wps:wsp>
                      <wps:cNvCnPr/>
                      <wps:spPr>
                        <a:xfrm>
                          <a:off x="0" y="0"/>
                          <a:ext cx="0" cy="4051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36"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271.75pt,170.6pt" to="271.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60" behindDoc="0" locked="0" layoutInCell="1" allowOverlap="1" wp14:anchorId="36097337" wp14:editId="2395CE30">
                <wp:simplePos x="0" y="0"/>
                <wp:positionH relativeFrom="column">
                  <wp:posOffset>3541395</wp:posOffset>
                </wp:positionH>
                <wp:positionV relativeFrom="paragraph">
                  <wp:posOffset>2427605</wp:posOffset>
                </wp:positionV>
                <wp:extent cx="4694555" cy="264160"/>
                <wp:effectExtent l="0" t="0" r="0" b="254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264160"/>
                        </a:xfrm>
                        <a:prstGeom prst="rect">
                          <a:avLst/>
                        </a:prstGeom>
                        <a:noFill/>
                        <a:ln w="9525">
                          <a:noFill/>
                          <a:miter lim="800000"/>
                          <a:headEnd/>
                          <a:tailEnd/>
                        </a:ln>
                      </wps:spPr>
                      <wps:txbx>
                        <w:txbxContent>
                          <w:p w:rsidR="001B65FF" w:rsidRDefault="003E4EF4">
                            <w:pPr>
                              <w:rPr>
                                <w:rFonts w:ascii="Times New Roman" w:hAnsi="Times New Roman" w:cs="Times New Roman"/>
                              </w:rPr>
                            </w:pPr>
                            <w:r>
                              <w:rPr>
                                <w:rFonts w:ascii="Times New Roman" w:eastAsia="+mn-ea" w:hAnsi="Times New Roman" w:cs="Times New Roman"/>
                                <w:color w:val="000000"/>
                                <w:lang w:val="en-US"/>
                              </w:rPr>
                              <w:t xml:space="preserve">4. </w:t>
                            </w:r>
                            <w:r>
                              <w:rPr>
                                <w:rFonts w:ascii="Times New Roman" w:eastAsia="+mn-ea" w:hAnsi="Times New Roman" w:cs="Times New Roman"/>
                                <w:b/>
                                <w:color w:val="000000"/>
                                <w:lang w:val="en-US"/>
                              </w:rPr>
                              <w:t xml:space="preserve">Bilateral </w:t>
                            </w:r>
                            <w:r>
                              <w:rPr>
                                <w:rFonts w:ascii="Times New Roman" w:eastAsia="+mn-ea" w:hAnsi="Times New Roman" w:cs="Times New Roman"/>
                                <w:color w:val="000000"/>
                                <w:lang w:val="en-US"/>
                              </w:rPr>
                              <w:t>international agreements</w:t>
                            </w:r>
                          </w:p>
                        </w:txbxContent>
                      </wps:txbx>
                      <wps:bodyPr rot="0" vert="horz" wrap="square" lIns="91440" tIns="45720" rIns="91440" bIns="45720" anchor="t" anchorCtr="0">
                        <a:noAutofit/>
                      </wps:bodyPr>
                    </wps:wsp>
                  </a:graphicData>
                </a:graphic>
              </wp:anchor>
            </w:drawing>
          </mc:Choice>
          <mc:Fallback>
            <w:pict>
              <v:shape id="_x0000_s1036" type="#_x0000_t202" style="position:absolute;margin-left:278.85pt;margin-top:191.15pt;width:369.65pt;height:20.8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" filled="f" stroked="f">
                <v:textbox>
                  <w:txbxContent>
                    <w:p w:rsidR="001B65FF" w:rsidRDefault="003E4EF4">
                      <w:pPr>
                        <w:rPr>
                          <w:rFonts w:ascii="Times New Roman" w:hAnsi="Times New Roman" w:cs="Times New Roman"/>
                        </w:rPr>
                      </w:pPr>
                      <w:r>
                        <w:rPr>
                          <w:rFonts w:ascii="Times New Roman" w:eastAsia="+mn-ea" w:hAnsi="Times New Roman" w:cs="Times New Roman"/>
                          <w:color w:val="000000"/>
                          <w:lang w:val="en-US"/>
                        </w:rPr>
                        <w:t xml:space="preserve">4. </w:t>
                      </w:r>
                      <w:r>
                        <w:rPr>
                          <w:rFonts w:ascii="Times New Roman" w:eastAsia="+mn-ea" w:hAnsi="Times New Roman" w:cs="Times New Roman"/>
                          <w:b/>
                          <w:color w:val="000000"/>
                          <w:lang w:val="en-US"/>
                        </w:rPr>
                        <w:t xml:space="preserve">Bilateral </w:t>
                      </w:r>
                      <w:r>
                        <w:rPr>
                          <w:rFonts w:ascii="Times New Roman" w:eastAsia="+mn-ea" w:hAnsi="Times New Roman" w:cs="Times New Roman"/>
                          <w:color w:val="000000"/>
                          <w:lang w:val="en-US"/>
                        </w:rPr>
                        <w:t>international agreements</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81" behindDoc="0" locked="0" layoutInCell="1" allowOverlap="1" wp14:anchorId="4513CCAC" wp14:editId="239FB608">
                <wp:simplePos x="0" y="0"/>
                <wp:positionH relativeFrom="column">
                  <wp:posOffset>3446145</wp:posOffset>
                </wp:positionH>
                <wp:positionV relativeFrom="paragraph">
                  <wp:posOffset>2570480</wp:posOffset>
                </wp:positionV>
                <wp:extent cx="141605" cy="0"/>
                <wp:effectExtent l="0" t="0" r="10795" b="19050"/>
                <wp:wrapNone/>
                <wp:docPr id="71" name="Straight Connector 71"/>
                <wp:cNvGraphicFramePr/>
                <a:graphic xmlns:a="http://schemas.openxmlformats.org/drawingml/2006/main">
                  <a:graphicData uri="http://schemas.microsoft.com/office/word/2010/wordprocessingShape">
                    <wps:wsp>
                      <wps:cNvCnPr/>
                      <wps:spPr>
                        <a:xfrm>
                          <a:off x="0" y="0"/>
                          <a:ext cx="1416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71" o:spid="_x0000_s1026" style="position:absolute;z-index:251658281;visibility:visible;mso-wrap-style:square;mso-wrap-distance-left:9pt;mso-wrap-distance-top:0;mso-wrap-distance-right:9pt;mso-wrap-distance-bottom:0;mso-position-horizontal:absolute;mso-position-horizontal-relative:text;mso-position-vertical:absolute;mso-position-vertical-relative:text" from="271.35pt,202.4pt" to="282.5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82" behindDoc="0" locked="0" layoutInCell="1" allowOverlap="1" wp14:anchorId="411718B0" wp14:editId="2E1AF23A">
                <wp:simplePos x="0" y="0"/>
                <wp:positionH relativeFrom="column">
                  <wp:posOffset>3541395</wp:posOffset>
                </wp:positionH>
                <wp:positionV relativeFrom="paragraph">
                  <wp:posOffset>2012315</wp:posOffset>
                </wp:positionV>
                <wp:extent cx="4694555" cy="264160"/>
                <wp:effectExtent l="0" t="0" r="0" b="254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264160"/>
                        </a:xfrm>
                        <a:prstGeom prst="rect">
                          <a:avLst/>
                        </a:prstGeom>
                        <a:noFill/>
                        <a:ln w="9525">
                          <a:noFill/>
                          <a:miter lim="800000"/>
                          <a:headEnd/>
                          <a:tailEnd/>
                        </a:ln>
                      </wps:spPr>
                      <wps:txbx>
                        <w:txbxContent>
                          <w:p w:rsidR="001B65FF" w:rsidRDefault="003E4EF4">
                            <w:pPr>
                              <w:rPr>
                                <w:rFonts w:ascii="Times New Roman" w:hAnsi="Times New Roman" w:cs="Times New Roman"/>
                              </w:rPr>
                            </w:pPr>
                            <w:r>
                              <w:rPr>
                                <w:rFonts w:ascii="Times New Roman" w:eastAsia="+mn-ea" w:hAnsi="Times New Roman" w:cs="Times New Roman"/>
                                <w:color w:val="000000"/>
                                <w:lang w:val="en-US"/>
                              </w:rPr>
                              <w:t xml:space="preserve">3. </w:t>
                            </w:r>
                            <w:r>
                              <w:rPr>
                                <w:rFonts w:ascii="Times New Roman" w:eastAsia="+mn-ea" w:hAnsi="Times New Roman" w:cs="Times New Roman"/>
                                <w:b/>
                                <w:color w:val="000000"/>
                                <w:lang w:val="en-US"/>
                              </w:rPr>
                              <w:t xml:space="preserve">Multilateral </w:t>
                            </w:r>
                            <w:r>
                              <w:rPr>
                                <w:rFonts w:ascii="Times New Roman" w:eastAsia="+mn-ea" w:hAnsi="Times New Roman" w:cs="Times New Roman"/>
                                <w:color w:val="000000"/>
                                <w:lang w:val="en-US"/>
                              </w:rPr>
                              <w:t>international agreements</w:t>
                            </w:r>
                          </w:p>
                        </w:txbxContent>
                      </wps:txbx>
                      <wps:bodyPr rot="0" vert="horz" wrap="square" lIns="91440" tIns="45720" rIns="91440" bIns="45720" anchor="t" anchorCtr="0">
                        <a:noAutofit/>
                      </wps:bodyPr>
                    </wps:wsp>
                  </a:graphicData>
                </a:graphic>
              </wp:anchor>
            </w:drawing>
          </mc:Choice>
          <mc:Fallback>
            <w:pict>
              <v:shape id="_x0000_s1037" type="#_x0000_t202" style="position:absolute;margin-left:278.85pt;margin-top:158.45pt;width:369.65pt;height:20.8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" filled="f" stroked="f">
                <v:textbox>
                  <w:txbxContent>
                    <w:p w:rsidR="001B65FF" w:rsidRDefault="003E4EF4">
                      <w:pPr>
                        <w:rPr>
                          <w:rFonts w:ascii="Times New Roman" w:hAnsi="Times New Roman" w:cs="Times New Roman"/>
                        </w:rPr>
                      </w:pPr>
                      <w:r>
                        <w:rPr>
                          <w:rFonts w:ascii="Times New Roman" w:eastAsia="+mn-ea" w:hAnsi="Times New Roman" w:cs="Times New Roman"/>
                          <w:color w:val="000000"/>
                          <w:lang w:val="en-US"/>
                        </w:rPr>
                        <w:t xml:space="preserve">3. </w:t>
                      </w:r>
                      <w:r>
                        <w:rPr>
                          <w:rFonts w:ascii="Times New Roman" w:eastAsia="+mn-ea" w:hAnsi="Times New Roman" w:cs="Times New Roman"/>
                          <w:b/>
                          <w:color w:val="000000"/>
                          <w:lang w:val="en-US"/>
                        </w:rPr>
                        <w:t xml:space="preserve">Multilateral </w:t>
                      </w:r>
                      <w:r>
                        <w:rPr>
                          <w:rFonts w:ascii="Times New Roman" w:eastAsia="+mn-ea" w:hAnsi="Times New Roman" w:cs="Times New Roman"/>
                          <w:color w:val="000000"/>
                          <w:lang w:val="en-US"/>
                        </w:rPr>
                        <w:t>international agreements</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83" behindDoc="0" locked="0" layoutInCell="1" allowOverlap="1" wp14:anchorId="5ACB7030" wp14:editId="499BC877">
                <wp:simplePos x="0" y="0"/>
                <wp:positionH relativeFrom="column">
                  <wp:posOffset>2175510</wp:posOffset>
                </wp:positionH>
                <wp:positionV relativeFrom="paragraph">
                  <wp:posOffset>2368550</wp:posOffset>
                </wp:positionV>
                <wp:extent cx="141605" cy="0"/>
                <wp:effectExtent l="0" t="0" r="10795" b="19050"/>
                <wp:wrapNone/>
                <wp:docPr id="74" name="Straight Connector 74"/>
                <wp:cNvGraphicFramePr/>
                <a:graphic xmlns:a="http://schemas.openxmlformats.org/drawingml/2006/main">
                  <a:graphicData uri="http://schemas.microsoft.com/office/word/2010/wordprocessingShape">
                    <wps:wsp>
                      <wps:cNvCnPr/>
                      <wps:spPr>
                        <a:xfrm>
                          <a:off x="0" y="0"/>
                          <a:ext cx="1416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74" o:spid="_x0000_s1026" style="position:absolute;z-index:251658283;visibility:visible;mso-wrap-style:square;mso-wrap-distance-left:9pt;mso-wrap-distance-top:0;mso-wrap-distance-right:9pt;mso-wrap-distance-bottom:0;mso-position-horizontal:absolute;mso-position-horizontal-relative:text;mso-position-vertical:absolute;mso-position-vertical-relative:text" from="171.3pt,186.5pt" to="182.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84" behindDoc="0" locked="0" layoutInCell="1" allowOverlap="1" wp14:anchorId="78664DB3" wp14:editId="07BFCF61">
                <wp:simplePos x="0" y="0"/>
                <wp:positionH relativeFrom="column">
                  <wp:posOffset>3446145</wp:posOffset>
                </wp:positionH>
                <wp:positionV relativeFrom="paragraph">
                  <wp:posOffset>2166620</wp:posOffset>
                </wp:positionV>
                <wp:extent cx="141605" cy="0"/>
                <wp:effectExtent l="0" t="0" r="10795" b="19050"/>
                <wp:wrapNone/>
                <wp:docPr id="75" name="Straight Connector 75"/>
                <wp:cNvGraphicFramePr/>
                <a:graphic xmlns:a="http://schemas.openxmlformats.org/drawingml/2006/main">
                  <a:graphicData uri="http://schemas.microsoft.com/office/word/2010/wordprocessingShape">
                    <wps:wsp>
                      <wps:cNvCnPr/>
                      <wps:spPr>
                        <a:xfrm>
                          <a:off x="0" y="0"/>
                          <a:ext cx="1416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75" o:spid="_x0000_s1026" style="position:absolute;z-index:251658284;visibility:visible;mso-wrap-style:square;mso-wrap-distance-left:9pt;mso-wrap-distance-top:0;mso-wrap-distance-right:9pt;mso-wrap-distance-bottom:0;mso-position-horizontal:absolute;mso-position-horizontal-relative:text;mso-position-vertical:absolute;mso-position-vertical-relative:text" from="271.35pt,170.6pt" to="282.5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85" behindDoc="0" locked="0" layoutInCell="1" allowOverlap="1" wp14:anchorId="64837FBF" wp14:editId="23C8B57B">
                <wp:simplePos x="0" y="0"/>
                <wp:positionH relativeFrom="column">
                  <wp:posOffset>3114040</wp:posOffset>
                </wp:positionH>
                <wp:positionV relativeFrom="paragraph">
                  <wp:posOffset>2368550</wp:posOffset>
                </wp:positionV>
                <wp:extent cx="327025" cy="4445"/>
                <wp:effectExtent l="0" t="0" r="15875" b="33655"/>
                <wp:wrapNone/>
                <wp:docPr id="76" name="Straight Connector 76"/>
                <wp:cNvGraphicFramePr/>
                <a:graphic xmlns:a="http://schemas.openxmlformats.org/drawingml/2006/main">
                  <a:graphicData uri="http://schemas.microsoft.com/office/word/2010/wordprocessingShape">
                    <wps:wsp>
                      <wps:cNvCnPr/>
                      <wps:spPr>
                        <a:xfrm flipV="1">
                          <a:off x="0" y="0"/>
                          <a:ext cx="327025" cy="44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76" o:spid="_x0000_s1026" style="position:absolute;flip:y;z-index:251658285;visibility:visible;mso-wrap-style:square;mso-wrap-distance-left:9pt;mso-wrap-distance-top:0;mso-wrap-distance-right:9pt;mso-wrap-distance-bottom:0;mso-position-horizontal:absolute;mso-position-horizontal-relative:text;mso-position-vertical:absolute;mso-position-vertical-relative:text" from="245.2pt,186.5pt" to="270.95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04" behindDoc="0" locked="0" layoutInCell="1" allowOverlap="1" wp14:anchorId="65E6E328" wp14:editId="65A56D90">
                <wp:simplePos x="0" y="0"/>
                <wp:positionH relativeFrom="column">
                  <wp:posOffset>7780655</wp:posOffset>
                </wp:positionH>
                <wp:positionV relativeFrom="paragraph">
                  <wp:posOffset>1976755</wp:posOffset>
                </wp:positionV>
                <wp:extent cx="379095" cy="393700"/>
                <wp:effectExtent l="0" t="0" r="1905" b="635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38" type="#_x0000_t202" style="position:absolute;margin-left:612.65pt;margin-top:155.65pt;width:29.85pt;height:31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05" behindDoc="0" locked="0" layoutInCell="1" allowOverlap="1" wp14:anchorId="16692D11" wp14:editId="5BF2B366">
                <wp:simplePos x="0" y="0"/>
                <wp:positionH relativeFrom="column">
                  <wp:posOffset>8065770</wp:posOffset>
                </wp:positionH>
                <wp:positionV relativeFrom="paragraph">
                  <wp:posOffset>1976755</wp:posOffset>
                </wp:positionV>
                <wp:extent cx="379095" cy="393700"/>
                <wp:effectExtent l="0" t="0" r="1905" b="635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39" type="#_x0000_t202" style="position:absolute;margin-left:635.1pt;margin-top:155.65pt;width:29.85pt;height:31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06" behindDoc="0" locked="0" layoutInCell="1" allowOverlap="1" wp14:anchorId="08D9422D" wp14:editId="11CC5DF7">
                <wp:simplePos x="0" y="0"/>
                <wp:positionH relativeFrom="column">
                  <wp:posOffset>8350885</wp:posOffset>
                </wp:positionH>
                <wp:positionV relativeFrom="paragraph">
                  <wp:posOffset>1976755</wp:posOffset>
                </wp:positionV>
                <wp:extent cx="379095" cy="393700"/>
                <wp:effectExtent l="0" t="0" r="1905" b="635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40" type="#_x0000_t202" style="position:absolute;margin-left:657.55pt;margin-top:155.65pt;width:29.85pt;height:31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07" behindDoc="0" locked="0" layoutInCell="1" allowOverlap="1" wp14:anchorId="683D873F" wp14:editId="1B7A76C6">
                <wp:simplePos x="0" y="0"/>
                <wp:positionH relativeFrom="column">
                  <wp:posOffset>7780655</wp:posOffset>
                </wp:positionH>
                <wp:positionV relativeFrom="paragraph">
                  <wp:posOffset>2368550</wp:posOffset>
                </wp:positionV>
                <wp:extent cx="379095" cy="393700"/>
                <wp:effectExtent l="0" t="0" r="1905" b="635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41" type="#_x0000_t202" style="position:absolute;margin-left:612.65pt;margin-top:186.5pt;width:29.85pt;height:31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08" behindDoc="0" locked="0" layoutInCell="1" allowOverlap="1" wp14:anchorId="442B3936" wp14:editId="493E97B2">
                <wp:simplePos x="0" y="0"/>
                <wp:positionH relativeFrom="column">
                  <wp:posOffset>8065770</wp:posOffset>
                </wp:positionH>
                <wp:positionV relativeFrom="paragraph">
                  <wp:posOffset>2368550</wp:posOffset>
                </wp:positionV>
                <wp:extent cx="379095" cy="393700"/>
                <wp:effectExtent l="0" t="0" r="1905" b="635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42" type="#_x0000_t202" style="position:absolute;margin-left:635.1pt;margin-top:186.5pt;width:29.85pt;height:31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09" behindDoc="0" locked="0" layoutInCell="1" allowOverlap="1" wp14:anchorId="014E61A8" wp14:editId="37052347">
                <wp:simplePos x="0" y="0"/>
                <wp:positionH relativeFrom="column">
                  <wp:posOffset>8350885</wp:posOffset>
                </wp:positionH>
                <wp:positionV relativeFrom="paragraph">
                  <wp:posOffset>2368550</wp:posOffset>
                </wp:positionV>
                <wp:extent cx="379095" cy="393700"/>
                <wp:effectExtent l="0" t="0" r="1905" b="635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43" type="#_x0000_t202" style="position:absolute;margin-left:657.55pt;margin-top:186.5pt;width:29.85pt;height:31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55" behindDoc="0" locked="0" layoutInCell="1" allowOverlap="1" wp14:anchorId="5B272BF1" wp14:editId="08CD96FE">
                <wp:simplePos x="0" y="0"/>
                <wp:positionH relativeFrom="column">
                  <wp:posOffset>2282190</wp:posOffset>
                </wp:positionH>
                <wp:positionV relativeFrom="paragraph">
                  <wp:posOffset>2131060</wp:posOffset>
                </wp:positionV>
                <wp:extent cx="1169035" cy="456565"/>
                <wp:effectExtent l="0" t="0" r="0" b="63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456565"/>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rPr>
                            </w:pPr>
                            <w:r>
                              <w:rPr>
                                <w:rFonts w:ascii="Times New Roman" w:hAnsi="Times New Roman" w:cs="Times New Roman"/>
                              </w:rPr>
                              <w:t xml:space="preserve">Judicial cooperation </w:t>
                            </w:r>
                          </w:p>
                        </w:txbxContent>
                      </wps:txbx>
                      <wps:bodyPr rot="0" vert="horz" wrap="square" lIns="91440" tIns="45720" rIns="91440" bIns="45720" anchor="t" anchorCtr="0">
                        <a:noAutofit/>
                      </wps:bodyPr>
                    </wps:wsp>
                  </a:graphicData>
                </a:graphic>
              </wp:anchor>
            </w:drawing>
          </mc:Choice>
          <mc:Fallback>
            <w:pict>
              <v:shape id="_x0000_s1044" type="#_x0000_t202" style="position:absolute;margin-left:179.7pt;margin-top:167.8pt;width:92.05pt;height:35.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" stroked="f">
                <v:textbox>
                  <w:txbxContent>
                    <w:p w:rsidR="001B65FF" w:rsidRDefault="003E4EF4">
                      <w:pPr>
                        <w:rPr>
                          <w:rFonts w:ascii="Times New Roman" w:hAnsi="Times New Roman" w:cs="Times New Roman"/>
                        </w:rPr>
                      </w:pPr>
                      <w:r>
                        <w:rPr>
                          <w:rFonts w:ascii="Times New Roman" w:hAnsi="Times New Roman" w:cs="Times New Roman"/>
                        </w:rPr>
                        <w:t xml:space="preserve">Judicial cooperation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53" behindDoc="0" locked="0" layoutInCell="1" allowOverlap="1" wp14:anchorId="52264AF7" wp14:editId="2216C484">
                <wp:simplePos x="0" y="0"/>
                <wp:positionH relativeFrom="column">
                  <wp:posOffset>2278380</wp:posOffset>
                </wp:positionH>
                <wp:positionV relativeFrom="paragraph">
                  <wp:posOffset>3131820</wp:posOffset>
                </wp:positionV>
                <wp:extent cx="1169035" cy="47625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476250"/>
                        </a:xfrm>
                        <a:prstGeom prst="rect">
                          <a:avLst/>
                        </a:prstGeom>
                        <a:noFill/>
                        <a:ln w="9525">
                          <a:noFill/>
                          <a:miter lim="800000"/>
                          <a:headEnd/>
                          <a:tailEnd/>
                        </a:ln>
                      </wps:spPr>
                      <wps:txbx>
                        <w:txbxContent>
                          <w:p w:rsidR="001B65FF" w:rsidRDefault="003E4EF4">
                            <w:pPr>
                              <w:rPr>
                                <w:rFonts w:ascii="Times New Roman" w:hAnsi="Times New Roman" w:cs="Times New Roman"/>
                              </w:rPr>
                            </w:pPr>
                            <w:r>
                              <w:rPr>
                                <w:rFonts w:ascii="Times New Roman" w:hAnsi="Times New Roman" w:cs="Times New Roman"/>
                              </w:rPr>
                              <w:t>Direct cooperation</w:t>
                            </w:r>
                          </w:p>
                        </w:txbxContent>
                      </wps:txbx>
                      <wps:bodyPr rot="0" vert="horz" wrap="square" lIns="91440" tIns="45720" rIns="91440" bIns="45720" anchor="t" anchorCtr="0">
                        <a:noAutofit/>
                      </wps:bodyPr>
                    </wps:wsp>
                  </a:graphicData>
                </a:graphic>
              </wp:anchor>
            </w:drawing>
          </mc:Choice>
          <mc:Fallback>
            <w:pict>
              <v:shape id="_x0000_s1045" type="#_x0000_t202" style="position:absolute;margin-left:179.4pt;margin-top:246.6pt;width:92.05pt;height:37.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" filled="f" stroked="f">
                <v:textbox>
                  <w:txbxContent>
                    <w:p w:rsidR="001B65FF" w:rsidRDefault="003E4EF4">
                      <w:pPr>
                        <w:rPr>
                          <w:rFonts w:ascii="Times New Roman" w:hAnsi="Times New Roman" w:cs="Times New Roman"/>
                        </w:rPr>
                      </w:pPr>
                      <w:r>
                        <w:rPr>
                          <w:rFonts w:ascii="Times New Roman" w:hAnsi="Times New Roman" w:cs="Times New Roman"/>
                        </w:rPr>
                        <w:t>Direct cooperation</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86" behindDoc="0" locked="0" layoutInCell="1" allowOverlap="1" wp14:anchorId="5E7DCD2D" wp14:editId="1B350D4B">
                <wp:simplePos x="0" y="0"/>
                <wp:positionH relativeFrom="column">
                  <wp:posOffset>3451225</wp:posOffset>
                </wp:positionH>
                <wp:positionV relativeFrom="paragraph">
                  <wp:posOffset>3551555</wp:posOffset>
                </wp:positionV>
                <wp:extent cx="141605" cy="0"/>
                <wp:effectExtent l="0" t="0" r="10795" b="19050"/>
                <wp:wrapNone/>
                <wp:docPr id="78" name="Straight Connector 78"/>
                <wp:cNvGraphicFramePr/>
                <a:graphic xmlns:a="http://schemas.openxmlformats.org/drawingml/2006/main">
                  <a:graphicData uri="http://schemas.microsoft.com/office/word/2010/wordprocessingShape">
                    <wps:wsp>
                      <wps:cNvCnPr/>
                      <wps:spPr>
                        <a:xfrm>
                          <a:off x="0" y="0"/>
                          <a:ext cx="1416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78" o:spid="_x0000_s1026" style="position:absolute;z-index:251658286;visibility:visible;mso-wrap-style:square;mso-wrap-distance-left:9pt;mso-wrap-distance-top:0;mso-wrap-distance-right:9pt;mso-wrap-distance-bottom:0;mso-position-horizontal:absolute;mso-position-horizontal-relative:text;mso-position-vertical:absolute;mso-position-vertical-relative:text" from="271.75pt,279.65pt" to="282.9pt,2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78" behindDoc="0" locked="0" layoutInCell="1" allowOverlap="1" wp14:anchorId="5D4BB6D5" wp14:editId="3CB1F93F">
                <wp:simplePos x="0" y="0"/>
                <wp:positionH relativeFrom="column">
                  <wp:posOffset>3451225</wp:posOffset>
                </wp:positionH>
                <wp:positionV relativeFrom="paragraph">
                  <wp:posOffset>3147695</wp:posOffset>
                </wp:positionV>
                <wp:extent cx="141605" cy="0"/>
                <wp:effectExtent l="0" t="0" r="10795" b="19050"/>
                <wp:wrapNone/>
                <wp:docPr id="66" name="Straight Connector 66"/>
                <wp:cNvGraphicFramePr/>
                <a:graphic xmlns:a="http://schemas.openxmlformats.org/drawingml/2006/main">
                  <a:graphicData uri="http://schemas.microsoft.com/office/word/2010/wordprocessingShape">
                    <wps:wsp>
                      <wps:cNvCnPr/>
                      <wps:spPr>
                        <a:xfrm>
                          <a:off x="0" y="0"/>
                          <a:ext cx="1416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66" o:spid="_x0000_s1026" style="position:absolute;z-index:251658278;visibility:visible;mso-wrap-style:square;mso-wrap-distance-left:9pt;mso-wrap-distance-top:0;mso-wrap-distance-right:9pt;mso-wrap-distance-bottom:0;mso-position-horizontal:absolute;mso-position-horizontal-relative:text;mso-position-vertical:absolute;mso-position-vertical-relative:text" from="271.75pt,247.85pt" to="282.9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58" behindDoc="0" locked="0" layoutInCell="1" allowOverlap="1" wp14:anchorId="12B3C6FF" wp14:editId="15E5E7B3">
                <wp:simplePos x="0" y="0"/>
                <wp:positionH relativeFrom="column">
                  <wp:posOffset>3451225</wp:posOffset>
                </wp:positionH>
                <wp:positionV relativeFrom="paragraph">
                  <wp:posOffset>3147695</wp:posOffset>
                </wp:positionV>
                <wp:extent cx="0" cy="403225"/>
                <wp:effectExtent l="0" t="0" r="19050" b="15875"/>
                <wp:wrapNone/>
                <wp:docPr id="37" name="Straight Connector 37"/>
                <wp:cNvGraphicFramePr/>
                <a:graphic xmlns:a="http://schemas.openxmlformats.org/drawingml/2006/main">
                  <a:graphicData uri="http://schemas.microsoft.com/office/word/2010/wordprocessingShape">
                    <wps:wsp>
                      <wps:cNvCnPr/>
                      <wps:spPr>
                        <a:xfrm flipH="1">
                          <a:off x="0" y="0"/>
                          <a:ext cx="0" cy="4032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id="Straight Connector 37" o:spid="_x0000_s1026" style="position:absolute;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75pt,247.85pt" to="271.7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96" behindDoc="0" locked="0" layoutInCell="1" allowOverlap="1" wp14:anchorId="2FF6874F" wp14:editId="1FB1ADE7">
                <wp:simplePos x="0" y="0"/>
                <wp:positionH relativeFrom="column">
                  <wp:posOffset>3552825</wp:posOffset>
                </wp:positionH>
                <wp:positionV relativeFrom="paragraph">
                  <wp:posOffset>3416300</wp:posOffset>
                </wp:positionV>
                <wp:extent cx="4695190" cy="264795"/>
                <wp:effectExtent l="0" t="0" r="0" b="190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190" cy="264795"/>
                        </a:xfrm>
                        <a:prstGeom prst="rect">
                          <a:avLst/>
                        </a:prstGeom>
                        <a:noFill/>
                        <a:ln w="9525">
                          <a:noFill/>
                          <a:miter lim="800000"/>
                          <a:headEnd/>
                          <a:tailEnd/>
                        </a:ln>
                      </wps:spPr>
                      <wps:txbx>
                        <w:txbxContent>
                          <w:p w:rsidR="001B65FF" w:rsidRDefault="003E4EF4">
                            <w:pPr>
                              <w:rPr>
                                <w:rFonts w:ascii="Times New Roman" w:hAnsi="Times New Roman" w:cs="Times New Roman"/>
                                <w:b/>
                              </w:rPr>
                            </w:pPr>
                            <w:r>
                              <w:rPr>
                                <w:rFonts w:ascii="Times New Roman" w:eastAsia="+mn-ea" w:hAnsi="Times New Roman" w:cs="Times New Roman"/>
                                <w:color w:val="000000"/>
                                <w:lang w:val="en-US"/>
                              </w:rPr>
                              <w:t xml:space="preserve">6. Access to data </w:t>
                            </w:r>
                            <w:r>
                              <w:rPr>
                                <w:rFonts w:ascii="Times New Roman" w:eastAsia="+mn-ea" w:hAnsi="Times New Roman" w:cs="Times New Roman"/>
                                <w:b/>
                                <w:color w:val="000000"/>
                                <w:lang w:val="en-US"/>
                              </w:rPr>
                              <w:t>without individualized review (WHOIS)</w:t>
                            </w:r>
                          </w:p>
                        </w:txbxContent>
                      </wps:txbx>
                      <wps:bodyPr rot="0" vert="horz" wrap="square" lIns="91440" tIns="45720" rIns="91440" bIns="45720" anchor="t" anchorCtr="0">
                        <a:noAutofit/>
                      </wps:bodyPr>
                    </wps:wsp>
                  </a:graphicData>
                </a:graphic>
              </wp:anchor>
            </w:drawing>
          </mc:Choice>
          <mc:Fallback>
            <w:pict>
              <v:shape id="_x0000_s1046" type="#_x0000_t202" style="position:absolute;margin-left:279.75pt;margin-top:269pt;width:369.7pt;height:20.8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" filled="f" stroked="f">
                <v:textbox>
                  <w:txbxContent>
                    <w:p w:rsidR="001B65FF" w:rsidRDefault="003E4EF4">
                      <w:pPr>
                        <w:rPr>
                          <w:rFonts w:ascii="Times New Roman" w:hAnsi="Times New Roman" w:cs="Times New Roman"/>
                          <w:b/>
                        </w:rPr>
                      </w:pPr>
                      <w:r>
                        <w:rPr>
                          <w:rFonts w:ascii="Times New Roman" w:eastAsia="+mn-ea" w:hAnsi="Times New Roman" w:cs="Times New Roman"/>
                          <w:color w:val="000000"/>
                          <w:lang w:val="en-US"/>
                        </w:rPr>
                        <w:t xml:space="preserve">6. Access to data </w:t>
                      </w:r>
                      <w:r>
                        <w:rPr>
                          <w:rFonts w:ascii="Times New Roman" w:eastAsia="+mn-ea" w:hAnsi="Times New Roman" w:cs="Times New Roman"/>
                          <w:b/>
                          <w:color w:val="000000"/>
                          <w:lang w:val="en-US"/>
                        </w:rPr>
                        <w:t>without individualized review (WHOIS)</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11" behindDoc="0" locked="0" layoutInCell="1" allowOverlap="1" wp14:anchorId="7E694657" wp14:editId="27BC6620">
                <wp:simplePos x="0" y="0"/>
                <wp:positionH relativeFrom="column">
                  <wp:posOffset>3541395</wp:posOffset>
                </wp:positionH>
                <wp:positionV relativeFrom="paragraph">
                  <wp:posOffset>3014345</wp:posOffset>
                </wp:positionV>
                <wp:extent cx="4694555" cy="264160"/>
                <wp:effectExtent l="0" t="0" r="0" b="254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264160"/>
                        </a:xfrm>
                        <a:prstGeom prst="rect">
                          <a:avLst/>
                        </a:prstGeom>
                        <a:noFill/>
                        <a:ln w="9525">
                          <a:noFill/>
                          <a:miter lim="800000"/>
                          <a:headEnd/>
                          <a:tailEnd/>
                        </a:ln>
                      </wps:spPr>
                      <wps:txbx>
                        <w:txbxContent>
                          <w:p w:rsidR="001B65FF" w:rsidRDefault="003E4EF4">
                            <w:pPr>
                              <w:rPr>
                                <w:rFonts w:ascii="Times New Roman" w:hAnsi="Times New Roman" w:cs="Times New Roman"/>
                                <w:b/>
                              </w:rPr>
                            </w:pPr>
                            <w:r>
                              <w:rPr>
                                <w:rFonts w:ascii="Times New Roman" w:eastAsia="+mn-ea" w:hAnsi="Times New Roman" w:cs="Times New Roman"/>
                                <w:color w:val="000000"/>
                                <w:lang w:val="en-US"/>
                              </w:rPr>
                              <w:t xml:space="preserve">5. </w:t>
                            </w:r>
                            <w:r>
                              <w:rPr>
                                <w:rFonts w:ascii="Times New Roman" w:eastAsia="+mn-ea" w:hAnsi="Times New Roman" w:cs="Times New Roman"/>
                                <w:b/>
                                <w:color w:val="000000"/>
                                <w:lang w:val="en-US"/>
                              </w:rPr>
                              <w:t>European Production Order</w:t>
                            </w:r>
                          </w:p>
                        </w:txbxContent>
                      </wps:txbx>
                      <wps:bodyPr rot="0" vert="horz" wrap="square" lIns="91440" tIns="45720" rIns="91440" bIns="45720" anchor="t" anchorCtr="0">
                        <a:noAutofit/>
                      </wps:bodyPr>
                    </wps:wsp>
                  </a:graphicData>
                </a:graphic>
              </wp:anchor>
            </w:drawing>
          </mc:Choice>
          <mc:Fallback>
            <w:pict>
              <v:shape id="_x0000_s1047" type="#_x0000_t202" style="position:absolute;margin-left:278.85pt;margin-top:237.35pt;width:369.65pt;height:20.8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" filled="f" stroked="f">
                <v:textbox>
                  <w:txbxContent>
                    <w:p w:rsidR="001B65FF" w:rsidRDefault="003E4EF4">
                      <w:pPr>
                        <w:rPr>
                          <w:rFonts w:ascii="Times New Roman" w:hAnsi="Times New Roman" w:cs="Times New Roman"/>
                          <w:b/>
                        </w:rPr>
                      </w:pPr>
                      <w:r>
                        <w:rPr>
                          <w:rFonts w:ascii="Times New Roman" w:eastAsia="+mn-ea" w:hAnsi="Times New Roman" w:cs="Times New Roman"/>
                          <w:color w:val="000000"/>
                          <w:lang w:val="en-US"/>
                        </w:rPr>
                        <w:t xml:space="preserve">5. </w:t>
                      </w:r>
                      <w:r>
                        <w:rPr>
                          <w:rFonts w:ascii="Times New Roman" w:eastAsia="+mn-ea" w:hAnsi="Times New Roman" w:cs="Times New Roman"/>
                          <w:b/>
                          <w:color w:val="000000"/>
                          <w:lang w:val="en-US"/>
                        </w:rPr>
                        <w:t>European Production Order</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54" behindDoc="0" locked="0" layoutInCell="1" allowOverlap="1" wp14:anchorId="01A6B079" wp14:editId="72CCB313">
                <wp:simplePos x="0" y="0"/>
                <wp:positionH relativeFrom="column">
                  <wp:posOffset>3093720</wp:posOffset>
                </wp:positionH>
                <wp:positionV relativeFrom="paragraph">
                  <wp:posOffset>3357880</wp:posOffset>
                </wp:positionV>
                <wp:extent cx="363855" cy="0"/>
                <wp:effectExtent l="0" t="0" r="17145" b="19050"/>
                <wp:wrapNone/>
                <wp:docPr id="33" name="Straight Connector 33"/>
                <wp:cNvGraphicFramePr/>
                <a:graphic xmlns:a="http://schemas.openxmlformats.org/drawingml/2006/main">
                  <a:graphicData uri="http://schemas.microsoft.com/office/word/2010/wordprocessingShape">
                    <wps:wsp>
                      <wps:cNvCnPr/>
                      <wps:spPr>
                        <a:xfrm>
                          <a:off x="0" y="0"/>
                          <a:ext cx="3638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33"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243.6pt,264.4pt" to="272.25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77" behindDoc="0" locked="0" layoutInCell="1" allowOverlap="1" wp14:anchorId="31FEC4AF" wp14:editId="15CC3848">
                <wp:simplePos x="0" y="0"/>
                <wp:positionH relativeFrom="column">
                  <wp:posOffset>1985645</wp:posOffset>
                </wp:positionH>
                <wp:positionV relativeFrom="paragraph">
                  <wp:posOffset>3371850</wp:posOffset>
                </wp:positionV>
                <wp:extent cx="302260" cy="0"/>
                <wp:effectExtent l="0" t="0" r="21590" b="19050"/>
                <wp:wrapNone/>
                <wp:docPr id="64" name="Straight Connector 64"/>
                <wp:cNvGraphicFramePr/>
                <a:graphic xmlns:a="http://schemas.openxmlformats.org/drawingml/2006/main">
                  <a:graphicData uri="http://schemas.microsoft.com/office/word/2010/wordprocessingShape">
                    <wps:wsp>
                      <wps:cNvCnPr/>
                      <wps:spPr>
                        <a:xfrm>
                          <a:off x="0" y="0"/>
                          <a:ext cx="30226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64" o:spid="_x0000_s1026"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156.35pt,265.5pt" to="180.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59" behindDoc="0" locked="0" layoutInCell="1" allowOverlap="1" wp14:anchorId="5697D94D" wp14:editId="1A785330">
                <wp:simplePos x="0" y="0"/>
                <wp:positionH relativeFrom="column">
                  <wp:posOffset>809625</wp:posOffset>
                </wp:positionH>
                <wp:positionV relativeFrom="paragraph">
                  <wp:posOffset>3241675</wp:posOffset>
                </wp:positionV>
                <wp:extent cx="1304925" cy="264160"/>
                <wp:effectExtent l="0" t="0" r="9525" b="254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416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rPr>
                            </w:pPr>
                            <w:r>
                              <w:rPr>
                                <w:rFonts w:ascii="Times New Roman" w:hAnsi="Times New Roman" w:cs="Times New Roman"/>
                              </w:rPr>
                              <w:t>Legislative action</w:t>
                            </w:r>
                          </w:p>
                        </w:txbxContent>
                      </wps:txbx>
                      <wps:bodyPr rot="0" vert="horz" wrap="square" lIns="91440" tIns="45720" rIns="91440" bIns="45720" anchor="t" anchorCtr="0">
                        <a:noAutofit/>
                      </wps:bodyPr>
                    </wps:wsp>
                  </a:graphicData>
                </a:graphic>
              </wp:anchor>
            </w:drawing>
          </mc:Choice>
          <mc:Fallback>
            <w:pict>
              <v:shape id="_x0000_s1048" type="#_x0000_t202" style="position:absolute;margin-left:63.75pt;margin-top:255.25pt;width:102.75pt;height:20.8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" stroked="f">
                <v:textbox>
                  <w:txbxContent>
                    <w:p w:rsidR="001B65FF" w:rsidRDefault="003E4EF4">
                      <w:pPr>
                        <w:rPr>
                          <w:rFonts w:ascii="Times New Roman" w:hAnsi="Times New Roman" w:cs="Times New Roman"/>
                        </w:rPr>
                      </w:pPr>
                      <w:r>
                        <w:rPr>
                          <w:rFonts w:ascii="Times New Roman" w:hAnsi="Times New Roman" w:cs="Times New Roman"/>
                        </w:rPr>
                        <w:t>Legislative action</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97" behindDoc="0" locked="0" layoutInCell="1" allowOverlap="1" wp14:anchorId="151C27B7" wp14:editId="742C51B2">
                <wp:simplePos x="0" y="0"/>
                <wp:positionH relativeFrom="column">
                  <wp:posOffset>8065770</wp:posOffset>
                </wp:positionH>
                <wp:positionV relativeFrom="paragraph">
                  <wp:posOffset>3336290</wp:posOffset>
                </wp:positionV>
                <wp:extent cx="379095" cy="393700"/>
                <wp:effectExtent l="0" t="0" r="1905" b="635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49" type="#_x0000_t202" style="position:absolute;margin-left:635.1pt;margin-top:262.7pt;width:29.85pt;height:31pt;z-index:251658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98" behindDoc="0" locked="0" layoutInCell="1" allowOverlap="1" wp14:anchorId="63471F09" wp14:editId="3A7E8266">
                <wp:simplePos x="0" y="0"/>
                <wp:positionH relativeFrom="column">
                  <wp:posOffset>8350885</wp:posOffset>
                </wp:positionH>
                <wp:positionV relativeFrom="paragraph">
                  <wp:posOffset>3336290</wp:posOffset>
                </wp:positionV>
                <wp:extent cx="379095" cy="393700"/>
                <wp:effectExtent l="0" t="0" r="1905" b="635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50" type="#_x0000_t202" style="position:absolute;margin-left:657.55pt;margin-top:262.7pt;width:29.85pt;height:31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12" behindDoc="0" locked="0" layoutInCell="1" allowOverlap="1" wp14:anchorId="225D4CA3" wp14:editId="7051CAED">
                <wp:simplePos x="0" y="0"/>
                <wp:positionH relativeFrom="column">
                  <wp:posOffset>8065770</wp:posOffset>
                </wp:positionH>
                <wp:positionV relativeFrom="paragraph">
                  <wp:posOffset>2910205</wp:posOffset>
                </wp:positionV>
                <wp:extent cx="379095" cy="393700"/>
                <wp:effectExtent l="0" t="0" r="1905" b="635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51" type="#_x0000_t202" style="position:absolute;margin-left:635.1pt;margin-top:229.15pt;width:29.85pt;height:31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WlJAIAACMEAAAOAAAAZHJzL2Uyb0RvYy54bWysU9uO2yAQfa/Uf0C8N3acpLu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13" behindDoc="0" locked="0" layoutInCell="1" allowOverlap="1" wp14:anchorId="0CE2CB67" wp14:editId="73A1F812">
                <wp:simplePos x="0" y="0"/>
                <wp:positionH relativeFrom="column">
                  <wp:posOffset>8350885</wp:posOffset>
                </wp:positionH>
                <wp:positionV relativeFrom="paragraph">
                  <wp:posOffset>2910205</wp:posOffset>
                </wp:positionV>
                <wp:extent cx="379095" cy="393700"/>
                <wp:effectExtent l="0" t="0" r="1905" b="635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52" type="#_x0000_t202" style="position:absolute;margin-left:657.55pt;margin-top:229.15pt;width:29.85pt;height:31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a5IwIAACMEAAAOAAAAZHJzL2Uyb0RvYy54bWysU9uO2yAQfa/Uf0C8N3acpLu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03" behindDoc="0" locked="0" layoutInCell="1" allowOverlap="1" wp14:anchorId="27B6B996" wp14:editId="27FA6A50">
                <wp:simplePos x="0" y="0"/>
                <wp:positionH relativeFrom="column">
                  <wp:posOffset>8354695</wp:posOffset>
                </wp:positionH>
                <wp:positionV relativeFrom="paragraph">
                  <wp:posOffset>3906520</wp:posOffset>
                </wp:positionV>
                <wp:extent cx="379095" cy="393700"/>
                <wp:effectExtent l="0" t="0" r="1905" b="635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70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53" type="#_x0000_t202" style="position:absolute;margin-left:657.85pt;margin-top:307.6pt;width:29.85pt;height:31pt;z-index:251658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02" behindDoc="0" locked="0" layoutInCell="1" allowOverlap="1" wp14:anchorId="4CCD4917" wp14:editId="7A79E2E0">
                <wp:simplePos x="0" y="0"/>
                <wp:positionH relativeFrom="column">
                  <wp:posOffset>2172970</wp:posOffset>
                </wp:positionH>
                <wp:positionV relativeFrom="paragraph">
                  <wp:posOffset>4087495</wp:posOffset>
                </wp:positionV>
                <wp:extent cx="141605" cy="0"/>
                <wp:effectExtent l="0" t="0" r="10795" b="19050"/>
                <wp:wrapNone/>
                <wp:docPr id="62" name="Straight Connector 62"/>
                <wp:cNvGraphicFramePr/>
                <a:graphic xmlns:a="http://schemas.openxmlformats.org/drawingml/2006/main">
                  <a:graphicData uri="http://schemas.microsoft.com/office/word/2010/wordprocessingShape">
                    <wps:wsp>
                      <wps:cNvCnPr/>
                      <wps:spPr>
                        <a:xfrm>
                          <a:off x="0" y="0"/>
                          <a:ext cx="1416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62" o:spid="_x0000_s1026" style="position:absolute;z-index:251658302;visibility:visible;mso-wrap-style:square;mso-wrap-distance-left:9pt;mso-wrap-distance-top:0;mso-wrap-distance-right:9pt;mso-wrap-distance-bottom:0;mso-position-horizontal:absolute;mso-position-horizontal-relative:text;mso-position-vertical:absolute;mso-position-vertical-relative:text" from="171.1pt,321.85pt" to="182.25pt,3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00" behindDoc="0" locked="0" layoutInCell="1" allowOverlap="1" wp14:anchorId="31019E51" wp14:editId="26235554">
                <wp:simplePos x="0" y="0"/>
                <wp:positionH relativeFrom="column">
                  <wp:posOffset>2277745</wp:posOffset>
                </wp:positionH>
                <wp:positionV relativeFrom="paragraph">
                  <wp:posOffset>3953510</wp:posOffset>
                </wp:positionV>
                <wp:extent cx="1169670" cy="47688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476885"/>
                        </a:xfrm>
                        <a:prstGeom prst="rect">
                          <a:avLst/>
                        </a:prstGeom>
                        <a:noFill/>
                        <a:ln w="9525">
                          <a:noFill/>
                          <a:miter lim="800000"/>
                          <a:headEnd/>
                          <a:tailEnd/>
                        </a:ln>
                      </wps:spPr>
                      <wps:txbx>
                        <w:txbxContent>
                          <w:p w:rsidR="001B65FF" w:rsidRDefault="003E4EF4">
                            <w:pPr>
                              <w:rPr>
                                <w:rFonts w:ascii="Times New Roman" w:hAnsi="Times New Roman" w:cs="Times New Roman"/>
                              </w:rPr>
                            </w:pPr>
                            <w:r>
                              <w:rPr>
                                <w:rFonts w:ascii="Times New Roman" w:hAnsi="Times New Roman" w:cs="Times New Roman"/>
                              </w:rPr>
                              <w:t>Direct access</w:t>
                            </w:r>
                          </w:p>
                        </w:txbxContent>
                      </wps:txbx>
                      <wps:bodyPr rot="0" vert="horz" wrap="square" lIns="91440" tIns="45720" rIns="91440" bIns="45720" anchor="t" anchorCtr="0">
                        <a:noAutofit/>
                      </wps:bodyPr>
                    </wps:wsp>
                  </a:graphicData>
                </a:graphic>
              </wp:anchor>
            </w:drawing>
          </mc:Choice>
          <mc:Fallback>
            <w:pict>
              <v:shape id="_x0000_s1054" type="#_x0000_t202" style="position:absolute;margin-left:179.35pt;margin-top:311.3pt;width:92.1pt;height:37.55pt;z-index:251658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" filled="f" stroked="f">
                <v:textbox>
                  <w:txbxContent>
                    <w:p w:rsidR="001B65FF" w:rsidRDefault="003E4EF4">
                      <w:pPr>
                        <w:rPr>
                          <w:rFonts w:ascii="Times New Roman" w:hAnsi="Times New Roman" w:cs="Times New Roman"/>
                        </w:rPr>
                      </w:pPr>
                      <w:r>
                        <w:rPr>
                          <w:rFonts w:ascii="Times New Roman" w:hAnsi="Times New Roman" w:cs="Times New Roman"/>
                        </w:rPr>
                        <w:t>Direct access</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99" behindDoc="0" locked="0" layoutInCell="1" allowOverlap="1" wp14:anchorId="348D516E" wp14:editId="2C79C19A">
                <wp:simplePos x="0" y="0"/>
                <wp:positionH relativeFrom="column">
                  <wp:posOffset>3173095</wp:posOffset>
                </wp:positionH>
                <wp:positionV relativeFrom="paragraph">
                  <wp:posOffset>4097020</wp:posOffset>
                </wp:positionV>
                <wp:extent cx="428625" cy="0"/>
                <wp:effectExtent l="0" t="0" r="9525" b="19050"/>
                <wp:wrapNone/>
                <wp:docPr id="70" name="Straight Connector 70"/>
                <wp:cNvGraphicFramePr/>
                <a:graphic xmlns:a="http://schemas.openxmlformats.org/drawingml/2006/main">
                  <a:graphicData uri="http://schemas.microsoft.com/office/word/2010/wordprocessingShape">
                    <wps:wsp>
                      <wps:cNvCnPr/>
                      <wps:spPr>
                        <a:xfrm>
                          <a:off x="0" y="0"/>
                          <a:ext cx="428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70" o:spid="_x0000_s1026" style="position:absolute;z-index:251658299;visibility:visible;mso-wrap-style:square;mso-wrap-distance-left:9pt;mso-wrap-distance-top:0;mso-wrap-distance-right:9pt;mso-wrap-distance-bottom:0;mso-position-horizontal:absolute;mso-position-horizontal-relative:text;mso-position-vertical:absolute;mso-position-vertical-relative:text" from="249.85pt,322.6pt" to="283.6pt,3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01" behindDoc="0" locked="0" layoutInCell="1" allowOverlap="1" wp14:anchorId="56050636" wp14:editId="19CC3A95">
                <wp:simplePos x="0" y="0"/>
                <wp:positionH relativeFrom="column">
                  <wp:posOffset>3544570</wp:posOffset>
                </wp:positionH>
                <wp:positionV relativeFrom="paragraph">
                  <wp:posOffset>3961130</wp:posOffset>
                </wp:positionV>
                <wp:extent cx="4694555" cy="264160"/>
                <wp:effectExtent l="0" t="0" r="0" b="254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26416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b/>
                              </w:rPr>
                            </w:pPr>
                            <w:r>
                              <w:rPr>
                                <w:rFonts w:ascii="Times New Roman" w:eastAsia="+mn-ea" w:hAnsi="Times New Roman" w:cs="Times New Roman"/>
                                <w:color w:val="000000"/>
                                <w:lang w:val="en-US"/>
                              </w:rPr>
                              <w:t xml:space="preserve">7. Legislation on </w:t>
                            </w:r>
                            <w:r>
                              <w:rPr>
                                <w:rFonts w:ascii="Times New Roman" w:eastAsia="+mn-ea" w:hAnsi="Times New Roman" w:cs="Times New Roman"/>
                                <w:b/>
                                <w:color w:val="000000"/>
                                <w:lang w:val="en-US"/>
                              </w:rPr>
                              <w:t>harmonised safeguards</w:t>
                            </w:r>
                            <w:r>
                              <w:rPr>
                                <w:rFonts w:ascii="Times New Roman" w:eastAsia="+mn-ea" w:hAnsi="Times New Roman" w:cs="Times New Roman"/>
                                <w:color w:val="000000"/>
                                <w:lang w:val="en-US"/>
                              </w:rPr>
                              <w:t xml:space="preserve"> for direct access</w:t>
                            </w:r>
                          </w:p>
                        </w:txbxContent>
                      </wps:txbx>
                      <wps:bodyPr rot="0" vert="horz" wrap="square" lIns="91440" tIns="45720" rIns="91440" bIns="45720" anchor="t" anchorCtr="0">
                        <a:noAutofit/>
                      </wps:bodyPr>
                    </wps:wsp>
                  </a:graphicData>
                </a:graphic>
              </wp:anchor>
            </w:drawing>
          </mc:Choice>
          <mc:Fallback>
            <w:pict>
              <v:shape id="_x0000_s1055" type="#_x0000_t202" style="position:absolute;margin-left:279.1pt;margin-top:311.9pt;width:369.65pt;height:20.8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" stroked="f">
                <v:textbox>
                  <w:txbxContent>
                    <w:p w:rsidR="001B65FF" w:rsidRDefault="003E4EF4">
                      <w:pPr>
                        <w:rPr>
                          <w:rFonts w:ascii="Times New Roman" w:hAnsi="Times New Roman" w:cs="Times New Roman"/>
                          <w:b/>
                        </w:rPr>
                      </w:pPr>
                      <w:r>
                        <w:rPr>
                          <w:rFonts w:ascii="Times New Roman" w:eastAsia="+mn-ea" w:hAnsi="Times New Roman" w:cs="Times New Roman"/>
                          <w:color w:val="000000"/>
                          <w:lang w:val="en-US"/>
                        </w:rPr>
                        <w:t xml:space="preserve">7. Legislation on </w:t>
                      </w:r>
                      <w:r>
                        <w:rPr>
                          <w:rFonts w:ascii="Times New Roman" w:eastAsia="+mn-ea" w:hAnsi="Times New Roman" w:cs="Times New Roman"/>
                          <w:b/>
                          <w:color w:val="000000"/>
                          <w:lang w:val="en-US"/>
                        </w:rPr>
                        <w:t>harmonised safeguards</w:t>
                      </w:r>
                      <w:r>
                        <w:rPr>
                          <w:rFonts w:ascii="Times New Roman" w:eastAsia="+mn-ea" w:hAnsi="Times New Roman" w:cs="Times New Roman"/>
                          <w:color w:val="000000"/>
                          <w:lang w:val="en-US"/>
                        </w:rPr>
                        <w:t xml:space="preserve"> for direct access</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75" behindDoc="0" locked="0" layoutInCell="1" allowOverlap="1" wp14:anchorId="4AF02E5C" wp14:editId="7B2F5D27">
                <wp:simplePos x="0" y="0"/>
                <wp:positionH relativeFrom="column">
                  <wp:posOffset>2172335</wp:posOffset>
                </wp:positionH>
                <wp:positionV relativeFrom="paragraph">
                  <wp:posOffset>2367280</wp:posOffset>
                </wp:positionV>
                <wp:extent cx="0" cy="1725930"/>
                <wp:effectExtent l="0" t="0" r="19050" b="26670"/>
                <wp:wrapNone/>
                <wp:docPr id="61" name="Straight Connector 61"/>
                <wp:cNvGraphicFramePr/>
                <a:graphic xmlns:a="http://schemas.openxmlformats.org/drawingml/2006/main">
                  <a:graphicData uri="http://schemas.microsoft.com/office/word/2010/wordprocessingShape">
                    <wps:wsp>
                      <wps:cNvCnPr/>
                      <wps:spPr>
                        <a:xfrm>
                          <a:off x="0" y="0"/>
                          <a:ext cx="0" cy="17259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
            <w:pict>
              <v:line id="Straight Connector 61" o:spid="_x0000_s1026" style="position:absolute;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86.4pt" to="171.05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76" behindDoc="0" locked="0" layoutInCell="1" allowOverlap="1" wp14:anchorId="6315AA49" wp14:editId="51329BCB">
                <wp:simplePos x="0" y="0"/>
                <wp:positionH relativeFrom="column">
                  <wp:posOffset>715010</wp:posOffset>
                </wp:positionH>
                <wp:positionV relativeFrom="paragraph">
                  <wp:posOffset>3371850</wp:posOffset>
                </wp:positionV>
                <wp:extent cx="141605" cy="0"/>
                <wp:effectExtent l="0" t="0" r="10795" b="19050"/>
                <wp:wrapNone/>
                <wp:docPr id="63" name="Straight Connector 63"/>
                <wp:cNvGraphicFramePr/>
                <a:graphic xmlns:a="http://schemas.openxmlformats.org/drawingml/2006/main">
                  <a:graphicData uri="http://schemas.microsoft.com/office/word/2010/wordprocessingShape">
                    <wps:wsp>
                      <wps:cNvCnPr/>
                      <wps:spPr>
                        <a:xfrm>
                          <a:off x="0" y="0"/>
                          <a:ext cx="1416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63" o:spid="_x0000_s1026" style="position:absolute;z-index:251658276;visibility:visible;mso-wrap-style:square;mso-wrap-distance-left:9pt;mso-wrap-distance-top:0;mso-wrap-distance-right:9pt;mso-wrap-distance-bottom:0;mso-position-horizontal:absolute;mso-position-horizontal-relative:text;mso-position-vertical:absolute;mso-position-vertical-relative:text" from="56.3pt,265.5pt" to="67.4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74" behindDoc="0" locked="0" layoutInCell="1" allowOverlap="1" wp14:anchorId="1D8F9C74" wp14:editId="2971E296">
                <wp:simplePos x="0" y="0"/>
                <wp:positionH relativeFrom="column">
                  <wp:posOffset>2213610</wp:posOffset>
                </wp:positionH>
                <wp:positionV relativeFrom="paragraph">
                  <wp:posOffset>1409065</wp:posOffset>
                </wp:positionV>
                <wp:extent cx="1245235" cy="0"/>
                <wp:effectExtent l="0" t="0" r="12065" b="19050"/>
                <wp:wrapNone/>
                <wp:docPr id="60" name="Straight Connector 60"/>
                <wp:cNvGraphicFramePr/>
                <a:graphic xmlns:a="http://schemas.openxmlformats.org/drawingml/2006/main">
                  <a:graphicData uri="http://schemas.microsoft.com/office/word/2010/wordprocessingShape">
                    <wps:wsp>
                      <wps:cNvCnPr/>
                      <wps:spPr>
                        <a:xfrm>
                          <a:off x="0" y="0"/>
                          <a:ext cx="12452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id="Straight Connector 60" o:spid="_x0000_s1026" style="position:absolute;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3pt,110.95pt" to="272.3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56" behindDoc="0" locked="0" layoutInCell="1" allowOverlap="1" wp14:anchorId="110E632C" wp14:editId="6FFF37D1">
                <wp:simplePos x="0" y="0"/>
                <wp:positionH relativeFrom="column">
                  <wp:posOffset>3458845</wp:posOffset>
                </wp:positionH>
                <wp:positionV relativeFrom="paragraph">
                  <wp:posOffset>1196340</wp:posOffset>
                </wp:positionV>
                <wp:extent cx="0" cy="386715"/>
                <wp:effectExtent l="0" t="0" r="19050" b="13335"/>
                <wp:wrapNone/>
                <wp:docPr id="69" name="Straight Connector 69"/>
                <wp:cNvGraphicFramePr/>
                <a:graphic xmlns:a="http://schemas.openxmlformats.org/drawingml/2006/main">
                  <a:graphicData uri="http://schemas.microsoft.com/office/word/2010/wordprocessingShape">
                    <wps:wsp>
                      <wps:cNvCnPr/>
                      <wps:spPr>
                        <a:xfrm>
                          <a:off x="0" y="0"/>
                          <a:ext cx="0" cy="38671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
            <w:pict>
              <v:line id="Straight Connector 69" o:spid="_x0000_s1026" style="position:absolute;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35pt,94.2pt" to="272.3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80" behindDoc="0" locked="0" layoutInCell="1" allowOverlap="1" wp14:anchorId="2D0D4CE8" wp14:editId="724C1D0C">
                <wp:simplePos x="0" y="0"/>
                <wp:positionH relativeFrom="column">
                  <wp:posOffset>3458210</wp:posOffset>
                </wp:positionH>
                <wp:positionV relativeFrom="paragraph">
                  <wp:posOffset>1586125</wp:posOffset>
                </wp:positionV>
                <wp:extent cx="141605" cy="0"/>
                <wp:effectExtent l="0" t="0" r="10795" b="19050"/>
                <wp:wrapNone/>
                <wp:docPr id="68" name="Straight Connector 68"/>
                <wp:cNvGraphicFramePr/>
                <a:graphic xmlns:a="http://schemas.openxmlformats.org/drawingml/2006/main">
                  <a:graphicData uri="http://schemas.microsoft.com/office/word/2010/wordprocessingShape">
                    <wps:wsp>
                      <wps:cNvCnPr/>
                      <wps:spPr>
                        <a:xfrm>
                          <a:off x="0" y="0"/>
                          <a:ext cx="1416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68" o:spid="_x0000_s1026" style="position:absolute;z-index:251658280;visibility:visible;mso-wrap-style:square;mso-wrap-distance-left:9pt;mso-wrap-distance-top:0;mso-wrap-distance-right:9pt;mso-wrap-distance-bottom:0;mso-position-horizontal:absolute;mso-position-horizontal-relative:text;mso-position-vertical:absolute;mso-position-vertical-relative:text" from="272.3pt,124.9pt" to="283.45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73" behindDoc="0" locked="0" layoutInCell="1" allowOverlap="1" wp14:anchorId="6D033B1C" wp14:editId="2FFF94A3">
                <wp:simplePos x="0" y="0"/>
                <wp:positionH relativeFrom="column">
                  <wp:posOffset>715010</wp:posOffset>
                </wp:positionH>
                <wp:positionV relativeFrom="paragraph">
                  <wp:posOffset>1396365</wp:posOffset>
                </wp:positionV>
                <wp:extent cx="141605" cy="0"/>
                <wp:effectExtent l="0" t="0" r="10795" b="19050"/>
                <wp:wrapNone/>
                <wp:docPr id="59" name="Straight Connector 59"/>
                <wp:cNvGraphicFramePr/>
                <a:graphic xmlns:a="http://schemas.openxmlformats.org/drawingml/2006/main">
                  <a:graphicData uri="http://schemas.microsoft.com/office/word/2010/wordprocessingShape">
                    <wps:wsp>
                      <wps:cNvCnPr/>
                      <wps:spPr>
                        <a:xfrm>
                          <a:off x="0" y="0"/>
                          <a:ext cx="1416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59" o:spid="_x0000_s1026" style="position:absolute;z-index:251658273;visibility:visible;mso-wrap-style:square;mso-wrap-distance-left:9pt;mso-wrap-distance-top:0;mso-wrap-distance-right:9pt;mso-wrap-distance-bottom:0;mso-position-horizontal:absolute;mso-position-horizontal-relative:text;mso-position-vertical:absolute;mso-position-vertical-relative:text" from="56.3pt,109.95pt" to="67.4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67" behindDoc="0" locked="0" layoutInCell="1" allowOverlap="1" wp14:anchorId="7AF6079B" wp14:editId="4B8EAFB5">
                <wp:simplePos x="0" y="0"/>
                <wp:positionH relativeFrom="column">
                  <wp:posOffset>809625</wp:posOffset>
                </wp:positionH>
                <wp:positionV relativeFrom="paragraph">
                  <wp:posOffset>1278094</wp:posOffset>
                </wp:positionV>
                <wp:extent cx="1460500" cy="264160"/>
                <wp:effectExtent l="0" t="0" r="6350" b="254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64160"/>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lang w:val="en-US"/>
                              </w:rPr>
                            </w:pPr>
                            <w:r>
                              <w:rPr>
                                <w:rFonts w:ascii="Times New Roman" w:hAnsi="Times New Roman" w:cs="Times New Roman"/>
                                <w:lang w:val="en-US"/>
                              </w:rPr>
                              <w:t>Non-legislative action</w:t>
                            </w:r>
                          </w:p>
                        </w:txbxContent>
                      </wps:txbx>
                      <wps:bodyPr rot="0" vert="horz" wrap="square" lIns="91440" tIns="45720" rIns="91440" bIns="45720" anchor="t" anchorCtr="0">
                        <a:noAutofit/>
                      </wps:bodyPr>
                    </wps:wsp>
                  </a:graphicData>
                </a:graphic>
              </wp:anchor>
            </w:drawing>
          </mc:Choice>
          <mc:Fallback>
            <w:pict>
              <v:shape id="_x0000_s1056" type="#_x0000_t202" style="position:absolute;margin-left:63.75pt;margin-top:100.65pt;width:115pt;height:20.8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" stroked="f">
                <v:textbox>
                  <w:txbxContent>
                    <w:p w:rsidR="001B65FF" w:rsidRDefault="003E4EF4">
                      <w:pPr>
                        <w:rPr>
                          <w:rFonts w:ascii="Times New Roman" w:hAnsi="Times New Roman" w:cs="Times New Roman"/>
                          <w:lang w:val="en-US"/>
                        </w:rPr>
                      </w:pPr>
                      <w:r>
                        <w:rPr>
                          <w:rFonts w:ascii="Times New Roman" w:hAnsi="Times New Roman" w:cs="Times New Roman"/>
                          <w:lang w:val="en-US"/>
                        </w:rPr>
                        <w:t>Non-legislative action</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61" behindDoc="0" locked="0" layoutInCell="1" allowOverlap="1" wp14:anchorId="3BF789E5" wp14:editId="2271F98C">
                <wp:simplePos x="0" y="0"/>
                <wp:positionH relativeFrom="column">
                  <wp:posOffset>7531686</wp:posOffset>
                </wp:positionH>
                <wp:positionV relativeFrom="paragraph">
                  <wp:posOffset>410704</wp:posOffset>
                </wp:positionV>
                <wp:extent cx="257175" cy="274301"/>
                <wp:effectExtent l="0" t="0" r="952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4301"/>
                        </a:xfrm>
                        <a:prstGeom prst="rect">
                          <a:avLst/>
                        </a:prstGeom>
                        <a:solidFill>
                          <a:srgbClr val="FFFFFF"/>
                        </a:solidFill>
                        <a:ln w="9525">
                          <a:noFill/>
                          <a:miter lim="800000"/>
                          <a:headEnd/>
                          <a:tailEnd/>
                        </a:ln>
                      </wps:spPr>
                      <wps:txb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xbxContent>
                      </wps:txbx>
                      <wps:bodyPr rot="0" vert="horz" wrap="square" lIns="91440" tIns="45720" rIns="91440" bIns="45720" anchor="t" anchorCtr="0">
                        <a:noAutofit/>
                      </wps:bodyPr>
                    </wps:wsp>
                  </a:graphicData>
                </a:graphic>
              </wp:anchor>
            </w:drawing>
          </mc:Choice>
          <mc:Fallback>
            <w:pict>
              <v:shape id="_x0000_s1057" type="#_x0000_t202" style="position:absolute;margin-left:593.05pt;margin-top:32.35pt;width:20.25pt;height:21.6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" stroked="f">
                <v:textbo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62" behindDoc="0" locked="0" layoutInCell="1" allowOverlap="1" wp14:anchorId="097F4428" wp14:editId="72667344">
                <wp:simplePos x="0" y="0"/>
                <wp:positionH relativeFrom="column">
                  <wp:posOffset>7828569</wp:posOffset>
                </wp:positionH>
                <wp:positionV relativeFrom="paragraph">
                  <wp:posOffset>410704</wp:posOffset>
                </wp:positionV>
                <wp:extent cx="257175" cy="274301"/>
                <wp:effectExtent l="0" t="0" r="952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4301"/>
                        </a:xfrm>
                        <a:prstGeom prst="rect">
                          <a:avLst/>
                        </a:prstGeom>
                        <a:solidFill>
                          <a:srgbClr val="FFFFFF"/>
                        </a:solidFill>
                        <a:ln w="9525">
                          <a:noFill/>
                          <a:miter lim="800000"/>
                          <a:headEnd/>
                          <a:tailEnd/>
                        </a:ln>
                      </wps:spPr>
                      <wps:txb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xbxContent>
                      </wps:txbx>
                      <wps:bodyPr rot="0" vert="horz" wrap="square" lIns="91440" tIns="45720" rIns="91440" bIns="45720" anchor="t" anchorCtr="0">
                        <a:noAutofit/>
                      </wps:bodyPr>
                    </wps:wsp>
                  </a:graphicData>
                </a:graphic>
              </wp:anchor>
            </w:drawing>
          </mc:Choice>
          <mc:Fallback>
            <w:pict>
              <v:shape id="_x0000_s1058" type="#_x0000_t202" style="position:absolute;margin-left:616.4pt;margin-top:32.35pt;width:20.25pt;height:21.6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" stroked="f">
                <v:textbo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63" behindDoc="0" locked="0" layoutInCell="1" allowOverlap="1" wp14:anchorId="5F60F582" wp14:editId="25B7552B">
                <wp:simplePos x="0" y="0"/>
                <wp:positionH relativeFrom="column">
                  <wp:posOffset>8101701</wp:posOffset>
                </wp:positionH>
                <wp:positionV relativeFrom="paragraph">
                  <wp:posOffset>410704</wp:posOffset>
                </wp:positionV>
                <wp:extent cx="257175" cy="274301"/>
                <wp:effectExtent l="0" t="0" r="952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4301"/>
                        </a:xfrm>
                        <a:prstGeom prst="rect">
                          <a:avLst/>
                        </a:prstGeom>
                        <a:solidFill>
                          <a:srgbClr val="FFFFFF"/>
                        </a:solidFill>
                        <a:ln w="9525">
                          <a:noFill/>
                          <a:miter lim="800000"/>
                          <a:headEnd/>
                          <a:tailEnd/>
                        </a:ln>
                      </wps:spPr>
                      <wps:txb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xbxContent>
                      </wps:txbx>
                      <wps:bodyPr rot="0" vert="horz" wrap="square" lIns="91440" tIns="45720" rIns="91440" bIns="45720" anchor="t" anchorCtr="0">
                        <a:noAutofit/>
                      </wps:bodyPr>
                    </wps:wsp>
                  </a:graphicData>
                </a:graphic>
              </wp:anchor>
            </w:drawing>
          </mc:Choice>
          <mc:Fallback>
            <w:pict>
              <v:shape id="_x0000_s1059" type="#_x0000_t202" style="position:absolute;margin-left:637.95pt;margin-top:32.35pt;width:20.25pt;height:21.6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" stroked="f">
                <v:textbo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64" behindDoc="0" locked="0" layoutInCell="1" allowOverlap="1" wp14:anchorId="054B1D67" wp14:editId="2DB3B689">
                <wp:simplePos x="0" y="0"/>
                <wp:positionH relativeFrom="column">
                  <wp:posOffset>8386709</wp:posOffset>
                </wp:positionH>
                <wp:positionV relativeFrom="paragraph">
                  <wp:posOffset>410704</wp:posOffset>
                </wp:positionV>
                <wp:extent cx="257175" cy="274301"/>
                <wp:effectExtent l="0" t="0" r="952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4301"/>
                        </a:xfrm>
                        <a:prstGeom prst="rect">
                          <a:avLst/>
                        </a:prstGeom>
                        <a:solidFill>
                          <a:srgbClr val="FFFFFF"/>
                        </a:solidFill>
                        <a:ln w="9525">
                          <a:noFill/>
                          <a:miter lim="800000"/>
                          <a:headEnd/>
                          <a:tailEnd/>
                        </a:ln>
                      </wps:spPr>
                      <wps:txb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xbxContent>
                      </wps:txbx>
                      <wps:bodyPr rot="0" vert="horz" wrap="square" lIns="91440" tIns="45720" rIns="91440" bIns="45720" anchor="t" anchorCtr="0">
                        <a:noAutofit/>
                      </wps:bodyPr>
                    </wps:wsp>
                  </a:graphicData>
                </a:graphic>
              </wp:anchor>
            </w:drawing>
          </mc:Choice>
          <mc:Fallback>
            <w:pict>
              <v:shape id="_x0000_s1060" type="#_x0000_t202" style="position:absolute;margin-left:660.35pt;margin-top:32.35pt;width:20.25pt;height:21.6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" stroked="f">
                <v:textbo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65" behindDoc="0" locked="0" layoutInCell="1" allowOverlap="1" wp14:anchorId="626E6F7F" wp14:editId="41B85126">
                <wp:simplePos x="0" y="0"/>
                <wp:positionH relativeFrom="column">
                  <wp:posOffset>7246678</wp:posOffset>
                </wp:positionH>
                <wp:positionV relativeFrom="paragraph">
                  <wp:posOffset>410704</wp:posOffset>
                </wp:positionV>
                <wp:extent cx="257175" cy="274301"/>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4301"/>
                        </a:xfrm>
                        <a:prstGeom prst="rect">
                          <a:avLst/>
                        </a:prstGeom>
                        <a:solidFill>
                          <a:srgbClr val="FFFFFF"/>
                        </a:solidFill>
                        <a:ln w="9525">
                          <a:noFill/>
                          <a:miter lim="800000"/>
                          <a:headEnd/>
                          <a:tailEnd/>
                        </a:ln>
                      </wps:spPr>
                      <wps:txb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O</w:t>
                            </w:r>
                          </w:p>
                        </w:txbxContent>
                      </wps:txbx>
                      <wps:bodyPr rot="0" vert="horz" wrap="square" lIns="91440" tIns="45720" rIns="91440" bIns="45720" anchor="t" anchorCtr="0">
                        <a:noAutofit/>
                      </wps:bodyPr>
                    </wps:wsp>
                  </a:graphicData>
                </a:graphic>
              </wp:anchor>
            </w:drawing>
          </mc:Choice>
          <mc:Fallback>
            <w:pict>
              <v:shape id="_x0000_s1061" type="#_x0000_t202" style="position:absolute;margin-left:570.6pt;margin-top:32.35pt;width:20.25pt;height:21.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" stroked="f">
                <v:textbo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O</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66" behindDoc="0" locked="0" layoutInCell="1" allowOverlap="1" wp14:anchorId="570DFBDD" wp14:editId="4E843E0D">
                <wp:simplePos x="0" y="0"/>
                <wp:positionH relativeFrom="column">
                  <wp:posOffset>810252</wp:posOffset>
                </wp:positionH>
                <wp:positionV relativeFrom="paragraph">
                  <wp:posOffset>683837</wp:posOffset>
                </wp:positionV>
                <wp:extent cx="1158242" cy="264776"/>
                <wp:effectExtent l="0" t="0" r="3810" b="25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2" cy="264776"/>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lang w:val="en-US"/>
                              </w:rPr>
                            </w:pPr>
                            <w:r>
                              <w:rPr>
                                <w:rFonts w:ascii="Times New Roman" w:hAnsi="Times New Roman" w:cs="Times New Roman"/>
                                <w:lang w:val="en-US"/>
                              </w:rPr>
                              <w:t>No action</w:t>
                            </w:r>
                          </w:p>
                        </w:txbxContent>
                      </wps:txbx>
                      <wps:bodyPr rot="0" vert="horz" wrap="square" lIns="91440" tIns="45720" rIns="91440" bIns="45720" anchor="t" anchorCtr="0">
                        <a:noAutofit/>
                      </wps:bodyPr>
                    </wps:wsp>
                  </a:graphicData>
                </a:graphic>
              </wp:anchor>
            </w:drawing>
          </mc:Choice>
          <mc:Fallback>
            <w:pict>
              <v:shape id="_x0000_s1062" type="#_x0000_t202" style="position:absolute;margin-left:63.8pt;margin-top:53.85pt;width:91.2pt;height:20.8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" stroked="f">
                <v:textbox>
                  <w:txbxContent>
                    <w:p w:rsidR="001B65FF" w:rsidRDefault="003E4EF4">
                      <w:pPr>
                        <w:rPr>
                          <w:rFonts w:ascii="Times New Roman" w:hAnsi="Times New Roman" w:cs="Times New Roman"/>
                          <w:lang w:val="en-US"/>
                        </w:rPr>
                      </w:pPr>
                      <w:r>
                        <w:rPr>
                          <w:rFonts w:ascii="Times New Roman" w:hAnsi="Times New Roman" w:cs="Times New Roman"/>
                          <w:lang w:val="en-US"/>
                        </w:rPr>
                        <w:t>No action</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68" behindDoc="0" locked="0" layoutInCell="1" allowOverlap="1" wp14:anchorId="424D60B9" wp14:editId="2D84778B">
                <wp:simplePos x="0" y="0"/>
                <wp:positionH relativeFrom="column">
                  <wp:posOffset>3553452</wp:posOffset>
                </wp:positionH>
                <wp:positionV relativeFrom="paragraph">
                  <wp:posOffset>1051972</wp:posOffset>
                </wp:positionV>
                <wp:extent cx="4695525" cy="265383"/>
                <wp:effectExtent l="0" t="0" r="0" b="190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525" cy="265383"/>
                        </a:xfrm>
                        <a:prstGeom prst="rect">
                          <a:avLst/>
                        </a:prstGeom>
                        <a:noFill/>
                        <a:ln w="9525">
                          <a:noFill/>
                          <a:miter lim="800000"/>
                          <a:headEnd/>
                          <a:tailEnd/>
                        </a:ln>
                      </wps:spPr>
                      <wps:txbx>
                        <w:txbxContent>
                          <w:p w:rsidR="001B65FF" w:rsidRDefault="003E4EF4">
                            <w:pPr>
                              <w:rPr>
                                <w:rFonts w:ascii="Times New Roman" w:hAnsi="Times New Roman" w:cs="Times New Roman"/>
                              </w:rPr>
                            </w:pPr>
                            <w:r>
                              <w:rPr>
                                <w:rFonts w:ascii="Times New Roman" w:eastAsia="+mn-ea" w:hAnsi="Times New Roman" w:cs="Times New Roman"/>
                                <w:color w:val="000000"/>
                                <w:lang w:val="en-US"/>
                              </w:rPr>
                              <w:t xml:space="preserve">1. </w:t>
                            </w:r>
                            <w:r>
                              <w:rPr>
                                <w:rFonts w:ascii="Times New Roman" w:eastAsia="+mn-ea" w:hAnsi="Times New Roman" w:cs="Times New Roman"/>
                                <w:b/>
                                <w:color w:val="000000"/>
                                <w:lang w:val="en-US"/>
                              </w:rPr>
                              <w:t>P</w:t>
                            </w:r>
                            <w:r>
                              <w:rPr>
                                <w:rFonts w:ascii="Times New Roman" w:eastAsia="+mn-ea" w:hAnsi="Times New Roman" w:cs="Times New Roman"/>
                                <w:b/>
                                <w:bCs/>
                                <w:color w:val="000000"/>
                                <w:lang w:val="en-US"/>
                              </w:rPr>
                              <w:t xml:space="preserve">ractical measures </w:t>
                            </w:r>
                            <w:r>
                              <w:rPr>
                                <w:rFonts w:ascii="Times New Roman" w:eastAsia="+mn-ea" w:hAnsi="Times New Roman" w:cs="Times New Roman"/>
                                <w:color w:val="000000"/>
                                <w:lang w:val="en-US"/>
                              </w:rPr>
                              <w:t xml:space="preserve">to enhance </w:t>
                            </w:r>
                            <w:r>
                              <w:rPr>
                                <w:rFonts w:ascii="Times New Roman" w:eastAsia="+mn-ea" w:hAnsi="Times New Roman" w:cs="Times New Roman"/>
                                <w:b/>
                                <w:bCs/>
                                <w:color w:val="000000"/>
                                <w:lang w:val="en-US"/>
                              </w:rPr>
                              <w:t xml:space="preserve">judicial cooperation </w:t>
                            </w:r>
                          </w:p>
                          <w:p w:rsidR="001B65FF" w:rsidRDefault="001B65FF">
                            <w:pPr>
                              <w:jc w:val="center"/>
                              <w:rPr>
                                <w:rFonts w:ascii="Times New Roman" w:hAnsi="Times New Roman" w:cs="Times New Roman"/>
                              </w:rPr>
                            </w:pPr>
                          </w:p>
                        </w:txbxContent>
                      </wps:txbx>
                      <wps:bodyPr rot="0" vert="horz" wrap="square" lIns="91440" tIns="45720" rIns="91440" bIns="45720" anchor="t" anchorCtr="0">
                        <a:noAutofit/>
                      </wps:bodyPr>
                    </wps:wsp>
                  </a:graphicData>
                </a:graphic>
              </wp:anchor>
            </w:drawing>
          </mc:Choice>
          <mc:Fallback>
            <w:pict>
              <v:shape id="_x0000_s1063" type="#_x0000_t202" style="position:absolute;margin-left:279.8pt;margin-top:82.85pt;width:369.75pt;height:20.9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" filled="f" stroked="f">
                <v:textbox>
                  <w:txbxContent>
                    <w:p w:rsidR="001B65FF" w:rsidRDefault="003E4EF4">
                      <w:pPr>
                        <w:rPr>
                          <w:rFonts w:ascii="Times New Roman" w:hAnsi="Times New Roman" w:cs="Times New Roman"/>
                        </w:rPr>
                      </w:pPr>
                      <w:r>
                        <w:rPr>
                          <w:rFonts w:ascii="Times New Roman" w:eastAsia="+mn-ea" w:hAnsi="Times New Roman" w:cs="Times New Roman"/>
                          <w:color w:val="000000"/>
                          <w:lang w:val="en-US"/>
                        </w:rPr>
                        <w:t xml:space="preserve">1. </w:t>
                      </w:r>
                      <w:r>
                        <w:rPr>
                          <w:rFonts w:ascii="Times New Roman" w:eastAsia="+mn-ea" w:hAnsi="Times New Roman" w:cs="Times New Roman"/>
                          <w:b/>
                          <w:color w:val="000000"/>
                          <w:lang w:val="en-US"/>
                        </w:rPr>
                        <w:t>P</w:t>
                      </w:r>
                      <w:r>
                        <w:rPr>
                          <w:rFonts w:ascii="Times New Roman" w:eastAsia="+mn-ea" w:hAnsi="Times New Roman" w:cs="Times New Roman"/>
                          <w:b/>
                          <w:bCs/>
                          <w:color w:val="000000"/>
                          <w:lang w:val="en-US"/>
                        </w:rPr>
                        <w:t xml:space="preserve">ractical measures </w:t>
                      </w:r>
                      <w:r>
                        <w:rPr>
                          <w:rFonts w:ascii="Times New Roman" w:eastAsia="+mn-ea" w:hAnsi="Times New Roman" w:cs="Times New Roman"/>
                          <w:color w:val="000000"/>
                          <w:lang w:val="en-US"/>
                        </w:rPr>
                        <w:t xml:space="preserve">to enhance </w:t>
                      </w:r>
                      <w:r>
                        <w:rPr>
                          <w:rFonts w:ascii="Times New Roman" w:eastAsia="+mn-ea" w:hAnsi="Times New Roman" w:cs="Times New Roman"/>
                          <w:b/>
                          <w:bCs/>
                          <w:color w:val="000000"/>
                          <w:lang w:val="en-US"/>
                        </w:rPr>
                        <w:t xml:space="preserve">judicial cooperation </w:t>
                      </w:r>
                    </w:p>
                    <w:p w:rsidR="001B65FF" w:rsidRDefault="001B65FF">
                      <w:pPr>
                        <w:jc w:val="center"/>
                        <w:rPr>
                          <w:rFonts w:ascii="Times New Roman" w:hAnsi="Times New Roman" w:cs="Times New Roman"/>
                        </w:rPr>
                      </w:pP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69" behindDoc="0" locked="0" layoutInCell="1" allowOverlap="1" wp14:anchorId="4DEADD45" wp14:editId="46378EBC">
                <wp:simplePos x="0" y="0"/>
                <wp:positionH relativeFrom="column">
                  <wp:posOffset>3553452</wp:posOffset>
                </wp:positionH>
                <wp:positionV relativeFrom="paragraph">
                  <wp:posOffset>1455733</wp:posOffset>
                </wp:positionV>
                <wp:extent cx="4695525" cy="265383"/>
                <wp:effectExtent l="0" t="0" r="0" b="190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525" cy="265383"/>
                        </a:xfrm>
                        <a:prstGeom prst="rect">
                          <a:avLst/>
                        </a:prstGeom>
                        <a:noFill/>
                        <a:ln w="9525">
                          <a:noFill/>
                          <a:miter lim="800000"/>
                          <a:headEnd/>
                          <a:tailEnd/>
                        </a:ln>
                      </wps:spPr>
                      <wps:txbx>
                        <w:txbxContent>
                          <w:p w:rsidR="001B65FF" w:rsidRDefault="003E4EF4">
                            <w:pPr>
                              <w:rPr>
                                <w:rFonts w:ascii="Times New Roman" w:hAnsi="Times New Roman" w:cs="Times New Roman"/>
                              </w:rPr>
                            </w:pPr>
                            <w:r>
                              <w:rPr>
                                <w:rFonts w:ascii="Times New Roman" w:eastAsia="+mn-ea" w:hAnsi="Times New Roman" w:cs="Times New Roman"/>
                                <w:color w:val="000000"/>
                                <w:lang w:val="en-US"/>
                              </w:rPr>
                              <w:t xml:space="preserve">2. </w:t>
                            </w:r>
                            <w:r>
                              <w:rPr>
                                <w:rFonts w:ascii="Times New Roman" w:eastAsia="+mn-ea" w:hAnsi="Times New Roman" w:cs="Times New Roman"/>
                                <w:b/>
                                <w:color w:val="000000"/>
                                <w:lang w:val="en-US"/>
                              </w:rPr>
                              <w:t>P</w:t>
                            </w:r>
                            <w:r>
                              <w:rPr>
                                <w:rFonts w:ascii="Times New Roman" w:eastAsia="+mn-ea" w:hAnsi="Times New Roman" w:cs="Times New Roman"/>
                                <w:b/>
                                <w:bCs/>
                                <w:color w:val="000000"/>
                                <w:lang w:val="en-US"/>
                              </w:rPr>
                              <w:t xml:space="preserve">ractical measures </w:t>
                            </w:r>
                            <w:r>
                              <w:rPr>
                                <w:rFonts w:ascii="Times New Roman" w:eastAsia="+mn-ea" w:hAnsi="Times New Roman" w:cs="Times New Roman"/>
                                <w:color w:val="000000"/>
                                <w:lang w:val="en-US"/>
                              </w:rPr>
                              <w:t xml:space="preserve">to enhance </w:t>
                            </w:r>
                            <w:r>
                              <w:rPr>
                                <w:rFonts w:ascii="Times New Roman" w:eastAsia="+mn-ea" w:hAnsi="Times New Roman" w:cs="Times New Roman"/>
                                <w:b/>
                                <w:color w:val="000000"/>
                                <w:lang w:val="en-US"/>
                              </w:rPr>
                              <w:t>direct cooperation</w:t>
                            </w:r>
                          </w:p>
                        </w:txbxContent>
                      </wps:txbx>
                      <wps:bodyPr rot="0" vert="horz" wrap="square" lIns="91440" tIns="45720" rIns="91440" bIns="45720" anchor="t" anchorCtr="0">
                        <a:noAutofit/>
                      </wps:bodyPr>
                    </wps:wsp>
                  </a:graphicData>
                </a:graphic>
              </wp:anchor>
            </w:drawing>
          </mc:Choice>
          <mc:Fallback>
            <w:pict>
              <v:shape id="_x0000_s1064" type="#_x0000_t202" style="position:absolute;margin-left:279.8pt;margin-top:114.6pt;width:369.75pt;height:20.9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" filled="f" stroked="f">
                <v:textbox>
                  <w:txbxContent>
                    <w:p w:rsidR="001B65FF" w:rsidRDefault="003E4EF4">
                      <w:pPr>
                        <w:rPr>
                          <w:rFonts w:ascii="Times New Roman" w:hAnsi="Times New Roman" w:cs="Times New Roman"/>
                        </w:rPr>
                      </w:pPr>
                      <w:r>
                        <w:rPr>
                          <w:rFonts w:ascii="Times New Roman" w:eastAsia="+mn-ea" w:hAnsi="Times New Roman" w:cs="Times New Roman"/>
                          <w:color w:val="000000"/>
                          <w:lang w:val="en-US"/>
                        </w:rPr>
                        <w:t xml:space="preserve">2. </w:t>
                      </w:r>
                      <w:r>
                        <w:rPr>
                          <w:rFonts w:ascii="Times New Roman" w:eastAsia="+mn-ea" w:hAnsi="Times New Roman" w:cs="Times New Roman"/>
                          <w:b/>
                          <w:color w:val="000000"/>
                          <w:lang w:val="en-US"/>
                        </w:rPr>
                        <w:t>P</w:t>
                      </w:r>
                      <w:r>
                        <w:rPr>
                          <w:rFonts w:ascii="Times New Roman" w:eastAsia="+mn-ea" w:hAnsi="Times New Roman" w:cs="Times New Roman"/>
                          <w:b/>
                          <w:bCs/>
                          <w:color w:val="000000"/>
                          <w:lang w:val="en-US"/>
                        </w:rPr>
                        <w:t xml:space="preserve">ractical measures </w:t>
                      </w:r>
                      <w:r>
                        <w:rPr>
                          <w:rFonts w:ascii="Times New Roman" w:eastAsia="+mn-ea" w:hAnsi="Times New Roman" w:cs="Times New Roman"/>
                          <w:color w:val="000000"/>
                          <w:lang w:val="en-US"/>
                        </w:rPr>
                        <w:t xml:space="preserve">to enhance </w:t>
                      </w:r>
                      <w:r>
                        <w:rPr>
                          <w:rFonts w:ascii="Times New Roman" w:eastAsia="+mn-ea" w:hAnsi="Times New Roman" w:cs="Times New Roman"/>
                          <w:b/>
                          <w:color w:val="000000"/>
                          <w:lang w:val="en-US"/>
                        </w:rPr>
                        <w:t>direct cooperation</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71" behindDoc="0" locked="0" layoutInCell="1" allowOverlap="1" wp14:anchorId="5C6BA700" wp14:editId="28F289A3">
                <wp:simplePos x="0" y="0"/>
                <wp:positionH relativeFrom="column">
                  <wp:posOffset>715249</wp:posOffset>
                </wp:positionH>
                <wp:positionV relativeFrom="paragraph">
                  <wp:posOffset>802590</wp:posOffset>
                </wp:positionV>
                <wp:extent cx="141605" cy="0"/>
                <wp:effectExtent l="0" t="0" r="10795" b="19050"/>
                <wp:wrapNone/>
                <wp:docPr id="54" name="Straight Connector 54"/>
                <wp:cNvGraphicFramePr/>
                <a:graphic xmlns:a="http://schemas.openxmlformats.org/drawingml/2006/main">
                  <a:graphicData uri="http://schemas.microsoft.com/office/word/2010/wordprocessingShape">
                    <wps:wsp>
                      <wps:cNvCnPr/>
                      <wps:spPr>
                        <a:xfrm>
                          <a:off x="0" y="0"/>
                          <a:ext cx="1416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54" o:spid="_x0000_s1026"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56.3pt,63.2pt" to="67.4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79" behindDoc="0" locked="0" layoutInCell="1" allowOverlap="1" wp14:anchorId="7B96F57F" wp14:editId="69550DAF">
                <wp:simplePos x="0" y="0"/>
                <wp:positionH relativeFrom="column">
                  <wp:posOffset>3458449</wp:posOffset>
                </wp:positionH>
                <wp:positionV relativeFrom="paragraph">
                  <wp:posOffset>1194476</wp:posOffset>
                </wp:positionV>
                <wp:extent cx="142231" cy="0"/>
                <wp:effectExtent l="0" t="0" r="10795" b="19050"/>
                <wp:wrapNone/>
                <wp:docPr id="67" name="Straight Connector 67"/>
                <wp:cNvGraphicFramePr/>
                <a:graphic xmlns:a="http://schemas.openxmlformats.org/drawingml/2006/main">
                  <a:graphicData uri="http://schemas.microsoft.com/office/word/2010/wordprocessingShape">
                    <wps:wsp>
                      <wps:cNvCnPr/>
                      <wps:spPr>
                        <a:xfrm>
                          <a:off x="0" y="0"/>
                          <a:ext cx="14223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67" o:spid="_x0000_s1026" style="position:absolute;z-index:251658279;visibility:visible;mso-wrap-style:square;mso-wrap-distance-left:9pt;mso-wrap-distance-top:0;mso-wrap-distance-right:9pt;mso-wrap-distance-bottom:0;mso-position-horizontal:absolute;mso-position-horizontal-relative:text;mso-position-vertical:absolute;mso-position-vertical-relative:text" from="272.3pt,94.05pt" to="283.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" strokecolor="#4579b8 [3044]"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87" behindDoc="0" locked="0" layoutInCell="1" allowOverlap="1" wp14:anchorId="7EFAD8D9" wp14:editId="785DFAB5">
                <wp:simplePos x="0" y="0"/>
                <wp:positionH relativeFrom="column">
                  <wp:posOffset>3292195</wp:posOffset>
                </wp:positionH>
                <wp:positionV relativeFrom="paragraph">
                  <wp:posOffset>30694</wp:posOffset>
                </wp:positionV>
                <wp:extent cx="947422" cy="274301"/>
                <wp:effectExtent l="0" t="0" r="508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2" cy="274301"/>
                        </a:xfrm>
                        <a:prstGeom prst="rect">
                          <a:avLst/>
                        </a:prstGeom>
                        <a:solidFill>
                          <a:srgbClr val="FFFFFF"/>
                        </a:solidFill>
                        <a:ln w="9525">
                          <a:noFill/>
                          <a:miter lim="800000"/>
                          <a:headEnd/>
                          <a:tailEnd/>
                        </a:ln>
                      </wps:spPr>
                      <wps:txbx>
                        <w:txbxContent>
                          <w:p w:rsidR="001B65FF" w:rsidRDefault="003E4EF4">
                            <w:pPr>
                              <w:jc w:val="center"/>
                              <w:rPr>
                                <w:rFonts w:ascii="Times New Roman" w:hAnsi="Times New Roman" w:cs="Times New Roman"/>
                                <w:sz w:val="24"/>
                                <w:szCs w:val="24"/>
                              </w:rPr>
                            </w:pPr>
                            <w:r>
                              <w:rPr>
                                <w:rFonts w:ascii="Times New Roman" w:hAnsi="Times New Roman" w:cs="Times New Roman"/>
                                <w:sz w:val="24"/>
                                <w:szCs w:val="24"/>
                              </w:rPr>
                              <w:t>Measures</w:t>
                            </w:r>
                          </w:p>
                        </w:txbxContent>
                      </wps:txbx>
                      <wps:bodyPr rot="0" vert="horz" wrap="square" lIns="91440" tIns="45720" rIns="91440" bIns="45720" anchor="t" anchorCtr="0">
                        <a:noAutofit/>
                      </wps:bodyPr>
                    </wps:wsp>
                  </a:graphicData>
                </a:graphic>
              </wp:anchor>
            </w:drawing>
          </mc:Choice>
          <mc:Fallback>
            <w:pict>
              <v:shape id="_x0000_s1065" type="#_x0000_t202" style="position:absolute;margin-left:259.25pt;margin-top:2.4pt;width:74.6pt;height:21.6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WoIgIAACMEAAAOAAAAZHJzL2Uyb0RvYy54bWysU9uO2yAQfa/Uf0C8N3a8SbO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" stroked="f">
                <v:textbox>
                  <w:txbxContent>
                    <w:p w:rsidR="001B65FF" w:rsidRDefault="003E4EF4">
                      <w:pPr>
                        <w:jc w:val="center"/>
                        <w:rPr>
                          <w:rFonts w:ascii="Times New Roman" w:hAnsi="Times New Roman" w:cs="Times New Roman"/>
                          <w:sz w:val="24"/>
                          <w:szCs w:val="24"/>
                        </w:rPr>
                      </w:pPr>
                      <w:r>
                        <w:rPr>
                          <w:rFonts w:ascii="Times New Roman" w:hAnsi="Times New Roman" w:cs="Times New Roman"/>
                          <w:sz w:val="24"/>
                          <w:szCs w:val="24"/>
                        </w:rPr>
                        <w:t>Measures</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88" behindDoc="0" locked="0" layoutInCell="1" allowOverlap="1" wp14:anchorId="4867F7F3" wp14:editId="57A00B67">
                <wp:simplePos x="0" y="0"/>
                <wp:positionH relativeFrom="column">
                  <wp:posOffset>703374</wp:posOffset>
                </wp:positionH>
                <wp:positionV relativeFrom="paragraph">
                  <wp:posOffset>315702</wp:posOffset>
                </wp:positionV>
                <wp:extent cx="6115062" cy="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6115062"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xmlns="">
            <w:pict>
              <v:line id="Straight Connector 80" o:spid="_x0000_s1026" style="position:absolute;z-index:251658288;visibility:visible;mso-wrap-style:square;mso-wrap-distance-left:9pt;mso-wrap-distance-top:0;mso-wrap-distance-right:9pt;mso-wrap-distance-bottom:0;mso-position-horizontal:absolute;mso-position-horizontal-relative:text;mso-position-vertical:absolute;mso-position-vertical-relative:text" from="55.4pt,24.85pt" to="536.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" strokecolor="#4a7ebb"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89" behindDoc="0" locked="0" layoutInCell="1" allowOverlap="1" wp14:anchorId="31E25E5D" wp14:editId="544AD77F">
                <wp:simplePos x="0" y="0"/>
                <wp:positionH relativeFrom="column">
                  <wp:posOffset>7472309</wp:posOffset>
                </wp:positionH>
                <wp:positionV relativeFrom="paragraph">
                  <wp:posOffset>30694</wp:posOffset>
                </wp:positionV>
                <wp:extent cx="948057" cy="274936"/>
                <wp:effectExtent l="0" t="0" r="4445"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7" cy="274936"/>
                        </a:xfrm>
                        <a:prstGeom prst="rect">
                          <a:avLst/>
                        </a:prstGeom>
                        <a:solidFill>
                          <a:srgbClr val="FFFFFF"/>
                        </a:solidFill>
                        <a:ln w="9525">
                          <a:noFill/>
                          <a:miter lim="800000"/>
                          <a:headEnd/>
                          <a:tailEnd/>
                        </a:ln>
                      </wps:spPr>
                      <wps:txb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Options</w:t>
                            </w:r>
                          </w:p>
                        </w:txbxContent>
                      </wps:txbx>
                      <wps:bodyPr rot="0" vert="horz" wrap="square" lIns="91440" tIns="45720" rIns="91440" bIns="45720" anchor="t" anchorCtr="0">
                        <a:noAutofit/>
                      </wps:bodyPr>
                    </wps:wsp>
                  </a:graphicData>
                </a:graphic>
              </wp:anchor>
            </w:drawing>
          </mc:Choice>
          <mc:Fallback>
            <w:pict>
              <v:shape id="_x0000_s1066" type="#_x0000_t202" style="position:absolute;margin-left:588.35pt;margin-top:2.4pt;width:74.65pt;height:21.6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sEJAIAACM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" stroked="f">
                <v:textbox>
                  <w:txbxContent>
                    <w:p w:rsidR="001B65FF" w:rsidRDefault="003E4EF4">
                      <w:pPr>
                        <w:jc w:val="center"/>
                        <w:rPr>
                          <w:rFonts w:ascii="Times New Roman" w:hAnsi="Times New Roman" w:cs="Times New Roman"/>
                          <w:sz w:val="24"/>
                          <w:szCs w:val="24"/>
                          <w:lang w:val="en-US"/>
                        </w:rPr>
                      </w:pPr>
                      <w:r>
                        <w:rPr>
                          <w:rFonts w:ascii="Times New Roman" w:hAnsi="Times New Roman" w:cs="Times New Roman"/>
                          <w:sz w:val="24"/>
                          <w:szCs w:val="24"/>
                          <w:lang w:val="en-US"/>
                        </w:rPr>
                        <w:t>Options</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90" behindDoc="0" locked="0" layoutInCell="1" allowOverlap="1" wp14:anchorId="563A0870" wp14:editId="0B62A0B5">
                <wp:simplePos x="0" y="0"/>
                <wp:positionH relativeFrom="column">
                  <wp:posOffset>7199176</wp:posOffset>
                </wp:positionH>
                <wp:positionV relativeFrom="paragraph">
                  <wp:posOffset>315702</wp:posOffset>
                </wp:positionV>
                <wp:extent cx="1475108" cy="1905"/>
                <wp:effectExtent l="0" t="0" r="10795" b="36195"/>
                <wp:wrapNone/>
                <wp:docPr id="82" name="Straight Connector 82"/>
                <wp:cNvGraphicFramePr/>
                <a:graphic xmlns:a="http://schemas.openxmlformats.org/drawingml/2006/main">
                  <a:graphicData uri="http://schemas.microsoft.com/office/word/2010/wordprocessingShape">
                    <wps:wsp>
                      <wps:cNvCnPr/>
                      <wps:spPr>
                        <a:xfrm>
                          <a:off x="0" y="0"/>
                          <a:ext cx="1475108" cy="1905"/>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xmlns="">
            <w:pict>
              <v:line id="Straight Connector 82" o:spid="_x0000_s1026"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566.85pt,24.85pt" to="68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" strokecolor="#4a7ebb" strokeweight="1.5pt"/>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91" behindDoc="0" locked="0" layoutInCell="1" allowOverlap="1" wp14:anchorId="61BC086F" wp14:editId="059C6B83">
                <wp:simplePos x="0" y="0"/>
                <wp:positionH relativeFrom="column">
                  <wp:posOffset>7472309</wp:posOffset>
                </wp:positionH>
                <wp:positionV relativeFrom="paragraph">
                  <wp:posOffset>1004470</wp:posOffset>
                </wp:positionV>
                <wp:extent cx="379535" cy="394265"/>
                <wp:effectExtent l="0" t="0" r="1905" b="63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5" cy="394265"/>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7" type="#_x0000_t202" style="position:absolute;margin-left:588.35pt;margin-top:79.1pt;width:29.9pt;height:31.05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YLJAIAACMEAAAOAAAAZHJzL2Uyb0RvYy54bWysU21v2yAQ/j5p/wHxfXHix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92" behindDoc="0" locked="0" layoutInCell="1" allowOverlap="1" wp14:anchorId="5CD52441" wp14:editId="77DCBD22">
                <wp:simplePos x="0" y="0"/>
                <wp:positionH relativeFrom="column">
                  <wp:posOffset>7781067</wp:posOffset>
                </wp:positionH>
                <wp:positionV relativeFrom="paragraph">
                  <wp:posOffset>1004470</wp:posOffset>
                </wp:positionV>
                <wp:extent cx="379535" cy="394265"/>
                <wp:effectExtent l="0" t="0" r="1905" b="63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5" cy="394265"/>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8" type="#_x0000_t202" style="position:absolute;margin-left:612.7pt;margin-top:79.1pt;width:29.9pt;height:31.0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GGIwIAACMEAAAOAAAAZHJzL2Uyb0RvYy54bWysU21v2yAQ/j5p/wHxfXHix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93" behindDoc="0" locked="0" layoutInCell="1" allowOverlap="1" wp14:anchorId="6A50B44A" wp14:editId="35216D26">
                <wp:simplePos x="0" y="0"/>
                <wp:positionH relativeFrom="column">
                  <wp:posOffset>8066075</wp:posOffset>
                </wp:positionH>
                <wp:positionV relativeFrom="paragraph">
                  <wp:posOffset>1004470</wp:posOffset>
                </wp:positionV>
                <wp:extent cx="379535" cy="394265"/>
                <wp:effectExtent l="0" t="0" r="1905" b="63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5" cy="394265"/>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9" type="#_x0000_t202" style="position:absolute;margin-left:635.1pt;margin-top:79.1pt;width:29.9pt;height:31.05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eoIwIAACMEAAAOAAAAZHJzL2Uyb0RvYy54bWysU21v2yAQ/j5p/wHxfXHix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94" behindDoc="0" locked="0" layoutInCell="1" allowOverlap="1" wp14:anchorId="5E6524B8" wp14:editId="693E7F7B">
                <wp:simplePos x="0" y="0"/>
                <wp:positionH relativeFrom="column">
                  <wp:posOffset>8351083</wp:posOffset>
                </wp:positionH>
                <wp:positionV relativeFrom="paragraph">
                  <wp:posOffset>1004470</wp:posOffset>
                </wp:positionV>
                <wp:extent cx="379535" cy="394265"/>
                <wp:effectExtent l="0" t="0" r="1905" b="635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5" cy="394265"/>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70" type="#_x0000_t202" style="position:absolute;margin-left:657.55pt;margin-top:79.1pt;width:29.9pt;height:31.0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lang w:eastAsia="en-GB"/>
        </w:rPr>
        <mc:AlternateContent>
          <mc:Choice Requires="wpg">
            <w:drawing>
              <wp:anchor distT="0" distB="0" distL="114300" distR="114300" simplePos="0" relativeHeight="251658295" behindDoc="0" locked="0" layoutInCell="1" allowOverlap="1" wp14:anchorId="1DAD8D51" wp14:editId="26132B07">
                <wp:simplePos x="0" y="0"/>
                <wp:positionH relativeFrom="column">
                  <wp:posOffset>7484184</wp:posOffset>
                </wp:positionH>
                <wp:positionV relativeFrom="paragraph">
                  <wp:posOffset>1396356</wp:posOffset>
                </wp:positionV>
                <wp:extent cx="1249602" cy="394265"/>
                <wp:effectExtent l="0" t="0" r="8255" b="6350"/>
                <wp:wrapNone/>
                <wp:docPr id="87" name="Group 87"/>
                <wp:cNvGraphicFramePr/>
                <a:graphic xmlns:a="http://schemas.openxmlformats.org/drawingml/2006/main">
                  <a:graphicData uri="http://schemas.microsoft.com/office/word/2010/wordprocessingGroup">
                    <wpg:wgp>
                      <wpg:cNvGrpSpPr/>
                      <wpg:grpSpPr>
                        <a:xfrm>
                          <a:off x="0" y="0"/>
                          <a:ext cx="1249602" cy="394265"/>
                          <a:chOff x="7707086" y="1365663"/>
                          <a:chExt cx="1250239" cy="394335"/>
                        </a:xfrm>
                      </wpg:grpSpPr>
                      <wps:wsp>
                        <wps:cNvPr id="107" name="Text Box 2"/>
                        <wps:cNvSpPr txBox="1">
                          <a:spLocks noChangeArrowheads="1"/>
                        </wps:cNvSpPr>
                        <wps:spPr bwMode="auto">
                          <a:xfrm>
                            <a:off x="7707086" y="1365663"/>
                            <a:ext cx="379730" cy="394335"/>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wps:wsp>
                        <wps:cNvPr id="108" name="Text Box 2"/>
                        <wps:cNvSpPr txBox="1">
                          <a:spLocks noChangeArrowheads="1"/>
                        </wps:cNvSpPr>
                        <wps:spPr bwMode="auto">
                          <a:xfrm>
                            <a:off x="7999694" y="1365663"/>
                            <a:ext cx="379730" cy="394335"/>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wps:wsp>
                        <wps:cNvPr id="109" name="Text Box 2"/>
                        <wps:cNvSpPr txBox="1">
                          <a:spLocks noChangeArrowheads="1"/>
                        </wps:cNvSpPr>
                        <wps:spPr bwMode="auto">
                          <a:xfrm>
                            <a:off x="8292302" y="1365663"/>
                            <a:ext cx="379730" cy="394335"/>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wps:wsp>
                        <wps:cNvPr id="110" name="Text Box 2"/>
                        <wps:cNvSpPr txBox="1">
                          <a:spLocks noChangeArrowheads="1"/>
                        </wps:cNvSpPr>
                        <wps:spPr bwMode="auto">
                          <a:xfrm>
                            <a:off x="8577595" y="1365663"/>
                            <a:ext cx="379730" cy="394335"/>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wpg:wgp>
                  </a:graphicData>
                </a:graphic>
              </wp:anchor>
            </w:drawing>
          </mc:Choice>
          <mc:Fallback>
            <w:pict>
              <v:group id="Group 87" o:spid="_x0000_s1071" style="position:absolute;margin-left:589.3pt;margin-top:109.95pt;width:98.4pt;height:31.05pt;z-index:251658295" coordorigin="77070,13656" coordsize="12502,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">
                <v:shape id="_x0000_s1072" type="#_x0000_t202" style="position:absolute;left:77070;top:13656;width:3798;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v:shape id="_x0000_s1073" type="#_x0000_t202" style="position:absolute;left:79996;top:13656;width:3798;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v:shape id="_x0000_s1074" type="#_x0000_t202" style="position:absolute;left:82923;top:13656;width:3797;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v:shape id="_x0000_s1075" type="#_x0000_t202" style="position:absolute;left:85775;top:13656;width:3798;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v:group>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310" behindDoc="0" locked="0" layoutInCell="1" allowOverlap="1" wp14:anchorId="486673C6" wp14:editId="1D7450AB">
                <wp:simplePos x="0" y="0"/>
                <wp:positionH relativeFrom="column">
                  <wp:posOffset>7199176</wp:posOffset>
                </wp:positionH>
                <wp:positionV relativeFrom="paragraph">
                  <wp:posOffset>636335</wp:posOffset>
                </wp:positionV>
                <wp:extent cx="379095" cy="393672"/>
                <wp:effectExtent l="0" t="0" r="1905" b="698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93672"/>
                        </a:xfrm>
                        <a:prstGeom prst="rect">
                          <a:avLst/>
                        </a:prstGeom>
                        <a:solidFill>
                          <a:srgbClr val="FFFFFF"/>
                        </a:solidFill>
                        <a:ln w="9525">
                          <a:noFill/>
                          <a:miter lim="800000"/>
                          <a:headEnd/>
                          <a:tailEnd/>
                        </a:ln>
                      </wps:spPr>
                      <wps:txb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76" type="#_x0000_t202" style="position:absolute;margin-left:566.85pt;margin-top:50.1pt;width:29.85pt;height:31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" stroked="f">
                <v:textbox>
                  <w:txbxContent>
                    <w:p w:rsidR="001B65FF" w:rsidRDefault="003E4EF4">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hint="eastAsia"/>
                          <w:color w:val="4F81BD" w:themeColor="accent1"/>
                          <w:sz w:val="28"/>
                        </w:rPr>
                        <w:t xml:space="preserve"> </w:t>
                      </w:r>
                    </w:p>
                  </w:txbxContent>
                </v:textbox>
              </v:shape>
            </w:pict>
          </mc:Fallback>
        </mc:AlternateContent>
      </w:r>
      <w:r>
        <w:rPr>
          <w:rFonts w:ascii="Times New Roman" w:hAnsi="Times New Roman" w:cs="Times New Roman"/>
          <w:noProof/>
        </w:rPr>
        <w:br w:type="textWrapping" w:clear="all"/>
      </w:r>
    </w:p>
    <w:p w:rsidR="001B65FF" w:rsidRDefault="003E4EF4">
      <w:pPr>
        <w:keepNext/>
        <w:numPr>
          <w:ilvl w:val="2"/>
          <w:numId w:val="3"/>
        </w:numPr>
        <w:tabs>
          <w:tab w:val="clear" w:pos="1920"/>
        </w:tabs>
        <w:spacing w:before="120" w:after="120" w:line="240" w:lineRule="auto"/>
        <w:ind w:left="720"/>
        <w:jc w:val="both"/>
        <w:outlineLvl w:val="2"/>
        <w:rPr>
          <w:rFonts w:ascii="Times New Roman" w:eastAsia="Times New Roman" w:hAnsi="Times New Roman" w:cs="Times New Roman"/>
          <w:noProof/>
          <w:sz w:val="24"/>
          <w:szCs w:val="20"/>
        </w:rPr>
      </w:pPr>
      <w:bookmarkStart w:id="1259" w:name="_Toc498509668"/>
      <w:bookmarkStart w:id="1260" w:name="_Toc498521223"/>
      <w:bookmarkStart w:id="1261" w:name="_Toc498701967"/>
      <w:bookmarkStart w:id="1262" w:name="_Toc498704699"/>
      <w:bookmarkStart w:id="1263" w:name="_Toc499020456"/>
      <w:bookmarkStart w:id="1264" w:name="_Toc499030359"/>
      <w:bookmarkStart w:id="1265" w:name="_Toc499044933"/>
      <w:bookmarkStart w:id="1266" w:name="_Toc499051317"/>
      <w:bookmarkStart w:id="1267" w:name="_Toc499133305"/>
      <w:bookmarkStart w:id="1268" w:name="_Toc499142843"/>
      <w:bookmarkStart w:id="1269" w:name="_Toc510952871"/>
      <w:r>
        <w:rPr>
          <w:rFonts w:ascii="Times New Roman" w:eastAsia="Times New Roman" w:hAnsi="Times New Roman" w:cs="Times New Roman"/>
          <w:noProof/>
          <w:sz w:val="24"/>
          <w:szCs w:val="20"/>
        </w:rPr>
        <w:t>Option O: baseline</w:t>
      </w:r>
      <w:bookmarkEnd w:id="1259"/>
      <w:bookmarkEnd w:id="1260"/>
      <w:bookmarkEnd w:id="1261"/>
      <w:bookmarkEnd w:id="1262"/>
      <w:bookmarkEnd w:id="1263"/>
      <w:bookmarkEnd w:id="1264"/>
      <w:bookmarkEnd w:id="1265"/>
      <w:bookmarkEnd w:id="1266"/>
      <w:bookmarkEnd w:id="1267"/>
      <w:bookmarkEnd w:id="1268"/>
      <w:bookmarkEnd w:id="1269"/>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This section summarises the baseline scenario. More information is available in Annex 9. </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The baseline or </w:t>
      </w:r>
      <w:r>
        <w:rPr>
          <w:rFonts w:ascii="Times New Roman" w:hAnsi="Times New Roman" w:cs="Times New Roman"/>
          <w:b/>
          <w:noProof/>
          <w:sz w:val="24"/>
        </w:rPr>
        <w:t>option O</w:t>
      </w:r>
      <w:r>
        <w:rPr>
          <w:rFonts w:ascii="Times New Roman" w:hAnsi="Times New Roman" w:cs="Times New Roman"/>
          <w:noProof/>
          <w:sz w:val="24"/>
        </w:rPr>
        <w:t xml:space="preserve"> is the scenario in which there is </w:t>
      </w:r>
      <w:r>
        <w:rPr>
          <w:rFonts w:ascii="Times New Roman" w:hAnsi="Times New Roman" w:cs="Times New Roman"/>
          <w:b/>
          <w:noProof/>
          <w:sz w:val="24"/>
        </w:rPr>
        <w:t>no EU action</w:t>
      </w:r>
      <w:r>
        <w:rPr>
          <w:rFonts w:ascii="Times New Roman" w:hAnsi="Times New Roman" w:cs="Times New Roman"/>
          <w:noProof/>
          <w:sz w:val="24"/>
        </w:rPr>
        <w:t>. This scenario has several dimensions:</w:t>
      </w:r>
    </w:p>
    <w:p w:rsidR="001B65FF" w:rsidRDefault="003E4EF4">
      <w:pPr>
        <w:numPr>
          <w:ilvl w:val="0"/>
          <w:numId w:val="31"/>
        </w:numPr>
        <w:contextualSpacing/>
        <w:jc w:val="both"/>
        <w:rPr>
          <w:rFonts w:ascii="Times New Roman" w:hAnsi="Times New Roman" w:cs="Times New Roman"/>
          <w:noProof/>
          <w:sz w:val="24"/>
        </w:rPr>
      </w:pPr>
      <w:r>
        <w:rPr>
          <w:rFonts w:ascii="Times New Roman" w:hAnsi="Times New Roman" w:cs="Times New Roman"/>
          <w:b/>
          <w:noProof/>
          <w:sz w:val="24"/>
        </w:rPr>
        <w:t>In general</w:t>
      </w:r>
      <w:r>
        <w:rPr>
          <w:rFonts w:ascii="Times New Roman" w:hAnsi="Times New Roman" w:cs="Times New Roman"/>
          <w:noProof/>
          <w:sz w:val="24"/>
        </w:rPr>
        <w:t xml:space="preserve"> terms, the problem drivers are likely to evo</w:t>
      </w:r>
      <w:r>
        <w:rPr>
          <w:rFonts w:ascii="Times New Roman" w:hAnsi="Times New Roman" w:cs="Times New Roman"/>
          <w:noProof/>
          <w:sz w:val="24"/>
        </w:rPr>
        <w:t xml:space="preserve">lve as described in section 2.3. (How will the problem evolve), worsening the situation. </w:t>
      </w:r>
    </w:p>
    <w:p w:rsidR="001B65FF" w:rsidRDefault="003E4EF4">
      <w:pPr>
        <w:numPr>
          <w:ilvl w:val="0"/>
          <w:numId w:val="108"/>
        </w:numPr>
        <w:contextualSpacing/>
        <w:jc w:val="both"/>
        <w:rPr>
          <w:rFonts w:ascii="Times New Roman" w:hAnsi="Times New Roman" w:cs="Times New Roman"/>
          <w:noProof/>
          <w:sz w:val="24"/>
        </w:rPr>
      </w:pPr>
      <w:r>
        <w:rPr>
          <w:rFonts w:ascii="Times New Roman" w:hAnsi="Times New Roman" w:cs="Times New Roman"/>
          <w:b/>
          <w:noProof/>
          <w:sz w:val="24"/>
        </w:rPr>
        <w:t>Judicial cooperation</w:t>
      </w:r>
      <w:r>
        <w:rPr>
          <w:rFonts w:ascii="Times New Roman" w:hAnsi="Times New Roman" w:cs="Times New Roman"/>
          <w:noProof/>
          <w:sz w:val="24"/>
        </w:rPr>
        <w:t xml:space="preserve"> would likely take longer, given the exponential growth of electronic data and the increase in requests due to the loss of publicly available data</w:t>
      </w:r>
      <w:r>
        <w:rPr>
          <w:rFonts w:ascii="Times New Roman" w:hAnsi="Times New Roman" w:cs="Times New Roman"/>
          <w:noProof/>
          <w:sz w:val="24"/>
        </w:rPr>
        <w:t xml:space="preserve">, which is unlikely to be matched by a growth in resources to deal with the increased number of MLAT/EIO requests. </w:t>
      </w:r>
    </w:p>
    <w:p w:rsidR="001B65FF" w:rsidRDefault="003E4EF4">
      <w:pPr>
        <w:numPr>
          <w:ilvl w:val="0"/>
          <w:numId w:val="108"/>
        </w:numPr>
        <w:contextualSpacing/>
        <w:jc w:val="both"/>
        <w:rPr>
          <w:rFonts w:ascii="Times New Roman" w:hAnsi="Times New Roman" w:cs="Times New Roman"/>
          <w:noProof/>
          <w:sz w:val="24"/>
        </w:rPr>
      </w:pPr>
      <w:r>
        <w:rPr>
          <w:rFonts w:ascii="Times New Roman" w:hAnsi="Times New Roman" w:cs="Times New Roman"/>
          <w:noProof/>
          <w:sz w:val="24"/>
        </w:rPr>
        <w:t xml:space="preserve">Without a clear framework for </w:t>
      </w:r>
      <w:r>
        <w:rPr>
          <w:rFonts w:ascii="Times New Roman" w:hAnsi="Times New Roman" w:cs="Times New Roman"/>
          <w:b/>
          <w:noProof/>
          <w:sz w:val="24"/>
        </w:rPr>
        <w:t>direct cooperation</w:t>
      </w:r>
      <w:r>
        <w:rPr>
          <w:rFonts w:ascii="Times New Roman" w:hAnsi="Times New Roman" w:cs="Times New Roman"/>
          <w:noProof/>
          <w:sz w:val="24"/>
        </w:rPr>
        <w:t xml:space="preserve"> between service providers and public authorities:</w:t>
      </w:r>
    </w:p>
    <w:p w:rsidR="001B65FF" w:rsidRDefault="003E4EF4">
      <w:pPr>
        <w:numPr>
          <w:ilvl w:val="1"/>
          <w:numId w:val="108"/>
        </w:numPr>
        <w:contextualSpacing/>
        <w:jc w:val="both"/>
        <w:rPr>
          <w:rFonts w:ascii="Times New Roman" w:hAnsi="Times New Roman" w:cs="Times New Roman"/>
          <w:noProof/>
          <w:sz w:val="24"/>
        </w:rPr>
      </w:pPr>
      <w:r>
        <w:rPr>
          <w:rFonts w:ascii="Times New Roman" w:hAnsi="Times New Roman" w:cs="Times New Roman"/>
          <w:noProof/>
          <w:sz w:val="24"/>
        </w:rPr>
        <w:t>the efficiency of this cooperation is, si</w:t>
      </w:r>
      <w:r>
        <w:rPr>
          <w:rFonts w:ascii="Times New Roman" w:hAnsi="Times New Roman" w:cs="Times New Roman"/>
          <w:noProof/>
          <w:sz w:val="24"/>
        </w:rPr>
        <w:t xml:space="preserve">milarly, likely to decrease under the strain of the ever increasing number of requests. In addition, </w:t>
      </w:r>
      <w:r>
        <w:rPr>
          <w:rFonts w:ascii="Times New Roman" w:hAnsi="Times New Roman" w:cs="Times New Roman"/>
          <w:noProof/>
          <w:color w:val="000000"/>
          <w:sz w:val="24"/>
          <w:szCs w:val="24"/>
        </w:rPr>
        <w:t>the sheer growth in volume of direct requests might create a disincentive for new or continued cooperation;</w:t>
      </w:r>
    </w:p>
    <w:p w:rsidR="001B65FF" w:rsidRDefault="003E4EF4">
      <w:pPr>
        <w:numPr>
          <w:ilvl w:val="1"/>
          <w:numId w:val="108"/>
        </w:numPr>
        <w:contextualSpacing/>
        <w:jc w:val="both"/>
        <w:rPr>
          <w:rFonts w:ascii="Times New Roman" w:hAnsi="Times New Roman" w:cs="Times New Roman"/>
          <w:noProof/>
          <w:sz w:val="24"/>
        </w:rPr>
      </w:pPr>
      <w:r>
        <w:rPr>
          <w:rFonts w:ascii="Times New Roman" w:hAnsi="Times New Roman" w:cs="Times New Roman"/>
          <w:noProof/>
          <w:sz w:val="24"/>
        </w:rPr>
        <w:t xml:space="preserve">in the absence of a clear </w:t>
      </w:r>
      <w:r>
        <w:rPr>
          <w:rFonts w:ascii="Times New Roman" w:hAnsi="Times New Roman" w:cs="Times New Roman"/>
          <w:b/>
          <w:noProof/>
          <w:sz w:val="24"/>
        </w:rPr>
        <w:t xml:space="preserve">legal basis </w:t>
      </w:r>
      <w:r>
        <w:rPr>
          <w:rFonts w:ascii="Times New Roman" w:hAnsi="Times New Roman" w:cs="Times New Roman"/>
          <w:noProof/>
          <w:sz w:val="24"/>
        </w:rPr>
        <w:t>in nation</w:t>
      </w:r>
      <w:r>
        <w:rPr>
          <w:rFonts w:ascii="Times New Roman" w:hAnsi="Times New Roman" w:cs="Times New Roman"/>
          <w:noProof/>
          <w:sz w:val="24"/>
        </w:rPr>
        <w:t xml:space="preserve">al law, law enforcement may be unable to make requests for direct cooperation that are in compliance with Directive (EU) 2016/680 (the “Police Directive” or the </w:t>
      </w:r>
      <w:r>
        <w:rPr>
          <w:rFonts w:ascii="Times New Roman" w:hAnsi="Times New Roman" w:cs="Times New Roman"/>
          <w:b/>
          <w:noProof/>
          <w:sz w:val="24"/>
        </w:rPr>
        <w:t>data protection</w:t>
      </w:r>
      <w:r>
        <w:rPr>
          <w:rFonts w:ascii="Times New Roman" w:hAnsi="Times New Roman" w:cs="Times New Roman"/>
          <w:noProof/>
          <w:sz w:val="24"/>
        </w:rPr>
        <w:t xml:space="preserve"> directive for law enforcement)</w:t>
      </w:r>
      <w:r>
        <w:rPr>
          <w:rFonts w:ascii="Times New Roman" w:hAnsi="Times New Roman" w:cs="Times New Roman"/>
          <w:noProof/>
          <w:sz w:val="24"/>
          <w:vertAlign w:val="superscript"/>
        </w:rPr>
        <w:footnoteReference w:id="105"/>
      </w:r>
      <w:r>
        <w:rPr>
          <w:rFonts w:ascii="Times New Roman" w:hAnsi="Times New Roman" w:cs="Times New Roman"/>
          <w:noProof/>
          <w:sz w:val="24"/>
        </w:rPr>
        <w:t xml:space="preserve"> and in particular with Article 39, which sets s</w:t>
      </w:r>
      <w:r>
        <w:rPr>
          <w:rFonts w:ascii="Times New Roman" w:hAnsi="Times New Roman" w:cs="Times New Roman"/>
          <w:noProof/>
          <w:sz w:val="24"/>
        </w:rPr>
        <w:t>pecific conditions for such requests;</w:t>
      </w:r>
    </w:p>
    <w:p w:rsidR="001B65FF" w:rsidRDefault="003E4EF4">
      <w:pPr>
        <w:numPr>
          <w:ilvl w:val="1"/>
          <w:numId w:val="108"/>
        </w:numPr>
        <w:contextualSpacing/>
        <w:jc w:val="both"/>
        <w:rPr>
          <w:rFonts w:ascii="Times New Roman" w:hAnsi="Times New Roman" w:cs="Times New Roman"/>
          <w:noProof/>
          <w:sz w:val="24"/>
        </w:rPr>
      </w:pPr>
      <w:r>
        <w:rPr>
          <w:rFonts w:ascii="Times New Roman" w:hAnsi="Times New Roman" w:cs="Times New Roman"/>
          <w:noProof/>
          <w:sz w:val="24"/>
        </w:rPr>
        <w:t>for data that is publicly available at present but will move into gated-access systems by May 2018 (WHOIS), when the new data protection framework comes into effect, availability to law enforcement will cease, absent a</w:t>
      </w:r>
      <w:r>
        <w:rPr>
          <w:rFonts w:ascii="Times New Roman" w:hAnsi="Times New Roman" w:cs="Times New Roman"/>
          <w:noProof/>
          <w:sz w:val="24"/>
        </w:rPr>
        <w:t xml:space="preserve"> specific legal basis to address the data protection and criminal procedural law requirements.</w:t>
      </w:r>
    </w:p>
    <w:p w:rsidR="001B65FF" w:rsidRDefault="003E4EF4">
      <w:pPr>
        <w:numPr>
          <w:ilvl w:val="0"/>
          <w:numId w:val="108"/>
        </w:numPr>
        <w:spacing w:after="120"/>
        <w:jc w:val="both"/>
        <w:rPr>
          <w:rFonts w:ascii="Times New Roman" w:hAnsi="Times New Roman" w:cs="Times New Roman"/>
          <w:noProof/>
          <w:sz w:val="24"/>
        </w:rPr>
      </w:pPr>
      <w:r>
        <w:rPr>
          <w:rFonts w:ascii="Times New Roman" w:hAnsi="Times New Roman" w:cs="Times New Roman"/>
          <w:noProof/>
          <w:sz w:val="24"/>
        </w:rPr>
        <w:t xml:space="preserve">Without a clear EU framework defining </w:t>
      </w:r>
      <w:r>
        <w:rPr>
          <w:rFonts w:ascii="Times New Roman" w:hAnsi="Times New Roman" w:cs="Times New Roman"/>
          <w:b/>
          <w:noProof/>
          <w:sz w:val="24"/>
        </w:rPr>
        <w:t xml:space="preserve">jurisdiction </w:t>
      </w:r>
      <w:r>
        <w:rPr>
          <w:rFonts w:ascii="Times New Roman" w:hAnsi="Times New Roman" w:cs="Times New Roman"/>
          <w:noProof/>
          <w:sz w:val="24"/>
        </w:rPr>
        <w:t>in cross-border access to e-evidence, Member States are likely to introduce different practices and legislativ</w:t>
      </w:r>
      <w:r>
        <w:rPr>
          <w:rFonts w:ascii="Times New Roman" w:hAnsi="Times New Roman" w:cs="Times New Roman"/>
          <w:noProof/>
          <w:sz w:val="24"/>
        </w:rPr>
        <w:t xml:space="preserve">e instruments at national level which would lead to </w:t>
      </w:r>
      <w:r>
        <w:rPr>
          <w:rFonts w:ascii="Times New Roman" w:hAnsi="Times New Roman" w:cs="Times New Roman"/>
          <w:b/>
          <w:noProof/>
          <w:sz w:val="24"/>
        </w:rPr>
        <w:t>fragmentation</w:t>
      </w:r>
      <w:r>
        <w:rPr>
          <w:rFonts w:ascii="Times New Roman" w:hAnsi="Times New Roman" w:cs="Times New Roman"/>
          <w:noProof/>
          <w:sz w:val="24"/>
        </w:rPr>
        <w:t xml:space="preserve"> and </w:t>
      </w:r>
      <w:r>
        <w:rPr>
          <w:rFonts w:ascii="Times New Roman" w:hAnsi="Times New Roman" w:cs="Times New Roman"/>
          <w:noProof/>
          <w:color w:val="000000"/>
          <w:sz w:val="24"/>
          <w:szCs w:val="24"/>
        </w:rPr>
        <w:t>hamper effective cross-border cooperation in investigations and prosecutions. This would also further exacerbate the challenges service providers already face in assessing many different</w:t>
      </w:r>
      <w:r>
        <w:rPr>
          <w:rFonts w:ascii="Times New Roman" w:hAnsi="Times New Roman" w:cs="Times New Roman"/>
          <w:noProof/>
          <w:color w:val="000000"/>
          <w:sz w:val="24"/>
          <w:szCs w:val="24"/>
        </w:rPr>
        <w:t xml:space="preserve"> legal systems and may adversely affect the willingness of service providers to continue to invest in cooperation in which they are not obliged to participate. </w:t>
      </w:r>
    </w:p>
    <w:p w:rsidR="001B65FF" w:rsidRDefault="003E4EF4">
      <w:pPr>
        <w:numPr>
          <w:ilvl w:val="0"/>
          <w:numId w:val="31"/>
        </w:numPr>
        <w:contextualSpacing/>
        <w:jc w:val="both"/>
        <w:rPr>
          <w:rFonts w:ascii="Times New Roman" w:hAnsi="Times New Roman" w:cs="Times New Roman"/>
          <w:noProof/>
          <w:sz w:val="24"/>
        </w:rPr>
      </w:pPr>
      <w:r>
        <w:rPr>
          <w:rFonts w:ascii="Times New Roman" w:hAnsi="Times New Roman" w:cs="Times New Roman"/>
          <w:b/>
          <w:noProof/>
          <w:sz w:val="24"/>
        </w:rPr>
        <w:t>Existing and incoming EU legislation</w:t>
      </w:r>
      <w:r>
        <w:rPr>
          <w:rFonts w:ascii="Times New Roman" w:hAnsi="Times New Roman" w:cs="Times New Roman"/>
          <w:noProof/>
          <w:sz w:val="24"/>
        </w:rPr>
        <w:t xml:space="preserve"> is not likely to effectively address the challenges in cro</w:t>
      </w:r>
      <w:r>
        <w:rPr>
          <w:rFonts w:ascii="Times New Roman" w:hAnsi="Times New Roman" w:cs="Times New Roman"/>
          <w:noProof/>
          <w:sz w:val="24"/>
        </w:rPr>
        <w:t>ss-border access to e-evidence, in the absence of specific EU action to address those challenges in each of the channels.</w:t>
      </w:r>
    </w:p>
    <w:p w:rsidR="001B65FF" w:rsidRDefault="003E4EF4">
      <w:pPr>
        <w:numPr>
          <w:ilvl w:val="0"/>
          <w:numId w:val="31"/>
        </w:numPr>
        <w:contextualSpacing/>
        <w:jc w:val="both"/>
        <w:rPr>
          <w:rFonts w:ascii="Times New Roman" w:hAnsi="Times New Roman" w:cs="Times New Roman"/>
          <w:b/>
          <w:noProof/>
          <w:sz w:val="24"/>
        </w:rPr>
      </w:pPr>
      <w:r>
        <w:rPr>
          <w:rFonts w:ascii="Times New Roman" w:hAnsi="Times New Roman" w:cs="Times New Roman"/>
          <w:b/>
          <w:noProof/>
          <w:sz w:val="24"/>
        </w:rPr>
        <w:t xml:space="preserve">International agreements </w:t>
      </w:r>
      <w:r>
        <w:rPr>
          <w:rFonts w:ascii="Times New Roman" w:hAnsi="Times New Roman" w:cs="Times New Roman"/>
          <w:noProof/>
          <w:sz w:val="24"/>
        </w:rPr>
        <w:t>between Member States and non-EU countries are likely to evolve in an uncoordinated way without EU action.</w:t>
      </w:r>
      <w:r>
        <w:rPr>
          <w:rFonts w:ascii="Times New Roman" w:hAnsi="Times New Roman" w:cs="Times New Roman"/>
          <w:b/>
          <w:noProof/>
          <w:sz w:val="24"/>
        </w:rPr>
        <w:t xml:space="preserve"> </w:t>
      </w:r>
    </w:p>
    <w:p w:rsidR="001B65FF" w:rsidRDefault="003E4EF4">
      <w:pPr>
        <w:numPr>
          <w:ilvl w:val="0"/>
          <w:numId w:val="32"/>
        </w:numPr>
        <w:spacing w:after="0"/>
        <w:contextualSpacing/>
        <w:jc w:val="both"/>
        <w:rPr>
          <w:rFonts w:ascii="Times New Roman" w:hAnsi="Times New Roman" w:cs="Times New Roman"/>
          <w:noProof/>
          <w:sz w:val="24"/>
        </w:rPr>
      </w:pPr>
      <w:r>
        <w:rPr>
          <w:rFonts w:ascii="Times New Roman" w:hAnsi="Times New Roman" w:cs="Times New Roman"/>
          <w:noProof/>
          <w:sz w:val="24"/>
        </w:rPr>
        <w:t>C</w:t>
      </w:r>
      <w:r>
        <w:rPr>
          <w:rFonts w:ascii="Times New Roman" w:hAnsi="Times New Roman" w:cs="Times New Roman"/>
          <w:noProof/>
          <w:sz w:val="24"/>
        </w:rPr>
        <w:t>ouncil of Europe Convention on Cybercrime:</w:t>
      </w:r>
    </w:p>
    <w:p w:rsidR="001B65FF" w:rsidRDefault="003E4EF4">
      <w:pPr>
        <w:pStyle w:val="ListParagraph"/>
        <w:numPr>
          <w:ilvl w:val="0"/>
          <w:numId w:val="191"/>
        </w:numPr>
        <w:jc w:val="both"/>
        <w:rPr>
          <w:rFonts w:ascii="Times New Roman" w:hAnsi="Times New Roman" w:cs="Times New Roman"/>
          <w:noProof/>
          <w:sz w:val="24"/>
        </w:rPr>
      </w:pPr>
      <w:r>
        <w:rPr>
          <w:rFonts w:ascii="Times New Roman" w:hAnsi="Times New Roman" w:cs="Times New Roman"/>
          <w:noProof/>
          <w:sz w:val="24"/>
        </w:rPr>
        <w:t xml:space="preserve">Negotiations on a new protocol will go ahead regardless of whether the EU acts. In the absence of EU action (i.e. active participation in the negotiations, ensuring coordination among Member States), the strength </w:t>
      </w:r>
      <w:r>
        <w:rPr>
          <w:rFonts w:ascii="Times New Roman" w:hAnsi="Times New Roman" w:cs="Times New Roman"/>
          <w:noProof/>
          <w:sz w:val="24"/>
        </w:rPr>
        <w:t xml:space="preserve">of a coordinated negotiating position would be lost, possibly with suboptimal consequences for Member States. </w:t>
      </w:r>
    </w:p>
    <w:p w:rsidR="001B65FF" w:rsidRDefault="003E4EF4">
      <w:pPr>
        <w:pStyle w:val="ListParagraph"/>
        <w:numPr>
          <w:ilvl w:val="0"/>
          <w:numId w:val="191"/>
        </w:numPr>
        <w:jc w:val="both"/>
        <w:rPr>
          <w:rFonts w:ascii="Times New Roman" w:hAnsi="Times New Roman" w:cs="Times New Roman"/>
          <w:noProof/>
          <w:sz w:val="24"/>
        </w:rPr>
      </w:pPr>
      <w:r>
        <w:rPr>
          <w:rFonts w:ascii="Times New Roman" w:hAnsi="Times New Roman" w:cs="Times New Roman"/>
          <w:noProof/>
          <w:sz w:val="24"/>
        </w:rPr>
        <w:t>At the same time, the protocol by itself will most likely not address the problems identified as effectively as it might in combination with an E</w:t>
      </w:r>
      <w:r>
        <w:rPr>
          <w:rFonts w:ascii="Times New Roman" w:hAnsi="Times New Roman" w:cs="Times New Roman"/>
          <w:noProof/>
          <w:sz w:val="24"/>
        </w:rPr>
        <w:t>U instrument. Such a protocol, first, will not be as far-reaching as it is not based on the same level of mutual trust among the more diverse 50+ parties to the Convention and, secondly, will lack the enforcement mechanisms that EU law has, as it is an int</w:t>
      </w:r>
      <w:r>
        <w:rPr>
          <w:rFonts w:ascii="Times New Roman" w:hAnsi="Times New Roman" w:cs="Times New Roman"/>
          <w:noProof/>
          <w:sz w:val="24"/>
        </w:rPr>
        <w:t>ernational Convention.</w:t>
      </w:r>
    </w:p>
    <w:p w:rsidR="001B65FF" w:rsidRDefault="003E4EF4">
      <w:pPr>
        <w:pStyle w:val="ListParagraph"/>
        <w:numPr>
          <w:ilvl w:val="0"/>
          <w:numId w:val="191"/>
        </w:numPr>
        <w:spacing w:after="0"/>
        <w:jc w:val="both"/>
        <w:rPr>
          <w:rFonts w:ascii="Times New Roman" w:hAnsi="Times New Roman" w:cs="Times New Roman"/>
          <w:noProof/>
          <w:sz w:val="24"/>
        </w:rPr>
      </w:pPr>
      <w:r>
        <w:rPr>
          <w:rFonts w:ascii="Times New Roman" w:hAnsi="Times New Roman" w:cs="Times New Roman"/>
          <w:noProof/>
          <w:sz w:val="24"/>
        </w:rPr>
        <w:t>If the EU adopts its own legislative proposal on cross-border access to electronic evidence, the need for an active participation becomes even more evident as coherence between EU law and the Convention should be ensured. Otherwise M</w:t>
      </w:r>
      <w:r>
        <w:rPr>
          <w:rFonts w:ascii="Times New Roman" w:hAnsi="Times New Roman" w:cs="Times New Roman"/>
          <w:noProof/>
          <w:sz w:val="24"/>
        </w:rPr>
        <w:t>ember States might be forced to choose between compliance with either the new protocol of the Convention or the new EU legal framework.</w:t>
      </w:r>
    </w:p>
    <w:p w:rsidR="001B65FF" w:rsidRDefault="003E4EF4">
      <w:pPr>
        <w:numPr>
          <w:ilvl w:val="0"/>
          <w:numId w:val="32"/>
        </w:numPr>
        <w:spacing w:after="0"/>
        <w:contextualSpacing/>
        <w:jc w:val="both"/>
        <w:rPr>
          <w:rFonts w:ascii="Times New Roman" w:hAnsi="Times New Roman" w:cs="Times New Roman"/>
          <w:noProof/>
          <w:sz w:val="24"/>
        </w:rPr>
      </w:pPr>
      <w:r>
        <w:rPr>
          <w:rFonts w:ascii="Times New Roman" w:hAnsi="Times New Roman" w:cs="Times New Roman"/>
          <w:noProof/>
          <w:sz w:val="24"/>
        </w:rPr>
        <w:t>Bilateral agreements</w:t>
      </w:r>
    </w:p>
    <w:p w:rsidR="001B65FF" w:rsidRDefault="003E4EF4">
      <w:pPr>
        <w:pStyle w:val="ListParagraph"/>
        <w:numPr>
          <w:ilvl w:val="1"/>
          <w:numId w:val="32"/>
        </w:numPr>
        <w:ind w:left="1418" w:hanging="426"/>
        <w:jc w:val="both"/>
        <w:rPr>
          <w:rFonts w:ascii="Times New Roman" w:hAnsi="Times New Roman" w:cs="Times New Roman"/>
          <w:noProof/>
          <w:sz w:val="24"/>
        </w:rPr>
      </w:pPr>
      <w:r>
        <w:rPr>
          <w:rFonts w:ascii="Times New Roman" w:hAnsi="Times New Roman" w:cs="Times New Roman"/>
          <w:noProof/>
          <w:sz w:val="24"/>
        </w:rPr>
        <w:t xml:space="preserve">Judicial cooperation between public authorities through the MLA process could also be influenced by the decision of the US Supreme Court on the </w:t>
      </w:r>
      <w:r>
        <w:rPr>
          <w:rFonts w:ascii="Times New Roman" w:hAnsi="Times New Roman" w:cs="Times New Roman"/>
          <w:b/>
          <w:noProof/>
          <w:sz w:val="24"/>
        </w:rPr>
        <w:t>Microsoft Ireland case</w:t>
      </w:r>
      <w:r>
        <w:rPr>
          <w:rFonts w:ascii="Times New Roman" w:hAnsi="Times New Roman" w:cs="Times New Roman"/>
          <w:noProof/>
          <w:sz w:val="24"/>
        </w:rPr>
        <w:t>, expected by July 2018.</w:t>
      </w:r>
      <w:r>
        <w:rPr>
          <w:rStyle w:val="FootnoteReference"/>
          <w:rFonts w:ascii="Times New Roman" w:hAnsi="Times New Roman" w:cs="Times New Roman"/>
          <w:noProof/>
          <w:sz w:val="24"/>
        </w:rPr>
        <w:footnoteReference w:id="106"/>
      </w:r>
      <w:r>
        <w:rPr>
          <w:rFonts w:ascii="Times New Roman" w:hAnsi="Times New Roman" w:cs="Times New Roman"/>
          <w:noProof/>
          <w:sz w:val="24"/>
        </w:rPr>
        <w:t xml:space="preserve"> The DOJ had previously sought access to content data from servic</w:t>
      </w:r>
      <w:r>
        <w:rPr>
          <w:rFonts w:ascii="Times New Roman" w:hAnsi="Times New Roman" w:cs="Times New Roman"/>
          <w:noProof/>
          <w:sz w:val="24"/>
        </w:rPr>
        <w:t xml:space="preserve">e providers in the US (also on behalf of requesting EU Member States) regardless of where it was stored. Microsoft challenged this practice in 2013 (see box below). The US Supreme Court could compel US service providers to produce e-evidence regardless of </w:t>
      </w:r>
      <w:r>
        <w:rPr>
          <w:rFonts w:ascii="Times New Roman" w:hAnsi="Times New Roman" w:cs="Times New Roman"/>
          <w:noProof/>
          <w:sz w:val="24"/>
        </w:rPr>
        <w:t>where it is stored (including evidence stored in the EU), or could limit US competence.  This may further increase fragmentation.</w:t>
      </w:r>
    </w:p>
    <w:p w:rsidR="001B65FF" w:rsidRDefault="003E4EF4">
      <w:pPr>
        <w:pStyle w:val="ListParagraph"/>
        <w:numPr>
          <w:ilvl w:val="1"/>
          <w:numId w:val="32"/>
        </w:numPr>
        <w:spacing w:after="0"/>
        <w:ind w:left="1418" w:hanging="426"/>
        <w:jc w:val="both"/>
        <w:rPr>
          <w:rFonts w:ascii="Times New Roman" w:hAnsi="Times New Roman" w:cs="Times New Roman"/>
          <w:noProof/>
          <w:sz w:val="24"/>
        </w:rPr>
      </w:pPr>
      <w:r>
        <w:rPr>
          <w:rFonts w:ascii="Times New Roman" w:hAnsi="Times New Roman" w:cs="Times New Roman"/>
          <w:noProof/>
          <w:sz w:val="24"/>
        </w:rPr>
        <w:t>In the absence of EU action, the current MLATs between the EU and non-EU countries would not be updated. In this scenario, Member States would likely be inclined to update or sign new bilateral agreements with non-EU countries, in particular with the US, t</w:t>
      </w:r>
      <w:r>
        <w:rPr>
          <w:rFonts w:ascii="Times New Roman" w:hAnsi="Times New Roman" w:cs="Times New Roman"/>
          <w:noProof/>
          <w:sz w:val="24"/>
        </w:rPr>
        <w:t xml:space="preserve">o expand direct cooperation possibilities, leading to </w:t>
      </w:r>
      <w:r>
        <w:rPr>
          <w:rFonts w:ascii="Times New Roman" w:hAnsi="Times New Roman" w:cs="Times New Roman"/>
          <w:b/>
          <w:noProof/>
          <w:sz w:val="24"/>
        </w:rPr>
        <w:t>fragmentation</w:t>
      </w:r>
      <w:r>
        <w:rPr>
          <w:rFonts w:ascii="Times New Roman" w:hAnsi="Times New Roman" w:cs="Times New Roman"/>
          <w:noProof/>
          <w:sz w:val="24"/>
        </w:rPr>
        <w:t xml:space="preserve"> that may hamper international cooperation in investigations and prosecutions. Member States themselves have expressed during the consultations the desire to avoid such a country-by-country</w:t>
      </w:r>
      <w:r>
        <w:rPr>
          <w:rFonts w:ascii="Times New Roman" w:hAnsi="Times New Roman" w:cs="Times New Roman"/>
          <w:noProof/>
          <w:sz w:val="24"/>
        </w:rPr>
        <w:t xml:space="preserve"> approach if possible.  </w:t>
      </w:r>
    </w:p>
    <w:p w:rsidR="001B65FF" w:rsidRDefault="003E4EF4">
      <w:pPr>
        <w:numPr>
          <w:ilvl w:val="1"/>
          <w:numId w:val="109"/>
        </w:numPr>
        <w:tabs>
          <w:tab w:val="left" w:pos="2302"/>
        </w:tabs>
        <w:spacing w:after="0"/>
        <w:jc w:val="both"/>
        <w:rPr>
          <w:rFonts w:ascii="Times New Roman" w:hAnsi="Times New Roman" w:cs="Times New Roman"/>
          <w:noProof/>
          <w:sz w:val="24"/>
        </w:rPr>
      </w:pPr>
      <w:r>
        <w:rPr>
          <w:rFonts w:ascii="Times New Roman" w:eastAsia="Times New Roman" w:hAnsi="Times New Roman" w:cs="Times New Roman"/>
          <w:noProof/>
          <w:sz w:val="24"/>
          <w:szCs w:val="20"/>
        </w:rPr>
        <w:t xml:space="preserve">The recently </w:t>
      </w:r>
      <w:r>
        <w:rPr>
          <w:rFonts w:ascii="Times New Roman" w:eastAsia="Times New Roman" w:hAnsi="Times New Roman" w:cs="Times New Roman"/>
          <w:b/>
          <w:noProof/>
          <w:sz w:val="24"/>
          <w:szCs w:val="20"/>
        </w:rPr>
        <w:t>proposed legislation by the DOJ</w:t>
      </w:r>
      <w:r>
        <w:rPr>
          <w:rFonts w:ascii="Times New Roman" w:eastAsia="Times New Roman" w:hAnsi="Times New Roman" w:cs="Times New Roman"/>
          <w:noProof/>
          <w:sz w:val="24"/>
          <w:szCs w:val="20"/>
        </w:rPr>
        <w:t xml:space="preserve"> may contribute to that fragmentation. </w:t>
      </w:r>
    </w:p>
    <w:p w:rsidR="001B65FF" w:rsidRDefault="003E4EF4">
      <w:pPr>
        <w:numPr>
          <w:ilvl w:val="0"/>
          <w:numId w:val="33"/>
        </w:numPr>
        <w:spacing w:after="0"/>
        <w:contextualSpacing/>
        <w:jc w:val="both"/>
        <w:rPr>
          <w:rFonts w:ascii="Times New Roman" w:hAnsi="Times New Roman" w:cs="Times New Roman"/>
          <w:noProof/>
          <w:sz w:val="24"/>
        </w:rPr>
      </w:pPr>
      <w:r>
        <w:rPr>
          <w:rFonts w:ascii="Times New Roman" w:hAnsi="Times New Roman" w:cs="Times New Roman"/>
          <w:b/>
          <w:noProof/>
          <w:sz w:val="24"/>
        </w:rPr>
        <w:t>Direct cooperation</w:t>
      </w:r>
      <w:r>
        <w:rPr>
          <w:rFonts w:ascii="Times New Roman" w:hAnsi="Times New Roman" w:cs="Times New Roman"/>
          <w:noProof/>
          <w:sz w:val="24"/>
        </w:rPr>
        <w:t xml:space="preserve"> between service providers and public authorities could evolve in a wide range of possible ways, none of which the EU would have </w:t>
      </w:r>
      <w:r>
        <w:rPr>
          <w:rFonts w:ascii="Times New Roman" w:hAnsi="Times New Roman" w:cs="Times New Roman"/>
          <w:noProof/>
          <w:sz w:val="24"/>
        </w:rPr>
        <w:t>the opportunity to shape and contribute to in the absence of EU action, likely shaped by the outcome of a relevant case on access to electronic evidence stored abroad (the "Microsoft Ireland" case) and the DOJ proposal</w:t>
      </w:r>
      <w:r>
        <w:rPr>
          <w:rStyle w:val="FootnoteReference"/>
          <w:rFonts w:ascii="Times New Roman" w:hAnsi="Times New Roman" w:cs="Times New Roman"/>
          <w:noProof/>
          <w:sz w:val="24"/>
        </w:rPr>
        <w:footnoteReference w:id="107"/>
      </w:r>
      <w:r>
        <w:rPr>
          <w:rFonts w:ascii="Times New Roman" w:hAnsi="Times New Roman" w:cs="Times New Roman"/>
          <w:noProof/>
          <w:sz w:val="24"/>
        </w:rPr>
        <w:t xml:space="preserve"> to amend the US ECPA. However, these</w:t>
      </w:r>
      <w:r>
        <w:rPr>
          <w:rFonts w:ascii="Times New Roman" w:hAnsi="Times New Roman" w:cs="Times New Roman"/>
          <w:noProof/>
          <w:sz w:val="24"/>
        </w:rPr>
        <w:t xml:space="preserve"> possible changes were not taken into account in detail for the purposes of the baseline because it is at present unclear if and how the US Congress will proceed on these issues, in particular because the US Supreme Court on 16 October 2017 accepted to hea</w:t>
      </w:r>
      <w:r>
        <w:rPr>
          <w:rFonts w:ascii="Times New Roman" w:hAnsi="Times New Roman" w:cs="Times New Roman"/>
          <w:noProof/>
          <w:sz w:val="24"/>
        </w:rPr>
        <w:t>r the Microsoft Ireland case.</w:t>
      </w:r>
    </w:p>
    <w:p w:rsidR="001B65FF" w:rsidRDefault="003E4EF4">
      <w:pPr>
        <w:numPr>
          <w:ilvl w:val="0"/>
          <w:numId w:val="33"/>
        </w:numPr>
        <w:contextualSpacing/>
        <w:jc w:val="both"/>
        <w:rPr>
          <w:rFonts w:ascii="Times New Roman" w:hAnsi="Times New Roman" w:cs="Times New Roman"/>
          <w:noProof/>
          <w:sz w:val="24"/>
        </w:rPr>
      </w:pPr>
      <w:r>
        <w:rPr>
          <w:rFonts w:ascii="Times New Roman" w:hAnsi="Times New Roman" w:cs="Times New Roman"/>
          <w:b/>
          <w:noProof/>
          <w:sz w:val="24"/>
        </w:rPr>
        <w:t xml:space="preserve">Direct access </w:t>
      </w:r>
      <w:r>
        <w:rPr>
          <w:rFonts w:ascii="Times New Roman" w:hAnsi="Times New Roman" w:cs="Times New Roman"/>
          <w:noProof/>
          <w:sz w:val="24"/>
        </w:rPr>
        <w:t>to electronic evidence could increase, as Member States could introduce new legislative and non-legislative initiatives on direct access, possibly increasing fragmentation and hampering cross-border cooperation.</w:t>
      </w:r>
    </w:p>
    <w:p w:rsidR="001B65FF" w:rsidRDefault="003E4EF4">
      <w:pPr>
        <w:spacing w:before="240" w:after="0"/>
        <w:jc w:val="both"/>
        <w:rPr>
          <w:rFonts w:ascii="Times New Roman" w:hAnsi="Times New Roman" w:cs="Times New Roman"/>
          <w:noProof/>
          <w:sz w:val="24"/>
        </w:rPr>
      </w:pPr>
      <w:r>
        <w:rPr>
          <w:rFonts w:ascii="Times New Roman" w:hAnsi="Times New Roman" w:cs="Times New Roman"/>
          <w:noProof/>
          <w:sz w:val="24"/>
        </w:rPr>
        <w:t>In summary, the baseline scenario not only falls short in addressing the concerns expressed by stakeholders, but in the absence of EU action those concerns are likely to increase as the situation worsens across multiple dimensions.</w:t>
      </w:r>
    </w:p>
    <w:p w:rsidR="001B65FF" w:rsidRDefault="003E4EF4">
      <w:pPr>
        <w:keepNext/>
        <w:numPr>
          <w:ilvl w:val="2"/>
          <w:numId w:val="3"/>
        </w:numPr>
        <w:tabs>
          <w:tab w:val="clear" w:pos="1920"/>
        </w:tabs>
        <w:spacing w:before="200" w:after="120" w:line="240" w:lineRule="auto"/>
        <w:ind w:left="720"/>
        <w:jc w:val="both"/>
        <w:outlineLvl w:val="2"/>
        <w:rPr>
          <w:rFonts w:ascii="Times New Roman" w:eastAsia="Times New Roman" w:hAnsi="Times New Roman" w:cs="Times New Roman"/>
          <w:noProof/>
          <w:sz w:val="24"/>
          <w:szCs w:val="20"/>
        </w:rPr>
      </w:pPr>
      <w:bookmarkStart w:id="1270" w:name="_Toc498509669"/>
      <w:bookmarkStart w:id="1271" w:name="_Toc498521224"/>
      <w:bookmarkStart w:id="1272" w:name="_Toc498701968"/>
      <w:bookmarkStart w:id="1273" w:name="_Toc498704700"/>
      <w:bookmarkStart w:id="1274" w:name="_Toc499020457"/>
      <w:bookmarkStart w:id="1275" w:name="_Toc499030360"/>
      <w:bookmarkStart w:id="1276" w:name="_Toc499044934"/>
      <w:bookmarkStart w:id="1277" w:name="_Toc499051318"/>
      <w:bookmarkStart w:id="1278" w:name="_Toc499133306"/>
      <w:bookmarkStart w:id="1279" w:name="_Toc499142844"/>
      <w:bookmarkStart w:id="1280" w:name="_Toc510952872"/>
      <w:r>
        <w:rPr>
          <w:rFonts w:ascii="Times New Roman" w:eastAsia="Times New Roman" w:hAnsi="Times New Roman" w:cs="Times New Roman"/>
          <w:noProof/>
          <w:sz w:val="24"/>
          <w:szCs w:val="20"/>
        </w:rPr>
        <w:t>Option A: non-legislativ</w:t>
      </w:r>
      <w:r>
        <w:rPr>
          <w:rFonts w:ascii="Times New Roman" w:eastAsia="Times New Roman" w:hAnsi="Times New Roman" w:cs="Times New Roman"/>
          <w:noProof/>
          <w:sz w:val="24"/>
          <w:szCs w:val="20"/>
        </w:rPr>
        <w:t>e action</w:t>
      </w:r>
      <w:bookmarkEnd w:id="1270"/>
      <w:bookmarkEnd w:id="1271"/>
      <w:bookmarkEnd w:id="1272"/>
      <w:bookmarkEnd w:id="1273"/>
      <w:bookmarkEnd w:id="1274"/>
      <w:bookmarkEnd w:id="1275"/>
      <w:bookmarkEnd w:id="1276"/>
      <w:bookmarkEnd w:id="1277"/>
      <w:bookmarkEnd w:id="1278"/>
      <w:bookmarkEnd w:id="1279"/>
      <w:bookmarkEnd w:id="1280"/>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This option groups all the non-legislative actions. It aims to address </w:t>
      </w:r>
      <w:r>
        <w:rPr>
          <w:rFonts w:ascii="Times New Roman" w:hAnsi="Times New Roman" w:cs="Times New Roman"/>
          <w:b/>
          <w:noProof/>
          <w:sz w:val="24"/>
        </w:rPr>
        <w:t>problem drivers 1 and 2</w:t>
      </w:r>
      <w:r>
        <w:rPr>
          <w:rFonts w:ascii="Times New Roman" w:hAnsi="Times New Roman" w:cs="Times New Roman"/>
          <w:noProof/>
          <w:sz w:val="24"/>
        </w:rPr>
        <w:t xml:space="preserve"> by improving judicial cooperation, both with the US and in the EU, and direct cooperation channels, thereby reducing delays and ensuring access in situa</w:t>
      </w:r>
      <w:r>
        <w:rPr>
          <w:rFonts w:ascii="Times New Roman" w:hAnsi="Times New Roman" w:cs="Times New Roman"/>
          <w:noProof/>
          <w:sz w:val="24"/>
        </w:rPr>
        <w:t>tions where it is currently not possible.</w:t>
      </w:r>
    </w:p>
    <w:p w:rsidR="001B65FF" w:rsidRDefault="003E4EF4">
      <w:pPr>
        <w:keepNext/>
        <w:numPr>
          <w:ilvl w:val="2"/>
          <w:numId w:val="3"/>
        </w:numPr>
        <w:tabs>
          <w:tab w:val="clear" w:pos="1920"/>
        </w:tabs>
        <w:spacing w:before="200" w:after="120" w:line="240" w:lineRule="auto"/>
        <w:ind w:left="720"/>
        <w:jc w:val="both"/>
        <w:outlineLvl w:val="2"/>
        <w:rPr>
          <w:rFonts w:ascii="Times New Roman" w:eastAsia="Times New Roman" w:hAnsi="Times New Roman" w:cs="Times New Roman"/>
          <w:noProof/>
          <w:sz w:val="24"/>
          <w:szCs w:val="20"/>
        </w:rPr>
      </w:pPr>
      <w:bookmarkStart w:id="1281" w:name="_Toc498509670"/>
      <w:bookmarkStart w:id="1282" w:name="_Toc498521225"/>
      <w:bookmarkStart w:id="1283" w:name="_Toc498701969"/>
      <w:bookmarkStart w:id="1284" w:name="_Toc498704701"/>
      <w:bookmarkStart w:id="1285" w:name="_Toc499020458"/>
      <w:bookmarkStart w:id="1286" w:name="_Toc499030361"/>
      <w:bookmarkStart w:id="1287" w:name="_Toc499044935"/>
      <w:bookmarkStart w:id="1288" w:name="_Toc499051319"/>
      <w:bookmarkStart w:id="1289" w:name="_Toc499133307"/>
      <w:bookmarkStart w:id="1290" w:name="_Toc499142845"/>
      <w:bookmarkStart w:id="1291" w:name="_Toc510952873"/>
      <w:r>
        <w:rPr>
          <w:rFonts w:ascii="Times New Roman" w:eastAsia="Times New Roman" w:hAnsi="Times New Roman" w:cs="Times New Roman"/>
          <w:noProof/>
          <w:sz w:val="24"/>
          <w:szCs w:val="20"/>
        </w:rPr>
        <w:t>Option B: option A + international agreements</w:t>
      </w:r>
      <w:bookmarkEnd w:id="1281"/>
      <w:bookmarkEnd w:id="1282"/>
      <w:bookmarkEnd w:id="1283"/>
      <w:bookmarkEnd w:id="1284"/>
      <w:bookmarkEnd w:id="1285"/>
      <w:bookmarkEnd w:id="1286"/>
      <w:bookmarkEnd w:id="1287"/>
      <w:bookmarkEnd w:id="1288"/>
      <w:bookmarkEnd w:id="1289"/>
      <w:bookmarkEnd w:id="1290"/>
      <w:bookmarkEnd w:id="1291"/>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This option combines the non-legislative measures with international solutions. It aims to address </w:t>
      </w:r>
      <w:r>
        <w:rPr>
          <w:rFonts w:ascii="Times New Roman" w:hAnsi="Times New Roman" w:cs="Times New Roman"/>
          <w:b/>
          <w:noProof/>
          <w:sz w:val="24"/>
        </w:rPr>
        <w:t>all problem drivers</w:t>
      </w:r>
      <w:r>
        <w:rPr>
          <w:rFonts w:ascii="Times New Roman" w:hAnsi="Times New Roman" w:cs="Times New Roman"/>
          <w:noProof/>
          <w:sz w:val="24"/>
        </w:rPr>
        <w:t xml:space="preserve"> by improving judicial cooperation and direct coop</w:t>
      </w:r>
      <w:r>
        <w:rPr>
          <w:rFonts w:ascii="Times New Roman" w:hAnsi="Times New Roman" w:cs="Times New Roman"/>
          <w:noProof/>
          <w:sz w:val="24"/>
        </w:rPr>
        <w:t>eration channels, thereby reducing delays and ensuring access in situations where it is currently not possible, and by reducing the need for judicial cooperation and clarifying jurisdiction for investigative measures.</w:t>
      </w:r>
    </w:p>
    <w:p w:rsidR="001B65FF" w:rsidRDefault="003E4EF4">
      <w:pPr>
        <w:keepNext/>
        <w:numPr>
          <w:ilvl w:val="2"/>
          <w:numId w:val="3"/>
        </w:numPr>
        <w:tabs>
          <w:tab w:val="clear" w:pos="1920"/>
        </w:tabs>
        <w:spacing w:before="200" w:after="120" w:line="240" w:lineRule="auto"/>
        <w:ind w:left="720"/>
        <w:jc w:val="both"/>
        <w:outlineLvl w:val="2"/>
        <w:rPr>
          <w:rFonts w:ascii="Times New Roman" w:eastAsia="Times New Roman" w:hAnsi="Times New Roman" w:cs="Times New Roman"/>
          <w:noProof/>
          <w:sz w:val="24"/>
          <w:szCs w:val="20"/>
        </w:rPr>
      </w:pPr>
      <w:bookmarkStart w:id="1292" w:name="_Toc499030362"/>
      <w:bookmarkStart w:id="1293" w:name="_Toc499051320"/>
      <w:bookmarkStart w:id="1294" w:name="_Toc499142846"/>
      <w:bookmarkStart w:id="1295" w:name="_Toc498509671"/>
      <w:bookmarkStart w:id="1296" w:name="_Toc498521226"/>
      <w:bookmarkStart w:id="1297" w:name="_Toc498701970"/>
      <w:bookmarkStart w:id="1298" w:name="_Toc498704702"/>
      <w:bookmarkStart w:id="1299" w:name="_Toc499020459"/>
      <w:bookmarkStart w:id="1300" w:name="_Toc499044936"/>
      <w:bookmarkStart w:id="1301" w:name="_Toc499133308"/>
      <w:bookmarkStart w:id="1302" w:name="_Toc510952874"/>
      <w:r>
        <w:rPr>
          <w:rFonts w:ascii="Times New Roman" w:eastAsia="Times New Roman" w:hAnsi="Times New Roman" w:cs="Times New Roman"/>
          <w:noProof/>
          <w:sz w:val="24"/>
          <w:szCs w:val="20"/>
        </w:rPr>
        <w:t>Option C: option B + direct cooperatio</w:t>
      </w:r>
      <w:r>
        <w:rPr>
          <w:rFonts w:ascii="Times New Roman" w:eastAsia="Times New Roman" w:hAnsi="Times New Roman" w:cs="Times New Roman"/>
          <w:noProof/>
          <w:sz w:val="24"/>
          <w:szCs w:val="20"/>
        </w:rPr>
        <w:t>n legislation</w:t>
      </w:r>
      <w:bookmarkEnd w:id="1292"/>
      <w:bookmarkEnd w:id="1293"/>
      <w:bookmarkEnd w:id="1294"/>
      <w:bookmarkEnd w:id="1295"/>
      <w:bookmarkEnd w:id="1296"/>
      <w:bookmarkEnd w:id="1297"/>
      <w:bookmarkEnd w:id="1298"/>
      <w:bookmarkEnd w:id="1299"/>
      <w:bookmarkEnd w:id="1300"/>
      <w:bookmarkEnd w:id="1301"/>
      <w:bookmarkEnd w:id="1302"/>
    </w:p>
    <w:p w:rsidR="001B65FF" w:rsidRDefault="003E4EF4">
      <w:pPr>
        <w:spacing w:after="120"/>
        <w:jc w:val="both"/>
        <w:rPr>
          <w:rFonts w:ascii="Times New Roman" w:hAnsi="Times New Roman" w:cs="Times New Roman"/>
          <w:noProof/>
          <w:sz w:val="24"/>
        </w:rPr>
      </w:pPr>
      <w:r>
        <w:rPr>
          <w:rFonts w:ascii="Times New Roman" w:eastAsia="Calibri" w:hAnsi="Times New Roman" w:cs="Times New Roman"/>
          <w:noProof/>
          <w:sz w:val="24"/>
        </w:rPr>
        <w:t xml:space="preserve">This option, building on option B plus </w:t>
      </w:r>
      <w:r>
        <w:rPr>
          <w:rFonts w:ascii="Times New Roman" w:eastAsia="Times New Roman" w:hAnsi="Times New Roman" w:cs="Times New Roman"/>
          <w:noProof/>
          <w:sz w:val="24"/>
          <w:szCs w:val="20"/>
        </w:rPr>
        <w:t xml:space="preserve">access to databases and a </w:t>
      </w:r>
      <w:r>
        <w:rPr>
          <w:rFonts w:ascii="Times New Roman" w:hAnsi="Times New Roman" w:cs="Times New Roman"/>
          <w:noProof/>
          <w:sz w:val="24"/>
        </w:rPr>
        <w:t>European Production Order,</w:t>
      </w:r>
      <w:r>
        <w:rPr>
          <w:rFonts w:ascii="Times New Roman" w:eastAsia="Calibri" w:hAnsi="Times New Roman" w:cs="Times New Roman"/>
          <w:noProof/>
          <w:sz w:val="24"/>
        </w:rPr>
        <w:t xml:space="preserve"> aims to address </w:t>
      </w:r>
      <w:r>
        <w:rPr>
          <w:rFonts w:ascii="Times New Roman" w:eastAsia="Calibri" w:hAnsi="Times New Roman" w:cs="Times New Roman"/>
          <w:b/>
          <w:noProof/>
          <w:sz w:val="24"/>
        </w:rPr>
        <w:t>all problem drivers</w:t>
      </w:r>
      <w:r>
        <w:rPr>
          <w:rFonts w:ascii="Times New Roman" w:eastAsia="Calibri" w:hAnsi="Times New Roman" w:cs="Times New Roman"/>
          <w:noProof/>
          <w:sz w:val="24"/>
        </w:rPr>
        <w:t xml:space="preserve">, proposing a package of solutions to improving cross-border access to electronic evidence in criminal matters. It </w:t>
      </w:r>
      <w:r>
        <w:rPr>
          <w:rFonts w:ascii="Times New Roman" w:eastAsia="Calibri" w:hAnsi="Times New Roman" w:cs="Times New Roman"/>
          <w:noProof/>
          <w:sz w:val="24"/>
        </w:rPr>
        <w:t xml:space="preserve">aims to achieve all specific objectives. </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Regarding the direct cooperation legislation, the European Production Order has been retained as preferred option, because of its increased effectiveness compared to the </w:t>
      </w:r>
      <w:r>
        <w:rPr>
          <w:rFonts w:ascii="Times New Roman" w:eastAsia="Times New Roman" w:hAnsi="Times New Roman" w:cs="Times New Roman"/>
          <w:noProof/>
          <w:sz w:val="24"/>
        </w:rPr>
        <w:t>European Production Request</w:t>
      </w:r>
      <w:r>
        <w:rPr>
          <w:rFonts w:ascii="Times New Roman" w:hAnsi="Times New Roman" w:cs="Times New Roman"/>
          <w:noProof/>
          <w:sz w:val="24"/>
        </w:rPr>
        <w:t xml:space="preserve"> and the </w:t>
      </w:r>
      <w:r>
        <w:rPr>
          <w:rFonts w:ascii="Times New Roman" w:eastAsia="Times New Roman" w:hAnsi="Times New Roman" w:cs="Times New Roman"/>
          <w:noProof/>
          <w:sz w:val="24"/>
        </w:rPr>
        <w:t>European</w:t>
      </w:r>
      <w:r>
        <w:rPr>
          <w:rFonts w:ascii="Times New Roman" w:eastAsia="Times New Roman" w:hAnsi="Times New Roman" w:cs="Times New Roman"/>
          <w:noProof/>
          <w:sz w:val="24"/>
        </w:rPr>
        <w:t xml:space="preserve"> Production Request and Order</w:t>
      </w:r>
      <w:r>
        <w:rPr>
          <w:rFonts w:ascii="Times New Roman" w:hAnsi="Times New Roman" w:cs="Times New Roman"/>
          <w:noProof/>
          <w:sz w:val="24"/>
        </w:rPr>
        <w:t xml:space="preserve">. </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 xml:space="preserve">This option builds on the fact that the implementation of non-legislative measure does not exclude legislative measures and vice versa. Furthermore, the options can complement each other, in particular since the practical </w:t>
      </w:r>
      <w:r>
        <w:rPr>
          <w:rFonts w:ascii="Times New Roman" w:hAnsi="Times New Roman" w:cs="Times New Roman"/>
          <w:noProof/>
          <w:sz w:val="24"/>
        </w:rPr>
        <w:t>measures:</w:t>
      </w:r>
    </w:p>
    <w:p w:rsidR="001B65FF" w:rsidRDefault="003E4EF4">
      <w:pPr>
        <w:numPr>
          <w:ilvl w:val="1"/>
          <w:numId w:val="98"/>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are not likely to address on their own all the current challenges, such as the </w:t>
      </w:r>
      <w:r>
        <w:rPr>
          <w:rFonts w:ascii="Times New Roman" w:eastAsia="Calibri" w:hAnsi="Times New Roman" w:cs="Times New Roman"/>
          <w:b/>
          <w:noProof/>
          <w:sz w:val="24"/>
        </w:rPr>
        <w:t xml:space="preserve">fragmentation </w:t>
      </w:r>
      <w:r>
        <w:rPr>
          <w:rFonts w:ascii="Times New Roman" w:eastAsia="Calibri" w:hAnsi="Times New Roman" w:cs="Times New Roman"/>
          <w:noProof/>
          <w:sz w:val="24"/>
        </w:rPr>
        <w:t>of legal frameworks in Member States, which was identified as a major challenge by service providers seeking to comply with requests based on different n</w:t>
      </w:r>
      <w:r>
        <w:rPr>
          <w:rFonts w:ascii="Times New Roman" w:eastAsia="Calibri" w:hAnsi="Times New Roman" w:cs="Times New Roman"/>
          <w:noProof/>
          <w:sz w:val="24"/>
        </w:rPr>
        <w:t xml:space="preserve">ational laws, as previously described. Also, the practical measures cannot provide </w:t>
      </w:r>
      <w:r>
        <w:rPr>
          <w:rFonts w:ascii="Times New Roman" w:eastAsia="Calibri" w:hAnsi="Times New Roman" w:cs="Times New Roman"/>
          <w:b/>
          <w:noProof/>
          <w:sz w:val="24"/>
        </w:rPr>
        <w:t>legal certainty</w:t>
      </w:r>
      <w:r>
        <w:rPr>
          <w:rFonts w:ascii="Times New Roman" w:eastAsia="Calibri" w:hAnsi="Times New Roman" w:cs="Times New Roman"/>
          <w:noProof/>
          <w:sz w:val="24"/>
        </w:rPr>
        <w:t xml:space="preserve">, </w:t>
      </w:r>
      <w:r>
        <w:rPr>
          <w:rFonts w:ascii="Times New Roman" w:eastAsia="Calibri" w:hAnsi="Times New Roman" w:cs="Times New Roman"/>
          <w:b/>
          <w:noProof/>
          <w:sz w:val="24"/>
        </w:rPr>
        <w:t>transparency, accountability and fundamental rights safeguards</w:t>
      </w:r>
      <w:r>
        <w:rPr>
          <w:rFonts w:ascii="Times New Roman" w:eastAsia="Calibri" w:hAnsi="Times New Roman" w:cs="Times New Roman"/>
          <w:noProof/>
          <w:sz w:val="24"/>
        </w:rPr>
        <w:t xml:space="preserve"> that the legal measures provide;</w:t>
      </w:r>
    </w:p>
    <w:p w:rsidR="001B65FF" w:rsidRDefault="003E4EF4">
      <w:pPr>
        <w:numPr>
          <w:ilvl w:val="1"/>
          <w:numId w:val="98"/>
        </w:numPr>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depend</w:t>
      </w:r>
      <w:r>
        <w:rPr>
          <w:rFonts w:ascii="Times New Roman" w:eastAsia="Calibri" w:hAnsi="Times New Roman" w:cs="Times New Roman"/>
          <w:noProof/>
          <w:sz w:val="24"/>
        </w:rPr>
        <w:t xml:space="preserve"> on the </w:t>
      </w:r>
      <w:r>
        <w:rPr>
          <w:rFonts w:ascii="Times New Roman" w:eastAsia="Calibri" w:hAnsi="Times New Roman" w:cs="Times New Roman"/>
          <w:b/>
          <w:noProof/>
          <w:sz w:val="24"/>
        </w:rPr>
        <w:t>willingness</w:t>
      </w:r>
      <w:r>
        <w:rPr>
          <w:rFonts w:ascii="Times New Roman" w:eastAsia="Calibri" w:hAnsi="Times New Roman" w:cs="Times New Roman"/>
          <w:noProof/>
          <w:sz w:val="24"/>
        </w:rPr>
        <w:t xml:space="preserve"> and commitment of other public aut</w:t>
      </w:r>
      <w:r>
        <w:rPr>
          <w:rFonts w:ascii="Times New Roman" w:eastAsia="Calibri" w:hAnsi="Times New Roman" w:cs="Times New Roman"/>
          <w:noProof/>
          <w:sz w:val="24"/>
        </w:rPr>
        <w:t xml:space="preserve">horities (including in non-EU countries like the US) and service providers to cooperate and implement them on a voluntary basis, which increases the unpredictability of their results. In other words, they lack the </w:t>
      </w:r>
      <w:r>
        <w:rPr>
          <w:rFonts w:ascii="Times New Roman" w:eastAsia="Calibri" w:hAnsi="Times New Roman" w:cs="Times New Roman"/>
          <w:b/>
          <w:noProof/>
          <w:sz w:val="24"/>
        </w:rPr>
        <w:t>enforcement mechanisms</w:t>
      </w:r>
      <w:r>
        <w:rPr>
          <w:rFonts w:ascii="Times New Roman" w:eastAsia="Calibri" w:hAnsi="Times New Roman" w:cs="Times New Roman"/>
          <w:noProof/>
          <w:sz w:val="24"/>
        </w:rPr>
        <w:t xml:space="preserve"> and the </w:t>
      </w:r>
      <w:r>
        <w:rPr>
          <w:rFonts w:ascii="Times New Roman" w:eastAsia="Calibri" w:hAnsi="Times New Roman" w:cs="Times New Roman"/>
          <w:b/>
          <w:noProof/>
          <w:sz w:val="24"/>
        </w:rPr>
        <w:t xml:space="preserve">scope </w:t>
      </w:r>
      <w:r>
        <w:rPr>
          <w:rFonts w:ascii="Times New Roman" w:eastAsia="Calibri" w:hAnsi="Times New Roman" w:cs="Times New Roman"/>
          <w:noProof/>
          <w:sz w:val="24"/>
        </w:rPr>
        <w:t xml:space="preserve">that </w:t>
      </w:r>
      <w:r>
        <w:rPr>
          <w:rFonts w:ascii="Times New Roman" w:eastAsia="Calibri" w:hAnsi="Times New Roman" w:cs="Times New Roman"/>
          <w:noProof/>
          <w:sz w:val="24"/>
        </w:rPr>
        <w:t xml:space="preserve">the </w:t>
      </w:r>
      <w:r>
        <w:rPr>
          <w:rFonts w:ascii="Times New Roman" w:hAnsi="Times New Roman" w:cs="Times New Roman"/>
          <w:b/>
          <w:noProof/>
          <w:sz w:val="24"/>
        </w:rPr>
        <w:t>European Production Order</w:t>
      </w:r>
      <w:r>
        <w:rPr>
          <w:rFonts w:ascii="Times New Roman" w:eastAsia="Calibri" w:hAnsi="Times New Roman" w:cs="Times New Roman"/>
          <w:b/>
          <w:noProof/>
          <w:sz w:val="24"/>
        </w:rPr>
        <w:t xml:space="preserve"> </w:t>
      </w:r>
      <w:r>
        <w:rPr>
          <w:rFonts w:ascii="Times New Roman" w:eastAsia="Calibri" w:hAnsi="Times New Roman" w:cs="Times New Roman"/>
          <w:noProof/>
          <w:sz w:val="24"/>
        </w:rPr>
        <w:t xml:space="preserve">could provide (i.e. mandatory compliance with requests for </w:t>
      </w:r>
      <w:r>
        <w:rPr>
          <w:rFonts w:ascii="Times New Roman" w:eastAsia="Calibri" w:hAnsi="Times New Roman" w:cs="Times New Roman"/>
          <w:b/>
          <w:noProof/>
          <w:sz w:val="24"/>
        </w:rPr>
        <w:t>content and non-content data</w:t>
      </w:r>
      <w:r>
        <w:rPr>
          <w:rFonts w:ascii="Times New Roman" w:eastAsia="Calibri" w:hAnsi="Times New Roman" w:cs="Times New Roman"/>
          <w:noProof/>
          <w:sz w:val="24"/>
        </w:rPr>
        <w:t>); and</w:t>
      </w:r>
    </w:p>
    <w:p w:rsidR="001B65FF" w:rsidRDefault="003E4EF4">
      <w:pPr>
        <w:numPr>
          <w:ilvl w:val="1"/>
          <w:numId w:val="98"/>
        </w:numPr>
        <w:spacing w:after="120"/>
        <w:jc w:val="both"/>
        <w:rPr>
          <w:rFonts w:ascii="Times New Roman" w:eastAsia="Calibri" w:hAnsi="Times New Roman" w:cs="Times New Roman"/>
          <w:noProof/>
          <w:sz w:val="24"/>
        </w:rPr>
      </w:pPr>
      <w:r>
        <w:rPr>
          <w:rFonts w:ascii="Times New Roman" w:eastAsia="Calibri" w:hAnsi="Times New Roman" w:cs="Times New Roman"/>
          <w:noProof/>
          <w:sz w:val="24"/>
        </w:rPr>
        <w:t xml:space="preserve">could be combined with the </w:t>
      </w:r>
      <w:r>
        <w:rPr>
          <w:rFonts w:ascii="Times New Roman" w:hAnsi="Times New Roman" w:cs="Times New Roman"/>
          <w:noProof/>
          <w:sz w:val="24"/>
        </w:rPr>
        <w:t>European Production Order</w:t>
      </w:r>
      <w:r>
        <w:rPr>
          <w:rFonts w:ascii="Times New Roman" w:eastAsia="Calibri" w:hAnsi="Times New Roman" w:cs="Times New Roman"/>
          <w:noProof/>
          <w:sz w:val="24"/>
        </w:rPr>
        <w:t xml:space="preserve"> in specific ways. For example, the </w:t>
      </w:r>
      <w:r>
        <w:rPr>
          <w:rFonts w:ascii="Times New Roman" w:hAnsi="Times New Roman" w:cs="Times New Roman"/>
          <w:b/>
          <w:noProof/>
          <w:sz w:val="24"/>
        </w:rPr>
        <w:t xml:space="preserve">single points of contact </w:t>
      </w:r>
      <w:r>
        <w:rPr>
          <w:rFonts w:ascii="Times New Roman" w:hAnsi="Times New Roman" w:cs="Times New Roman"/>
          <w:noProof/>
          <w:sz w:val="24"/>
        </w:rPr>
        <w:t>for service provide</w:t>
      </w:r>
      <w:r>
        <w:rPr>
          <w:rFonts w:ascii="Times New Roman" w:hAnsi="Times New Roman" w:cs="Times New Roman"/>
          <w:noProof/>
          <w:sz w:val="24"/>
        </w:rPr>
        <w:t>rs described in measure 1 could be used</w:t>
      </w:r>
      <w:r>
        <w:rPr>
          <w:rFonts w:ascii="Times New Roman" w:eastAsia="Calibri" w:hAnsi="Times New Roman" w:cs="Times New Roman"/>
          <w:noProof/>
          <w:sz w:val="24"/>
        </w:rPr>
        <w:t xml:space="preserve"> also for the </w:t>
      </w:r>
      <w:r>
        <w:rPr>
          <w:rFonts w:ascii="Times New Roman" w:eastAsia="Calibri" w:hAnsi="Times New Roman" w:cs="Times New Roman"/>
          <w:b/>
          <w:noProof/>
          <w:sz w:val="24"/>
        </w:rPr>
        <w:t>legal representatives</w:t>
      </w:r>
      <w:r>
        <w:rPr>
          <w:rFonts w:ascii="Times New Roman" w:eastAsia="Calibri" w:hAnsi="Times New Roman" w:cs="Times New Roman"/>
          <w:noProof/>
          <w:sz w:val="24"/>
        </w:rPr>
        <w:t xml:space="preserve"> of service providers targeting the EU market with their services or providing services in the EU market. </w:t>
      </w:r>
    </w:p>
    <w:p w:rsidR="001B65FF" w:rsidRDefault="003E4EF4">
      <w:pPr>
        <w:contextualSpacing/>
        <w:jc w:val="both"/>
        <w:rPr>
          <w:rFonts w:ascii="Times New Roman" w:eastAsia="Calibri" w:hAnsi="Times New Roman" w:cs="Times New Roman"/>
          <w:noProof/>
          <w:sz w:val="24"/>
        </w:rPr>
      </w:pPr>
      <w:r>
        <w:rPr>
          <w:rFonts w:ascii="Times New Roman" w:eastAsia="Times New Roman" w:hAnsi="Times New Roman" w:cs="Times New Roman"/>
          <w:noProof/>
          <w:sz w:val="24"/>
          <w:szCs w:val="20"/>
        </w:rPr>
        <w:t xml:space="preserve">This option also builds on the complementarity of the legislative measures </w:t>
      </w:r>
      <w:r>
        <w:rPr>
          <w:rFonts w:ascii="Times New Roman" w:eastAsia="Times New Roman" w:hAnsi="Times New Roman" w:cs="Times New Roman"/>
          <w:noProof/>
          <w:sz w:val="24"/>
          <w:szCs w:val="20"/>
        </w:rPr>
        <w:t xml:space="preserve">proposed under direct cooperation those concerning international agreements. </w:t>
      </w:r>
      <w:r>
        <w:rPr>
          <w:rFonts w:ascii="Times New Roman" w:eastAsia="Calibri" w:hAnsi="Times New Roman" w:cs="Times New Roman"/>
          <w:noProof/>
          <w:sz w:val="24"/>
        </w:rPr>
        <w:t>For example:</w:t>
      </w:r>
    </w:p>
    <w:p w:rsidR="001B65FF" w:rsidRDefault="003E4EF4">
      <w:pPr>
        <w:numPr>
          <w:ilvl w:val="1"/>
          <w:numId w:val="9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They are complementary in the </w:t>
      </w:r>
      <w:r>
        <w:rPr>
          <w:rFonts w:ascii="Times New Roman" w:eastAsia="Calibri" w:hAnsi="Times New Roman" w:cs="Times New Roman"/>
          <w:b/>
          <w:noProof/>
          <w:sz w:val="24"/>
        </w:rPr>
        <w:t xml:space="preserve">situations </w:t>
      </w:r>
      <w:r>
        <w:rPr>
          <w:rFonts w:ascii="Times New Roman" w:eastAsia="Calibri" w:hAnsi="Times New Roman" w:cs="Times New Roman"/>
          <w:noProof/>
          <w:sz w:val="24"/>
        </w:rPr>
        <w:t>in which they</w:t>
      </w:r>
      <w:r>
        <w:rPr>
          <w:rFonts w:ascii="Times New Roman" w:eastAsia="Calibri" w:hAnsi="Times New Roman" w:cs="Times New Roman"/>
          <w:b/>
          <w:noProof/>
          <w:sz w:val="24"/>
        </w:rPr>
        <w:t xml:space="preserve"> apply</w:t>
      </w:r>
      <w:r>
        <w:rPr>
          <w:rFonts w:ascii="Times New Roman" w:eastAsia="Calibri" w:hAnsi="Times New Roman" w:cs="Times New Roman"/>
          <w:noProof/>
          <w:sz w:val="24"/>
        </w:rPr>
        <w:t xml:space="preserve">. For example, the judicial cooperation determined by the international agreements (e.g. MLA) would apply </w:t>
      </w:r>
      <w:r>
        <w:rPr>
          <w:rFonts w:ascii="Times New Roman" w:eastAsia="Calibri" w:hAnsi="Times New Roman" w:cs="Times New Roman"/>
          <w:noProof/>
          <w:sz w:val="24"/>
        </w:rPr>
        <w:t xml:space="preserve">to Member States which would not opt in the </w:t>
      </w:r>
      <w:r>
        <w:rPr>
          <w:rFonts w:ascii="Times New Roman" w:hAnsi="Times New Roman" w:cs="Times New Roman"/>
          <w:noProof/>
          <w:sz w:val="24"/>
        </w:rPr>
        <w:t>European Production Order</w:t>
      </w:r>
      <w:r>
        <w:rPr>
          <w:rFonts w:ascii="Times New Roman" w:eastAsia="Calibri" w:hAnsi="Times New Roman" w:cs="Times New Roman"/>
          <w:noProof/>
          <w:sz w:val="24"/>
        </w:rPr>
        <w:t xml:space="preserve"> and to non-EU countries.</w:t>
      </w:r>
    </w:p>
    <w:p w:rsidR="001B65FF" w:rsidRDefault="003E4EF4">
      <w:pPr>
        <w:numPr>
          <w:ilvl w:val="1"/>
          <w:numId w:val="9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A bilateral agreement (in particular with the US), could help reduce the </w:t>
      </w:r>
      <w:r>
        <w:rPr>
          <w:rFonts w:ascii="Times New Roman" w:eastAsia="Calibri" w:hAnsi="Times New Roman" w:cs="Times New Roman"/>
          <w:b/>
          <w:noProof/>
          <w:sz w:val="24"/>
        </w:rPr>
        <w:t xml:space="preserve">conflict of laws </w:t>
      </w:r>
      <w:r>
        <w:rPr>
          <w:rFonts w:ascii="Times New Roman" w:eastAsia="Calibri" w:hAnsi="Times New Roman" w:cs="Times New Roman"/>
          <w:noProof/>
          <w:sz w:val="24"/>
        </w:rPr>
        <w:t xml:space="preserve">that the </w:t>
      </w:r>
      <w:r>
        <w:rPr>
          <w:rFonts w:ascii="Times New Roman" w:hAnsi="Times New Roman" w:cs="Times New Roman"/>
          <w:noProof/>
          <w:sz w:val="24"/>
        </w:rPr>
        <w:t>European Production Order</w:t>
      </w:r>
      <w:r>
        <w:rPr>
          <w:rFonts w:ascii="Times New Roman" w:eastAsia="Calibri" w:hAnsi="Times New Roman" w:cs="Times New Roman"/>
          <w:noProof/>
          <w:sz w:val="24"/>
        </w:rPr>
        <w:t xml:space="preserve"> could cause, or at least ensure an e</w:t>
      </w:r>
      <w:r>
        <w:rPr>
          <w:rFonts w:ascii="Times New Roman" w:eastAsia="Calibri" w:hAnsi="Times New Roman" w:cs="Times New Roman"/>
          <w:noProof/>
          <w:sz w:val="24"/>
        </w:rPr>
        <w:t>fficient procedure to address situations of conflict of laws. It could also take cooperation with key partner countries to a higher level, building on the Council of Europe Convention on Cybercrime and taking it above the cooperation level which can be ach</w:t>
      </w:r>
      <w:r>
        <w:rPr>
          <w:rFonts w:ascii="Times New Roman" w:eastAsia="Calibri" w:hAnsi="Times New Roman" w:cs="Times New Roman"/>
          <w:noProof/>
          <w:sz w:val="24"/>
        </w:rPr>
        <w:t>ieved through the Convention, which brings together a more heterogeneous group of countries.</w:t>
      </w:r>
    </w:p>
    <w:p w:rsidR="001B65FF" w:rsidRDefault="003E4EF4">
      <w:pPr>
        <w:numPr>
          <w:ilvl w:val="1"/>
          <w:numId w:val="9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A multilateral agreement such as the additional protocol in the Council of Europe Convention on Cybercrime could address </w:t>
      </w:r>
      <w:r>
        <w:rPr>
          <w:rFonts w:ascii="Times New Roman" w:eastAsia="Calibri" w:hAnsi="Times New Roman" w:cs="Times New Roman"/>
          <w:b/>
          <w:noProof/>
          <w:sz w:val="24"/>
        </w:rPr>
        <w:t xml:space="preserve">reciprocity </w:t>
      </w:r>
      <w:r>
        <w:rPr>
          <w:rFonts w:ascii="Times New Roman" w:eastAsia="Calibri" w:hAnsi="Times New Roman" w:cs="Times New Roman"/>
          <w:noProof/>
          <w:sz w:val="24"/>
        </w:rPr>
        <w:t xml:space="preserve">issues arising from the legal </w:t>
      </w:r>
      <w:r>
        <w:rPr>
          <w:rFonts w:ascii="Times New Roman" w:eastAsia="Calibri" w:hAnsi="Times New Roman" w:cs="Times New Roman"/>
          <w:noProof/>
          <w:sz w:val="24"/>
        </w:rPr>
        <w:t>measures for direct cooperation:</w:t>
      </w:r>
    </w:p>
    <w:p w:rsidR="001B65FF" w:rsidRDefault="003E4EF4">
      <w:pPr>
        <w:numPr>
          <w:ilvl w:val="2"/>
          <w:numId w:val="99"/>
        </w:numPr>
        <w:spacing w:after="120"/>
        <w:ind w:left="1440" w:hanging="360"/>
        <w:jc w:val="both"/>
        <w:rPr>
          <w:rFonts w:ascii="Times New Roman" w:eastAsia="Calibri" w:hAnsi="Times New Roman" w:cs="Times New Roman"/>
          <w:noProof/>
          <w:sz w:val="24"/>
        </w:rPr>
      </w:pPr>
      <w:r>
        <w:rPr>
          <w:rFonts w:ascii="Times New Roman" w:eastAsia="Calibri" w:hAnsi="Times New Roman" w:cs="Times New Roman"/>
          <w:noProof/>
          <w:sz w:val="24"/>
        </w:rPr>
        <w:t xml:space="preserve">For example, with regard to the </w:t>
      </w:r>
      <w:r>
        <w:rPr>
          <w:rFonts w:ascii="Times New Roman" w:hAnsi="Times New Roman" w:cs="Times New Roman"/>
          <w:noProof/>
          <w:sz w:val="24"/>
        </w:rPr>
        <w:t>European Production Order</w:t>
      </w:r>
      <w:r>
        <w:rPr>
          <w:rFonts w:ascii="Times New Roman" w:eastAsia="Calibri" w:hAnsi="Times New Roman" w:cs="Times New Roman"/>
          <w:noProof/>
          <w:sz w:val="24"/>
        </w:rPr>
        <w:t xml:space="preserve">, it could address the minimum conditions and safeguards applicable to </w:t>
      </w:r>
      <w:r>
        <w:rPr>
          <w:rFonts w:ascii="Times New Roman" w:hAnsi="Times New Roman" w:cs="Times New Roman"/>
          <w:noProof/>
          <w:sz w:val="24"/>
          <w:szCs w:val="24"/>
        </w:rPr>
        <w:t xml:space="preserve">similar production orders by a number of non-EU countries with respect to data held in the EU or by providers headquartered in the EU. Also, it </w:t>
      </w:r>
      <w:r>
        <w:rPr>
          <w:rFonts w:ascii="Times New Roman" w:eastAsia="Calibri" w:hAnsi="Times New Roman" w:cs="Times New Roman"/>
          <w:noProof/>
          <w:sz w:val="24"/>
        </w:rPr>
        <w:t>could improve for those countries the effectiveness of the procedure to apply the conflict of laws clause in the</w:t>
      </w:r>
      <w:r>
        <w:rPr>
          <w:rFonts w:ascii="Times New Roman" w:eastAsia="Calibri" w:hAnsi="Times New Roman" w:cs="Times New Roman"/>
          <w:noProof/>
          <w:sz w:val="24"/>
        </w:rPr>
        <w:t xml:space="preserve"> </w:t>
      </w:r>
      <w:r>
        <w:rPr>
          <w:rFonts w:ascii="Times New Roman" w:hAnsi="Times New Roman" w:cs="Times New Roman"/>
          <w:noProof/>
          <w:sz w:val="24"/>
        </w:rPr>
        <w:t>European Production Order</w:t>
      </w:r>
      <w:r>
        <w:rPr>
          <w:rFonts w:ascii="Times New Roman" w:eastAsia="Calibri" w:hAnsi="Times New Roman" w:cs="Times New Roman"/>
          <w:noProof/>
          <w:sz w:val="24"/>
        </w:rPr>
        <w:t xml:space="preserve">. </w:t>
      </w:r>
    </w:p>
    <w:p w:rsidR="001B65FF" w:rsidRDefault="003E4EF4">
      <w:pPr>
        <w:ind w:left="720" w:firstLine="720"/>
        <w:contextualSpacing/>
        <w:rPr>
          <w:rFonts w:ascii="Times New Roman" w:hAnsi="Times New Roman" w:cs="Times New Roman"/>
          <w:i/>
          <w:noProof/>
          <w:sz w:val="24"/>
          <w:lang w:eastAsia="en-GB"/>
        </w:rPr>
      </w:pPr>
      <w:r>
        <w:rPr>
          <w:rFonts w:ascii="Times New Roman" w:hAnsi="Times New Roman" w:cs="Times New Roman"/>
          <w:i/>
          <w:noProof/>
          <w:sz w:val="24"/>
          <w:lang w:eastAsia="en-GB"/>
        </w:rPr>
        <w:t xml:space="preserve">Box 5: possible </w:t>
      </w:r>
      <w:r>
        <w:rPr>
          <w:rFonts w:ascii="Times New Roman" w:hAnsi="Times New Roman" w:cs="Times New Roman"/>
          <w:b/>
          <w:i/>
          <w:noProof/>
          <w:sz w:val="24"/>
          <w:lang w:eastAsia="en-GB"/>
        </w:rPr>
        <w:t>reciprocity</w:t>
      </w:r>
      <w:r>
        <w:rPr>
          <w:rFonts w:ascii="Times New Roman" w:hAnsi="Times New Roman" w:cs="Times New Roman"/>
          <w:i/>
          <w:noProof/>
          <w:sz w:val="24"/>
          <w:lang w:eastAsia="en-GB"/>
        </w:rPr>
        <w:t xml:space="preserve"> issues arising from the legislative options</w:t>
      </w:r>
    </w:p>
    <w:tbl>
      <w:tblPr>
        <w:tblW w:w="8730" w:type="dxa"/>
        <w:tblInd w:w="46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730"/>
      </w:tblGrid>
      <w:tr w:rsidR="001B65FF">
        <w:tc>
          <w:tcPr>
            <w:tcW w:w="8730" w:type="dxa"/>
            <w:shd w:val="clear" w:color="auto" w:fill="F2F2F2" w:themeFill="background1" w:themeFillShade="F2"/>
            <w:hideMark/>
          </w:tcPr>
          <w:p w:rsidR="001B65FF" w:rsidRDefault="003E4EF4">
            <w:pPr>
              <w:spacing w:before="240"/>
              <w:ind w:left="252" w:right="252"/>
              <w:jc w:val="both"/>
              <w:rPr>
                <w:rFonts w:ascii="Times New Roman" w:hAnsi="Times New Roman" w:cs="Times New Roman"/>
                <w:noProof/>
                <w:sz w:val="24"/>
              </w:rPr>
            </w:pPr>
            <w:r>
              <w:rPr>
                <w:rFonts w:ascii="Times New Roman" w:hAnsi="Times New Roman" w:cs="Times New Roman"/>
                <w:noProof/>
                <w:sz w:val="24"/>
              </w:rPr>
              <w:t>Legislative measures that entail reaching out to data stored in another jurisdiction, such as the European Production Order or direct access, might trigger</w:t>
            </w:r>
            <w:r>
              <w:rPr>
                <w:rFonts w:ascii="Times New Roman" w:hAnsi="Times New Roman" w:cs="Times New Roman"/>
                <w:noProof/>
                <w:sz w:val="24"/>
              </w:rPr>
              <w:t xml:space="preserve"> a reciprocal response by non-EU countries in which they try to access data stored in the EU.</w:t>
            </w:r>
          </w:p>
          <w:p w:rsidR="001B65FF" w:rsidRDefault="003E4EF4">
            <w:pPr>
              <w:numPr>
                <w:ilvl w:val="0"/>
                <w:numId w:val="101"/>
              </w:numPr>
              <w:spacing w:before="240"/>
              <w:ind w:right="252"/>
              <w:contextualSpacing/>
              <w:jc w:val="both"/>
              <w:rPr>
                <w:rFonts w:ascii="Times New Roman" w:hAnsi="Times New Roman" w:cs="Times New Roman"/>
                <w:noProof/>
                <w:sz w:val="24"/>
              </w:rPr>
            </w:pPr>
            <w:r>
              <w:rPr>
                <w:rFonts w:ascii="Times New Roman" w:hAnsi="Times New Roman" w:cs="Times New Roman"/>
                <w:noProof/>
                <w:sz w:val="24"/>
              </w:rPr>
              <w:t xml:space="preserve">In the case of the </w:t>
            </w:r>
            <w:r>
              <w:rPr>
                <w:rFonts w:ascii="Times New Roman" w:hAnsi="Times New Roman" w:cs="Times New Roman"/>
                <w:b/>
                <w:noProof/>
                <w:sz w:val="24"/>
              </w:rPr>
              <w:t>European Production Order</w:t>
            </w:r>
            <w:r>
              <w:rPr>
                <w:rFonts w:ascii="Times New Roman" w:hAnsi="Times New Roman" w:cs="Times New Roman"/>
                <w:noProof/>
                <w:sz w:val="24"/>
              </w:rPr>
              <w:t>, if the EU legislated to impose an obligation on intermediaries in non-EU countries to provide e-evidence to public a</w:t>
            </w:r>
            <w:r>
              <w:rPr>
                <w:rFonts w:ascii="Times New Roman" w:hAnsi="Times New Roman" w:cs="Times New Roman"/>
                <w:noProof/>
                <w:sz w:val="24"/>
              </w:rPr>
              <w:t>uthorities in the EU, this may incite non-EU countries to impose similar obligations on intermediaries subject to EU law, which in turn could place them under a conflict of law, in particular with the EU data protection rules. This situation is already con</w:t>
            </w:r>
            <w:r>
              <w:rPr>
                <w:rFonts w:ascii="Times New Roman" w:hAnsi="Times New Roman" w:cs="Times New Roman"/>
                <w:noProof/>
                <w:sz w:val="24"/>
              </w:rPr>
              <w:t xml:space="preserve">templated in Article 48 of the GDPR. The negotiation of an Additional Protocol on the basis of proper EU coordination would increase the probability that the resulting instrument, setting the appropriate standards at international level, would provide the </w:t>
            </w:r>
            <w:r>
              <w:rPr>
                <w:rFonts w:ascii="Times New Roman" w:hAnsi="Times New Roman" w:cs="Times New Roman"/>
                <w:noProof/>
                <w:sz w:val="24"/>
              </w:rPr>
              <w:t>international standards required for the intermediaries in the EU to comply with their obligations under the GDPR and avoid conflicts of law.</w:t>
            </w:r>
          </w:p>
          <w:p w:rsidR="001B65FF" w:rsidRDefault="003E4EF4">
            <w:pPr>
              <w:numPr>
                <w:ilvl w:val="0"/>
                <w:numId w:val="101"/>
              </w:numPr>
              <w:spacing w:before="240"/>
              <w:ind w:right="252"/>
              <w:contextualSpacing/>
              <w:jc w:val="both"/>
              <w:rPr>
                <w:rFonts w:ascii="Times New Roman" w:hAnsi="Times New Roman" w:cs="Times New Roman"/>
                <w:noProof/>
                <w:sz w:val="24"/>
              </w:rPr>
            </w:pPr>
            <w:r>
              <w:rPr>
                <w:rFonts w:ascii="Times New Roman" w:hAnsi="Times New Roman" w:cs="Times New Roman"/>
                <w:noProof/>
                <w:sz w:val="24"/>
              </w:rPr>
              <w:t xml:space="preserve">In the case of </w:t>
            </w:r>
            <w:r>
              <w:rPr>
                <w:rFonts w:ascii="Times New Roman" w:hAnsi="Times New Roman" w:cs="Times New Roman"/>
                <w:b/>
                <w:noProof/>
                <w:sz w:val="24"/>
              </w:rPr>
              <w:t>direct access</w:t>
            </w:r>
            <w:r>
              <w:rPr>
                <w:rFonts w:ascii="Times New Roman" w:hAnsi="Times New Roman" w:cs="Times New Roman"/>
                <w:noProof/>
                <w:sz w:val="24"/>
              </w:rPr>
              <w:t>, a wider interpretation of the concept of loss of location applied by non-EU countrie</w:t>
            </w:r>
            <w:r>
              <w:rPr>
                <w:rFonts w:ascii="Times New Roman" w:hAnsi="Times New Roman" w:cs="Times New Roman"/>
                <w:noProof/>
                <w:sz w:val="24"/>
              </w:rPr>
              <w:t>s "in reverse" may generate fundamental rights issues resulting from the access of non-EU countries to personal data of EU citizens, if the country does not ensure due process and legal safeguards in place that can be considered comparable to the EU standa</w:t>
            </w:r>
            <w:r>
              <w:rPr>
                <w:rFonts w:ascii="Times New Roman" w:hAnsi="Times New Roman" w:cs="Times New Roman"/>
                <w:noProof/>
                <w:sz w:val="24"/>
              </w:rPr>
              <w:t>rd, including in the field of data protection</w:t>
            </w:r>
            <w:r>
              <w:rPr>
                <w:rFonts w:ascii="Times New Roman" w:hAnsi="Times New Roman" w:cs="Times New Roman"/>
                <w:noProof/>
                <w:sz w:val="24"/>
                <w:vertAlign w:val="superscript"/>
              </w:rPr>
              <w:footnoteReference w:id="108"/>
            </w:r>
            <w:r>
              <w:rPr>
                <w:rFonts w:ascii="Times New Roman" w:hAnsi="Times New Roman" w:cs="Times New Roman"/>
                <w:noProof/>
                <w:sz w:val="24"/>
              </w:rPr>
              <w:t>.</w:t>
            </w:r>
          </w:p>
          <w:p w:rsidR="001B65FF" w:rsidRDefault="003E4EF4">
            <w:pPr>
              <w:spacing w:before="240"/>
              <w:ind w:left="252" w:right="252"/>
              <w:jc w:val="both"/>
              <w:rPr>
                <w:rFonts w:ascii="Times New Roman" w:hAnsi="Times New Roman" w:cs="Times New Roman"/>
                <w:noProof/>
                <w:sz w:val="24"/>
                <w:lang w:eastAsia="en-GB"/>
              </w:rPr>
            </w:pPr>
            <w:r>
              <w:rPr>
                <w:rFonts w:ascii="Times New Roman" w:hAnsi="Times New Roman" w:cs="Times New Roman"/>
                <w:noProof/>
                <w:sz w:val="24"/>
              </w:rPr>
              <w:t xml:space="preserve">On the other hand, at a time when some non-EU countries have already adopted or might be tempted to adopt unilateral approaches for obtaining electronic evidence (e.g. data localisation obligations or a more </w:t>
            </w:r>
            <w:r>
              <w:rPr>
                <w:rFonts w:ascii="Times New Roman" w:hAnsi="Times New Roman" w:cs="Times New Roman"/>
                <w:noProof/>
                <w:sz w:val="24"/>
              </w:rPr>
              <w:t xml:space="preserve">expansive set of investigative measures), creating a framework for access to electronic evidence that builds on the robust protections already provided for under EU law and including specific safeguards could set </w:t>
            </w:r>
            <w:r>
              <w:rPr>
                <w:rFonts w:ascii="Times New Roman" w:hAnsi="Times New Roman" w:cs="Times New Roman"/>
                <w:b/>
                <w:noProof/>
                <w:sz w:val="24"/>
              </w:rPr>
              <w:t>a positive example</w:t>
            </w:r>
            <w:r>
              <w:rPr>
                <w:rFonts w:ascii="Times New Roman" w:hAnsi="Times New Roman" w:cs="Times New Roman"/>
                <w:noProof/>
                <w:sz w:val="24"/>
              </w:rPr>
              <w:t>. This could possible dis</w:t>
            </w:r>
            <w:r>
              <w:rPr>
                <w:rFonts w:ascii="Times New Roman" w:hAnsi="Times New Roman" w:cs="Times New Roman"/>
                <w:noProof/>
                <w:sz w:val="24"/>
              </w:rPr>
              <w:t>courage some countries from following the above unilateral approaches or rely on reciprocal responses that deviate from EU standards.</w:t>
            </w:r>
          </w:p>
        </w:tc>
      </w:tr>
    </w:tbl>
    <w:p w:rsidR="001B65FF" w:rsidRDefault="001B65FF">
      <w:pPr>
        <w:spacing w:before="240"/>
        <w:contextualSpacing/>
        <w:jc w:val="both"/>
        <w:rPr>
          <w:rFonts w:ascii="Times New Roman" w:eastAsia="Calibri" w:hAnsi="Times New Roman" w:cs="Times New Roman"/>
          <w:noProof/>
          <w:sz w:val="24"/>
        </w:rPr>
      </w:pPr>
      <w:bookmarkStart w:id="1303" w:name="_Toc499019163"/>
      <w:bookmarkStart w:id="1304" w:name="_Toc499020194"/>
      <w:bookmarkStart w:id="1305" w:name="_Toc499020460"/>
      <w:bookmarkStart w:id="1306" w:name="_Toc499020610"/>
      <w:bookmarkStart w:id="1307" w:name="_Toc499022196"/>
      <w:bookmarkStart w:id="1308" w:name="_Toc499022474"/>
      <w:bookmarkStart w:id="1309" w:name="_Toc499028429"/>
      <w:bookmarkStart w:id="1310" w:name="_Toc499029807"/>
      <w:bookmarkStart w:id="1311" w:name="_Toc499030363"/>
      <w:bookmarkStart w:id="1312" w:name="_Toc499036722"/>
      <w:bookmarkStart w:id="1313" w:name="_Toc499039198"/>
      <w:bookmarkStart w:id="1314" w:name="_Toc499039583"/>
      <w:bookmarkStart w:id="1315" w:name="_Toc499045021"/>
      <w:bookmarkStart w:id="1316" w:name="_Toc499048046"/>
      <w:bookmarkStart w:id="1317" w:name="_Toc499050688"/>
      <w:bookmarkStart w:id="1318" w:name="_Toc499051321"/>
      <w:bookmarkStart w:id="1319" w:name="_Toc499053278"/>
      <w:bookmarkStart w:id="1320" w:name="_Toc499128373"/>
      <w:bookmarkStart w:id="1321" w:name="_Toc499129487"/>
      <w:bookmarkStart w:id="1322" w:name="_Toc499129998"/>
      <w:bookmarkStart w:id="1323" w:name="_Toc499134790"/>
      <w:bookmarkStart w:id="1324" w:name="_Toc499138183"/>
      <w:bookmarkStart w:id="1325" w:name="_Toc499138322"/>
      <w:bookmarkStart w:id="1326" w:name="_Toc499138584"/>
      <w:bookmarkStart w:id="1327" w:name="_Toc499140928"/>
      <w:bookmarkStart w:id="1328" w:name="_Toc499141216"/>
      <w:bookmarkStart w:id="1329" w:name="_Toc499142847"/>
      <w:bookmarkStart w:id="1330" w:name="_Toc499143292"/>
      <w:bookmarkStart w:id="1331" w:name="_Toc498509672"/>
      <w:bookmarkStart w:id="1332" w:name="_Toc498521227"/>
      <w:bookmarkStart w:id="1333" w:name="_Toc498701971"/>
      <w:bookmarkStart w:id="1334" w:name="_Toc498704703"/>
      <w:bookmarkStart w:id="1335" w:name="_Toc499020461"/>
      <w:bookmarkStart w:id="1336" w:name="_Toc499030364"/>
      <w:bookmarkStart w:id="1337" w:name="_Toc499044937"/>
      <w:bookmarkStart w:id="1338" w:name="_Toc499051322"/>
      <w:bookmarkStart w:id="1339" w:name="_Toc499133309"/>
      <w:bookmarkStart w:id="1340" w:name="_Toc499142848"/>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rsidR="001B65FF" w:rsidRDefault="003E4EF4">
      <w:p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This approach would also create a useful complement to the </w:t>
      </w:r>
      <w:r>
        <w:rPr>
          <w:rFonts w:ascii="Times New Roman" w:eastAsia="Calibri" w:hAnsi="Times New Roman" w:cs="Times New Roman"/>
          <w:b/>
          <w:noProof/>
          <w:sz w:val="24"/>
        </w:rPr>
        <w:t>EIO and to MLA procedures</w:t>
      </w:r>
      <w:r>
        <w:rPr>
          <w:rFonts w:ascii="Times New Roman" w:eastAsia="Calibri" w:hAnsi="Times New Roman" w:cs="Times New Roman"/>
          <w:noProof/>
          <w:sz w:val="24"/>
        </w:rPr>
        <w:t>. For investigations that concern both electronic and other types of evidence, authorities are free to choose to make two separate requests (which might be desirable if swift action is required to safeguard the electronic evidence) or to submit one joint r</w:t>
      </w:r>
      <w:r>
        <w:rPr>
          <w:rFonts w:ascii="Times New Roman" w:eastAsia="Calibri" w:hAnsi="Times New Roman" w:cs="Times New Roman"/>
          <w:noProof/>
          <w:sz w:val="24"/>
        </w:rPr>
        <w:t xml:space="preserve">equest. Several investigative measures can be </w:t>
      </w:r>
      <w:r>
        <w:rPr>
          <w:rFonts w:ascii="Times New Roman" w:eastAsia="Times New Roman" w:hAnsi="Times New Roman" w:cs="Times New Roman"/>
          <w:noProof/>
          <w:sz w:val="24"/>
          <w:szCs w:val="20"/>
        </w:rPr>
        <w:t>included</w:t>
      </w:r>
      <w:r>
        <w:rPr>
          <w:rFonts w:ascii="Times New Roman" w:eastAsia="Calibri" w:hAnsi="Times New Roman" w:cs="Times New Roman"/>
          <w:noProof/>
          <w:sz w:val="24"/>
        </w:rPr>
        <w:t xml:space="preserve"> in the same MLA or EIO request, provided that they are requested from the same Member State or non-EU country. Regarding electronic evidence, there will be few cases where the Member State of establish</w:t>
      </w:r>
      <w:r>
        <w:rPr>
          <w:rFonts w:ascii="Times New Roman" w:eastAsia="Calibri" w:hAnsi="Times New Roman" w:cs="Times New Roman"/>
          <w:noProof/>
          <w:sz w:val="24"/>
        </w:rPr>
        <w:t>ment of the service provider would also be asked to carry out other investigative measures, as the seat of the service provider is often the only link to the other Member State. In cases where there is indeed a stronger link to that other Member State, the</w:t>
      </w:r>
      <w:r>
        <w:rPr>
          <w:rFonts w:ascii="Times New Roman" w:eastAsia="Calibri" w:hAnsi="Times New Roman" w:cs="Times New Roman"/>
          <w:noProof/>
          <w:sz w:val="24"/>
        </w:rPr>
        <w:t xml:space="preserve"> issuing Member State could choose to only issue an EIO, combining all investigative measures sought from the non-EU country.</w:t>
      </w:r>
    </w:p>
    <w:p w:rsidR="001B65FF" w:rsidRDefault="003E4EF4">
      <w:pPr>
        <w:keepNext/>
        <w:numPr>
          <w:ilvl w:val="2"/>
          <w:numId w:val="3"/>
        </w:numPr>
        <w:tabs>
          <w:tab w:val="clear" w:pos="1920"/>
        </w:tabs>
        <w:spacing w:before="360" w:after="240" w:line="240" w:lineRule="auto"/>
        <w:ind w:left="720"/>
        <w:jc w:val="both"/>
        <w:outlineLvl w:val="2"/>
        <w:rPr>
          <w:rFonts w:ascii="Times New Roman" w:eastAsia="Times New Roman" w:hAnsi="Times New Roman" w:cs="Times New Roman"/>
          <w:noProof/>
          <w:sz w:val="24"/>
          <w:szCs w:val="20"/>
        </w:rPr>
      </w:pPr>
      <w:bookmarkStart w:id="1341" w:name="_Toc510952875"/>
      <w:r>
        <w:rPr>
          <w:rFonts w:ascii="Times New Roman" w:eastAsia="Times New Roman" w:hAnsi="Times New Roman" w:cs="Times New Roman"/>
          <w:noProof/>
          <w:sz w:val="24"/>
          <w:szCs w:val="20"/>
        </w:rPr>
        <w:t>Option D: option C + direct access legislation</w:t>
      </w:r>
      <w:bookmarkEnd w:id="1331"/>
      <w:bookmarkEnd w:id="1332"/>
      <w:bookmarkEnd w:id="1333"/>
      <w:bookmarkEnd w:id="1334"/>
      <w:bookmarkEnd w:id="1335"/>
      <w:bookmarkEnd w:id="1336"/>
      <w:bookmarkEnd w:id="1337"/>
      <w:bookmarkEnd w:id="1338"/>
      <w:bookmarkEnd w:id="1339"/>
      <w:bookmarkEnd w:id="1340"/>
      <w:bookmarkEnd w:id="1341"/>
    </w:p>
    <w:p w:rsidR="001B65FF" w:rsidRDefault="003E4EF4">
      <w:pPr>
        <w:spacing w:after="120"/>
        <w:jc w:val="both"/>
        <w:rPr>
          <w:rFonts w:ascii="Times New Roman" w:eastAsia="Calibri" w:hAnsi="Times New Roman" w:cs="Times New Roman"/>
          <w:noProof/>
          <w:sz w:val="24"/>
        </w:rPr>
      </w:pPr>
      <w:r>
        <w:rPr>
          <w:rFonts w:ascii="Times New Roman" w:eastAsia="Calibri" w:hAnsi="Times New Roman" w:cs="Times New Roman"/>
          <w:noProof/>
          <w:sz w:val="24"/>
        </w:rPr>
        <w:t xml:space="preserve">This option aims to address </w:t>
      </w:r>
      <w:r>
        <w:rPr>
          <w:rFonts w:ascii="Times New Roman" w:eastAsia="Calibri" w:hAnsi="Times New Roman" w:cs="Times New Roman"/>
          <w:b/>
          <w:noProof/>
          <w:sz w:val="24"/>
        </w:rPr>
        <w:t>all problem drivers</w:t>
      </w:r>
      <w:r>
        <w:rPr>
          <w:rFonts w:ascii="Times New Roman" w:eastAsia="Calibri" w:hAnsi="Times New Roman" w:cs="Times New Roman"/>
          <w:noProof/>
          <w:sz w:val="24"/>
        </w:rPr>
        <w:t xml:space="preserve"> across </w:t>
      </w:r>
      <w:r>
        <w:rPr>
          <w:rFonts w:ascii="Times New Roman" w:eastAsia="Calibri" w:hAnsi="Times New Roman" w:cs="Times New Roman"/>
          <w:b/>
          <w:noProof/>
          <w:sz w:val="24"/>
        </w:rPr>
        <w:t>all three channels</w:t>
      </w:r>
      <w:r>
        <w:rPr>
          <w:rFonts w:ascii="Times New Roman" w:eastAsia="Calibri" w:hAnsi="Times New Roman" w:cs="Times New Roman"/>
          <w:noProof/>
          <w:sz w:val="24"/>
        </w:rPr>
        <w:t>, proposin</w:t>
      </w:r>
      <w:r>
        <w:rPr>
          <w:rFonts w:ascii="Times New Roman" w:eastAsia="Calibri" w:hAnsi="Times New Roman" w:cs="Times New Roman"/>
          <w:noProof/>
          <w:sz w:val="24"/>
        </w:rPr>
        <w:t>g a holistic solution to improving cross-border access to electronic evidence in criminal matters. It aims to achieve all specific objectives.</w:t>
      </w:r>
    </w:p>
    <w:p w:rsidR="001B65FF" w:rsidRDefault="003E4EF4">
      <w:pPr>
        <w:contextualSpacing/>
        <w:jc w:val="both"/>
        <w:rPr>
          <w:rFonts w:ascii="Times New Roman" w:eastAsia="Calibri" w:hAnsi="Times New Roman" w:cs="Times New Roman"/>
          <w:noProof/>
          <w:sz w:val="24"/>
        </w:rPr>
      </w:pPr>
      <w:r>
        <w:rPr>
          <w:rFonts w:ascii="Times New Roman" w:eastAsia="Times New Roman" w:hAnsi="Times New Roman" w:cs="Times New Roman"/>
          <w:noProof/>
          <w:sz w:val="24"/>
          <w:szCs w:val="20"/>
        </w:rPr>
        <w:t>This option builds on the complementarity of the legislative measures proposed under direct cooperation and legis</w:t>
      </w:r>
      <w:r>
        <w:rPr>
          <w:rFonts w:ascii="Times New Roman" w:eastAsia="Times New Roman" w:hAnsi="Times New Roman" w:cs="Times New Roman"/>
          <w:noProof/>
          <w:sz w:val="24"/>
          <w:szCs w:val="20"/>
        </w:rPr>
        <w:t xml:space="preserve">lation on direct access. </w:t>
      </w:r>
      <w:r>
        <w:rPr>
          <w:rFonts w:ascii="Times New Roman" w:eastAsia="Calibri" w:hAnsi="Times New Roman" w:cs="Times New Roman"/>
          <w:noProof/>
          <w:sz w:val="24"/>
        </w:rPr>
        <w:t>For example:</w:t>
      </w:r>
    </w:p>
    <w:p w:rsidR="001B65FF" w:rsidRDefault="003E4EF4">
      <w:pPr>
        <w:numPr>
          <w:ilvl w:val="1"/>
          <w:numId w:val="98"/>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They have similar </w:t>
      </w:r>
      <w:r>
        <w:rPr>
          <w:rFonts w:ascii="Times New Roman" w:eastAsia="Calibri" w:hAnsi="Times New Roman" w:cs="Times New Roman"/>
          <w:b/>
          <w:noProof/>
          <w:sz w:val="24"/>
        </w:rPr>
        <w:t>scope:</w:t>
      </w:r>
    </w:p>
    <w:p w:rsidR="001B65FF" w:rsidRDefault="003E4EF4">
      <w:pPr>
        <w:numPr>
          <w:ilvl w:val="1"/>
          <w:numId w:val="70"/>
        </w:numPr>
        <w:tabs>
          <w:tab w:val="left" w:pos="90"/>
        </w:tabs>
        <w:contextualSpacing/>
        <w:jc w:val="both"/>
        <w:rPr>
          <w:rFonts w:ascii="Times New Roman" w:eastAsia="Calibri" w:hAnsi="Times New Roman" w:cs="Times New Roman"/>
          <w:i/>
          <w:noProof/>
          <w:sz w:val="24"/>
        </w:rPr>
      </w:pPr>
      <w:r>
        <w:rPr>
          <w:rFonts w:ascii="Times New Roman" w:eastAsia="Calibri" w:hAnsi="Times New Roman" w:cs="Times New Roman"/>
          <w:noProof/>
          <w:sz w:val="24"/>
        </w:rPr>
        <w:t>Material scope, as both cover c</w:t>
      </w:r>
      <w:r>
        <w:rPr>
          <w:rFonts w:ascii="Times New Roman" w:hAnsi="Times New Roman" w:cs="Times New Roman"/>
          <w:noProof/>
          <w:sz w:val="24"/>
        </w:rPr>
        <w:t xml:space="preserve">ontent and non-content, stored (not intercept), concerning </w:t>
      </w:r>
      <w:r>
        <w:rPr>
          <w:rFonts w:ascii="Times New Roman" w:hAnsi="Times New Roman" w:cs="Times New Roman"/>
          <w:b/>
          <w:noProof/>
          <w:sz w:val="24"/>
        </w:rPr>
        <w:t xml:space="preserve">concrete </w:t>
      </w:r>
      <w:r>
        <w:rPr>
          <w:rFonts w:ascii="Times New Roman" w:hAnsi="Times New Roman" w:cs="Times New Roman"/>
          <w:noProof/>
          <w:sz w:val="24"/>
        </w:rPr>
        <w:t>investigations of criminal offences (no mass surveillance), in all areas, and excluding machin</w:t>
      </w:r>
      <w:r>
        <w:rPr>
          <w:rFonts w:ascii="Times New Roman" w:hAnsi="Times New Roman" w:cs="Times New Roman"/>
          <w:noProof/>
          <w:sz w:val="24"/>
        </w:rPr>
        <w:t>e to machine data</w:t>
      </w:r>
      <w:r>
        <w:rPr>
          <w:rFonts w:ascii="Times New Roman" w:hAnsi="Times New Roman" w:cs="Times New Roman"/>
          <w:noProof/>
          <w:sz w:val="24"/>
          <w:vertAlign w:val="superscript"/>
        </w:rPr>
        <w:footnoteReference w:id="109"/>
      </w:r>
      <w:r>
        <w:rPr>
          <w:rFonts w:ascii="Times New Roman" w:hAnsi="Times New Roman" w:cs="Times New Roman"/>
          <w:noProof/>
          <w:sz w:val="24"/>
        </w:rPr>
        <w:t xml:space="preserve">. </w:t>
      </w:r>
    </w:p>
    <w:p w:rsidR="001B65FF" w:rsidRDefault="003E4EF4">
      <w:pPr>
        <w:numPr>
          <w:ilvl w:val="1"/>
          <w:numId w:val="70"/>
        </w:numPr>
        <w:tabs>
          <w:tab w:val="left" w:pos="90"/>
        </w:tabs>
        <w:contextualSpacing/>
        <w:jc w:val="both"/>
        <w:rPr>
          <w:rFonts w:ascii="Times New Roman" w:eastAsia="Calibri" w:hAnsi="Times New Roman" w:cs="Times New Roman"/>
          <w:i/>
          <w:noProof/>
          <w:sz w:val="24"/>
        </w:rPr>
      </w:pPr>
      <w:r>
        <w:rPr>
          <w:rFonts w:ascii="Times New Roman" w:hAnsi="Times New Roman" w:cs="Times New Roman"/>
          <w:noProof/>
          <w:sz w:val="24"/>
        </w:rPr>
        <w:t>Geography, as both would cover data regardless of where it is stored.</w:t>
      </w:r>
    </w:p>
    <w:p w:rsidR="001B65FF" w:rsidRDefault="003E4EF4">
      <w:pPr>
        <w:numPr>
          <w:ilvl w:val="1"/>
          <w:numId w:val="9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They have similar </w:t>
      </w:r>
      <w:r>
        <w:rPr>
          <w:rFonts w:ascii="Times New Roman" w:eastAsia="Calibri" w:hAnsi="Times New Roman" w:cs="Times New Roman"/>
          <w:b/>
          <w:noProof/>
          <w:sz w:val="24"/>
        </w:rPr>
        <w:t>safeguards</w:t>
      </w:r>
      <w:r>
        <w:rPr>
          <w:rFonts w:ascii="Times New Roman" w:eastAsia="Calibri" w:hAnsi="Times New Roman" w:cs="Times New Roman"/>
          <w:noProof/>
          <w:sz w:val="24"/>
        </w:rPr>
        <w:t>, i.e. concerning procedural rights, intervention of a judicial authority, user notification and legal remedies.</w:t>
      </w:r>
    </w:p>
    <w:p w:rsidR="001B65FF" w:rsidRDefault="003E4EF4">
      <w:pPr>
        <w:numPr>
          <w:ilvl w:val="1"/>
          <w:numId w:val="9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They are complementary i</w:t>
      </w:r>
      <w:r>
        <w:rPr>
          <w:rFonts w:ascii="Times New Roman" w:eastAsia="Calibri" w:hAnsi="Times New Roman" w:cs="Times New Roman"/>
          <w:noProof/>
          <w:sz w:val="24"/>
        </w:rPr>
        <w:t xml:space="preserve">n the </w:t>
      </w:r>
      <w:r>
        <w:rPr>
          <w:rFonts w:ascii="Times New Roman" w:eastAsia="Calibri" w:hAnsi="Times New Roman" w:cs="Times New Roman"/>
          <w:b/>
          <w:noProof/>
          <w:sz w:val="24"/>
        </w:rPr>
        <w:t xml:space="preserve">situations </w:t>
      </w:r>
      <w:r>
        <w:rPr>
          <w:rFonts w:ascii="Times New Roman" w:eastAsia="Calibri" w:hAnsi="Times New Roman" w:cs="Times New Roman"/>
          <w:noProof/>
          <w:sz w:val="24"/>
        </w:rPr>
        <w:t>in which they</w:t>
      </w:r>
      <w:r>
        <w:rPr>
          <w:rFonts w:ascii="Times New Roman" w:eastAsia="Calibri" w:hAnsi="Times New Roman" w:cs="Times New Roman"/>
          <w:b/>
          <w:noProof/>
          <w:sz w:val="24"/>
        </w:rPr>
        <w:t xml:space="preserve"> apply</w:t>
      </w:r>
      <w:r>
        <w:rPr>
          <w:rFonts w:ascii="Times New Roman" w:eastAsia="Calibri" w:hAnsi="Times New Roman" w:cs="Times New Roman"/>
          <w:noProof/>
          <w:sz w:val="24"/>
        </w:rPr>
        <w:t>:</w:t>
      </w:r>
    </w:p>
    <w:p w:rsidR="001B65FF" w:rsidRDefault="003E4EF4">
      <w:pPr>
        <w:numPr>
          <w:ilvl w:val="3"/>
          <w:numId w:val="100"/>
        </w:numPr>
        <w:spacing w:after="0"/>
        <w:ind w:left="1440"/>
        <w:contextualSpacing/>
        <w:jc w:val="both"/>
        <w:rPr>
          <w:rFonts w:ascii="Times New Roman" w:eastAsia="Calibri" w:hAnsi="Times New Roman" w:cs="Times New Roman"/>
          <w:noProof/>
          <w:sz w:val="24"/>
        </w:rPr>
      </w:pPr>
      <w:r>
        <w:rPr>
          <w:rFonts w:ascii="Times New Roman" w:hAnsi="Times New Roman" w:cs="Times New Roman"/>
          <w:b/>
          <w:noProof/>
          <w:sz w:val="24"/>
        </w:rPr>
        <w:t>Direct access</w:t>
      </w:r>
      <w:r>
        <w:rPr>
          <w:rFonts w:ascii="Times New Roman" w:hAnsi="Times New Roman" w:cs="Times New Roman"/>
          <w:noProof/>
          <w:sz w:val="24"/>
        </w:rPr>
        <w:t xml:space="preserve"> would be applied in situations where there is no service provider, where cooperation with the</w:t>
      </w:r>
      <w:r>
        <w:rPr>
          <w:rFonts w:ascii="Times New Roman" w:eastAsia="Calibri" w:hAnsi="Times New Roman" w:cs="Times New Roman"/>
          <w:b/>
          <w:noProof/>
          <w:sz w:val="24"/>
        </w:rPr>
        <w:t xml:space="preserve"> </w:t>
      </w:r>
      <w:r>
        <w:rPr>
          <w:rFonts w:ascii="Times New Roman" w:eastAsia="Calibri" w:hAnsi="Times New Roman" w:cs="Times New Roman"/>
          <w:noProof/>
          <w:sz w:val="24"/>
        </w:rPr>
        <w:t>service provider is not fast enough to avoid the risk of losing the data, not possible, or could undermine the</w:t>
      </w:r>
      <w:r>
        <w:rPr>
          <w:rFonts w:ascii="Times New Roman" w:eastAsia="Calibri" w:hAnsi="Times New Roman" w:cs="Times New Roman"/>
          <w:noProof/>
          <w:sz w:val="24"/>
        </w:rPr>
        <w:t xml:space="preserve"> investigation, as previously described.</w:t>
      </w:r>
    </w:p>
    <w:p w:rsidR="001B65FF" w:rsidRDefault="003E4EF4">
      <w:pPr>
        <w:numPr>
          <w:ilvl w:val="3"/>
          <w:numId w:val="100"/>
        </w:numPr>
        <w:spacing w:after="120"/>
        <w:ind w:left="1440"/>
        <w:jc w:val="both"/>
        <w:rPr>
          <w:rFonts w:ascii="Times New Roman" w:eastAsia="Calibri" w:hAnsi="Times New Roman" w:cs="Times New Roman"/>
          <w:noProof/>
          <w:sz w:val="24"/>
        </w:rPr>
      </w:pPr>
      <w:r>
        <w:rPr>
          <w:rFonts w:ascii="Times New Roman" w:eastAsia="Calibri" w:hAnsi="Times New Roman" w:cs="Times New Roman"/>
          <w:b/>
          <w:noProof/>
          <w:sz w:val="24"/>
        </w:rPr>
        <w:t>Direct cooperation</w:t>
      </w:r>
      <w:r>
        <w:rPr>
          <w:rFonts w:ascii="Times New Roman" w:eastAsia="Calibri" w:hAnsi="Times New Roman" w:cs="Times New Roman"/>
          <w:noProof/>
          <w:sz w:val="24"/>
        </w:rPr>
        <w:t xml:space="preserve"> on the basis of the </w:t>
      </w:r>
      <w:r>
        <w:rPr>
          <w:rFonts w:ascii="Times New Roman" w:hAnsi="Times New Roman" w:cs="Times New Roman"/>
          <w:noProof/>
          <w:sz w:val="24"/>
        </w:rPr>
        <w:t>European Production Order</w:t>
      </w:r>
      <w:r>
        <w:rPr>
          <w:rFonts w:ascii="Times New Roman" w:eastAsia="Calibri" w:hAnsi="Times New Roman" w:cs="Times New Roman"/>
          <w:noProof/>
          <w:sz w:val="24"/>
        </w:rPr>
        <w:t xml:space="preserve"> would be applicable in the rest of the situations where direct cooperation with the service provider is possible.</w:t>
      </w:r>
    </w:p>
    <w:p w:rsidR="001B65FF" w:rsidRDefault="003E4EF4">
      <w:pPr>
        <w:spacing w:before="120" w:after="0"/>
        <w:jc w:val="both"/>
        <w:rPr>
          <w:rFonts w:ascii="Times New Roman" w:eastAsia="Calibri" w:hAnsi="Times New Roman" w:cs="Times New Roman"/>
          <w:noProof/>
          <w:sz w:val="24"/>
        </w:rPr>
      </w:pPr>
      <w:r>
        <w:rPr>
          <w:rFonts w:ascii="Times New Roman" w:eastAsia="Calibri" w:hAnsi="Times New Roman" w:cs="Times New Roman"/>
          <w:noProof/>
          <w:sz w:val="24"/>
        </w:rPr>
        <w:t xml:space="preserve">This option would also build on the </w:t>
      </w:r>
      <w:r>
        <w:rPr>
          <w:rFonts w:ascii="Times New Roman" w:eastAsia="Calibri" w:hAnsi="Times New Roman" w:cs="Times New Roman"/>
          <w:noProof/>
          <w:sz w:val="24"/>
        </w:rPr>
        <w:t>complementarity of the measures under international agreements and those under direct cooperation. For example:</w:t>
      </w:r>
    </w:p>
    <w:p w:rsidR="001B65FF" w:rsidRDefault="003E4EF4">
      <w:pPr>
        <w:numPr>
          <w:ilvl w:val="1"/>
          <w:numId w:val="100"/>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A multilateral agreement such as the additional protocol in the Council of Europe Convention on Cybercrime could address </w:t>
      </w:r>
      <w:r>
        <w:rPr>
          <w:rFonts w:ascii="Times New Roman" w:eastAsia="Calibri" w:hAnsi="Times New Roman" w:cs="Times New Roman"/>
          <w:b/>
          <w:noProof/>
          <w:sz w:val="24"/>
        </w:rPr>
        <w:t xml:space="preserve">reciprocity </w:t>
      </w:r>
      <w:r>
        <w:rPr>
          <w:rFonts w:ascii="Times New Roman" w:eastAsia="Calibri" w:hAnsi="Times New Roman" w:cs="Times New Roman"/>
          <w:noProof/>
          <w:sz w:val="24"/>
        </w:rPr>
        <w:t>issues aris</w:t>
      </w:r>
      <w:r>
        <w:rPr>
          <w:rFonts w:ascii="Times New Roman" w:eastAsia="Calibri" w:hAnsi="Times New Roman" w:cs="Times New Roman"/>
          <w:noProof/>
          <w:sz w:val="24"/>
        </w:rPr>
        <w:t>ing from the legal measures for direct cooperation.</w:t>
      </w:r>
    </w:p>
    <w:p w:rsidR="001B65FF" w:rsidRDefault="003E4EF4">
      <w:pPr>
        <w:numPr>
          <w:ilvl w:val="1"/>
          <w:numId w:val="100"/>
        </w:numPr>
        <w:jc w:val="both"/>
        <w:rPr>
          <w:rFonts w:ascii="Times New Roman" w:hAnsi="Times New Roman" w:cs="Times New Roman"/>
          <w:noProof/>
          <w:sz w:val="24"/>
          <w:lang w:eastAsia="en-GB"/>
        </w:rPr>
      </w:pPr>
      <w:r>
        <w:rPr>
          <w:rFonts w:ascii="Times New Roman" w:eastAsia="Calibri" w:hAnsi="Times New Roman" w:cs="Times New Roman"/>
          <w:noProof/>
          <w:sz w:val="24"/>
        </w:rPr>
        <w:t>The international agreement could address the fundamental rights issues that could result from the direct access of non-EU countries to personal data of EU residents without ensuring due process and legal</w:t>
      </w:r>
      <w:r>
        <w:rPr>
          <w:rFonts w:ascii="Times New Roman" w:eastAsia="Calibri" w:hAnsi="Times New Roman" w:cs="Times New Roman"/>
          <w:noProof/>
          <w:sz w:val="24"/>
        </w:rPr>
        <w:t xml:space="preserve"> safeguards comparable to EU standards.</w:t>
      </w:r>
    </w:p>
    <w:p w:rsidR="001B65FF" w:rsidRDefault="003E4EF4">
      <w:pPr>
        <w:keepNext/>
        <w:numPr>
          <w:ilvl w:val="0"/>
          <w:numId w:val="3"/>
        </w:numPr>
        <w:spacing w:before="240" w:after="240" w:line="240" w:lineRule="auto"/>
        <w:jc w:val="both"/>
        <w:outlineLvl w:val="0"/>
        <w:rPr>
          <w:rFonts w:ascii="Times New Roman" w:eastAsia="Times New Roman" w:hAnsi="Times New Roman" w:cs="Times New Roman"/>
          <w:b/>
          <w:smallCaps/>
          <w:noProof/>
          <w:sz w:val="24"/>
          <w:szCs w:val="20"/>
        </w:rPr>
      </w:pPr>
      <w:bookmarkStart w:id="1342" w:name="_Toc497927266"/>
      <w:bookmarkStart w:id="1343" w:name="_Toc497927879"/>
      <w:bookmarkStart w:id="1344" w:name="_Toc497928145"/>
      <w:bookmarkStart w:id="1345" w:name="_Toc498509673"/>
      <w:bookmarkStart w:id="1346" w:name="_Toc498521228"/>
      <w:bookmarkStart w:id="1347" w:name="_Toc498701972"/>
      <w:bookmarkStart w:id="1348" w:name="_Toc498704704"/>
      <w:bookmarkStart w:id="1349" w:name="_Toc499020462"/>
      <w:bookmarkStart w:id="1350" w:name="_Toc499030365"/>
      <w:bookmarkStart w:id="1351" w:name="_Toc499044938"/>
      <w:bookmarkStart w:id="1352" w:name="_Toc499051323"/>
      <w:bookmarkStart w:id="1353" w:name="_Toc499133310"/>
      <w:bookmarkStart w:id="1354" w:name="_Toc499142849"/>
      <w:bookmarkStart w:id="1355" w:name="_Toc510952876"/>
      <w:r>
        <w:rPr>
          <w:rFonts w:ascii="Times New Roman" w:eastAsia="Times New Roman" w:hAnsi="Times New Roman" w:cs="Times New Roman"/>
          <w:b/>
          <w:smallCaps/>
          <w:noProof/>
          <w:sz w:val="24"/>
          <w:szCs w:val="20"/>
        </w:rPr>
        <w:t>What are the impacts of the policy options?</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rsidR="001B65FF" w:rsidRDefault="003E4EF4">
      <w:pPr>
        <w:keepNext/>
        <w:numPr>
          <w:ilvl w:val="1"/>
          <w:numId w:val="3"/>
        </w:numPr>
        <w:tabs>
          <w:tab w:val="clear" w:pos="1200"/>
          <w:tab w:val="num" w:pos="567"/>
        </w:tabs>
        <w:spacing w:before="200" w:after="240" w:line="240" w:lineRule="auto"/>
        <w:ind w:left="709"/>
        <w:jc w:val="both"/>
        <w:outlineLvl w:val="1"/>
        <w:rPr>
          <w:rFonts w:ascii="Times New Roman" w:eastAsia="Times New Roman" w:hAnsi="Times New Roman"/>
          <w:noProof/>
          <w:sz w:val="24"/>
        </w:rPr>
      </w:pPr>
      <w:bookmarkStart w:id="1356" w:name="_Toc499030366"/>
      <w:bookmarkStart w:id="1357" w:name="_Toc499044939"/>
      <w:bookmarkStart w:id="1358" w:name="_Toc499051324"/>
      <w:bookmarkStart w:id="1359" w:name="_Toc499133311"/>
      <w:bookmarkStart w:id="1360" w:name="_Toc499142850"/>
      <w:bookmarkStart w:id="1361" w:name="_Toc510952877"/>
      <w:r>
        <w:rPr>
          <w:rFonts w:ascii="Times New Roman" w:eastAsia="Times New Roman" w:hAnsi="Times New Roman"/>
          <w:noProof/>
          <w:sz w:val="24"/>
        </w:rPr>
        <w:t>Qualitative assessment</w:t>
      </w:r>
      <w:bookmarkEnd w:id="1356"/>
      <w:bookmarkEnd w:id="1357"/>
      <w:bookmarkEnd w:id="1358"/>
      <w:bookmarkEnd w:id="1359"/>
      <w:bookmarkEnd w:id="1360"/>
      <w:bookmarkEnd w:id="1361"/>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The qualitative assessment of the options based on their social, economic and fundamental rights impacts</w:t>
      </w:r>
      <w:r>
        <w:rPr>
          <w:rStyle w:val="FootnoteReference"/>
          <w:rFonts w:ascii="Times New Roman" w:hAnsi="Times New Roman" w:cs="Times New Roman"/>
          <w:noProof/>
          <w:sz w:val="24"/>
        </w:rPr>
        <w:footnoteReference w:id="110"/>
      </w:r>
      <w:r>
        <w:rPr>
          <w:rFonts w:ascii="Times New Roman" w:hAnsi="Times New Roman" w:cs="Times New Roman"/>
          <w:noProof/>
          <w:sz w:val="24"/>
        </w:rPr>
        <w:t xml:space="preserve"> was done in two stages:</w:t>
      </w:r>
    </w:p>
    <w:p w:rsidR="001B65FF" w:rsidRDefault="003E4EF4">
      <w:pPr>
        <w:pStyle w:val="ListParagraph"/>
        <w:numPr>
          <w:ilvl w:val="0"/>
          <w:numId w:val="199"/>
        </w:numPr>
        <w:spacing w:after="120"/>
        <w:jc w:val="both"/>
        <w:rPr>
          <w:rFonts w:ascii="Times New Roman" w:hAnsi="Times New Roman" w:cs="Times New Roman"/>
          <w:noProof/>
          <w:sz w:val="24"/>
        </w:rPr>
      </w:pPr>
      <w:r>
        <w:rPr>
          <w:rFonts w:ascii="Times New Roman" w:hAnsi="Times New Roman" w:cs="Times New Roman"/>
          <w:noProof/>
          <w:sz w:val="24"/>
        </w:rPr>
        <w:t>Qualitative assessm</w:t>
      </w:r>
      <w:r>
        <w:rPr>
          <w:rFonts w:ascii="Times New Roman" w:hAnsi="Times New Roman" w:cs="Times New Roman"/>
          <w:noProof/>
          <w:sz w:val="24"/>
        </w:rPr>
        <w:t>ent of the policy measures (see Annex 4).</w:t>
      </w:r>
    </w:p>
    <w:p w:rsidR="001B65FF" w:rsidRDefault="003E4EF4">
      <w:pPr>
        <w:pStyle w:val="ListParagraph"/>
        <w:numPr>
          <w:ilvl w:val="0"/>
          <w:numId w:val="199"/>
        </w:numPr>
        <w:spacing w:after="120"/>
        <w:jc w:val="both"/>
        <w:rPr>
          <w:rFonts w:ascii="Times New Roman" w:hAnsi="Times New Roman" w:cs="Times New Roman"/>
          <w:noProof/>
          <w:sz w:val="24"/>
        </w:rPr>
      </w:pPr>
      <w:r>
        <w:rPr>
          <w:rFonts w:ascii="Times New Roman" w:hAnsi="Times New Roman" w:cs="Times New Roman"/>
          <w:noProof/>
          <w:sz w:val="24"/>
        </w:rPr>
        <w:t xml:space="preserve">Qualitative assessment of the policy options (this section), based on the above assessment of the corresponding measures. </w:t>
      </w:r>
    </w:p>
    <w:p w:rsidR="001B65FF" w:rsidRDefault="003E4EF4">
      <w:pPr>
        <w:keepNext/>
        <w:numPr>
          <w:ilvl w:val="2"/>
          <w:numId w:val="3"/>
        </w:numPr>
        <w:tabs>
          <w:tab w:val="clear" w:pos="1920"/>
        </w:tabs>
        <w:spacing w:before="120" w:after="120" w:line="240" w:lineRule="auto"/>
        <w:ind w:left="720"/>
        <w:jc w:val="both"/>
        <w:outlineLvl w:val="2"/>
        <w:rPr>
          <w:rFonts w:ascii="Times New Roman" w:eastAsia="Times New Roman" w:hAnsi="Times New Roman" w:cs="Times New Roman"/>
          <w:noProof/>
          <w:sz w:val="24"/>
          <w:szCs w:val="20"/>
        </w:rPr>
      </w:pPr>
      <w:bookmarkStart w:id="1362" w:name="_Toc499022228"/>
      <w:bookmarkStart w:id="1363" w:name="_Toc499022506"/>
      <w:bookmarkStart w:id="1364" w:name="_Toc499028461"/>
      <w:bookmarkStart w:id="1365" w:name="_Toc499029839"/>
      <w:bookmarkStart w:id="1366" w:name="_Toc499030395"/>
      <w:bookmarkStart w:id="1367" w:name="_Toc499036754"/>
      <w:bookmarkStart w:id="1368" w:name="_Toc499039230"/>
      <w:bookmarkStart w:id="1369" w:name="_Toc499039615"/>
      <w:bookmarkStart w:id="1370" w:name="_Toc499045053"/>
      <w:bookmarkStart w:id="1371" w:name="_Toc499048078"/>
      <w:bookmarkStart w:id="1372" w:name="_Toc499050720"/>
      <w:bookmarkStart w:id="1373" w:name="_Toc499051353"/>
      <w:bookmarkStart w:id="1374" w:name="_Toc499053310"/>
      <w:bookmarkStart w:id="1375" w:name="_Toc499128405"/>
      <w:bookmarkStart w:id="1376" w:name="_Toc499129519"/>
      <w:bookmarkStart w:id="1377" w:name="_Toc499130030"/>
      <w:bookmarkStart w:id="1378" w:name="_Toc499134822"/>
      <w:bookmarkStart w:id="1379" w:name="_Toc499138215"/>
      <w:bookmarkStart w:id="1380" w:name="_Toc499138354"/>
      <w:bookmarkStart w:id="1381" w:name="_Toc499138616"/>
      <w:bookmarkStart w:id="1382" w:name="_Toc499140960"/>
      <w:bookmarkStart w:id="1383" w:name="_Toc499141248"/>
      <w:bookmarkStart w:id="1384" w:name="_Toc499142879"/>
      <w:bookmarkStart w:id="1385" w:name="_Toc499143324"/>
      <w:bookmarkStart w:id="1386" w:name="_Toc499022229"/>
      <w:bookmarkStart w:id="1387" w:name="_Toc499022507"/>
      <w:bookmarkStart w:id="1388" w:name="_Toc499028462"/>
      <w:bookmarkStart w:id="1389" w:name="_Toc499029840"/>
      <w:bookmarkStart w:id="1390" w:name="_Toc499030396"/>
      <w:bookmarkStart w:id="1391" w:name="_Toc499036755"/>
      <w:bookmarkStart w:id="1392" w:name="_Toc499039231"/>
      <w:bookmarkStart w:id="1393" w:name="_Toc499039616"/>
      <w:bookmarkStart w:id="1394" w:name="_Toc499045054"/>
      <w:bookmarkStart w:id="1395" w:name="_Toc499048079"/>
      <w:bookmarkStart w:id="1396" w:name="_Toc499050721"/>
      <w:bookmarkStart w:id="1397" w:name="_Toc499051354"/>
      <w:bookmarkStart w:id="1398" w:name="_Toc499053311"/>
      <w:bookmarkStart w:id="1399" w:name="_Toc499128406"/>
      <w:bookmarkStart w:id="1400" w:name="_Toc499129520"/>
      <w:bookmarkStart w:id="1401" w:name="_Toc499130031"/>
      <w:bookmarkStart w:id="1402" w:name="_Toc499134823"/>
      <w:bookmarkStart w:id="1403" w:name="_Toc499138216"/>
      <w:bookmarkStart w:id="1404" w:name="_Toc499138355"/>
      <w:bookmarkStart w:id="1405" w:name="_Toc499138617"/>
      <w:bookmarkStart w:id="1406" w:name="_Toc499140961"/>
      <w:bookmarkStart w:id="1407" w:name="_Toc499141249"/>
      <w:bookmarkStart w:id="1408" w:name="_Toc499142880"/>
      <w:bookmarkStart w:id="1409" w:name="_Toc499143325"/>
      <w:bookmarkStart w:id="1410" w:name="_Toc497927267"/>
      <w:bookmarkStart w:id="1411" w:name="_Toc497927880"/>
      <w:bookmarkStart w:id="1412" w:name="_Toc497928146"/>
      <w:bookmarkStart w:id="1413" w:name="_Toc498509674"/>
      <w:bookmarkStart w:id="1414" w:name="_Toc498521229"/>
      <w:bookmarkStart w:id="1415" w:name="_Toc498701973"/>
      <w:bookmarkStart w:id="1416" w:name="_Toc498704705"/>
      <w:bookmarkStart w:id="1417" w:name="_Toc499020463"/>
      <w:bookmarkStart w:id="1418" w:name="_Toc499030397"/>
      <w:bookmarkStart w:id="1419" w:name="_Toc499044940"/>
      <w:bookmarkStart w:id="1420" w:name="_Toc499051355"/>
      <w:bookmarkStart w:id="1421" w:name="_Toc499133312"/>
      <w:bookmarkStart w:id="1422" w:name="_Toc499142881"/>
      <w:bookmarkStart w:id="1423" w:name="_Toc510952878"/>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r>
        <w:rPr>
          <w:rFonts w:ascii="Times New Roman" w:eastAsia="Times New Roman" w:hAnsi="Times New Roman" w:cs="Times New Roman"/>
          <w:noProof/>
          <w:sz w:val="24"/>
          <w:szCs w:val="20"/>
        </w:rPr>
        <w:t>Social impact</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r>
        <w:rPr>
          <w:rFonts w:ascii="Times New Roman" w:eastAsia="Times New Roman" w:hAnsi="Times New Roman" w:cs="Times New Roman"/>
          <w:noProof/>
          <w:sz w:val="24"/>
          <w:szCs w:val="20"/>
        </w:rPr>
        <w:t xml:space="preserve"> </w:t>
      </w:r>
    </w:p>
    <w:p w:rsidR="001B65FF" w:rsidRDefault="003E4EF4">
      <w:pPr>
        <w:autoSpaceDE w:val="0"/>
        <w:autoSpaceDN w:val="0"/>
        <w:adjustRightInd w:val="0"/>
        <w:jc w:val="both"/>
        <w:rPr>
          <w:rFonts w:ascii="Times New Roman" w:hAnsi="Times New Roman" w:cs="Times New Roman"/>
          <w:noProof/>
          <w:sz w:val="24"/>
        </w:rPr>
      </w:pPr>
      <w:r>
        <w:rPr>
          <w:rFonts w:ascii="Times New Roman" w:hAnsi="Times New Roman" w:cs="Times New Roman"/>
          <w:noProof/>
          <w:sz w:val="24"/>
        </w:rPr>
        <w:t xml:space="preserve">As the objective of the initiative is to ensure effective investigation and </w:t>
      </w:r>
      <w:r>
        <w:rPr>
          <w:rFonts w:ascii="Times New Roman" w:hAnsi="Times New Roman" w:cs="Times New Roman"/>
          <w:noProof/>
          <w:sz w:val="24"/>
        </w:rPr>
        <w:t xml:space="preserve">prosecution of crimes in the EU, the focus of the social impact assessment is on crime and security, in particular on public authorities' capacity to investigate and prosecute criminal activity. Any improvement of this capacity could also lead to improved </w:t>
      </w:r>
      <w:r>
        <w:rPr>
          <w:rFonts w:ascii="Times New Roman" w:hAnsi="Times New Roman" w:cs="Times New Roman"/>
          <w:noProof/>
          <w:sz w:val="24"/>
        </w:rPr>
        <w:t xml:space="preserve">deterrence for criminals, better protection of victims and improved security for EU citizens. According to Member States' input, cross-border access to e-evidence is relevant for more than half of all investigations, and many investigations come to a dead </w:t>
      </w:r>
      <w:r>
        <w:rPr>
          <w:rFonts w:ascii="Times New Roman" w:hAnsi="Times New Roman" w:cs="Times New Roman"/>
          <w:noProof/>
          <w:sz w:val="24"/>
        </w:rPr>
        <w:t>end because of failed access. Therefore, any improvement of cross-border access could have a positive impact on Member States' capacity to investigate and prosecute crime.</w:t>
      </w:r>
    </w:p>
    <w:p w:rsidR="001B65FF" w:rsidRDefault="003E4EF4">
      <w:pPr>
        <w:keepNext/>
        <w:spacing w:after="0"/>
        <w:rPr>
          <w:rFonts w:ascii="Times New Roman" w:hAnsi="Times New Roman" w:cs="Times New Roman"/>
          <w:b/>
          <w:noProof/>
          <w:sz w:val="24"/>
          <w:szCs w:val="24"/>
        </w:rPr>
      </w:pPr>
      <w:bookmarkStart w:id="1424" w:name="_Toc498509675"/>
      <w:bookmarkStart w:id="1425" w:name="_Toc498521230"/>
      <w:r>
        <w:rPr>
          <w:rFonts w:ascii="Times New Roman" w:hAnsi="Times New Roman" w:cs="Times New Roman"/>
          <w:b/>
          <w:noProof/>
          <w:sz w:val="24"/>
          <w:szCs w:val="24"/>
        </w:rPr>
        <w:t>Option O: baseline</w:t>
      </w:r>
      <w:bookmarkEnd w:id="1424"/>
      <w:bookmarkEnd w:id="1425"/>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In the baseline scenario, authorities' capacity to investigate an</w:t>
      </w:r>
      <w:r>
        <w:rPr>
          <w:rFonts w:ascii="Times New Roman" w:hAnsi="Times New Roman" w:cs="Times New Roman"/>
          <w:noProof/>
          <w:sz w:val="24"/>
        </w:rPr>
        <w:t>d prosecute crime will not improve, but is rather expected to be further reduced. This is due to the exponential growth of electronic data and the move away from publicly available data, requiring judicial cooperation procedures where formerly a direct loo</w:t>
      </w:r>
      <w:r>
        <w:rPr>
          <w:rFonts w:ascii="Times New Roman" w:hAnsi="Times New Roman" w:cs="Times New Roman"/>
          <w:noProof/>
          <w:sz w:val="24"/>
        </w:rPr>
        <w:t>kup sufficed.  In addition, lower or no roaming fees create incentives for criminals to use the cheapest providers in the EU for throwaway phones, regardless of Member State, expanding cross-border use. Together, these changes are likely to create a signif</w:t>
      </w:r>
      <w:r>
        <w:rPr>
          <w:rFonts w:ascii="Times New Roman" w:hAnsi="Times New Roman" w:cs="Times New Roman"/>
          <w:noProof/>
          <w:sz w:val="24"/>
        </w:rPr>
        <w:t>icant burden on the current system.</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As previously described, </w:t>
      </w:r>
      <w:r>
        <w:rPr>
          <w:rFonts w:ascii="Times New Roman" w:hAnsi="Times New Roman" w:cs="Times New Roman"/>
          <w:noProof/>
          <w:sz w:val="24"/>
          <w:u w:val="single"/>
        </w:rPr>
        <w:t>judicial cooperation</w:t>
      </w:r>
      <w:r>
        <w:rPr>
          <w:rFonts w:ascii="Times New Roman" w:hAnsi="Times New Roman" w:cs="Times New Roman"/>
          <w:noProof/>
          <w:sz w:val="24"/>
        </w:rPr>
        <w:t xml:space="preserve"> would probably take longer. Countries are unlikely to invest at the necessary level to deal with the increased number of MLAT/EIO requests, especially where they do not see a</w:t>
      </w:r>
      <w:r>
        <w:rPr>
          <w:rFonts w:ascii="Times New Roman" w:hAnsi="Times New Roman" w:cs="Times New Roman"/>
          <w:noProof/>
          <w:sz w:val="24"/>
        </w:rPr>
        <w:t xml:space="preserve"> need for these procedures. This is particularly true for countries like the US which are taking steps to decrease reliance on judicial cooperation procedures when foreign authorities contact service providers established there. Such countries would not ne</w:t>
      </w:r>
      <w:r>
        <w:rPr>
          <w:rFonts w:ascii="Times New Roman" w:hAnsi="Times New Roman" w:cs="Times New Roman"/>
          <w:noProof/>
          <w:sz w:val="24"/>
        </w:rPr>
        <w:t xml:space="preserve">cessarily see a need to invest more in procedures that, from their perspective, are superfluous. They would only be motivated by an interest in serving the needs of partner countries. </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Similarly, in the absence of a mandatory legal framework, </w:t>
      </w:r>
      <w:r>
        <w:rPr>
          <w:rFonts w:ascii="Times New Roman" w:hAnsi="Times New Roman" w:cs="Times New Roman"/>
          <w:noProof/>
          <w:sz w:val="24"/>
          <w:u w:val="single"/>
        </w:rPr>
        <w:t>direct cooper</w:t>
      </w:r>
      <w:r>
        <w:rPr>
          <w:rFonts w:ascii="Times New Roman" w:hAnsi="Times New Roman" w:cs="Times New Roman"/>
          <w:noProof/>
          <w:sz w:val="24"/>
          <w:u w:val="single"/>
        </w:rPr>
        <w:t>ation</w:t>
      </w:r>
      <w:r>
        <w:rPr>
          <w:rFonts w:ascii="Times New Roman" w:hAnsi="Times New Roman" w:cs="Times New Roman"/>
          <w:noProof/>
          <w:sz w:val="24"/>
        </w:rPr>
        <w:t xml:space="preserve"> between service providers and public authorities is likely to suffer under the strain of the ever-increasing number of requests. Feedback from the consultation process indicates the clear and growing limitations of the existing process (see Annex 2).</w:t>
      </w:r>
      <w:r>
        <w:rPr>
          <w:rFonts w:ascii="Times New Roman" w:hAnsi="Times New Roman" w:cs="Times New Roman"/>
          <w:noProof/>
          <w:sz w:val="24"/>
        </w:rPr>
        <w:t xml:space="preserve"> Without an EU framework for cross-border access to e-evidence, and in view of the clear need expressed both at expert and ministerial level, Member States are likely to introduce different practices and legislative instruments at national level, which de </w:t>
      </w:r>
      <w:r>
        <w:rPr>
          <w:rFonts w:ascii="Times New Roman" w:hAnsi="Times New Roman" w:cs="Times New Roman"/>
          <w:noProof/>
          <w:sz w:val="24"/>
        </w:rPr>
        <w:t>facto cannot foster harmonisation and would lead to fragmentation. Uncoordinated solutions could also create conflicting obligations for service providers, and increase the administrative burden inherent in many different national solutions. This developme</w:t>
      </w:r>
      <w:r>
        <w:rPr>
          <w:rFonts w:ascii="Times New Roman" w:hAnsi="Times New Roman" w:cs="Times New Roman"/>
          <w:noProof/>
          <w:sz w:val="24"/>
        </w:rPr>
        <w:t>nt is already taking place: for example, Italy has put forward new draft legislation to impose an obligation on service providers active there to nominate a legal representative in Italy. Italian authorities could thus serve domestic production orders on t</w:t>
      </w:r>
      <w:r>
        <w:rPr>
          <w:rFonts w:ascii="Times New Roman" w:hAnsi="Times New Roman" w:cs="Times New Roman"/>
          <w:noProof/>
          <w:sz w:val="24"/>
        </w:rPr>
        <w:t>hese companies, and have domestic enforcement tools at their disposal.</w:t>
      </w:r>
    </w:p>
    <w:p w:rsidR="001B65FF" w:rsidRDefault="003E4EF4">
      <w:pPr>
        <w:autoSpaceDE w:val="0"/>
        <w:autoSpaceDN w:val="0"/>
        <w:adjustRightInd w:val="0"/>
        <w:jc w:val="both"/>
        <w:rPr>
          <w:rFonts w:ascii="Times New Roman" w:hAnsi="Times New Roman" w:cs="Times New Roman"/>
          <w:noProof/>
        </w:rPr>
      </w:pPr>
      <w:r>
        <w:rPr>
          <w:rFonts w:ascii="Times New Roman" w:hAnsi="Times New Roman" w:cs="Times New Roman"/>
          <w:noProof/>
          <w:sz w:val="24"/>
        </w:rPr>
        <w:t>These likely developments, taken together, could create further obstacles to access e-evidence, resulting in an increased number of delays and unanswered requests. In addition, as compa</w:t>
      </w:r>
      <w:r>
        <w:rPr>
          <w:rFonts w:ascii="Times New Roman" w:hAnsi="Times New Roman" w:cs="Times New Roman"/>
          <w:noProof/>
          <w:sz w:val="24"/>
        </w:rPr>
        <w:t>nies within and beyond the EU start implementing stronger data protection rules, data minimisation and related rules should lead to swifter deletion of metadata in particular, in the absence of a specific legal basis for the retention. Inefficiencies and d</w:t>
      </w:r>
      <w:r>
        <w:rPr>
          <w:rFonts w:ascii="Times New Roman" w:hAnsi="Times New Roman" w:cs="Times New Roman"/>
          <w:noProof/>
          <w:sz w:val="24"/>
        </w:rPr>
        <w:t xml:space="preserve">elays in data requests would lead to a growth in unanswered requests as the data would have been deleted already. This could result in less effective investigations and prosecutions, which in turn could lead to a decreased deterrent effect, less effective </w:t>
      </w:r>
      <w:r>
        <w:rPr>
          <w:rFonts w:ascii="Times New Roman" w:hAnsi="Times New Roman" w:cs="Times New Roman"/>
          <w:noProof/>
          <w:sz w:val="24"/>
        </w:rPr>
        <w:t>protection for victims and a lower overall perception of security.</w:t>
      </w:r>
    </w:p>
    <w:p w:rsidR="001B65FF" w:rsidRDefault="003E4EF4">
      <w:pPr>
        <w:spacing w:after="0"/>
        <w:rPr>
          <w:rFonts w:ascii="Times New Roman" w:hAnsi="Times New Roman" w:cs="Times New Roman"/>
          <w:b/>
          <w:noProof/>
          <w:sz w:val="24"/>
          <w:szCs w:val="24"/>
        </w:rPr>
      </w:pPr>
      <w:bookmarkStart w:id="1426" w:name="_Toc498509676"/>
      <w:bookmarkStart w:id="1427" w:name="_Toc498521231"/>
      <w:bookmarkStart w:id="1428" w:name="_Toc497927269"/>
      <w:bookmarkStart w:id="1429" w:name="_Toc497927882"/>
      <w:bookmarkStart w:id="1430" w:name="_Toc497928148"/>
      <w:r>
        <w:rPr>
          <w:rFonts w:ascii="Times New Roman" w:hAnsi="Times New Roman" w:cs="Times New Roman"/>
          <w:b/>
          <w:noProof/>
          <w:sz w:val="24"/>
          <w:szCs w:val="24"/>
        </w:rPr>
        <w:t>Option A: non-legislative action</w:t>
      </w:r>
      <w:bookmarkEnd w:id="1426"/>
      <w:bookmarkEnd w:id="1427"/>
    </w:p>
    <w:bookmarkEnd w:id="1428"/>
    <w:bookmarkEnd w:id="1429"/>
    <w:bookmarkEnd w:id="1430"/>
    <w:p w:rsidR="001B65FF" w:rsidRDefault="003E4EF4">
      <w:pPr>
        <w:spacing w:after="120"/>
        <w:jc w:val="both"/>
        <w:rPr>
          <w:rFonts w:ascii="Times New Roman" w:eastAsia="Calibri" w:hAnsi="Times New Roman"/>
          <w:noProof/>
          <w:sz w:val="24"/>
          <w:lang w:eastAsia="ar-SA"/>
        </w:rPr>
      </w:pPr>
      <w:r>
        <w:rPr>
          <w:rFonts w:ascii="Times New Roman" w:hAnsi="Times New Roman" w:cs="Times New Roman"/>
          <w:noProof/>
          <w:sz w:val="24"/>
        </w:rPr>
        <w:t>The practical measures to enhance judicial cooperation between public authorities in the EU and in the US, in particular the training of EU practitioners an</w:t>
      </w:r>
      <w:r>
        <w:rPr>
          <w:rFonts w:ascii="Times New Roman" w:hAnsi="Times New Roman" w:cs="Times New Roman"/>
          <w:noProof/>
          <w:sz w:val="24"/>
        </w:rPr>
        <w:t>d the sharing of guidelines and best practices, would to some extent improve the quality of MLA requests submitted by EU authorities and would therefore both accelerate the treatment of these requests and improve their success rate.</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rPr>
        <w:t xml:space="preserve">The establishment of a </w:t>
      </w:r>
      <w:r>
        <w:rPr>
          <w:rFonts w:ascii="Times New Roman" w:hAnsi="Times New Roman" w:cs="Times New Roman"/>
          <w:noProof/>
          <w:sz w:val="24"/>
        </w:rPr>
        <w:t>platform for online exchange of e-evidence between EU competent authorities and the creation of an electronic form for EIO requests is expected to facilitate judicial cooperation between competent authorities of Member States, allowing them to secure and o</w:t>
      </w:r>
      <w:r>
        <w:rPr>
          <w:rFonts w:ascii="Times New Roman" w:hAnsi="Times New Roman" w:cs="Times New Roman"/>
          <w:noProof/>
          <w:sz w:val="24"/>
        </w:rPr>
        <w:t>btain e-evidence more quickly and effectively.</w:t>
      </w:r>
      <w:r>
        <w:rPr>
          <w:rFonts w:ascii="Times New Roman" w:eastAsia="Calibri" w:hAnsi="Times New Roman" w:cs="Times New Roman"/>
          <w:noProof/>
          <w:sz w:val="24"/>
          <w:lang w:eastAsia="ar-SA"/>
        </w:rPr>
        <w:t xml:space="preserve"> </w:t>
      </w:r>
      <w:r>
        <w:rPr>
          <w:rFonts w:ascii="Times New Roman" w:hAnsi="Times New Roman" w:cs="Times New Roman"/>
          <w:noProof/>
          <w:sz w:val="24"/>
        </w:rPr>
        <w:t>Regarding direct cooperation with service providers, the foreseen training and sharing of guidelines and best practices as well as the creation of SPOCs should improve the quality and the treatment of requests</w:t>
      </w:r>
      <w:r>
        <w:rPr>
          <w:rFonts w:ascii="Times New Roman" w:hAnsi="Times New Roman" w:cs="Times New Roman"/>
          <w:noProof/>
          <w:sz w:val="24"/>
        </w:rPr>
        <w:t>. The streamlining of procedures and standards could increase effectiveness of voluntary cooperation channels.</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These practical measures, which were widely welcomed by stakeholders, would to some extent improve the efficiency of the process: less resources </w:t>
      </w:r>
      <w:r>
        <w:rPr>
          <w:rFonts w:ascii="Times New Roman" w:hAnsi="Times New Roman" w:cs="Times New Roman"/>
          <w:noProof/>
          <w:sz w:val="24"/>
        </w:rPr>
        <w:t xml:space="preserve">would be spent on the process, and there would be an </w:t>
      </w:r>
      <w:r>
        <w:rPr>
          <w:rFonts w:ascii="Times New Roman" w:eastAsia="Calibri" w:hAnsi="Times New Roman"/>
          <w:noProof/>
          <w:sz w:val="24"/>
          <w:szCs w:val="24"/>
          <w:lang w:eastAsia="ar-SA"/>
        </w:rPr>
        <w:t>increase of the total number of requests made because requests that were not done previously because of the complexity of the process or a lack of knowledge about the procedure would now be done,</w:t>
      </w:r>
      <w:r>
        <w:rPr>
          <w:rFonts w:ascii="Times New Roman" w:hAnsi="Times New Roman" w:cs="Times New Roman"/>
          <w:noProof/>
          <w:sz w:val="24"/>
        </w:rPr>
        <w:t xml:space="preserve"> thereby</w:t>
      </w:r>
      <w:r>
        <w:rPr>
          <w:rFonts w:ascii="Times New Roman" w:hAnsi="Times New Roman" w:cs="Times New Roman"/>
          <w:noProof/>
          <w:sz w:val="24"/>
        </w:rPr>
        <w:t xml:space="preserve"> improving access to electronic evidence. This could in turn result in more effective investigations and prosecutions and contribute to improved deterrence for criminals, better protection of victims and improved security for EU citizens.</w:t>
      </w:r>
    </w:p>
    <w:p w:rsidR="001B65FF" w:rsidRDefault="003E4EF4">
      <w:pPr>
        <w:spacing w:after="120"/>
        <w:jc w:val="both"/>
        <w:rPr>
          <w:rFonts w:ascii="Times New Roman" w:hAnsi="Times New Roman" w:cs="Times New Roman"/>
          <w:noProof/>
          <w:color w:val="000000"/>
          <w:sz w:val="24"/>
          <w:szCs w:val="24"/>
        </w:rPr>
      </w:pPr>
      <w:r>
        <w:rPr>
          <w:rFonts w:ascii="Times New Roman" w:hAnsi="Times New Roman" w:cs="Times New Roman"/>
          <w:noProof/>
          <w:sz w:val="24"/>
        </w:rPr>
        <w:t xml:space="preserve">On the other </w:t>
      </w:r>
      <w:r>
        <w:rPr>
          <w:rFonts w:ascii="Times New Roman" w:hAnsi="Times New Roman" w:cs="Times New Roman"/>
          <w:noProof/>
          <w:sz w:val="24"/>
        </w:rPr>
        <w:t>hand, the room for improvement is limited by the shortcomings of the existing framework, or the absence of a framework.</w:t>
      </w:r>
      <w:r>
        <w:rPr>
          <w:rFonts w:ascii="Times New Roman" w:hAnsi="Times New Roman" w:cs="Times New Roman"/>
          <w:noProof/>
          <w:sz w:val="24"/>
          <w:szCs w:val="24"/>
        </w:rPr>
        <w:t xml:space="preserve"> </w:t>
      </w:r>
      <w:r>
        <w:rPr>
          <w:rFonts w:ascii="Times New Roman" w:hAnsi="Times New Roman" w:cs="Times New Roman"/>
          <w:noProof/>
          <w:sz w:val="24"/>
        </w:rPr>
        <w:t>The measures in option A can only partly address the identified problems, as they cannot provide solutions to fragmented legal framework</w:t>
      </w:r>
      <w:r>
        <w:rPr>
          <w:rFonts w:ascii="Times New Roman" w:hAnsi="Times New Roman" w:cs="Times New Roman"/>
          <w:noProof/>
          <w:sz w:val="24"/>
        </w:rPr>
        <w:t>s among Member States. The improvements to judicial cooperation channels would not fundamentally change the process, meaning that they will remain longer and more resource-intensive when compared to direct cooperation channels. Training and exchange of bes</w:t>
      </w:r>
      <w:r>
        <w:rPr>
          <w:rFonts w:ascii="Times New Roman" w:hAnsi="Times New Roman" w:cs="Times New Roman"/>
          <w:noProof/>
          <w:sz w:val="24"/>
        </w:rPr>
        <w:t>t practice could significantly improve the use of existing channels. For example, as</w:t>
      </w:r>
      <w:r>
        <w:rPr>
          <w:rFonts w:ascii="Times New Roman" w:hAnsi="Times New Roman" w:cs="Times New Roman"/>
          <w:noProof/>
          <w:color w:val="000000"/>
          <w:sz w:val="24"/>
          <w:szCs w:val="24"/>
        </w:rPr>
        <w:t xml:space="preserve"> reported in the EU-US MLA Agreement Review Report, direct cooperation has improved as regards providing content data in </w:t>
      </w:r>
      <w:r>
        <w:rPr>
          <w:rFonts w:ascii="Times New Roman" w:eastAsia="Calibri" w:hAnsi="Times New Roman" w:cs="Times New Roman"/>
          <w:b/>
          <w:noProof/>
          <w:sz w:val="24"/>
          <w:lang w:eastAsia="ar-SA"/>
        </w:rPr>
        <w:t>emergency</w:t>
      </w:r>
      <w:r>
        <w:rPr>
          <w:rFonts w:ascii="Times New Roman" w:hAnsi="Times New Roman" w:cs="Times New Roman"/>
          <w:b/>
          <w:noProof/>
          <w:color w:val="000000"/>
          <w:sz w:val="24"/>
          <w:szCs w:val="24"/>
        </w:rPr>
        <w:t xml:space="preserve"> cases</w:t>
      </w:r>
      <w:r>
        <w:rPr>
          <w:rFonts w:ascii="Times New Roman" w:hAnsi="Times New Roman" w:cs="Times New Roman"/>
          <w:noProof/>
          <w:color w:val="000000"/>
          <w:sz w:val="24"/>
          <w:szCs w:val="24"/>
        </w:rPr>
        <w:t xml:space="preserve"> such as those involving imminent ri</w:t>
      </w:r>
      <w:r>
        <w:rPr>
          <w:rFonts w:ascii="Times New Roman" w:hAnsi="Times New Roman" w:cs="Times New Roman"/>
          <w:noProof/>
          <w:color w:val="000000"/>
          <w:sz w:val="24"/>
          <w:szCs w:val="24"/>
        </w:rPr>
        <w:t>sk of serious injury or death, including in terrorism cases. The usual process is that EU Member States’ law enforcement authorities liaise with the U.S. authorities who, in turn, facilitate the voluntary provision by service providers of the required mate</w:t>
      </w:r>
      <w:r>
        <w:rPr>
          <w:rFonts w:ascii="Times New Roman" w:hAnsi="Times New Roman" w:cs="Times New Roman"/>
          <w:noProof/>
          <w:color w:val="000000"/>
          <w:sz w:val="24"/>
          <w:szCs w:val="24"/>
        </w:rPr>
        <w:t>rial pursuant to U.S. law. This arrangement has worked very well and, in the most exceptionally serious and urgent cases, the U.S. has assisted in the obtaining of evidence in under 24 hours. Under U.S. law, such voluntary disclosure in emergency situation</w:t>
      </w:r>
      <w:r>
        <w:rPr>
          <w:rFonts w:ascii="Times New Roman" w:hAnsi="Times New Roman" w:cs="Times New Roman"/>
          <w:noProof/>
          <w:color w:val="000000"/>
          <w:sz w:val="24"/>
          <w:szCs w:val="24"/>
        </w:rPr>
        <w:t>s is accomplished without the need to meet the probable cause test. This improved cooperation is due at least in part to training, administrative cooperation and exchange of best practice. However, as can be deducted from the above description, these emerg</w:t>
      </w:r>
      <w:r>
        <w:rPr>
          <w:rFonts w:ascii="Times New Roman" w:hAnsi="Times New Roman" w:cs="Times New Roman"/>
          <w:noProof/>
          <w:color w:val="000000"/>
          <w:sz w:val="24"/>
          <w:szCs w:val="24"/>
        </w:rPr>
        <w:t xml:space="preserve">ency procedures have strict conditions and are </w:t>
      </w:r>
      <w:r>
        <w:rPr>
          <w:rFonts w:ascii="Times New Roman" w:hAnsi="Times New Roman" w:cs="Times New Roman"/>
          <w:b/>
          <w:noProof/>
          <w:color w:val="000000"/>
          <w:sz w:val="24"/>
          <w:szCs w:val="24"/>
        </w:rPr>
        <w:t>highly exceptional</w:t>
      </w:r>
      <w:r>
        <w:rPr>
          <w:rFonts w:ascii="Times New Roman" w:hAnsi="Times New Roman" w:cs="Times New Roman"/>
          <w:noProof/>
          <w:color w:val="000000"/>
          <w:sz w:val="24"/>
          <w:szCs w:val="24"/>
        </w:rPr>
        <w:t>. They cannot be used for the large majority of number of cases where electronic evidence is needed in the framework of normal criminal investigations. While training and information to judic</w:t>
      </w:r>
      <w:r>
        <w:rPr>
          <w:rFonts w:ascii="Times New Roman" w:hAnsi="Times New Roman" w:cs="Times New Roman"/>
          <w:noProof/>
          <w:color w:val="000000"/>
          <w:sz w:val="24"/>
          <w:szCs w:val="24"/>
        </w:rPr>
        <w:t>ial authorities may lead to improvements in the use of MLAT channels, they cannot address the problems of bottlenecks on the US end, where authorities are overloaded by requests from all over the world. It is most unlikely that a situation where the number</w:t>
      </w:r>
      <w:r>
        <w:rPr>
          <w:rFonts w:ascii="Times New Roman" w:hAnsi="Times New Roman" w:cs="Times New Roman"/>
          <w:noProof/>
          <w:color w:val="000000"/>
          <w:sz w:val="24"/>
          <w:szCs w:val="24"/>
        </w:rPr>
        <w:t xml:space="preserve"> of direct requests outnumbers the number of MLATs by a factor of 10 would be dramatically overturned by such measures.</w:t>
      </w:r>
    </w:p>
    <w:p w:rsidR="001B65FF" w:rsidRDefault="003E4EF4">
      <w:pPr>
        <w:spacing w:after="1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addition, the US have little incentive in further investing in procedures which are not required under their laws and not necessary t</w:t>
      </w:r>
      <w:r>
        <w:rPr>
          <w:rFonts w:ascii="Times New Roman" w:hAnsi="Times New Roman" w:cs="Times New Roman"/>
          <w:noProof/>
          <w:color w:val="000000"/>
          <w:sz w:val="24"/>
          <w:szCs w:val="24"/>
        </w:rPr>
        <w:t>o protect sovereign interests. Under these circumstances, the practical improvements to the current system are naturally limited.</w:t>
      </w:r>
    </w:p>
    <w:p w:rsidR="001B65FF" w:rsidRDefault="003E4EF4">
      <w:pPr>
        <w:spacing w:after="0"/>
        <w:jc w:val="both"/>
        <w:rPr>
          <w:rFonts w:ascii="Times New Roman" w:hAnsi="Times New Roman" w:cs="Times New Roman"/>
          <w:noProof/>
          <w:color w:val="000000"/>
          <w:sz w:val="24"/>
        </w:rPr>
      </w:pPr>
      <w:r>
        <w:rPr>
          <w:rFonts w:ascii="Times New Roman" w:hAnsi="Times New Roman" w:cs="Times New Roman"/>
          <w:noProof/>
          <w:sz w:val="24"/>
        </w:rPr>
        <w:t>The practical solutions for direct cooperation would also not address the need for increased legal certainty, transparency and</w:t>
      </w:r>
      <w:r>
        <w:rPr>
          <w:rFonts w:ascii="Times New Roman" w:hAnsi="Times New Roman" w:cs="Times New Roman"/>
          <w:noProof/>
          <w:sz w:val="24"/>
        </w:rPr>
        <w:t xml:space="preserve"> accountability in direct cross-border cooperation between authorities and service providers, which was highlighted as a key issue by all stakeholders in the expert process. </w:t>
      </w:r>
      <w:r>
        <w:rPr>
          <w:rFonts w:ascii="Times New Roman" w:eastAsia="Calibri" w:hAnsi="Times New Roman" w:cs="Times New Roman"/>
          <w:noProof/>
          <w:sz w:val="24"/>
          <w:lang w:eastAsia="ar-SA"/>
        </w:rPr>
        <w:t>Finally, the proposed measures on cooperation with service providers would only co</w:t>
      </w:r>
      <w:r>
        <w:rPr>
          <w:rFonts w:ascii="Times New Roman" w:eastAsia="Calibri" w:hAnsi="Times New Roman" w:cs="Times New Roman"/>
          <w:noProof/>
          <w:sz w:val="24"/>
          <w:lang w:eastAsia="ar-SA"/>
        </w:rPr>
        <w:t>ver providers under US jurisdiction and be limited to non-content data.</w:t>
      </w:r>
      <w:r>
        <w:rPr>
          <w:rFonts w:ascii="Times New Roman" w:hAnsi="Times New Roman" w:cs="Times New Roman"/>
          <w:noProof/>
          <w:color w:val="000000"/>
          <w:sz w:val="24"/>
        </w:rPr>
        <w:t xml:space="preserve"> Therefore, while the overall impact on the effectiveness of criminal investigations should be positive, this measure by itself would not fully address the problem, as also highlighted </w:t>
      </w:r>
      <w:r>
        <w:rPr>
          <w:rFonts w:ascii="Times New Roman" w:hAnsi="Times New Roman" w:cs="Times New Roman"/>
          <w:noProof/>
          <w:color w:val="000000"/>
          <w:sz w:val="24"/>
        </w:rPr>
        <w:t>by experts during the consultation.</w:t>
      </w:r>
    </w:p>
    <w:p w:rsidR="001B65FF" w:rsidRDefault="003E4EF4">
      <w:pPr>
        <w:spacing w:before="240" w:after="0"/>
        <w:rPr>
          <w:rFonts w:ascii="Times New Roman" w:hAnsi="Times New Roman" w:cs="Times New Roman"/>
          <w:b/>
          <w:noProof/>
          <w:sz w:val="24"/>
          <w:szCs w:val="24"/>
        </w:rPr>
      </w:pPr>
      <w:bookmarkStart w:id="1431" w:name="_Toc498509677"/>
      <w:bookmarkStart w:id="1432" w:name="_Toc498521232"/>
      <w:bookmarkStart w:id="1433" w:name="_Toc497927271"/>
      <w:bookmarkStart w:id="1434" w:name="_Toc497927884"/>
      <w:bookmarkStart w:id="1435" w:name="_Toc497928150"/>
      <w:r>
        <w:rPr>
          <w:rFonts w:ascii="Times New Roman" w:hAnsi="Times New Roman" w:cs="Times New Roman"/>
          <w:b/>
          <w:noProof/>
          <w:sz w:val="24"/>
          <w:szCs w:val="24"/>
        </w:rPr>
        <w:t>Option B: option A + international agreements</w:t>
      </w:r>
      <w:bookmarkEnd w:id="1431"/>
      <w:bookmarkEnd w:id="1432"/>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The impacts of this option are the same as in option A, plus those of international agreements, described below. </w:t>
      </w:r>
    </w:p>
    <w:p w:rsidR="001B65FF" w:rsidRDefault="003E4EF4">
      <w:pPr>
        <w:spacing w:after="120"/>
        <w:jc w:val="both"/>
        <w:rPr>
          <w:rFonts w:ascii="Times New Roman" w:hAnsi="Times New Roman" w:cs="Times New Roman"/>
          <w:noProof/>
          <w:sz w:val="24"/>
        </w:rPr>
      </w:pPr>
      <w:r>
        <w:rPr>
          <w:rFonts w:ascii="Times New Roman" w:eastAsia="Calibri" w:hAnsi="Times New Roman" w:cs="Times New Roman"/>
          <w:noProof/>
          <w:sz w:val="24"/>
          <w:lang w:eastAsia="ar-SA"/>
        </w:rPr>
        <w:t>A broadly applicable international regime, which could possi</w:t>
      </w:r>
      <w:r>
        <w:rPr>
          <w:rFonts w:ascii="Times New Roman" w:eastAsia="Calibri" w:hAnsi="Times New Roman" w:cs="Times New Roman"/>
          <w:noProof/>
          <w:sz w:val="24"/>
          <w:lang w:eastAsia="ar-SA"/>
        </w:rPr>
        <w:t>bly also include the US, would be easier to implement for national authorities and service providers than many divergent regimes. The impact on the ability of public authorities to investigate and prosecute crime would depend on the concrete provisions neg</w:t>
      </w:r>
      <w:r>
        <w:rPr>
          <w:rFonts w:ascii="Times New Roman" w:eastAsia="Calibri" w:hAnsi="Times New Roman" w:cs="Times New Roman"/>
          <w:noProof/>
          <w:sz w:val="24"/>
          <w:lang w:eastAsia="ar-SA"/>
        </w:rPr>
        <w:t>otiated and on the participating countries. Both judicial cooperation and direct cooperation could be improved. However, with an increasing number of countries involved, the likelihood of a shared understanding of the necessary conditions and safeguards de</w:t>
      </w:r>
      <w:r>
        <w:rPr>
          <w:rFonts w:ascii="Times New Roman" w:eastAsia="Calibri" w:hAnsi="Times New Roman" w:cs="Times New Roman"/>
          <w:noProof/>
          <w:sz w:val="24"/>
          <w:lang w:eastAsia="ar-SA"/>
        </w:rPr>
        <w:t xml:space="preserve">creases, and solutions are likely to be limited in scope. </w:t>
      </w:r>
    </w:p>
    <w:p w:rsidR="001B65FF" w:rsidRDefault="003E4EF4">
      <w:pPr>
        <w:spacing w:after="120"/>
        <w:jc w:val="both"/>
        <w:rPr>
          <w:rFonts w:ascii="Times New Roman" w:eastAsia="Calibri" w:hAnsi="Times New Roman" w:cs="Times New Roman"/>
          <w:noProof/>
          <w:sz w:val="24"/>
          <w:lang w:eastAsia="ar-SA"/>
        </w:rPr>
      </w:pPr>
      <w:r>
        <w:rPr>
          <w:rFonts w:ascii="Times New Roman" w:hAnsi="Times New Roman" w:cs="Times New Roman"/>
          <w:noProof/>
          <w:sz w:val="24"/>
        </w:rPr>
        <w:t xml:space="preserve">Bilateral agreements could create more legal certainty on the basis and process for direct cooperation with private parties in non-EU countries, and allow for a tailor-made solution befitting both partners. An EU-US Agreement could allow service providers </w:t>
      </w:r>
      <w:r>
        <w:rPr>
          <w:rFonts w:ascii="Times New Roman" w:hAnsi="Times New Roman" w:cs="Times New Roman"/>
          <w:noProof/>
          <w:sz w:val="24"/>
        </w:rPr>
        <w:t>under US jurisdiction to provide content data to EU public authorities, which is currently not possible. This in particular could not be achieved by EU legislation alone, as – depending on the circumstances of the case – it could create a conflict of law w</w:t>
      </w:r>
      <w:r>
        <w:rPr>
          <w:rFonts w:ascii="Times New Roman" w:hAnsi="Times New Roman" w:cs="Times New Roman"/>
          <w:noProof/>
          <w:sz w:val="24"/>
        </w:rPr>
        <w:t xml:space="preserve">ith US law. Both bilateral and international agreements were therefore widely cited as good options by a range of stakeholders. </w:t>
      </w:r>
    </w:p>
    <w:p w:rsidR="001B65FF" w:rsidRDefault="003E4EF4">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rPr>
        <w:t>However, both bilateral and multilateral agreements are uncertain; it could take years, if at all, to reach an agreement, and t</w:t>
      </w:r>
      <w:r>
        <w:rPr>
          <w:rFonts w:ascii="Times New Roman" w:hAnsi="Times New Roman" w:cs="Times New Roman"/>
          <w:noProof/>
          <w:sz w:val="24"/>
        </w:rPr>
        <w:t>he precise outcome is beyond the EU's control as it would also depend on the non-EU countries involved.</w:t>
      </w:r>
    </w:p>
    <w:p w:rsidR="001B65FF" w:rsidRDefault="003E4EF4">
      <w:pPr>
        <w:autoSpaceDE w:val="0"/>
        <w:autoSpaceDN w:val="0"/>
        <w:adjustRightInd w:val="0"/>
        <w:jc w:val="both"/>
        <w:rPr>
          <w:rFonts w:ascii="Times New Roman" w:hAnsi="Times New Roman" w:cs="Times New Roman"/>
          <w:noProof/>
          <w:sz w:val="24"/>
          <w:szCs w:val="24"/>
        </w:rPr>
      </w:pPr>
      <w:r>
        <w:rPr>
          <w:rFonts w:ascii="Times New Roman" w:hAnsi="Times New Roman" w:cs="Times New Roman"/>
          <w:noProof/>
          <w:sz w:val="24"/>
        </w:rPr>
        <w:t xml:space="preserve">In conclusion, option B would possibly lead to improvements, but these improvements are highly uncertain and depend on a number of actors. Moreover, it </w:t>
      </w:r>
      <w:r>
        <w:rPr>
          <w:rFonts w:ascii="Times New Roman" w:hAnsi="Times New Roman" w:cs="Times New Roman"/>
          <w:noProof/>
          <w:sz w:val="24"/>
        </w:rPr>
        <w:t>is unlikely that the issues affecting the current legal framework would be adequately addressed by this option.</w:t>
      </w:r>
    </w:p>
    <w:p w:rsidR="001B65FF" w:rsidRDefault="003E4EF4">
      <w:pPr>
        <w:spacing w:after="0"/>
        <w:rPr>
          <w:rFonts w:ascii="Times New Roman" w:hAnsi="Times New Roman" w:cs="Times New Roman"/>
          <w:b/>
          <w:noProof/>
          <w:sz w:val="24"/>
          <w:szCs w:val="24"/>
        </w:rPr>
      </w:pPr>
      <w:bookmarkStart w:id="1436" w:name="_Toc498509678"/>
      <w:bookmarkStart w:id="1437" w:name="_Toc498521233"/>
      <w:bookmarkEnd w:id="1433"/>
      <w:bookmarkEnd w:id="1434"/>
      <w:bookmarkEnd w:id="1435"/>
      <w:r>
        <w:rPr>
          <w:rFonts w:ascii="Times New Roman" w:hAnsi="Times New Roman" w:cs="Times New Roman"/>
          <w:b/>
          <w:noProof/>
          <w:sz w:val="24"/>
          <w:szCs w:val="24"/>
        </w:rPr>
        <w:t xml:space="preserve">Option C: option B + direct cooperation legislation </w:t>
      </w:r>
      <w:bookmarkEnd w:id="1436"/>
      <w:bookmarkEnd w:id="1437"/>
    </w:p>
    <w:p w:rsidR="001B65FF" w:rsidRDefault="003E4EF4">
      <w:pPr>
        <w:jc w:val="both"/>
        <w:rPr>
          <w:rFonts w:ascii="Times New Roman" w:hAnsi="Times New Roman" w:cs="Times New Roman"/>
          <w:noProof/>
          <w:sz w:val="24"/>
        </w:rPr>
      </w:pPr>
      <w:r>
        <w:rPr>
          <w:rFonts w:ascii="Times New Roman" w:hAnsi="Times New Roman" w:cs="Times New Roman"/>
          <w:noProof/>
          <w:sz w:val="24"/>
        </w:rPr>
        <w:t>The impacts of this option are the same as in option B, plus those of direct cooperation le</w:t>
      </w:r>
      <w:r>
        <w:rPr>
          <w:rFonts w:ascii="Times New Roman" w:hAnsi="Times New Roman" w:cs="Times New Roman"/>
          <w:noProof/>
          <w:sz w:val="24"/>
        </w:rPr>
        <w:t xml:space="preserve">gislation described below. </w:t>
      </w:r>
    </w:p>
    <w:p w:rsidR="001B65FF" w:rsidRDefault="003E4EF4">
      <w:pPr>
        <w:spacing w:after="0"/>
        <w:jc w:val="both"/>
        <w:rPr>
          <w:rFonts w:ascii="Times New Roman" w:hAnsi="Times New Roman" w:cs="Times New Roman"/>
          <w:noProof/>
          <w:sz w:val="24"/>
          <w:u w:val="single"/>
        </w:rPr>
      </w:pPr>
      <w:r>
        <w:rPr>
          <w:rFonts w:ascii="Times New Roman" w:hAnsi="Times New Roman" w:cs="Times New Roman"/>
          <w:noProof/>
          <w:sz w:val="24"/>
          <w:u w:val="single"/>
        </w:rPr>
        <w:t>European Production Order (EPO)</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A measure allowing judicial authorities to compel certain foreign service providers to provide information, in a similar way to that of domestic providers, would bring significant benefits in term</w:t>
      </w:r>
      <w:r>
        <w:rPr>
          <w:rFonts w:ascii="Times New Roman" w:hAnsi="Times New Roman" w:cs="Times New Roman"/>
          <w:noProof/>
          <w:sz w:val="24"/>
        </w:rPr>
        <w:t xml:space="preserve">s of efficiencies both compared to judicial cooperation channels and to voluntary cooperation that exists with US providers on non-content data. </w:t>
      </w:r>
    </w:p>
    <w:p w:rsidR="001B65FF" w:rsidRDefault="003E4EF4">
      <w:pPr>
        <w:spacing w:after="120"/>
        <w:jc w:val="both"/>
        <w:rPr>
          <w:rFonts w:ascii="Times New Roman" w:hAnsi="Times New Roman"/>
          <w:noProof/>
          <w:sz w:val="24"/>
          <w:szCs w:val="24"/>
        </w:rPr>
      </w:pPr>
      <w:r>
        <w:rPr>
          <w:rFonts w:ascii="Times New Roman" w:hAnsi="Times New Roman" w:cs="Times New Roman"/>
          <w:noProof/>
          <w:sz w:val="24"/>
        </w:rPr>
        <w:t>The major benefits of such a mechanism would be to provide a direct channel for the large majority of cases where the interest of the "receiving" country (from the judicial cooperation perspective) in the investigation is small to non-existent. It would ac</w:t>
      </w:r>
      <w:r>
        <w:rPr>
          <w:rFonts w:ascii="Times New Roman" w:hAnsi="Times New Roman" w:cs="Times New Roman"/>
          <w:noProof/>
          <w:sz w:val="24"/>
        </w:rPr>
        <w:t>celerate the process compared to judicial cooperation tools, and create a mandatory framework compared to the current cooperation with US providers, which is voluntary from the perspective of US law. The European Production Order would be enforceable vis-à</w:t>
      </w:r>
      <w:r>
        <w:rPr>
          <w:rFonts w:ascii="Times New Roman" w:hAnsi="Times New Roman" w:cs="Times New Roman"/>
          <w:noProof/>
          <w:sz w:val="24"/>
        </w:rPr>
        <w:t>-vis service providers, meaning that the success rate would be significantly higher than under the current voluntary framework (where it is currently estimated to be below 50%). Because of possible cases of conflict with US law, it would not always allow E</w:t>
      </w:r>
      <w:r>
        <w:rPr>
          <w:rFonts w:ascii="Times New Roman" w:hAnsi="Times New Roman" w:cs="Times New Roman"/>
          <w:noProof/>
          <w:sz w:val="24"/>
        </w:rPr>
        <w:t xml:space="preserve">U judicial authorities to obtain content data. </w:t>
      </w:r>
      <w:r>
        <w:rPr>
          <w:rFonts w:ascii="Times New Roman" w:hAnsi="Times New Roman"/>
          <w:noProof/>
          <w:sz w:val="24"/>
          <w:szCs w:val="24"/>
        </w:rPr>
        <w:t>However, it is evident from the annual number of requests for non-content data to the US (around 120,000) as compared to the number of MLA requests, which must contain all requests for content data outside eme</w:t>
      </w:r>
      <w:r>
        <w:rPr>
          <w:rFonts w:ascii="Times New Roman" w:hAnsi="Times New Roman"/>
          <w:noProof/>
          <w:sz w:val="24"/>
          <w:szCs w:val="24"/>
        </w:rPr>
        <w:t xml:space="preserve">rgency situations (around 1,300), that the volume of non-content requests far exceeds those for content. Therefore, even if challenges persist when it comes to content data, the initiative would add significant value for a large proportion of requests. </w:t>
      </w:r>
    </w:p>
    <w:p w:rsidR="001B65FF" w:rsidRDefault="003E4EF4">
      <w:pPr>
        <w:spacing w:after="120"/>
        <w:jc w:val="both"/>
        <w:rPr>
          <w:rFonts w:ascii="Times New Roman" w:hAnsi="Times New Roman"/>
          <w:noProof/>
          <w:sz w:val="24"/>
          <w:szCs w:val="24"/>
        </w:rPr>
      </w:pPr>
      <w:r>
        <w:rPr>
          <w:rFonts w:ascii="Times New Roman" w:hAnsi="Times New Roman" w:cs="Times New Roman"/>
          <w:noProof/>
          <w:sz w:val="24"/>
        </w:rPr>
        <w:t>Wi</w:t>
      </w:r>
      <w:r>
        <w:rPr>
          <w:rFonts w:ascii="Times New Roman" w:hAnsi="Times New Roman" w:cs="Times New Roman"/>
          <w:noProof/>
          <w:sz w:val="24"/>
        </w:rPr>
        <w:t xml:space="preserve">th regard to EU providers, it would introduce a new mechanism, </w:t>
      </w:r>
      <w:r>
        <w:rPr>
          <w:rFonts w:ascii="Times New Roman" w:hAnsi="Times New Roman"/>
          <w:noProof/>
          <w:sz w:val="24"/>
          <w:szCs w:val="24"/>
        </w:rPr>
        <w:t xml:space="preserve">leading to a significant shift from judicial cooperation channels to more efficient direct cooperation channels. </w:t>
      </w:r>
    </w:p>
    <w:p w:rsidR="001B65FF" w:rsidRDefault="003E4EF4">
      <w:pPr>
        <w:spacing w:after="120"/>
        <w:jc w:val="both"/>
        <w:rPr>
          <w:rFonts w:ascii="Times New Roman" w:hAnsi="Times New Roman"/>
          <w:noProof/>
          <w:sz w:val="24"/>
        </w:rPr>
      </w:pPr>
      <w:r>
        <w:rPr>
          <w:rFonts w:ascii="Times New Roman" w:hAnsi="Times New Roman"/>
          <w:noProof/>
          <w:sz w:val="24"/>
          <w:szCs w:val="24"/>
        </w:rPr>
        <w:t>Given that the proposed approach would represent a new step in judicial coopera</w:t>
      </w:r>
      <w:r>
        <w:rPr>
          <w:rFonts w:ascii="Times New Roman" w:hAnsi="Times New Roman"/>
          <w:noProof/>
          <w:sz w:val="24"/>
          <w:szCs w:val="24"/>
        </w:rPr>
        <w:t>tion, amending existing instruments would not have the same effect. The closest instrument would be the European Investigation Order which has a different scope and cannot properly address the challenges on cross-border access to e-evidence in particular w</w:t>
      </w:r>
      <w:r>
        <w:rPr>
          <w:rFonts w:ascii="Times New Roman" w:hAnsi="Times New Roman"/>
          <w:noProof/>
          <w:sz w:val="24"/>
          <w:szCs w:val="24"/>
        </w:rPr>
        <w:t xml:space="preserve">hen it comes to deadlines and administrative burden. Overall, it would </w:t>
      </w:r>
      <w:r>
        <w:rPr>
          <w:rFonts w:ascii="Times New Roman" w:hAnsi="Times New Roman" w:cs="Times New Roman"/>
          <w:noProof/>
          <w:sz w:val="24"/>
        </w:rPr>
        <w:t xml:space="preserve">provide greater legal certainty and reduce the level of complexity and fragmentation for all stakeholders concerned. Authorities in particular welcomed this option in the consultation, </w:t>
      </w:r>
      <w:r>
        <w:rPr>
          <w:rFonts w:ascii="Times New Roman" w:hAnsi="Times New Roman" w:cs="Times New Roman"/>
          <w:noProof/>
          <w:sz w:val="24"/>
        </w:rPr>
        <w:t>but also service providers and civil society highlighted the need for a clear and certain framework with a robust set of guarantees.</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The fact that the European Production Order would cover all forms of crime and not be limited to serious forms of crime wou</w:t>
      </w:r>
      <w:r>
        <w:rPr>
          <w:rFonts w:ascii="Times New Roman" w:hAnsi="Times New Roman" w:cs="Times New Roman"/>
          <w:noProof/>
          <w:sz w:val="24"/>
        </w:rPr>
        <w:t>ld significantly improve the efficiency of the instrument.</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It could be argued that such an option may create an incentive not to store data. However, this incentive is limited in impact as the current and future EU data protection and e-privacy frameworks already contain a data minimisation obligation: service pro</w:t>
      </w:r>
      <w:r>
        <w:rPr>
          <w:rFonts w:ascii="Times New Roman" w:hAnsi="Times New Roman" w:cs="Times New Roman"/>
          <w:noProof/>
          <w:sz w:val="24"/>
        </w:rPr>
        <w:t xml:space="preserve">viders are not to store data unless it is justified for certain specified purposes. In other words, data storage is determined by the purpose of the data processing and less by the possibility that a part of that data will be requested by police or judges </w:t>
      </w:r>
      <w:r>
        <w:rPr>
          <w:rFonts w:ascii="Times New Roman" w:hAnsi="Times New Roman" w:cs="Times New Roman"/>
          <w:noProof/>
          <w:sz w:val="24"/>
        </w:rPr>
        <w:t xml:space="preserve">in the framework of a specific crime investigation. Furthermore, the creation of a more effective channel to obtain electronic evidence from service providers is not expected to increase significantly the total number of requests. </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The framework could also</w:t>
      </w:r>
      <w:r>
        <w:rPr>
          <w:rFonts w:ascii="Times New Roman" w:hAnsi="Times New Roman" w:cs="Times New Roman"/>
          <w:noProof/>
          <w:sz w:val="24"/>
        </w:rPr>
        <w:t xml:space="preserve"> reduce issues experienced by authorities in some Member States with the admissibility in court proceedings of electronic evidence obtained through direct cooperation with service providers.</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Overall, option C may result in evidence being obtained faster an</w:t>
      </w:r>
      <w:r>
        <w:rPr>
          <w:rFonts w:ascii="Times New Roman" w:hAnsi="Times New Roman" w:cs="Times New Roman"/>
          <w:noProof/>
          <w:sz w:val="24"/>
        </w:rPr>
        <w:t>d evidence being obtained which public authorities would not even have tried to obtain currently because of the long delays or lack of legal basis. It would allow for a combination of the benefits for all types of measures covered by this option, as the me</w:t>
      </w:r>
      <w:r>
        <w:rPr>
          <w:rFonts w:ascii="Times New Roman" w:hAnsi="Times New Roman" w:cs="Times New Roman"/>
          <w:noProof/>
          <w:sz w:val="24"/>
        </w:rPr>
        <w:t>asures are complementary, serve alternative purposes and address different problem drivers.</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Improvements of judicial cooperation channels would still be useful and was highlighted as a key priority during the expert process: where the European Production O</w:t>
      </w:r>
      <w:r>
        <w:rPr>
          <w:rFonts w:ascii="Times New Roman" w:hAnsi="Times New Roman" w:cs="Times New Roman"/>
          <w:noProof/>
          <w:sz w:val="24"/>
        </w:rPr>
        <w:t>rder would not help, e.g. in conflicts of law situations (content data with the US), judicial cooperation would prevail. For judicial cooperation among Member States, EIOs may still be issued to obtain e-evidence, e.g. when an investigating State needs dif</w:t>
      </w:r>
      <w:r>
        <w:rPr>
          <w:rFonts w:ascii="Times New Roman" w:hAnsi="Times New Roman" w:cs="Times New Roman"/>
          <w:noProof/>
          <w:sz w:val="24"/>
        </w:rPr>
        <w:t xml:space="preserve">ferent types of evidence form another Member State and requests it all in one go rather than choosing the European Production Order which would only work for part of the evidence. Any new instrument therefore should ensure coherence with the EIO and other </w:t>
      </w:r>
      <w:r>
        <w:rPr>
          <w:rFonts w:ascii="Times New Roman" w:hAnsi="Times New Roman" w:cs="Times New Roman"/>
          <w:noProof/>
          <w:sz w:val="24"/>
        </w:rPr>
        <w:t xml:space="preserve">procedures for judicial cooperation; this has been taken into account in the considerations. Often, however, the request for electronic evidence is an isolated one. </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Some of the practical measures to improve cooperation between public authorities and servi</w:t>
      </w:r>
      <w:r>
        <w:rPr>
          <w:rFonts w:ascii="Times New Roman" w:hAnsi="Times New Roman" w:cs="Times New Roman"/>
          <w:noProof/>
          <w:sz w:val="24"/>
        </w:rPr>
        <w:t>ce providers would to some extent become superfluous if the EPO came into force, as the legislation would establish a procedure, standard forms and an obligation to designate a legal representative. As this may take years, there would still be a benefit in</w:t>
      </w:r>
      <w:r>
        <w:rPr>
          <w:rFonts w:ascii="Times New Roman" w:hAnsi="Times New Roman" w:cs="Times New Roman"/>
          <w:noProof/>
          <w:sz w:val="24"/>
        </w:rPr>
        <w:t xml:space="preserve"> the short term to introducing these practical measures on a voluntary basis. Furthermore, given that the scope of the measure is still not finalised, there may well be situations where such procedures would be necessary to obtain evidence. In addition, th</w:t>
      </w:r>
      <w:r>
        <w:rPr>
          <w:rFonts w:ascii="Times New Roman" w:hAnsi="Times New Roman" w:cs="Times New Roman"/>
          <w:noProof/>
          <w:sz w:val="24"/>
        </w:rPr>
        <w:t>e training would be helpful in case of a change in legal framework because there would be a need to acquaint practitioners with the changes.</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The international solutions complement legislative measures. In particular, once an agreement with the US was in pl</w:t>
      </w:r>
      <w:r>
        <w:rPr>
          <w:rFonts w:ascii="Times New Roman" w:hAnsi="Times New Roman" w:cs="Times New Roman"/>
          <w:noProof/>
          <w:sz w:val="24"/>
        </w:rPr>
        <w:t>ace, removing conflicting obligations, the measure on cooperation with service providers could also allow authorities to obtain access to content data.</w:t>
      </w:r>
    </w:p>
    <w:p w:rsidR="001B65FF" w:rsidRDefault="003E4EF4">
      <w:pPr>
        <w:spacing w:before="240" w:after="0"/>
        <w:jc w:val="both"/>
        <w:rPr>
          <w:rFonts w:ascii="Times New Roman" w:hAnsi="Times New Roman" w:cs="Times New Roman"/>
          <w:noProof/>
          <w:sz w:val="24"/>
          <w:u w:val="single"/>
        </w:rPr>
      </w:pPr>
      <w:r>
        <w:rPr>
          <w:rFonts w:ascii="Times New Roman" w:hAnsi="Times New Roman" w:cs="Times New Roman"/>
          <w:noProof/>
          <w:sz w:val="24"/>
          <w:u w:val="single"/>
        </w:rPr>
        <w:t>Access to WHOIS databases</w:t>
      </w:r>
    </w:p>
    <w:p w:rsidR="001B65FF" w:rsidRDefault="003E4EF4">
      <w:pPr>
        <w:spacing w:after="120"/>
        <w:jc w:val="both"/>
        <w:rPr>
          <w:rFonts w:ascii="Times New Roman" w:hAnsi="Times New Roman" w:cs="Times New Roman"/>
          <w:noProof/>
          <w:sz w:val="24"/>
          <w:u w:val="single"/>
        </w:rPr>
      </w:pPr>
      <w:r>
        <w:rPr>
          <w:rFonts w:ascii="Times New Roman" w:hAnsi="Times New Roman" w:cs="Times New Roman"/>
          <w:noProof/>
          <w:sz w:val="24"/>
        </w:rPr>
        <w:t>Legislation providing for a legal basis to perform searches in the WHOIS datab</w:t>
      </w:r>
      <w:r>
        <w:rPr>
          <w:rFonts w:ascii="Times New Roman" w:hAnsi="Times New Roman" w:cs="Times New Roman"/>
          <w:noProof/>
          <w:sz w:val="24"/>
        </w:rPr>
        <w:t>ase would enable authorities to continue to access the system in much the same manner as they currently do, even if some of its data elements should become password-protected and no longer publicly available. Authorities specialised in cybercrime make look</w:t>
      </w:r>
      <w:r>
        <w:rPr>
          <w:rFonts w:ascii="Times New Roman" w:hAnsi="Times New Roman" w:cs="Times New Roman"/>
          <w:noProof/>
          <w:sz w:val="24"/>
        </w:rPr>
        <w:t>-ups to the WHOIS many times a day. Providing a new legal basis for the changed circumstances would preserve an essential tool in online investigations and would prevent a significant decrease in effectiveness of investigations, as highlighted by stakehold</w:t>
      </w:r>
      <w:r>
        <w:rPr>
          <w:rFonts w:ascii="Times New Roman" w:hAnsi="Times New Roman" w:cs="Times New Roman"/>
          <w:noProof/>
          <w:sz w:val="24"/>
        </w:rPr>
        <w:t>ers in various forums (see Annex 12).</w:t>
      </w:r>
    </w:p>
    <w:p w:rsidR="001B65FF" w:rsidRDefault="003E4EF4">
      <w:pPr>
        <w:spacing w:before="240" w:after="0"/>
        <w:rPr>
          <w:rFonts w:ascii="Times New Roman" w:hAnsi="Times New Roman" w:cs="Times New Roman"/>
          <w:b/>
          <w:noProof/>
          <w:sz w:val="24"/>
          <w:szCs w:val="24"/>
        </w:rPr>
      </w:pPr>
      <w:bookmarkStart w:id="1438" w:name="_Toc498509679"/>
      <w:bookmarkStart w:id="1439" w:name="_Toc498521234"/>
      <w:bookmarkStart w:id="1440" w:name="_Toc497927272"/>
      <w:bookmarkStart w:id="1441" w:name="_Toc497927885"/>
      <w:bookmarkStart w:id="1442" w:name="_Toc497928151"/>
      <w:r>
        <w:rPr>
          <w:rFonts w:ascii="Times New Roman" w:hAnsi="Times New Roman" w:cs="Times New Roman"/>
          <w:b/>
          <w:noProof/>
          <w:sz w:val="24"/>
          <w:szCs w:val="24"/>
        </w:rPr>
        <w:t>Option D: option C + direct access</w:t>
      </w:r>
      <w:bookmarkEnd w:id="1438"/>
      <w:bookmarkEnd w:id="1439"/>
      <w:r>
        <w:rPr>
          <w:rFonts w:ascii="Times New Roman" w:hAnsi="Times New Roman" w:cs="Times New Roman"/>
          <w:b/>
          <w:noProof/>
          <w:sz w:val="24"/>
          <w:szCs w:val="24"/>
        </w:rPr>
        <w:t xml:space="preserve"> </w:t>
      </w:r>
      <w:bookmarkEnd w:id="1440"/>
      <w:bookmarkEnd w:id="1441"/>
      <w:bookmarkEnd w:id="1442"/>
      <w:r>
        <w:rPr>
          <w:rFonts w:ascii="Times New Roman" w:hAnsi="Times New Roman" w:cs="Times New Roman"/>
          <w:b/>
          <w:noProof/>
          <w:sz w:val="24"/>
          <w:szCs w:val="24"/>
        </w:rPr>
        <w:t>legislation</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The impacts of this option are the same as in option C, plus those of direct access legislation described below. </w:t>
      </w:r>
    </w:p>
    <w:p w:rsidR="001B65FF" w:rsidRDefault="003E4EF4">
      <w:pPr>
        <w:autoSpaceDE w:val="0"/>
        <w:autoSpaceDN w:val="0"/>
        <w:adjustRightInd w:val="0"/>
        <w:spacing w:after="120"/>
        <w:jc w:val="both"/>
        <w:rPr>
          <w:rFonts w:ascii="Times New Roman" w:hAnsi="Times New Roman" w:cs="Times New Roman"/>
          <w:noProof/>
          <w:sz w:val="24"/>
        </w:rPr>
      </w:pPr>
      <w:r>
        <w:rPr>
          <w:rFonts w:ascii="Times New Roman" w:hAnsi="Times New Roman" w:cs="Times New Roman"/>
          <w:noProof/>
          <w:sz w:val="24"/>
        </w:rPr>
        <w:t xml:space="preserve">The option to provide a legal basis for Member States to </w:t>
      </w:r>
      <w:r>
        <w:rPr>
          <w:rFonts w:ascii="Times New Roman" w:hAnsi="Times New Roman" w:cs="Times New Roman"/>
          <w:noProof/>
          <w:sz w:val="24"/>
        </w:rPr>
        <w:t>adopt legislation on direct access, subject to stringent conditions and safeguards, could improve the capacity of public authorities to investigate and prosecute crimes, both with regard to the time to obtain data and to the number of cases where e-evidenc</w:t>
      </w:r>
      <w:r>
        <w:rPr>
          <w:rFonts w:ascii="Times New Roman" w:hAnsi="Times New Roman" w:cs="Times New Roman"/>
          <w:noProof/>
          <w:sz w:val="24"/>
        </w:rPr>
        <w:t>e is successfully obtained. As highlighted by authorities, alternative judicial cooperation channels are not possible in all cases. Moreover, they would at times not be successful because of longer procedures. Putting in place a harmonised system of condit</w:t>
      </w:r>
      <w:r>
        <w:rPr>
          <w:rFonts w:ascii="Times New Roman" w:hAnsi="Times New Roman" w:cs="Times New Roman"/>
          <w:noProof/>
          <w:sz w:val="24"/>
        </w:rPr>
        <w:t xml:space="preserve">ions and safeguards would provide a basis for enabling direct access in a manner that is mutually acceptable among Member States. By leaving the scope of measures in those Member States that already have efficient solutions in place largely untouched, the </w:t>
      </w:r>
      <w:r>
        <w:rPr>
          <w:rFonts w:ascii="Times New Roman" w:hAnsi="Times New Roman" w:cs="Times New Roman"/>
          <w:noProof/>
          <w:sz w:val="24"/>
        </w:rPr>
        <w:t>measure would not lead to any significant decrease in efficiency in those Member States.</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rPr>
        <w:t>Taken together, option C and direct access proposed would bring the most significant gain in terms of improving the capacity of public authorities to investigate and p</w:t>
      </w:r>
      <w:r>
        <w:rPr>
          <w:rFonts w:ascii="Times New Roman" w:hAnsi="Times New Roman" w:cs="Times New Roman"/>
          <w:noProof/>
          <w:sz w:val="24"/>
        </w:rPr>
        <w:t>rosecute crimes. It would allow combining the benefits for all types of measures, as the measures are complementary, serve alternative purposes and address different problem drivers. This also applies for the two legislative measures, which address differe</w:t>
      </w:r>
      <w:r>
        <w:rPr>
          <w:rFonts w:ascii="Times New Roman" w:hAnsi="Times New Roman" w:cs="Times New Roman"/>
          <w:noProof/>
          <w:sz w:val="24"/>
        </w:rPr>
        <w:t xml:space="preserve">nt situations and would, if combined, provide for a set of efficient tools to obtain cross-border access to e-evidence. A shift from judicial cooperation channels to these two tools can be expected for cases which do not necessitate involvement of another </w:t>
      </w:r>
      <w:r>
        <w:rPr>
          <w:rFonts w:ascii="Times New Roman" w:hAnsi="Times New Roman" w:cs="Times New Roman"/>
          <w:noProof/>
          <w:sz w:val="24"/>
        </w:rPr>
        <w:t>country, which would make access to e-evidence faster and more efficient. It would also respond to the calls from the Council and other stakeholders.</w:t>
      </w:r>
    </w:p>
    <w:p w:rsidR="001B65FF" w:rsidRDefault="003E4EF4">
      <w:pPr>
        <w:keepNext/>
        <w:numPr>
          <w:ilvl w:val="2"/>
          <w:numId w:val="3"/>
        </w:numPr>
        <w:tabs>
          <w:tab w:val="clear" w:pos="1920"/>
        </w:tabs>
        <w:spacing w:before="120" w:after="120" w:line="240" w:lineRule="auto"/>
        <w:ind w:left="720"/>
        <w:jc w:val="both"/>
        <w:outlineLvl w:val="2"/>
        <w:rPr>
          <w:rFonts w:ascii="Times New Roman" w:eastAsia="Times New Roman" w:hAnsi="Times New Roman" w:cs="Times New Roman"/>
          <w:noProof/>
          <w:sz w:val="24"/>
          <w:szCs w:val="20"/>
        </w:rPr>
      </w:pPr>
      <w:bookmarkStart w:id="1443" w:name="_Toc497927275"/>
      <w:bookmarkStart w:id="1444" w:name="_Toc497927888"/>
      <w:bookmarkStart w:id="1445" w:name="_Toc497928154"/>
      <w:bookmarkStart w:id="1446" w:name="_Toc498509680"/>
      <w:bookmarkStart w:id="1447" w:name="_Toc498521235"/>
      <w:bookmarkStart w:id="1448" w:name="_Toc498701974"/>
      <w:bookmarkStart w:id="1449" w:name="_Toc498704706"/>
      <w:bookmarkStart w:id="1450" w:name="_Toc499020464"/>
      <w:bookmarkStart w:id="1451" w:name="_Toc499030398"/>
      <w:bookmarkStart w:id="1452" w:name="_Toc499044941"/>
      <w:bookmarkStart w:id="1453" w:name="_Toc499051356"/>
      <w:bookmarkStart w:id="1454" w:name="_Toc499133313"/>
      <w:bookmarkStart w:id="1455" w:name="_Toc499142882"/>
      <w:bookmarkStart w:id="1456" w:name="_Toc510952879"/>
      <w:r>
        <w:rPr>
          <w:rFonts w:ascii="Times New Roman" w:eastAsia="Times New Roman" w:hAnsi="Times New Roman" w:cs="Times New Roman"/>
          <w:noProof/>
          <w:sz w:val="24"/>
          <w:szCs w:val="20"/>
        </w:rPr>
        <w:t>Economic impact</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rsidR="001B65FF" w:rsidRDefault="003E4EF4">
      <w:pPr>
        <w:autoSpaceDE w:val="0"/>
        <w:autoSpaceDN w:val="0"/>
        <w:adjustRightInd w:val="0"/>
        <w:jc w:val="both"/>
        <w:rPr>
          <w:rFonts w:ascii="Times New Roman" w:eastAsia="Calibri" w:hAnsi="Times New Roman" w:cs="Times New Roman"/>
          <w:i/>
          <w:noProof/>
          <w:szCs w:val="24"/>
          <w:lang w:eastAsia="ar-SA"/>
        </w:rPr>
      </w:pPr>
      <w:r>
        <w:rPr>
          <w:rFonts w:ascii="Times New Roman" w:eastAsia="Calibri" w:hAnsi="Times New Roman" w:cs="Times New Roman"/>
          <w:noProof/>
          <w:sz w:val="24"/>
          <w:lang w:eastAsia="ar-SA"/>
        </w:rPr>
        <w:t>The assessment of the economic impact of the different options focuses on the impact on se</w:t>
      </w:r>
      <w:r>
        <w:rPr>
          <w:rFonts w:ascii="Times New Roman" w:eastAsia="Calibri" w:hAnsi="Times New Roman" w:cs="Times New Roman"/>
          <w:noProof/>
          <w:sz w:val="24"/>
          <w:lang w:eastAsia="ar-SA"/>
        </w:rPr>
        <w:t>rvice providers and public authorities</w:t>
      </w:r>
      <w:r>
        <w:rPr>
          <w:rFonts w:ascii="Times New Roman" w:eastAsia="Calibri" w:hAnsi="Times New Roman" w:cs="Times New Roman"/>
          <w:noProof/>
          <w:sz w:val="24"/>
          <w:szCs w:val="24"/>
          <w:lang w:eastAsia="ar-SA"/>
        </w:rPr>
        <w:t xml:space="preserve"> </w:t>
      </w:r>
      <w:r>
        <w:rPr>
          <w:rFonts w:ascii="Times New Roman" w:eastAsia="Calibri" w:hAnsi="Times New Roman" w:cs="Times New Roman"/>
          <w:noProof/>
          <w:sz w:val="24"/>
          <w:lang w:eastAsia="ar-SA"/>
        </w:rPr>
        <w:t>impacted by the measures</w:t>
      </w:r>
      <w:r>
        <w:rPr>
          <w:rFonts w:ascii="Times New Roman" w:eastAsia="Calibri" w:hAnsi="Times New Roman" w:cs="Times New Roman"/>
          <w:noProof/>
          <w:sz w:val="24"/>
          <w:szCs w:val="24"/>
          <w:lang w:eastAsia="ar-SA"/>
        </w:rPr>
        <w:t>.</w:t>
      </w:r>
    </w:p>
    <w:p w:rsidR="001B65FF" w:rsidRDefault="003E4EF4">
      <w:pPr>
        <w:spacing w:after="120"/>
        <w:rPr>
          <w:rFonts w:ascii="Times New Roman" w:hAnsi="Times New Roman" w:cs="Times New Roman"/>
          <w:b/>
          <w:noProof/>
          <w:sz w:val="24"/>
          <w:szCs w:val="24"/>
        </w:rPr>
      </w:pPr>
      <w:bookmarkStart w:id="1457" w:name="_Toc497927276"/>
      <w:bookmarkStart w:id="1458" w:name="_Toc497927889"/>
      <w:bookmarkStart w:id="1459" w:name="_Toc497928155"/>
      <w:bookmarkStart w:id="1460" w:name="_Toc498509681"/>
      <w:bookmarkStart w:id="1461" w:name="_Toc498521236"/>
      <w:r>
        <w:rPr>
          <w:rFonts w:ascii="Times New Roman" w:hAnsi="Times New Roman" w:cs="Times New Roman"/>
          <w:b/>
          <w:noProof/>
          <w:sz w:val="24"/>
          <w:szCs w:val="24"/>
        </w:rPr>
        <w:t>Option O: baseline</w:t>
      </w:r>
      <w:bookmarkEnd w:id="1457"/>
      <w:bookmarkEnd w:id="1458"/>
      <w:bookmarkEnd w:id="1459"/>
      <w:bookmarkEnd w:id="1460"/>
      <w:bookmarkEnd w:id="1461"/>
    </w:p>
    <w:p w:rsidR="001B65FF" w:rsidRDefault="003E4EF4">
      <w:pPr>
        <w:pStyle w:val="Text2"/>
        <w:spacing w:after="120" w:line="276" w:lineRule="auto"/>
        <w:ind w:left="0"/>
        <w:rPr>
          <w:noProof/>
        </w:rPr>
      </w:pPr>
      <w:r>
        <w:rPr>
          <w:noProof/>
        </w:rPr>
        <w:t>In the baseline scenario, the number of direct cooperation requests for non-content data is bound to increase. EU and US service providers will continue to receive requests for content data via judicial cooperation channels via their own judicial authoriti</w:t>
      </w:r>
      <w:r>
        <w:rPr>
          <w:noProof/>
        </w:rPr>
        <w:t>es, with numbers bound to increase here too in a similar order of magnitude as for direct cooperation. In both cases, service providers will either allocate additional resources to manage the increasing number of requests, or not, leading to an increase in</w:t>
      </w:r>
      <w:r>
        <w:rPr>
          <w:noProof/>
        </w:rPr>
        <w:t xml:space="preserve"> the time to respond to such requests. </w:t>
      </w:r>
    </w:p>
    <w:p w:rsidR="001B65FF" w:rsidRDefault="003E4EF4">
      <w:pPr>
        <w:pStyle w:val="Text2"/>
        <w:spacing w:after="120" w:line="276" w:lineRule="auto"/>
        <w:ind w:left="0"/>
        <w:rPr>
          <w:noProof/>
        </w:rPr>
      </w:pPr>
      <w:r>
        <w:rPr>
          <w:noProof/>
        </w:rPr>
        <w:t>Public authorities are faced with a growing need for access to electronic evidence, which will further increase the number of requests, both using formal judicial cooperation channels and direct cooperation channels,</w:t>
      </w:r>
      <w:r>
        <w:rPr>
          <w:noProof/>
        </w:rPr>
        <w:t xml:space="preserve"> and increase their costs. This was highlighted by authorities in particular throughout the consultation process.</w:t>
      </w:r>
    </w:p>
    <w:p w:rsidR="001B65FF" w:rsidRDefault="003E4EF4">
      <w:pPr>
        <w:pStyle w:val="Text2"/>
        <w:spacing w:after="120" w:line="276" w:lineRule="auto"/>
        <w:ind w:left="0"/>
        <w:rPr>
          <w:noProof/>
        </w:rPr>
      </w:pPr>
      <w:r>
        <w:rPr>
          <w:noProof/>
        </w:rPr>
        <w:t>Given the likely move of the WHOIS to credentialed systems, service providers could face an important rise in requests for access to subscribe</w:t>
      </w:r>
      <w:r>
        <w:rPr>
          <w:noProof/>
        </w:rPr>
        <w:t>r information for domain names. This would create a significant additional burden both on courts and authorities in EU Member States and on the service providers, most of which do not yet have any procedures in place to deal with the expected increase in i</w:t>
      </w:r>
      <w:r>
        <w:rPr>
          <w:noProof/>
        </w:rPr>
        <w:t>ndividually reviewable requests. Therefore, an important rise in costs both for internet infrastructure service providers and for national authorities is to be expected in the absence of action.</w:t>
      </w:r>
    </w:p>
    <w:p w:rsidR="001B65FF" w:rsidRDefault="003E4EF4">
      <w:pPr>
        <w:autoSpaceDE w:val="0"/>
        <w:autoSpaceDN w:val="0"/>
        <w:adjustRightInd w:val="0"/>
        <w:jc w:val="both"/>
        <w:rPr>
          <w:rFonts w:ascii="Times New Roman" w:hAnsi="Times New Roman" w:cs="Times New Roman"/>
          <w:noProof/>
          <w:sz w:val="24"/>
          <w:szCs w:val="24"/>
        </w:rPr>
      </w:pPr>
      <w:r>
        <w:rPr>
          <w:rFonts w:ascii="Times New Roman" w:hAnsi="Times New Roman" w:cs="Times New Roman"/>
          <w:noProof/>
          <w:sz w:val="24"/>
        </w:rPr>
        <w:t>L</w:t>
      </w:r>
      <w:r>
        <w:rPr>
          <w:rFonts w:ascii="Times New Roman" w:eastAsia="Calibri" w:hAnsi="Times New Roman" w:cs="Times New Roman"/>
          <w:noProof/>
          <w:sz w:val="24"/>
          <w:lang w:eastAsia="ar-SA"/>
        </w:rPr>
        <w:t>egal fragmentation and legal uncertainty would remain and co</w:t>
      </w:r>
      <w:r>
        <w:rPr>
          <w:rFonts w:ascii="Times New Roman" w:eastAsia="Calibri" w:hAnsi="Times New Roman" w:cs="Times New Roman"/>
          <w:noProof/>
          <w:sz w:val="24"/>
          <w:lang w:eastAsia="ar-SA"/>
        </w:rPr>
        <w:t xml:space="preserve">uld act as a barrier to growth and innovation. </w:t>
      </w:r>
    </w:p>
    <w:p w:rsidR="001B65FF" w:rsidRDefault="003E4EF4">
      <w:pPr>
        <w:spacing w:after="120"/>
        <w:rPr>
          <w:rFonts w:ascii="Times New Roman" w:hAnsi="Times New Roman" w:cs="Times New Roman"/>
          <w:b/>
          <w:noProof/>
          <w:sz w:val="24"/>
          <w:szCs w:val="24"/>
        </w:rPr>
      </w:pPr>
      <w:bookmarkStart w:id="1462" w:name="_Toc498509682"/>
      <w:bookmarkStart w:id="1463" w:name="_Toc498521237"/>
      <w:bookmarkStart w:id="1464" w:name="_Toc497927277"/>
      <w:bookmarkStart w:id="1465" w:name="_Toc497927890"/>
      <w:bookmarkStart w:id="1466" w:name="_Toc497928156"/>
      <w:r>
        <w:rPr>
          <w:rFonts w:ascii="Times New Roman" w:hAnsi="Times New Roman" w:cs="Times New Roman"/>
          <w:b/>
          <w:noProof/>
          <w:sz w:val="24"/>
          <w:szCs w:val="24"/>
        </w:rPr>
        <w:t>Option A: non-legislative action</w:t>
      </w:r>
      <w:bookmarkEnd w:id="1462"/>
      <w:bookmarkEnd w:id="1463"/>
    </w:p>
    <w:bookmarkEnd w:id="1464"/>
    <w:bookmarkEnd w:id="1465"/>
    <w:bookmarkEnd w:id="1466"/>
    <w:p w:rsidR="001B65FF" w:rsidRDefault="003E4EF4">
      <w:pPr>
        <w:pStyle w:val="Text2"/>
        <w:spacing w:after="120" w:line="276" w:lineRule="auto"/>
        <w:ind w:left="0"/>
        <w:rPr>
          <w:noProof/>
        </w:rPr>
      </w:pPr>
      <w:r>
        <w:rPr>
          <w:noProof/>
        </w:rPr>
        <w:t>Compared to the baseline scenario, the practical measures to enhance cooperation between public authorities in the EU and in the US would to some extent improve the quality of</w:t>
      </w:r>
      <w:r>
        <w:rPr>
          <w:noProof/>
        </w:rPr>
        <w:t xml:space="preserve"> MLA requests submitted by EU authorities and would therefore generate efficiency savings for EU and US authorities. In particular the training of EU practitioners and the sharing of guidelines and best practices should have a positive impact, according to</w:t>
      </w:r>
      <w:r>
        <w:rPr>
          <w:noProof/>
        </w:rPr>
        <w:t xml:space="preserve"> the experts consulted. </w:t>
      </w:r>
      <w:r>
        <w:rPr>
          <w:noProof/>
          <w:szCs w:val="24"/>
        </w:rPr>
        <w:t>The number of MLA requests from Member States to the US would likely increase slightly.</w:t>
      </w:r>
      <w:r>
        <w:rPr>
          <w:noProof/>
        </w:rPr>
        <w:t xml:space="preserve"> </w:t>
      </w:r>
    </w:p>
    <w:p w:rsidR="001B65FF" w:rsidRDefault="003E4EF4">
      <w:pPr>
        <w:pStyle w:val="Text2"/>
        <w:spacing w:after="120" w:line="276" w:lineRule="auto"/>
        <w:ind w:left="0"/>
        <w:rPr>
          <w:noProof/>
          <w:szCs w:val="24"/>
        </w:rPr>
      </w:pPr>
      <w:r>
        <w:rPr>
          <w:noProof/>
        </w:rPr>
        <w:t>The development of the secure online platform would generate low costs for Member States who would connect to it, given that it is mostly finan</w:t>
      </w:r>
      <w:r>
        <w:rPr>
          <w:noProof/>
        </w:rPr>
        <w:t>ced from the EU budget. The platform itself would reduce costs for authorities requesting electronic evidence from another judicial authority in the EU using the EIO, by facilitating the creation and exchange of such requests.</w:t>
      </w:r>
    </w:p>
    <w:p w:rsidR="001B65FF" w:rsidRDefault="003E4EF4">
      <w:pPr>
        <w:pStyle w:val="Text2"/>
        <w:spacing w:after="120" w:line="276" w:lineRule="auto"/>
        <w:ind w:left="0"/>
        <w:rPr>
          <w:rFonts w:eastAsia="Calibri"/>
          <w:noProof/>
          <w:lang w:eastAsia="ar-SA"/>
        </w:rPr>
      </w:pPr>
      <w:r>
        <w:rPr>
          <w:rFonts w:eastAsia="Calibri"/>
          <w:noProof/>
          <w:lang w:eastAsia="ar-SA"/>
        </w:rPr>
        <w:t>The practical measures addres</w:t>
      </w:r>
      <w:r>
        <w:rPr>
          <w:rFonts w:eastAsia="Calibri"/>
          <w:noProof/>
          <w:lang w:eastAsia="ar-SA"/>
        </w:rPr>
        <w:t>sed to authorities to improve cooperation with service providers (SPOC, training, standardised forms, online portal) would generate some moderate costs for them</w:t>
      </w:r>
      <w:r>
        <w:rPr>
          <w:rStyle w:val="FootnoteReference"/>
          <w:rFonts w:eastAsia="Calibri"/>
          <w:noProof/>
          <w:lang w:eastAsia="ar-SA"/>
        </w:rPr>
        <w:footnoteReference w:id="111"/>
      </w:r>
      <w:r>
        <w:rPr>
          <w:rFonts w:eastAsia="Calibri"/>
          <w:noProof/>
          <w:lang w:eastAsia="ar-SA"/>
        </w:rPr>
        <w:t>, but also improve the quality of requests and would therefore lead to a net reduction of resou</w:t>
      </w:r>
      <w:r>
        <w:rPr>
          <w:rFonts w:eastAsia="Calibri"/>
          <w:noProof/>
          <w:lang w:eastAsia="ar-SA"/>
        </w:rPr>
        <w:t>rces and costs for both service providers and public authorities. Those practical measures addressed to service providers (SPOC, streamlining of policies) would similarly generate moderate costs for service providers, in particular if changes to procedures</w:t>
      </w:r>
      <w:r>
        <w:rPr>
          <w:rFonts w:eastAsia="Calibri"/>
          <w:noProof/>
          <w:lang w:eastAsia="ar-SA"/>
        </w:rPr>
        <w:t xml:space="preserve"> have to be implemented, but public authorities</w:t>
      </w:r>
      <w:r>
        <w:rPr>
          <w:noProof/>
        </w:rPr>
        <w:t xml:space="preserve"> would have a clear point of entry, reducing transaction costs, and would be faced with more consistent policies, meaning that they would not have to adapt to a variety of individual service providers' policie</w:t>
      </w:r>
      <w:r>
        <w:rPr>
          <w:noProof/>
        </w:rPr>
        <w:t xml:space="preserve">s, leading </w:t>
      </w:r>
      <w:r>
        <w:rPr>
          <w:rFonts w:eastAsia="Calibri"/>
          <w:noProof/>
          <w:lang w:eastAsia="ar-SA"/>
        </w:rPr>
        <w:t>to cost reductions for them.</w:t>
      </w:r>
      <w:r>
        <w:rPr>
          <w:rFonts w:eastAsia="Calibri"/>
          <w:noProof/>
          <w:szCs w:val="24"/>
          <w:lang w:eastAsia="ar-SA"/>
        </w:rPr>
        <w:t xml:space="preserve"> In addition, these practical measures may also lead to a slight shift from judicial cooperation channels to direct cooperation channels based on a better understanding by practitioners of this later channel, generati</w:t>
      </w:r>
      <w:r>
        <w:rPr>
          <w:rFonts w:eastAsia="Calibri"/>
          <w:noProof/>
          <w:szCs w:val="24"/>
          <w:lang w:eastAsia="ar-SA"/>
        </w:rPr>
        <w:t>ng further savings, and to an increase of the total number of requests made via direct cooperation because requests that were not done previously because of the complexity of the process or a lack of knowledge about the procedure of a particular service pr</w:t>
      </w:r>
      <w:r>
        <w:rPr>
          <w:rFonts w:eastAsia="Calibri"/>
          <w:noProof/>
          <w:szCs w:val="24"/>
          <w:lang w:eastAsia="ar-SA"/>
        </w:rPr>
        <w:t xml:space="preserve">ovider would now be done. The overall benefit from the practical measures implemented by authorities should outweigh the costs, including those incurred by service providers that choose to implement practical measures on their side. </w:t>
      </w:r>
    </w:p>
    <w:p w:rsidR="001B65FF" w:rsidRDefault="003E4EF4">
      <w:pPr>
        <w:pStyle w:val="Text2"/>
        <w:spacing w:after="120" w:line="276" w:lineRule="auto"/>
        <w:ind w:left="0"/>
        <w:rPr>
          <w:rFonts w:eastAsia="Calibri"/>
          <w:noProof/>
          <w:lang w:eastAsia="ar-SA"/>
        </w:rPr>
      </w:pPr>
      <w:r>
        <w:rPr>
          <w:rFonts w:eastAsia="Calibri"/>
          <w:noProof/>
          <w:lang w:eastAsia="ar-SA"/>
        </w:rPr>
        <w:t>There would be a limit</w:t>
      </w:r>
      <w:r>
        <w:rPr>
          <w:rFonts w:eastAsia="Calibri"/>
          <w:noProof/>
          <w:lang w:eastAsia="ar-SA"/>
        </w:rPr>
        <w:t xml:space="preserve">ed impact on non-EU countries, in particular as more requests use a more effective direct cooperation channel. </w:t>
      </w:r>
    </w:p>
    <w:p w:rsidR="001B65FF" w:rsidRDefault="003E4EF4">
      <w:pPr>
        <w:pStyle w:val="Text2"/>
        <w:spacing w:after="120" w:line="276" w:lineRule="auto"/>
        <w:ind w:left="0"/>
        <w:rPr>
          <w:rFonts w:eastAsia="Calibri"/>
          <w:noProof/>
          <w:szCs w:val="24"/>
          <w:lang w:eastAsia="ar-SA"/>
        </w:rPr>
      </w:pPr>
      <w:r>
        <w:rPr>
          <w:rFonts w:eastAsia="Calibri"/>
          <w:noProof/>
          <w:lang w:eastAsia="ar-SA"/>
        </w:rPr>
        <w:t xml:space="preserve">As the practical measures work within the present-day legislative framework, SMEs would be free to choose whether to participate or not in direct cooperation, given that there is no legal obligation to do so under US law. Within the EU, direct cooperation </w:t>
      </w:r>
      <w:r>
        <w:rPr>
          <w:rFonts w:eastAsia="Calibri"/>
          <w:noProof/>
          <w:lang w:eastAsia="ar-SA"/>
        </w:rPr>
        <w:t xml:space="preserve">is not possible besides exceptional cases so there is no impact on SMEs. In the context of judicial cooperation, SMEs in the EU and beyond would likely stand to benefit from an increased quality of requests in the same manner as the larger providers. </w:t>
      </w:r>
    </w:p>
    <w:p w:rsidR="001B65FF" w:rsidRDefault="003E4EF4">
      <w:pPr>
        <w:spacing w:after="120"/>
        <w:rPr>
          <w:rFonts w:ascii="Times New Roman" w:hAnsi="Times New Roman" w:cs="Times New Roman"/>
          <w:b/>
          <w:noProof/>
          <w:sz w:val="24"/>
          <w:szCs w:val="24"/>
        </w:rPr>
      </w:pPr>
      <w:bookmarkStart w:id="1467" w:name="_Toc497927278"/>
      <w:bookmarkStart w:id="1468" w:name="_Toc497927891"/>
      <w:bookmarkStart w:id="1469" w:name="_Toc497928157"/>
      <w:bookmarkStart w:id="1470" w:name="_Toc497927281"/>
      <w:bookmarkStart w:id="1471" w:name="_Toc497927894"/>
      <w:bookmarkStart w:id="1472" w:name="_Toc497928160"/>
      <w:bookmarkStart w:id="1473" w:name="_Toc498509683"/>
      <w:bookmarkStart w:id="1474" w:name="_Toc498521238"/>
      <w:bookmarkStart w:id="1475" w:name="_Toc497927279"/>
      <w:bookmarkStart w:id="1476" w:name="_Toc497927892"/>
      <w:bookmarkStart w:id="1477" w:name="_Toc497928158"/>
      <w:bookmarkEnd w:id="1467"/>
      <w:bookmarkEnd w:id="1468"/>
      <w:bookmarkEnd w:id="1469"/>
      <w:r>
        <w:rPr>
          <w:rFonts w:ascii="Times New Roman" w:hAnsi="Times New Roman" w:cs="Times New Roman"/>
          <w:b/>
          <w:noProof/>
          <w:sz w:val="24"/>
          <w:szCs w:val="24"/>
        </w:rPr>
        <w:t>Opti</w:t>
      </w:r>
      <w:r>
        <w:rPr>
          <w:rFonts w:ascii="Times New Roman" w:hAnsi="Times New Roman" w:cs="Times New Roman"/>
          <w:b/>
          <w:noProof/>
          <w:sz w:val="24"/>
          <w:szCs w:val="24"/>
        </w:rPr>
        <w:t>on B: option A + international agreements</w:t>
      </w:r>
      <w:bookmarkEnd w:id="1470"/>
      <w:bookmarkEnd w:id="1471"/>
      <w:bookmarkEnd w:id="1472"/>
      <w:bookmarkEnd w:id="1473"/>
      <w:bookmarkEnd w:id="1474"/>
    </w:p>
    <w:p w:rsidR="001B65FF" w:rsidRDefault="003E4EF4">
      <w:pPr>
        <w:pStyle w:val="Text2"/>
        <w:spacing w:after="120" w:line="276" w:lineRule="auto"/>
        <w:ind w:left="0"/>
        <w:rPr>
          <w:noProof/>
        </w:rPr>
      </w:pPr>
      <w:r>
        <w:rPr>
          <w:noProof/>
        </w:rPr>
        <w:t xml:space="preserve">The impacts of this option are the same as in option A, plus those of international agreements. </w:t>
      </w:r>
    </w:p>
    <w:p w:rsidR="001B65FF" w:rsidRDefault="003E4EF4">
      <w:pPr>
        <w:pStyle w:val="Text2"/>
        <w:spacing w:after="120" w:line="276" w:lineRule="auto"/>
        <w:ind w:left="0"/>
        <w:rPr>
          <w:noProof/>
        </w:rPr>
      </w:pPr>
      <w:r>
        <w:rPr>
          <w:noProof/>
        </w:rPr>
        <w:t>International solutions that would allow direct cooperation with service providers, be it in the framework of a multi</w:t>
      </w:r>
      <w:r>
        <w:rPr>
          <w:noProof/>
        </w:rPr>
        <w:t>lateral or a bilateral agreement, could lead to a shift from judicial cooperation procedures to direct cooperation with service providers. Similar considerations regarding the economic impact on businesses and on public authorities would apply as for a mea</w:t>
      </w:r>
      <w:r>
        <w:rPr>
          <w:noProof/>
        </w:rPr>
        <w:t>sure on direct cooperation with service providers. Legal certainty could be improved and conflicts of law avoided in relation to the states that are party to the agreement, which could result in a reduction of burden and associated costs for service provid</w:t>
      </w:r>
      <w:r>
        <w:rPr>
          <w:noProof/>
        </w:rPr>
        <w:t>ers, as stakeholders highlighted during the consultation. A shift from judicial cooperation channels to a new form of direct cooperation and direct access instituted under any such agreement would likely apply to a greater extent in the framework of a bila</w:t>
      </w:r>
      <w:r>
        <w:rPr>
          <w:noProof/>
        </w:rPr>
        <w:t>teral agreement, given that the scope of a bilateral agreement is likely to be wider than in a multilateral context. This could be largely cost-neutral for service providers: the initial costs associated with the adaptation to any new legal framework could</w:t>
      </w:r>
      <w:r>
        <w:rPr>
          <w:noProof/>
        </w:rPr>
        <w:t xml:space="preserve"> be offset by efficiency gains thanks to the reduction in complexity and number of laws applying to the same types of situations.</w:t>
      </w:r>
    </w:p>
    <w:p w:rsidR="001B65FF" w:rsidRDefault="003E4EF4">
      <w:pPr>
        <w:suppressAutoHyphens/>
        <w:jc w:val="both"/>
        <w:rPr>
          <w:rFonts w:ascii="Times New Roman" w:hAnsi="Times New Roman" w:cs="Times New Roman"/>
          <w:noProof/>
          <w:sz w:val="24"/>
          <w:szCs w:val="24"/>
        </w:rPr>
      </w:pPr>
      <w:r>
        <w:rPr>
          <w:rFonts w:ascii="Times New Roman" w:hAnsi="Times New Roman" w:cs="Times New Roman"/>
          <w:noProof/>
          <w:sz w:val="24"/>
        </w:rPr>
        <w:t xml:space="preserve">Any option including international agreements could have a similar favourable impact on non-EU countries as in Member States, </w:t>
      </w:r>
      <w:r>
        <w:rPr>
          <w:rFonts w:ascii="Times New Roman" w:hAnsi="Times New Roman" w:cs="Times New Roman"/>
          <w:noProof/>
          <w:sz w:val="24"/>
        </w:rPr>
        <w:t>as the agreement would define common approaches.</w:t>
      </w:r>
    </w:p>
    <w:p w:rsidR="001B65FF" w:rsidRDefault="003E4EF4">
      <w:pPr>
        <w:spacing w:after="120"/>
        <w:rPr>
          <w:rFonts w:ascii="Times New Roman" w:hAnsi="Times New Roman" w:cs="Times New Roman"/>
          <w:b/>
          <w:noProof/>
          <w:sz w:val="24"/>
          <w:szCs w:val="24"/>
        </w:rPr>
      </w:pPr>
      <w:bookmarkStart w:id="1478" w:name="_Toc498509684"/>
      <w:bookmarkStart w:id="1479" w:name="_Toc498521239"/>
      <w:r>
        <w:rPr>
          <w:rFonts w:ascii="Times New Roman" w:hAnsi="Times New Roman" w:cs="Times New Roman"/>
          <w:b/>
          <w:noProof/>
          <w:sz w:val="24"/>
          <w:szCs w:val="24"/>
        </w:rPr>
        <w:t>Option C: option B + direct cooperation legislation (EPO + access to databases)</w:t>
      </w:r>
      <w:bookmarkEnd w:id="1478"/>
      <w:bookmarkEnd w:id="1479"/>
      <w:r>
        <w:rPr>
          <w:rFonts w:ascii="Times New Roman" w:hAnsi="Times New Roman" w:cs="Times New Roman"/>
          <w:b/>
          <w:noProof/>
          <w:sz w:val="24"/>
          <w:szCs w:val="24"/>
        </w:rPr>
        <w:t xml:space="preserve"> </w:t>
      </w:r>
      <w:bookmarkEnd w:id="1475"/>
      <w:bookmarkEnd w:id="1476"/>
      <w:bookmarkEnd w:id="1477"/>
    </w:p>
    <w:p w:rsidR="001B65FF" w:rsidRDefault="003E4EF4">
      <w:pPr>
        <w:jc w:val="both"/>
        <w:rPr>
          <w:rFonts w:ascii="Times New Roman" w:hAnsi="Times New Roman" w:cs="Times New Roman"/>
          <w:noProof/>
          <w:sz w:val="24"/>
        </w:rPr>
      </w:pPr>
      <w:r>
        <w:rPr>
          <w:rFonts w:ascii="Times New Roman" w:hAnsi="Times New Roman" w:cs="Times New Roman"/>
          <w:noProof/>
          <w:sz w:val="24"/>
        </w:rPr>
        <w:t>The impacts of this option are the same as option B, plus those of the EPO and access to WHOIS databases.</w:t>
      </w:r>
    </w:p>
    <w:p w:rsidR="001B65FF" w:rsidRDefault="003E4EF4">
      <w:pPr>
        <w:spacing w:after="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European Production </w:t>
      </w:r>
      <w:r>
        <w:rPr>
          <w:rFonts w:ascii="Times New Roman" w:hAnsi="Times New Roman" w:cs="Times New Roman"/>
          <w:noProof/>
          <w:sz w:val="24"/>
          <w:szCs w:val="24"/>
          <w:u w:val="single"/>
        </w:rPr>
        <w:t>Order (EPO)</w:t>
      </w:r>
    </w:p>
    <w:p w:rsidR="001B65FF" w:rsidRDefault="003E4EF4">
      <w:pPr>
        <w:pStyle w:val="Text2"/>
        <w:spacing w:after="120" w:line="276" w:lineRule="auto"/>
        <w:ind w:left="0"/>
        <w:rPr>
          <w:noProof/>
          <w:szCs w:val="24"/>
        </w:rPr>
      </w:pPr>
      <w:r>
        <w:rPr>
          <w:noProof/>
          <w:szCs w:val="24"/>
        </w:rPr>
        <w:t>If an efficient procedure is implemented to obtain cross-border access to electronic evidence, a significant proportion of judicial cooperation requests would shift to direct cooperation as the more efficient instrument. This concerns predomina</w:t>
      </w:r>
      <w:r>
        <w:rPr>
          <w:noProof/>
          <w:szCs w:val="24"/>
        </w:rPr>
        <w:t>ntly intra-EU requests, as direct cooperation was previously not possible here, whereas a change in numbers regarding direct cooperation with US providers is not expected. Some shifts are to be expected from direct access as well, according to expert feedb</w:t>
      </w:r>
      <w:r>
        <w:rPr>
          <w:noProof/>
          <w:szCs w:val="24"/>
        </w:rPr>
        <w:t>ack. In addition, public authorities will attempt to obtain such data also in cases where today they may have been discouraged even to try due to the cumbersome procedure required, as practitioners explained. As a result, an increase in the total number of</w:t>
      </w:r>
      <w:r>
        <w:rPr>
          <w:noProof/>
          <w:szCs w:val="24"/>
        </w:rPr>
        <w:t xml:space="preserve"> direct cooperation requests is expected.</w:t>
      </w:r>
    </w:p>
    <w:p w:rsidR="001B65FF" w:rsidRDefault="003E4EF4">
      <w:pPr>
        <w:pStyle w:val="Text2"/>
        <w:spacing w:after="120" w:line="276" w:lineRule="auto"/>
        <w:ind w:left="0"/>
        <w:rPr>
          <w:noProof/>
        </w:rPr>
      </w:pPr>
      <w:r>
        <w:rPr>
          <w:noProof/>
        </w:rPr>
        <w:t>The European Production Order would introduce additional burdens for service providers, but also benefits for them. European service providers would receive such requests directly from public authorities from other</w:t>
      </w:r>
      <w:r>
        <w:rPr>
          <w:noProof/>
        </w:rPr>
        <w:t xml:space="preserve"> Member States, instead of from their own public authorities. They would be subject to two sets of requests, domestic ones and European ones. This could possibly lead to uncertainty as to the applicable legal framework. To mitigate such risks, the proposal</w:t>
      </w:r>
      <w:r>
        <w:rPr>
          <w:noProof/>
        </w:rPr>
        <w:t xml:space="preserve"> would introduce a unique form used by all public authorities throughout the Union for cross-border cases, to be translated into the language of the service provider. US service providers would benefit from a more harmonised legal framework for cross-borde</w:t>
      </w:r>
      <w:r>
        <w:rPr>
          <w:noProof/>
        </w:rPr>
        <w:t>r requests, instead of 28 different ones, and of increased legal certainty.</w:t>
      </w:r>
    </w:p>
    <w:p w:rsidR="001B65FF" w:rsidRDefault="003E4EF4">
      <w:pPr>
        <w:pStyle w:val="Text2"/>
        <w:spacing w:after="120" w:line="276" w:lineRule="auto"/>
        <w:ind w:left="0"/>
        <w:rPr>
          <w:noProof/>
        </w:rPr>
      </w:pPr>
      <w:r>
        <w:rPr>
          <w:noProof/>
        </w:rPr>
        <w:t>If the European Production Order would cover all forms of crime and not be limited to serious forms of crime, there might be an additional shift of requests to direct cooperation f</w:t>
      </w:r>
      <w:r>
        <w:rPr>
          <w:noProof/>
        </w:rPr>
        <w:t>rom judicial cooperation. The total number of requests they have to reply to would likely not change significantly, or only for those cases where public authorities decide not to pursue a case further because it would be too cumbersome to obtain the data v</w:t>
      </w:r>
      <w:r>
        <w:rPr>
          <w:noProof/>
        </w:rPr>
        <w:t>ia judicial cooperation.</w:t>
      </w:r>
    </w:p>
    <w:p w:rsidR="001B65FF" w:rsidRDefault="003E4EF4">
      <w:pPr>
        <w:pStyle w:val="Text2"/>
        <w:spacing w:after="120" w:line="276" w:lineRule="auto"/>
        <w:ind w:left="0"/>
        <w:rPr>
          <w:noProof/>
        </w:rPr>
      </w:pPr>
      <w:r>
        <w:rPr>
          <w:noProof/>
        </w:rPr>
        <w:t>The obligation to designate a legal representative in the Union would generate costs, in particular for service providers not established in the Union, who would have to mandate somebody in the Union to carry out this task.  In par</w:t>
      </w:r>
      <w:r>
        <w:rPr>
          <w:noProof/>
        </w:rPr>
        <w:t>ticular for SMEs not established in the Union, there is a fear that this could represent an important burden</w:t>
      </w:r>
      <w:r>
        <w:rPr>
          <w:rStyle w:val="FootnoteReference"/>
          <w:noProof/>
        </w:rPr>
        <w:footnoteReference w:id="112"/>
      </w:r>
      <w:r>
        <w:rPr>
          <w:noProof/>
        </w:rPr>
        <w:t>. On the other hand, this legal representative could be shared between service providers, and it could cover several functions (e.g. GDPR, ePrivacy</w:t>
      </w:r>
      <w:r>
        <w:rPr>
          <w:noProof/>
        </w:rPr>
        <w:t xml:space="preserve"> and EPO), reducing the costs.</w:t>
      </w:r>
    </w:p>
    <w:p w:rsidR="001B65FF" w:rsidRDefault="003E4EF4">
      <w:pPr>
        <w:pStyle w:val="Text2"/>
        <w:spacing w:after="120" w:line="276" w:lineRule="auto"/>
        <w:ind w:left="0"/>
        <w:rPr>
          <w:noProof/>
        </w:rPr>
      </w:pPr>
      <w:r>
        <w:rPr>
          <w:noProof/>
        </w:rPr>
        <w:t>For public authorities, a legal framework for direct cooperation with service providers would improve efficiency, leading to a shift from judicial cooperation channels. When acting as issuing authority, public authorities wou</w:t>
      </w:r>
      <w:r>
        <w:rPr>
          <w:noProof/>
        </w:rPr>
        <w:t>ld apply the same procedure, whether the service provider is established inside or outside of the Union, if they have jurisdiction under the proposal. Moreover, there would only be one authority involved, instead of two, as for judicial cooperation channel</w:t>
      </w:r>
      <w:r>
        <w:rPr>
          <w:noProof/>
        </w:rPr>
        <w:t>s. This would reduce the costs for those authorities that otherwise would have had to recognise and execute judicial cooperation requests.</w:t>
      </w:r>
    </w:p>
    <w:p w:rsidR="001B65FF" w:rsidRDefault="003E4EF4">
      <w:pPr>
        <w:pStyle w:val="Text2"/>
        <w:spacing w:after="120" w:line="276" w:lineRule="auto"/>
        <w:ind w:left="0"/>
        <w:rPr>
          <w:noProof/>
        </w:rPr>
      </w:pPr>
      <w:r>
        <w:rPr>
          <w:noProof/>
        </w:rPr>
        <w:t>A combination of measures would result in cumulated cost reductions for both service providers and public authorities</w:t>
      </w:r>
      <w:r>
        <w:rPr>
          <w:noProof/>
        </w:rPr>
        <w:t xml:space="preserve"> compared to the baseline scenario. The expected shift from judicial cooperation channels to cooperation with service providers could lead to important cost savings for judicial authorities both in the issuing and in the receiving State. Improvements in ju</w:t>
      </w:r>
      <w:r>
        <w:rPr>
          <w:noProof/>
        </w:rPr>
        <w:t xml:space="preserve">dicial cooperation channels, which, as explained above, would remain relevant in certain cases, could also result in some cost savings. Implementation of both practical and legislative measures would generate some costs for Member States, but these should </w:t>
      </w:r>
      <w:r>
        <w:rPr>
          <w:noProof/>
        </w:rPr>
        <w:t>be offset by the cost savings described above.</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rPr>
        <w:t>The biggest change for service providers offering services within the EU is that they would receive requests directly from public authorities in another Member State, rather than from their own public authorit</w:t>
      </w:r>
      <w:r>
        <w:rPr>
          <w:rFonts w:ascii="Times New Roman" w:hAnsi="Times New Roman" w:cs="Times New Roman"/>
          <w:noProof/>
          <w:sz w:val="24"/>
        </w:rPr>
        <w:t>ies via MLA or EIO channels. For those that participate in direct cooperation already, the main benefit would be the legal certainty and the harmonisation of procedures and forms of requests. For all service providers but particularly for SMEs, the nominat</w:t>
      </w:r>
      <w:r>
        <w:rPr>
          <w:rFonts w:ascii="Times New Roman" w:hAnsi="Times New Roman" w:cs="Times New Roman"/>
          <w:noProof/>
          <w:sz w:val="24"/>
        </w:rPr>
        <w:t>ion of SPOCs on the law enforcement side would make it easier (and cheaper) to authenticate EPOs.</w:t>
      </w:r>
    </w:p>
    <w:p w:rsidR="001B65FF" w:rsidRDefault="001B65FF">
      <w:pPr>
        <w:spacing w:after="0"/>
        <w:rPr>
          <w:rFonts w:ascii="Times New Roman" w:hAnsi="Times New Roman" w:cs="Times New Roman"/>
          <w:noProof/>
          <w:sz w:val="24"/>
          <w:u w:val="single"/>
        </w:rPr>
      </w:pPr>
      <w:bookmarkStart w:id="1480" w:name="_Toc497927280"/>
      <w:bookmarkStart w:id="1481" w:name="_Toc497927893"/>
      <w:bookmarkStart w:id="1482" w:name="_Toc497928159"/>
      <w:bookmarkStart w:id="1483" w:name="_Toc498509685"/>
      <w:bookmarkStart w:id="1484" w:name="_Toc498521240"/>
    </w:p>
    <w:p w:rsidR="001B65FF" w:rsidRDefault="003E4EF4">
      <w:pPr>
        <w:spacing w:after="0"/>
        <w:rPr>
          <w:rFonts w:ascii="Times New Roman" w:hAnsi="Times New Roman" w:cs="Times New Roman"/>
          <w:noProof/>
          <w:sz w:val="24"/>
          <w:u w:val="single"/>
        </w:rPr>
      </w:pPr>
      <w:r>
        <w:rPr>
          <w:rFonts w:ascii="Times New Roman" w:hAnsi="Times New Roman" w:cs="Times New Roman"/>
          <w:noProof/>
          <w:sz w:val="24"/>
          <w:u w:val="single"/>
        </w:rPr>
        <w:t>Access to databases</w:t>
      </w:r>
    </w:p>
    <w:p w:rsidR="001B65FF" w:rsidRDefault="003E4EF4">
      <w:pPr>
        <w:suppressAutoHyphens/>
        <w:jc w:val="both"/>
        <w:rPr>
          <w:rFonts w:ascii="Times New Roman" w:hAnsi="Times New Roman" w:cs="Times New Roman"/>
          <w:noProof/>
          <w:sz w:val="24"/>
          <w:szCs w:val="24"/>
        </w:rPr>
      </w:pPr>
      <w:r>
        <w:rPr>
          <w:rFonts w:ascii="Times New Roman" w:hAnsi="Times New Roman" w:cs="Times New Roman"/>
          <w:noProof/>
          <w:sz w:val="24"/>
        </w:rPr>
        <w:t xml:space="preserve">If a solution is provided for access to WHOIS, authorities might be able to maintain the level of access they benefit from today, as the </w:t>
      </w:r>
      <w:r>
        <w:rPr>
          <w:rFonts w:ascii="Times New Roman" w:hAnsi="Times New Roman" w:cs="Times New Roman"/>
          <w:noProof/>
          <w:sz w:val="24"/>
        </w:rPr>
        <w:t>databases concerned are already in place. Therefore, costs would remain the same; there would be no additional costs generated by this proposal on the providers' side, and the same would be true for authorities. Costs generated by the planned changes to th</w:t>
      </w:r>
      <w:r>
        <w:rPr>
          <w:rFonts w:ascii="Times New Roman" w:hAnsi="Times New Roman" w:cs="Times New Roman"/>
          <w:noProof/>
          <w:sz w:val="24"/>
        </w:rPr>
        <w:t>e WHOIS database system are independent of this proposal. The proposal would also prevent an avalanche of individual orders to service providers to produce the data, which might otherwise generate significant costs for both sides.</w:t>
      </w:r>
    </w:p>
    <w:p w:rsidR="001B65FF" w:rsidRDefault="003E4EF4">
      <w:pPr>
        <w:spacing w:after="120"/>
        <w:rPr>
          <w:rFonts w:ascii="Times New Roman" w:hAnsi="Times New Roman" w:cs="Times New Roman"/>
          <w:b/>
          <w:noProof/>
          <w:sz w:val="24"/>
          <w:szCs w:val="24"/>
        </w:rPr>
      </w:pPr>
      <w:r>
        <w:rPr>
          <w:rFonts w:ascii="Times New Roman" w:hAnsi="Times New Roman" w:cs="Times New Roman"/>
          <w:b/>
          <w:noProof/>
          <w:sz w:val="24"/>
          <w:szCs w:val="24"/>
        </w:rPr>
        <w:t>Option D: option C + dire</w:t>
      </w:r>
      <w:r>
        <w:rPr>
          <w:rFonts w:ascii="Times New Roman" w:hAnsi="Times New Roman" w:cs="Times New Roman"/>
          <w:b/>
          <w:noProof/>
          <w:sz w:val="24"/>
          <w:szCs w:val="24"/>
        </w:rPr>
        <w:t>ct access</w:t>
      </w:r>
      <w:bookmarkEnd w:id="1480"/>
      <w:bookmarkEnd w:id="1481"/>
      <w:bookmarkEnd w:id="1482"/>
      <w:bookmarkEnd w:id="1483"/>
      <w:bookmarkEnd w:id="1484"/>
      <w:r>
        <w:rPr>
          <w:rFonts w:ascii="Times New Roman" w:hAnsi="Times New Roman" w:cs="Times New Roman"/>
          <w:b/>
          <w:noProof/>
          <w:sz w:val="24"/>
          <w:szCs w:val="24"/>
        </w:rPr>
        <w:t xml:space="preserve"> legislation</w:t>
      </w:r>
    </w:p>
    <w:p w:rsidR="001B65FF" w:rsidRDefault="003E4EF4">
      <w:pPr>
        <w:pStyle w:val="Text2"/>
        <w:spacing w:after="120" w:line="276" w:lineRule="auto"/>
        <w:ind w:left="0"/>
        <w:rPr>
          <w:noProof/>
        </w:rPr>
      </w:pPr>
      <w:r>
        <w:rPr>
          <w:noProof/>
        </w:rPr>
        <w:t>The impacts of this option are the same as in option C, plus those of the measure on direct access, which would not impose any new obligations or administrative burdens on service providers. For public authorities, there would be one-</w:t>
      </w:r>
      <w:r>
        <w:rPr>
          <w:noProof/>
        </w:rPr>
        <w:t>off costs for implementation of legislation. Over time, efficiency gains are to be expected because direct access involves fewer actors and is generally swifter, requiring fewer resources than judicial cooperation procedures in those situations where Membe</w:t>
      </w:r>
      <w:r>
        <w:rPr>
          <w:noProof/>
        </w:rPr>
        <w:t>r States would have chosen such alternative channels. However, because of the specific conditions for these kinds of measures, it is not expected that the cases will be numerous. Therefore the impact should be moderate.</w:t>
      </w:r>
    </w:p>
    <w:p w:rsidR="001B65FF" w:rsidRDefault="003E4EF4">
      <w:pPr>
        <w:pStyle w:val="Text2"/>
        <w:spacing w:after="120" w:line="276" w:lineRule="auto"/>
        <w:ind w:left="0"/>
        <w:rPr>
          <w:noProof/>
          <w:szCs w:val="24"/>
        </w:rPr>
      </w:pPr>
      <w:r>
        <w:rPr>
          <w:noProof/>
        </w:rPr>
        <w:t>This option should not have any effe</w:t>
      </w:r>
      <w:r>
        <w:rPr>
          <w:noProof/>
        </w:rPr>
        <w:t>ct on non-EU countries. Some non-EU countries may however object to foreign law enforcement accessing data stored in their territory.</w:t>
      </w:r>
    </w:p>
    <w:p w:rsidR="001B65FF" w:rsidRDefault="003E4EF4">
      <w:pPr>
        <w:keepNext/>
        <w:numPr>
          <w:ilvl w:val="2"/>
          <w:numId w:val="3"/>
        </w:numPr>
        <w:tabs>
          <w:tab w:val="clear" w:pos="1920"/>
        </w:tabs>
        <w:spacing w:before="120" w:after="120" w:line="240" w:lineRule="auto"/>
        <w:ind w:left="720"/>
        <w:jc w:val="both"/>
        <w:outlineLvl w:val="2"/>
        <w:rPr>
          <w:rFonts w:ascii="Times New Roman" w:eastAsia="Times New Roman" w:hAnsi="Times New Roman" w:cs="Times New Roman"/>
          <w:noProof/>
          <w:sz w:val="24"/>
          <w:szCs w:val="20"/>
        </w:rPr>
      </w:pPr>
      <w:bookmarkStart w:id="1485" w:name="_Toc497927283"/>
      <w:bookmarkStart w:id="1486" w:name="_Toc497927898"/>
      <w:bookmarkStart w:id="1487" w:name="_Toc497928164"/>
      <w:bookmarkStart w:id="1488" w:name="_Toc498509686"/>
      <w:bookmarkStart w:id="1489" w:name="_Toc498521241"/>
      <w:bookmarkStart w:id="1490" w:name="_Toc498701975"/>
      <w:bookmarkStart w:id="1491" w:name="_Toc498704707"/>
      <w:bookmarkStart w:id="1492" w:name="_Toc499020465"/>
      <w:bookmarkStart w:id="1493" w:name="_Toc499030399"/>
      <w:bookmarkStart w:id="1494" w:name="_Toc499044942"/>
      <w:bookmarkStart w:id="1495" w:name="_Toc499051357"/>
      <w:bookmarkStart w:id="1496" w:name="_Toc499133314"/>
      <w:bookmarkStart w:id="1497" w:name="_Toc499142883"/>
      <w:bookmarkStart w:id="1498" w:name="_Toc510952880"/>
      <w:r>
        <w:rPr>
          <w:rFonts w:ascii="Times New Roman" w:eastAsia="Times New Roman" w:hAnsi="Times New Roman" w:cs="Times New Roman"/>
          <w:noProof/>
          <w:sz w:val="24"/>
          <w:szCs w:val="20"/>
        </w:rPr>
        <w:t>Fundamental rights impact</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rsidR="001B65FF" w:rsidRDefault="003E4EF4">
      <w:pPr>
        <w:pStyle w:val="Text2"/>
        <w:spacing w:after="60" w:line="276" w:lineRule="auto"/>
        <w:ind w:left="0"/>
        <w:rPr>
          <w:noProof/>
        </w:rPr>
      </w:pPr>
      <w:r>
        <w:rPr>
          <w:noProof/>
        </w:rPr>
        <w:t>The assessment of the fundamental rights impact of the different measures and options was carrie</w:t>
      </w:r>
      <w:r>
        <w:rPr>
          <w:noProof/>
        </w:rPr>
        <w:t>d out with particular attention, involving experts in fundamental rights and data protection, both inside the Commission and external stakeholders. The assessment included a dedicated meeting with data protection experts from the Member States and with the</w:t>
      </w:r>
      <w:r>
        <w:rPr>
          <w:noProof/>
        </w:rPr>
        <w:t xml:space="preserve"> EDPS on 2 October (cf. Annex 2.2). The safeguards that are part of the legislative measures are the result of this assessment.</w:t>
      </w:r>
    </w:p>
    <w:p w:rsidR="001B65FF" w:rsidRDefault="003E4EF4">
      <w:pPr>
        <w:pStyle w:val="Text2"/>
        <w:spacing w:after="60" w:line="276" w:lineRule="auto"/>
        <w:ind w:left="0"/>
        <w:rPr>
          <w:noProof/>
        </w:rPr>
      </w:pPr>
      <w:r>
        <w:rPr>
          <w:noProof/>
        </w:rPr>
        <w:t xml:space="preserve">This initiative could affect the following fundamental rights: </w:t>
      </w:r>
    </w:p>
    <w:p w:rsidR="001B65FF" w:rsidRDefault="003E4EF4">
      <w:pPr>
        <w:pStyle w:val="Text2"/>
        <w:numPr>
          <w:ilvl w:val="0"/>
          <w:numId w:val="217"/>
        </w:numPr>
        <w:spacing w:after="60" w:line="276" w:lineRule="auto"/>
        <w:rPr>
          <w:noProof/>
        </w:rPr>
      </w:pPr>
      <w:r>
        <w:rPr>
          <w:noProof/>
        </w:rPr>
        <w:t xml:space="preserve">rights of the </w:t>
      </w:r>
      <w:r>
        <w:rPr>
          <w:b/>
          <w:noProof/>
        </w:rPr>
        <w:t>data subject</w:t>
      </w:r>
      <w:r>
        <w:rPr>
          <w:noProof/>
        </w:rPr>
        <w:t xml:space="preserve"> whose data is accessed: right to prot</w:t>
      </w:r>
      <w:r>
        <w:rPr>
          <w:noProof/>
        </w:rPr>
        <w:t xml:space="preserve">ection of personal data; right to respect for private and family life; right to freedom of expression; right of defence; right to an effective remedy and to a fair trial; </w:t>
      </w:r>
    </w:p>
    <w:p w:rsidR="001B65FF" w:rsidRDefault="003E4EF4">
      <w:pPr>
        <w:pStyle w:val="Text2"/>
        <w:numPr>
          <w:ilvl w:val="0"/>
          <w:numId w:val="217"/>
        </w:numPr>
        <w:spacing w:after="60" w:line="276" w:lineRule="auto"/>
        <w:rPr>
          <w:noProof/>
        </w:rPr>
      </w:pPr>
      <w:r>
        <w:rPr>
          <w:noProof/>
        </w:rPr>
        <w:t xml:space="preserve">rights of the </w:t>
      </w:r>
      <w:r>
        <w:rPr>
          <w:b/>
          <w:noProof/>
        </w:rPr>
        <w:t>service provider</w:t>
      </w:r>
      <w:r>
        <w:rPr>
          <w:noProof/>
        </w:rPr>
        <w:t xml:space="preserve">: right to freedom to conduct a business; right to an </w:t>
      </w:r>
      <w:r>
        <w:rPr>
          <w:noProof/>
        </w:rPr>
        <w:t xml:space="preserve">effective remedy; </w:t>
      </w:r>
    </w:p>
    <w:p w:rsidR="001B65FF" w:rsidRDefault="003E4EF4">
      <w:pPr>
        <w:pStyle w:val="Text2"/>
        <w:numPr>
          <w:ilvl w:val="0"/>
          <w:numId w:val="217"/>
        </w:numPr>
        <w:spacing w:after="60" w:line="276" w:lineRule="auto"/>
        <w:rPr>
          <w:noProof/>
        </w:rPr>
      </w:pPr>
      <w:r>
        <w:rPr>
          <w:noProof/>
        </w:rPr>
        <w:t xml:space="preserve">rights of </w:t>
      </w:r>
      <w:r>
        <w:rPr>
          <w:b/>
          <w:noProof/>
        </w:rPr>
        <w:t>EU citizens</w:t>
      </w:r>
      <w:r>
        <w:rPr>
          <w:noProof/>
        </w:rPr>
        <w:t>: right to security.</w:t>
      </w:r>
    </w:p>
    <w:p w:rsidR="001B65FF" w:rsidRDefault="003E4EF4">
      <w:pPr>
        <w:spacing w:before="240" w:after="120"/>
        <w:rPr>
          <w:rFonts w:ascii="Times New Roman" w:hAnsi="Times New Roman" w:cs="Times New Roman"/>
          <w:b/>
          <w:noProof/>
          <w:sz w:val="24"/>
          <w:szCs w:val="24"/>
        </w:rPr>
      </w:pPr>
      <w:bookmarkStart w:id="1499" w:name="_Toc497927284"/>
      <w:bookmarkStart w:id="1500" w:name="_Toc497927899"/>
      <w:bookmarkStart w:id="1501" w:name="_Toc497928165"/>
      <w:bookmarkStart w:id="1502" w:name="_Toc498509687"/>
      <w:bookmarkStart w:id="1503" w:name="_Toc498521242"/>
      <w:r>
        <w:rPr>
          <w:rFonts w:ascii="Times New Roman" w:hAnsi="Times New Roman" w:cs="Times New Roman"/>
          <w:b/>
          <w:noProof/>
          <w:sz w:val="24"/>
          <w:szCs w:val="24"/>
        </w:rPr>
        <w:t>Option O: baseline</w:t>
      </w:r>
      <w:bookmarkEnd w:id="1499"/>
      <w:bookmarkEnd w:id="1500"/>
      <w:bookmarkEnd w:id="1501"/>
      <w:bookmarkEnd w:id="1502"/>
      <w:bookmarkEnd w:id="1503"/>
    </w:p>
    <w:p w:rsidR="001B65FF" w:rsidRDefault="003E4EF4">
      <w:pPr>
        <w:autoSpaceDE w:val="0"/>
        <w:autoSpaceDN w:val="0"/>
        <w:adjustRightInd w:val="0"/>
        <w:spacing w:after="120"/>
        <w:jc w:val="both"/>
        <w:rPr>
          <w:rFonts w:ascii="Times New Roman" w:hAnsi="Times New Roman" w:cs="Times New Roman"/>
          <w:noProof/>
          <w:sz w:val="24"/>
        </w:rPr>
      </w:pPr>
      <w:r>
        <w:rPr>
          <w:rFonts w:ascii="Times New Roman" w:hAnsi="Times New Roman" w:cs="Times New Roman"/>
          <w:noProof/>
          <w:sz w:val="24"/>
        </w:rPr>
        <w:t xml:space="preserve">In the baseline scenario, within the framework of public authorities’ cooperation through EIO/MLA, </w:t>
      </w:r>
      <w:r>
        <w:rPr>
          <w:rFonts w:ascii="Times New Roman" w:hAnsi="Times New Roman" w:cs="Times New Roman"/>
          <w:noProof/>
          <w:color w:val="000000"/>
          <w:sz w:val="24"/>
        </w:rPr>
        <w:t>the concrete protection of fundamental rights of persons whose data is sought</w:t>
      </w:r>
      <w:r>
        <w:rPr>
          <w:rFonts w:ascii="Times New Roman" w:hAnsi="Times New Roman" w:cs="Times New Roman"/>
          <w:noProof/>
          <w:color w:val="000000"/>
          <w:sz w:val="24"/>
        </w:rPr>
        <w:t xml:space="preserve"> will continue to be ensured through national authorities acting under national and EU law, including the Police Directive and EU directives on procedural rights, such as the Directive on the right to information in criminal proceedings</w:t>
      </w:r>
      <w:r>
        <w:rPr>
          <w:rStyle w:val="FootnoteReference"/>
          <w:rFonts w:ascii="Times New Roman" w:hAnsi="Times New Roman" w:cs="Times New Roman"/>
          <w:noProof/>
          <w:color w:val="000000"/>
        </w:rPr>
        <w:footnoteReference w:id="113"/>
      </w:r>
      <w:r>
        <w:rPr>
          <w:rFonts w:ascii="Times New Roman" w:hAnsi="Times New Roman" w:cs="Times New Roman"/>
          <w:noProof/>
          <w:color w:val="000000"/>
          <w:sz w:val="24"/>
        </w:rPr>
        <w:t>. When applying the</w:t>
      </w:r>
      <w:r>
        <w:rPr>
          <w:rFonts w:ascii="Times New Roman" w:hAnsi="Times New Roman" w:cs="Times New Roman"/>
          <w:noProof/>
          <w:color w:val="000000"/>
          <w:sz w:val="24"/>
        </w:rPr>
        <w:t xml:space="preserve"> EIO Directive, the Charter of Fundamental Rights applies. For judicial cooperation channels, a double check takes place: at the level of the issuing authority, under the national law of the issuing State, and at the level of the executing authority, under</w:t>
      </w:r>
      <w:r>
        <w:rPr>
          <w:rFonts w:ascii="Times New Roman" w:hAnsi="Times New Roman" w:cs="Times New Roman"/>
          <w:noProof/>
          <w:color w:val="000000"/>
          <w:sz w:val="24"/>
        </w:rPr>
        <w:t xml:space="preserve"> the national law of the executing State</w:t>
      </w:r>
      <w:r>
        <w:rPr>
          <w:rStyle w:val="FootnoteReference"/>
          <w:rFonts w:ascii="Times New Roman" w:hAnsi="Times New Roman" w:cs="Times New Roman"/>
          <w:noProof/>
          <w:color w:val="000000"/>
          <w:sz w:val="24"/>
        </w:rPr>
        <w:footnoteReference w:id="114"/>
      </w:r>
      <w:r>
        <w:rPr>
          <w:rFonts w:ascii="Times New Roman" w:hAnsi="Times New Roman" w:cs="Times New Roman"/>
          <w:noProof/>
          <w:color w:val="000000"/>
          <w:sz w:val="24"/>
        </w:rPr>
        <w:t>.</w:t>
      </w:r>
    </w:p>
    <w:p w:rsidR="001B65FF" w:rsidRDefault="003E4EF4">
      <w:pPr>
        <w:autoSpaceDE w:val="0"/>
        <w:autoSpaceDN w:val="0"/>
        <w:adjustRightInd w:val="0"/>
        <w:spacing w:after="120"/>
        <w:jc w:val="both"/>
        <w:rPr>
          <w:rFonts w:ascii="Times New Roman" w:hAnsi="Times New Roman" w:cs="Times New Roman"/>
          <w:noProof/>
          <w:color w:val="000000"/>
          <w:sz w:val="24"/>
        </w:rPr>
      </w:pPr>
      <w:r>
        <w:rPr>
          <w:rFonts w:ascii="Times New Roman" w:hAnsi="Times New Roman" w:cs="Times New Roman"/>
          <w:noProof/>
          <w:sz w:val="24"/>
        </w:rPr>
        <w:t>Regarding the voluntary cooperation regime, t</w:t>
      </w:r>
      <w:r>
        <w:rPr>
          <w:rFonts w:ascii="Times New Roman" w:hAnsi="Times New Roman" w:cs="Times New Roman"/>
          <w:noProof/>
          <w:color w:val="000000"/>
          <w:sz w:val="24"/>
        </w:rPr>
        <w:t>he investigations and prosecutions are exclusively conducted in accordance with the national law of the investigating State, but the service provider may refuse based o</w:t>
      </w:r>
      <w:r>
        <w:rPr>
          <w:rFonts w:ascii="Times New Roman" w:hAnsi="Times New Roman" w:cs="Times New Roman"/>
          <w:noProof/>
          <w:color w:val="000000"/>
          <w:sz w:val="24"/>
        </w:rPr>
        <w:t>n the law applicable to it if that prohibits disclosing the data to foreign authorities (e.g. US law preventing the disclosure of content data to foreign authorities). For many Member States, national law authorises data requests to domestic service provid</w:t>
      </w:r>
      <w:r>
        <w:rPr>
          <w:rFonts w:ascii="Times New Roman" w:hAnsi="Times New Roman" w:cs="Times New Roman"/>
          <w:noProof/>
          <w:color w:val="000000"/>
          <w:sz w:val="24"/>
        </w:rPr>
        <w:t xml:space="preserve">ers, but does not explicitly provide for the possibility to request data from foreign ones, which means that public authorities request such data from US providers in an uncertain legal environment. </w:t>
      </w:r>
    </w:p>
    <w:p w:rsidR="001B65FF" w:rsidRDefault="003E4EF4">
      <w:pPr>
        <w:autoSpaceDE w:val="0"/>
        <w:autoSpaceDN w:val="0"/>
        <w:adjustRightInd w:val="0"/>
        <w:spacing w:after="120"/>
        <w:jc w:val="both"/>
        <w:rPr>
          <w:rFonts w:ascii="Times New Roman" w:eastAsia="Calibri" w:hAnsi="Times New Roman" w:cs="Times New Roman"/>
          <w:noProof/>
          <w:sz w:val="24"/>
          <w:lang w:eastAsia="ar-SA"/>
        </w:rPr>
      </w:pPr>
      <w:r>
        <w:rPr>
          <w:rFonts w:ascii="Times New Roman" w:hAnsi="Times New Roman" w:cs="Times New Roman"/>
          <w:noProof/>
          <w:sz w:val="24"/>
        </w:rPr>
        <w:t>Obtaining data under the current voluntary cooperation r</w:t>
      </w:r>
      <w:r>
        <w:rPr>
          <w:rFonts w:ascii="Times New Roman" w:hAnsi="Times New Roman" w:cs="Times New Roman"/>
          <w:noProof/>
          <w:sz w:val="24"/>
        </w:rPr>
        <w:t>egime in the absence of a precise legal framework may affect the fundamental rights of the persons affected by the measure, including the right to an effective remedy, the right to respect for private life, and the right to the protection of personal data,</w:t>
      </w:r>
      <w:r>
        <w:rPr>
          <w:rFonts w:ascii="Times New Roman" w:hAnsi="Times New Roman" w:cs="Times New Roman"/>
          <w:noProof/>
          <w:sz w:val="24"/>
        </w:rPr>
        <w:t xml:space="preserve"> as stakeholders also mentioned in the consultation. The Charter does not apply. In the absence of a clear legal basis, public authorities may be unable to make requests for direct cooperation that are in compliance with the Police Directive for law enforc</w:t>
      </w:r>
      <w:r>
        <w:rPr>
          <w:rFonts w:ascii="Times New Roman" w:hAnsi="Times New Roman" w:cs="Times New Roman"/>
          <w:noProof/>
          <w:sz w:val="24"/>
        </w:rPr>
        <w:t xml:space="preserve">ement and in particular with Article 39, which sets specific conditions for such requests. </w:t>
      </w:r>
      <w:r>
        <w:rPr>
          <w:rFonts w:ascii="Times New Roman" w:hAnsi="Times New Roman" w:cs="Times New Roman"/>
          <w:noProof/>
          <w:color w:val="000000"/>
          <w:sz w:val="24"/>
        </w:rPr>
        <w:t>Some US service providers verify the legality of a request for data, mostly with regard to the law of the issuing State, but they are private parties, not judicial a</w:t>
      </w:r>
      <w:r>
        <w:rPr>
          <w:rFonts w:ascii="Times New Roman" w:hAnsi="Times New Roman" w:cs="Times New Roman"/>
          <w:noProof/>
          <w:color w:val="000000"/>
          <w:sz w:val="24"/>
        </w:rPr>
        <w:t>uthorities (who are the ones responsible).</w:t>
      </w:r>
      <w:r>
        <w:rPr>
          <w:rFonts w:ascii="Times New Roman" w:eastAsia="Calibri" w:hAnsi="Times New Roman" w:cs="Times New Roman"/>
          <w:noProof/>
          <w:sz w:val="24"/>
          <w:lang w:eastAsia="ar-SA"/>
        </w:rPr>
        <w:t xml:space="preserve"> </w:t>
      </w:r>
      <w:r>
        <w:rPr>
          <w:rFonts w:ascii="Times New Roman" w:hAnsi="Times New Roman" w:cs="Times New Roman"/>
          <w:noProof/>
          <w:color w:val="000000"/>
          <w:sz w:val="24"/>
        </w:rPr>
        <w:t xml:space="preserve">In the absence of a mandatory regime, the rights of service providers are not affected. </w:t>
      </w:r>
    </w:p>
    <w:p w:rsidR="001B65FF" w:rsidRDefault="003E4EF4">
      <w:pPr>
        <w:autoSpaceDE w:val="0"/>
        <w:autoSpaceDN w:val="0"/>
        <w:adjustRightInd w:val="0"/>
        <w:spacing w:after="120"/>
        <w:jc w:val="both"/>
        <w:rPr>
          <w:rFonts w:ascii="Times New Roman" w:eastAsia="Calibri" w:hAnsi="Times New Roman" w:cs="Times New Roman"/>
          <w:noProof/>
          <w:sz w:val="24"/>
          <w:lang w:eastAsia="ar-SA"/>
        </w:rPr>
      </w:pPr>
      <w:r>
        <w:rPr>
          <w:rFonts w:ascii="Times New Roman" w:eastAsia="Calibri" w:hAnsi="Times New Roman" w:cs="Times New Roman"/>
          <w:noProof/>
          <w:sz w:val="24"/>
          <w:lang w:eastAsia="ar-SA"/>
        </w:rPr>
        <w:t>Direct access takes place in accordance with the national law of the investigating State, which regulates the conditions and</w:t>
      </w:r>
      <w:r>
        <w:rPr>
          <w:rFonts w:ascii="Times New Roman" w:eastAsia="Calibri" w:hAnsi="Times New Roman" w:cs="Times New Roman"/>
          <w:noProof/>
          <w:sz w:val="24"/>
          <w:lang w:eastAsia="ar-SA"/>
        </w:rPr>
        <w:t xml:space="preserve"> safeguards applicable to the investigative measure such as the search and seizure. These vary between Member States, but as these investigative measures are among the most intrusive, there is generally a high level of protection. The Charter does not appl</w:t>
      </w:r>
      <w:r>
        <w:rPr>
          <w:rFonts w:ascii="Times New Roman" w:eastAsia="Calibri" w:hAnsi="Times New Roman" w:cs="Times New Roman"/>
          <w:noProof/>
          <w:sz w:val="24"/>
          <w:lang w:eastAsia="ar-SA"/>
        </w:rPr>
        <w:t xml:space="preserve">y. </w:t>
      </w:r>
    </w:p>
    <w:p w:rsidR="001B65FF" w:rsidRDefault="003E4EF4">
      <w:pPr>
        <w:autoSpaceDE w:val="0"/>
        <w:autoSpaceDN w:val="0"/>
        <w:adjustRightInd w:val="0"/>
        <w:spacing w:after="120"/>
        <w:jc w:val="both"/>
        <w:rPr>
          <w:rFonts w:ascii="Times New Roman" w:hAnsi="Times New Roman" w:cs="Times New Roman"/>
          <w:noProof/>
          <w:sz w:val="24"/>
          <w:szCs w:val="24"/>
        </w:rPr>
      </w:pPr>
      <w:r>
        <w:rPr>
          <w:rFonts w:ascii="Times New Roman" w:eastAsia="Calibri" w:hAnsi="Times New Roman" w:cs="Times New Roman"/>
          <w:noProof/>
          <w:sz w:val="24"/>
          <w:lang w:eastAsia="ar-SA"/>
        </w:rPr>
        <w:t xml:space="preserve">The problems affecting cross-border access to electronic evidence negatively affect the fundamental rights of persons who are or may become victims of crime (e.g. </w:t>
      </w:r>
      <w:r>
        <w:rPr>
          <w:rFonts w:ascii="Times New Roman" w:eastAsia="Calibri" w:hAnsi="Times New Roman" w:cs="Times New Roman"/>
          <w:noProof/>
          <w:sz w:val="24"/>
          <w:szCs w:val="24"/>
          <w:lang w:eastAsia="ar-SA"/>
        </w:rPr>
        <w:t xml:space="preserve">the </w:t>
      </w:r>
      <w:r>
        <w:rPr>
          <w:rFonts w:ascii="Times New Roman" w:eastAsia="Calibri" w:hAnsi="Times New Roman"/>
          <w:noProof/>
          <w:sz w:val="24"/>
          <w:lang w:eastAsia="ar-SA"/>
        </w:rPr>
        <w:t xml:space="preserve">right to </w:t>
      </w:r>
      <w:r>
        <w:rPr>
          <w:rFonts w:ascii="Times New Roman" w:eastAsia="Calibri" w:hAnsi="Times New Roman" w:cs="Times New Roman"/>
          <w:noProof/>
          <w:sz w:val="24"/>
          <w:szCs w:val="24"/>
          <w:lang w:eastAsia="ar-SA"/>
        </w:rPr>
        <w:t>life and dignity, and the right to property</w:t>
      </w:r>
      <w:r>
        <w:rPr>
          <w:rFonts w:ascii="Times New Roman" w:eastAsia="Calibri" w:hAnsi="Times New Roman" w:cs="Times New Roman"/>
          <w:noProof/>
          <w:sz w:val="24"/>
          <w:lang w:eastAsia="ar-SA"/>
        </w:rPr>
        <w:t>). This negative impact stands to</w:t>
      </w:r>
      <w:r>
        <w:rPr>
          <w:rFonts w:ascii="Times New Roman" w:eastAsia="Calibri" w:hAnsi="Times New Roman" w:cs="Times New Roman"/>
          <w:noProof/>
          <w:sz w:val="24"/>
          <w:lang w:eastAsia="ar-SA"/>
        </w:rPr>
        <w:t xml:space="preserve"> increase with the growing need for cross-border access, in particular if publicly available data becomes available upon individualised request only. </w:t>
      </w:r>
    </w:p>
    <w:p w:rsidR="001B65FF" w:rsidRDefault="003E4EF4">
      <w:pPr>
        <w:spacing w:before="240" w:after="120"/>
        <w:rPr>
          <w:rFonts w:ascii="Times New Roman" w:hAnsi="Times New Roman" w:cs="Times New Roman"/>
          <w:b/>
          <w:noProof/>
          <w:sz w:val="24"/>
          <w:szCs w:val="24"/>
        </w:rPr>
      </w:pPr>
      <w:bookmarkStart w:id="1504" w:name="_Toc498509688"/>
      <w:bookmarkStart w:id="1505" w:name="_Toc498521243"/>
      <w:bookmarkStart w:id="1506" w:name="_Toc497927285"/>
      <w:bookmarkStart w:id="1507" w:name="_Toc497927900"/>
      <w:bookmarkStart w:id="1508" w:name="_Toc497928166"/>
      <w:r>
        <w:rPr>
          <w:rFonts w:ascii="Times New Roman" w:hAnsi="Times New Roman" w:cs="Times New Roman"/>
          <w:b/>
          <w:noProof/>
          <w:sz w:val="24"/>
          <w:szCs w:val="24"/>
        </w:rPr>
        <w:t>Option A: non-legislative action</w:t>
      </w:r>
      <w:bookmarkEnd w:id="1504"/>
      <w:bookmarkEnd w:id="1505"/>
    </w:p>
    <w:bookmarkEnd w:id="1506"/>
    <w:bookmarkEnd w:id="1507"/>
    <w:bookmarkEnd w:id="1508"/>
    <w:p w:rsidR="001B65FF" w:rsidRDefault="003E4EF4">
      <w:pPr>
        <w:spacing w:after="120"/>
        <w:jc w:val="both"/>
        <w:rPr>
          <w:rFonts w:ascii="Times New Roman" w:eastAsia="Calibri" w:hAnsi="Times New Roman" w:cs="Times New Roman"/>
          <w:noProof/>
          <w:sz w:val="24"/>
          <w:lang w:eastAsia="ar-SA"/>
        </w:rPr>
      </w:pPr>
      <w:r>
        <w:rPr>
          <w:rFonts w:ascii="Times New Roman" w:eastAsia="Calibri" w:hAnsi="Times New Roman" w:cs="Times New Roman"/>
          <w:noProof/>
          <w:sz w:val="24"/>
          <w:lang w:eastAsia="ar-SA"/>
        </w:rPr>
        <w:t>Compared to the baseline scenario, a very limited impact on fundamental rights may be expected with respect to cooperation between public authorities, if at all: The establishment of a secure online platform for authorities to exchange EIO/ MLA requests wh</w:t>
      </w:r>
      <w:r>
        <w:rPr>
          <w:rFonts w:ascii="Times New Roman" w:eastAsia="Calibri" w:hAnsi="Times New Roman" w:cs="Times New Roman"/>
          <w:noProof/>
          <w:sz w:val="24"/>
          <w:lang w:eastAsia="ar-SA"/>
        </w:rPr>
        <w:t xml:space="preserve">ich ensures confidentiality of all data sets may have a positive effect on the protection of personal data. It would furthermore increase transparency and accountability and contribute to ensuring sound administration. There would be no change </w:t>
      </w:r>
      <w:r>
        <w:rPr>
          <w:rFonts w:ascii="Times New Roman" w:hAnsi="Times New Roman" w:cs="Times New Roman"/>
          <w:noProof/>
          <w:sz w:val="24"/>
        </w:rPr>
        <w:t xml:space="preserve">with regard </w:t>
      </w:r>
      <w:r>
        <w:rPr>
          <w:rFonts w:ascii="Times New Roman" w:hAnsi="Times New Roman" w:cs="Times New Roman"/>
          <w:noProof/>
          <w:sz w:val="24"/>
        </w:rPr>
        <w:t xml:space="preserve">to legal certainty and individuals' rights in the framework of voluntary cooperation with service providers. </w:t>
      </w:r>
    </w:p>
    <w:p w:rsidR="001B65FF" w:rsidRDefault="003E4EF4">
      <w:pPr>
        <w:autoSpaceDE w:val="0"/>
        <w:autoSpaceDN w:val="0"/>
        <w:adjustRightInd w:val="0"/>
        <w:jc w:val="both"/>
        <w:rPr>
          <w:rFonts w:ascii="Times New Roman" w:hAnsi="Times New Roman" w:cs="Times New Roman"/>
          <w:noProof/>
          <w:sz w:val="24"/>
          <w:szCs w:val="24"/>
        </w:rPr>
      </w:pPr>
      <w:r>
        <w:rPr>
          <w:rFonts w:ascii="Times New Roman" w:eastAsia="Calibri" w:hAnsi="Times New Roman" w:cs="Times New Roman"/>
          <w:noProof/>
          <w:sz w:val="24"/>
          <w:lang w:eastAsia="ar-SA"/>
        </w:rPr>
        <w:t>The problems affecting cross-border access to electronic evidence would only be partially addressed through these measures, so the situation would</w:t>
      </w:r>
      <w:r>
        <w:rPr>
          <w:rFonts w:ascii="Times New Roman" w:eastAsia="Calibri" w:hAnsi="Times New Roman" w:cs="Times New Roman"/>
          <w:noProof/>
          <w:sz w:val="24"/>
          <w:lang w:eastAsia="ar-SA"/>
        </w:rPr>
        <w:t xml:space="preserve"> still negatively affect the fundamental rights of persons who are or may become victims of crime (right to security). </w:t>
      </w:r>
      <w:r>
        <w:rPr>
          <w:rFonts w:ascii="Times New Roman" w:eastAsia="Calibri" w:hAnsi="Times New Roman" w:cs="Times New Roman"/>
          <w:noProof/>
          <w:sz w:val="24"/>
          <w:szCs w:val="24"/>
          <w:lang w:eastAsia="ar-SA"/>
        </w:rPr>
        <w:t>The negative impact would conceivably be less strong compared to the baseline.</w:t>
      </w:r>
    </w:p>
    <w:p w:rsidR="001B65FF" w:rsidRDefault="003E4EF4">
      <w:pPr>
        <w:spacing w:before="240" w:after="120"/>
        <w:rPr>
          <w:rFonts w:ascii="Times New Roman" w:hAnsi="Times New Roman" w:cs="Times New Roman"/>
          <w:b/>
          <w:noProof/>
          <w:sz w:val="24"/>
          <w:szCs w:val="24"/>
        </w:rPr>
      </w:pPr>
      <w:bookmarkStart w:id="1509" w:name="_Toc498509689"/>
      <w:bookmarkStart w:id="1510" w:name="_Toc498521244"/>
      <w:r>
        <w:rPr>
          <w:rFonts w:ascii="Times New Roman" w:hAnsi="Times New Roman" w:cs="Times New Roman"/>
          <w:b/>
          <w:noProof/>
          <w:sz w:val="24"/>
          <w:szCs w:val="24"/>
        </w:rPr>
        <w:t>Option B: option A + international agreements</w:t>
      </w:r>
      <w:bookmarkEnd w:id="1509"/>
      <w:bookmarkEnd w:id="1510"/>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The impacts </w:t>
      </w:r>
      <w:r>
        <w:rPr>
          <w:rFonts w:ascii="Times New Roman" w:hAnsi="Times New Roman" w:cs="Times New Roman"/>
          <w:noProof/>
          <w:sz w:val="24"/>
        </w:rPr>
        <w:t xml:space="preserve">of this option are the same as in option A, plus those of international agreements, described below. </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rPr>
        <w:t>International agreements may be advantageous, as they might allow ensuring an adequate level of protection of fundamental rights, including data protectio</w:t>
      </w:r>
      <w:r>
        <w:rPr>
          <w:rFonts w:ascii="Times New Roman" w:hAnsi="Times New Roman" w:cs="Times New Roman"/>
          <w:noProof/>
          <w:sz w:val="24"/>
        </w:rPr>
        <w:t>n. They could allow for a joint definition of mutually acceptable conditions, thus reducing conflicts of law, and specific mechanisms to ensure fundamental rights protection, possibly elevating international standards to the EU level. They would also contr</w:t>
      </w:r>
      <w:r>
        <w:rPr>
          <w:rFonts w:ascii="Times New Roman" w:hAnsi="Times New Roman" w:cs="Times New Roman"/>
          <w:noProof/>
          <w:sz w:val="24"/>
        </w:rPr>
        <w:t xml:space="preserve">ibute to legal certainty, which could have a positive impact on the right to security and the freedom to conduct a business. Given their wider geographical coverage, they would therefore add value compared to the previous options. </w:t>
      </w:r>
    </w:p>
    <w:p w:rsidR="001B65FF" w:rsidRDefault="003E4EF4">
      <w:pPr>
        <w:spacing w:before="240" w:after="120"/>
        <w:rPr>
          <w:rFonts w:ascii="Times New Roman" w:hAnsi="Times New Roman" w:cs="Times New Roman"/>
          <w:b/>
          <w:noProof/>
          <w:sz w:val="24"/>
          <w:szCs w:val="24"/>
        </w:rPr>
      </w:pPr>
      <w:bookmarkStart w:id="1511" w:name="_Toc498509690"/>
      <w:bookmarkStart w:id="1512" w:name="_Toc498521245"/>
      <w:r>
        <w:rPr>
          <w:rFonts w:ascii="Times New Roman" w:hAnsi="Times New Roman" w:cs="Times New Roman"/>
          <w:b/>
          <w:noProof/>
          <w:sz w:val="24"/>
          <w:szCs w:val="24"/>
        </w:rPr>
        <w:t>Option C: option B + dir</w:t>
      </w:r>
      <w:r>
        <w:rPr>
          <w:rFonts w:ascii="Times New Roman" w:hAnsi="Times New Roman" w:cs="Times New Roman"/>
          <w:b/>
          <w:noProof/>
          <w:sz w:val="24"/>
          <w:szCs w:val="24"/>
        </w:rPr>
        <w:t>ect cooperation legislation (EPO + access to databases)</w:t>
      </w:r>
      <w:bookmarkEnd w:id="1511"/>
      <w:bookmarkEnd w:id="1512"/>
      <w:r>
        <w:rPr>
          <w:rFonts w:ascii="Times New Roman" w:hAnsi="Times New Roman" w:cs="Times New Roman"/>
          <w:b/>
          <w:noProof/>
          <w:sz w:val="24"/>
          <w:szCs w:val="24"/>
        </w:rPr>
        <w:t xml:space="preserve"> </w:t>
      </w:r>
    </w:p>
    <w:p w:rsidR="001B65FF" w:rsidRDefault="003E4EF4">
      <w:pPr>
        <w:spacing w:after="0"/>
        <w:rPr>
          <w:rFonts w:ascii="Times New Roman" w:hAnsi="Times New Roman" w:cs="Times New Roman"/>
          <w:noProof/>
          <w:sz w:val="24"/>
          <w:szCs w:val="24"/>
          <w:u w:val="single"/>
        </w:rPr>
      </w:pPr>
      <w:r>
        <w:rPr>
          <w:rFonts w:ascii="Times New Roman" w:hAnsi="Times New Roman" w:cs="Times New Roman"/>
          <w:noProof/>
          <w:sz w:val="24"/>
          <w:szCs w:val="24"/>
          <w:u w:val="single"/>
        </w:rPr>
        <w:t>European Production Order (EPO)</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An EPO could potentially affect a number of fundamental rights of the affected persons. To ensure the protection of the rights of these persons, the measure includes t</w:t>
      </w:r>
      <w:r>
        <w:rPr>
          <w:rFonts w:ascii="Times New Roman" w:hAnsi="Times New Roman" w:cs="Times New Roman"/>
          <w:noProof/>
          <w:sz w:val="24"/>
        </w:rPr>
        <w:t>he safeguards outlined in section 5. The intervention of a judicial authority when the order is issued would ensure that the legality of the measure has been checked and that the order does not unduly infringe on fundamental rights</w:t>
      </w:r>
      <w:r>
        <w:rPr>
          <w:rFonts w:ascii="Times New Roman" w:hAnsi="Times New Roman" w:cs="Times New Roman"/>
          <w:noProof/>
          <w:sz w:val="24"/>
          <w:szCs w:val="24"/>
        </w:rPr>
        <w:t>, including the effects o</w:t>
      </w:r>
      <w:r>
        <w:rPr>
          <w:rFonts w:ascii="Times New Roman" w:hAnsi="Times New Roman" w:cs="Times New Roman"/>
          <w:noProof/>
          <w:sz w:val="24"/>
          <w:szCs w:val="24"/>
        </w:rPr>
        <w:t>f important legal principles such as the lawyer client privilege or protection of journalistic freedoms</w:t>
      </w:r>
      <w:r>
        <w:rPr>
          <w:rFonts w:ascii="Times New Roman" w:hAnsi="Times New Roman" w:cs="Times New Roman"/>
          <w:noProof/>
          <w:sz w:val="24"/>
        </w:rPr>
        <w:t xml:space="preserve">. As the measure would not include a limitation to serious forms of crime, the issuing judicial authority should be required to ensure in the individual </w:t>
      </w:r>
      <w:r>
        <w:rPr>
          <w:rFonts w:ascii="Times New Roman" w:hAnsi="Times New Roman" w:cs="Times New Roman"/>
          <w:noProof/>
          <w:sz w:val="24"/>
        </w:rPr>
        <w:t>case that the EPO is necessary and proportionate, including in view of the gravity of the offence under investigation. This would prevent that an EPO is issued in a situation where it would be disproportionate in view of the lack of seriousness of the offe</w:t>
      </w:r>
      <w:r>
        <w:rPr>
          <w:rFonts w:ascii="Times New Roman" w:hAnsi="Times New Roman" w:cs="Times New Roman"/>
          <w:noProof/>
          <w:sz w:val="24"/>
        </w:rPr>
        <w:t>nce, but avoiding at the same time that the instrument could not be used at all for certain types of crimes which may become important for other reasons in specific cases, e.g. because they affect a high number of victims. The judicial authority would also</w:t>
      </w:r>
      <w:r>
        <w:rPr>
          <w:rFonts w:ascii="Times New Roman" w:hAnsi="Times New Roman" w:cs="Times New Roman"/>
          <w:noProof/>
          <w:sz w:val="24"/>
        </w:rPr>
        <w:t xml:space="preserve"> be required to check that the data category sought is necessary for and the request itself is limited to what is necessary for and proportionate to the purpose of the proceedings.</w:t>
      </w:r>
    </w:p>
    <w:p w:rsidR="001B65FF" w:rsidRDefault="003E4EF4">
      <w:pPr>
        <w:pStyle w:val="Default"/>
        <w:spacing w:after="120" w:line="276" w:lineRule="auto"/>
        <w:jc w:val="both"/>
        <w:rPr>
          <w:noProof/>
        </w:rPr>
      </w:pPr>
      <w:r>
        <w:rPr>
          <w:noProof/>
        </w:rPr>
        <w:t>The possibilities of an effective remedy for persons whose data is being re</w:t>
      </w:r>
      <w:r>
        <w:rPr>
          <w:noProof/>
        </w:rPr>
        <w:t>quested would also be addressed. Immunities and privileges of certain professions such as lawyers would also have to be taken into account during trial in the issuing State, as highlighted by a number of stakeholders. The review by a judicial authority wil</w:t>
      </w:r>
      <w:r>
        <w:rPr>
          <w:noProof/>
        </w:rPr>
        <w:t>l serve as a further safeguard here.</w:t>
      </w:r>
    </w:p>
    <w:p w:rsidR="001B65FF" w:rsidRDefault="003E4EF4">
      <w:pPr>
        <w:spacing w:after="120"/>
        <w:jc w:val="both"/>
        <w:rPr>
          <w:rFonts w:ascii="Times New Roman" w:hAnsi="Times New Roman"/>
          <w:noProof/>
          <w:sz w:val="24"/>
        </w:rPr>
      </w:pPr>
      <w:r>
        <w:rPr>
          <w:rFonts w:ascii="Times New Roman" w:hAnsi="Times New Roman"/>
          <w:noProof/>
          <w:sz w:val="24"/>
        </w:rPr>
        <w:t xml:space="preserve">Because the production order would be a mandatory measure, and it would also encompass the obligation to designate a legal representative, the measure could also affect the rights of service providers, in </w:t>
      </w:r>
      <w:r>
        <w:rPr>
          <w:rFonts w:ascii="Times New Roman" w:hAnsi="Times New Roman" w:cs="Times New Roman"/>
          <w:noProof/>
          <w:sz w:val="24"/>
          <w:szCs w:val="24"/>
        </w:rPr>
        <w:t>particular</w:t>
      </w:r>
      <w:r>
        <w:rPr>
          <w:rFonts w:ascii="Times New Roman" w:hAnsi="Times New Roman"/>
          <w:noProof/>
          <w:sz w:val="24"/>
        </w:rPr>
        <w:t xml:space="preserve"> the freedom to conduct a business. Insofar that such measures could affect rights and freedoms of the service providers stemming from Union law, the proposal  would include a right for the service provider to raise certain types of errors before a court o</w:t>
      </w:r>
      <w:r>
        <w:rPr>
          <w:rFonts w:ascii="Times New Roman" w:hAnsi="Times New Roman"/>
          <w:noProof/>
          <w:sz w:val="24"/>
        </w:rPr>
        <w:t xml:space="preserve">r a tribunal in the issuing Member State, e.g. if the order has not been issued by a judicial authority. </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One of the risks of a mandatory approach would be that it could inspire non-EU countries which do not have fundamental rights safeguards in place that</w:t>
      </w:r>
      <w:r>
        <w:rPr>
          <w:rFonts w:ascii="Times New Roman" w:hAnsi="Times New Roman" w:cs="Times New Roman"/>
          <w:noProof/>
          <w:sz w:val="24"/>
        </w:rPr>
        <w:t xml:space="preserve"> can be considered comparable to those in the EU, including in the field of data protection, to introduce a reciprocal obligation for EU service providers active on their territory. This could undermine the high level of data protection ensured by the EU a</w:t>
      </w:r>
      <w:r>
        <w:rPr>
          <w:rFonts w:ascii="Times New Roman" w:hAnsi="Times New Roman" w:cs="Times New Roman"/>
          <w:noProof/>
          <w:sz w:val="24"/>
        </w:rPr>
        <w:t>cquis, by making this data potentially available to such non-EU countries. This "model" role of EU law could be addressed in two ways: first, by providing a proposal that contains strong safeguards and explicitly references the conditions and safeguards al</w:t>
      </w:r>
      <w:r>
        <w:rPr>
          <w:rFonts w:ascii="Times New Roman" w:hAnsi="Times New Roman" w:cs="Times New Roman"/>
          <w:noProof/>
          <w:sz w:val="24"/>
        </w:rPr>
        <w:t>ready inherent in the EU acquis and can thus serve as a model for foreign legislation; and secondly, by including a specific conflicts of law clause that would allow service providers to identify and raise conflicting obligations they would be facing. This</w:t>
      </w:r>
      <w:r>
        <w:rPr>
          <w:rFonts w:ascii="Times New Roman" w:hAnsi="Times New Roman" w:cs="Times New Roman"/>
          <w:noProof/>
          <w:sz w:val="24"/>
        </w:rPr>
        <w:t xml:space="preserve"> clause would give a role to the law of the non-EU country and include the possibility for consulting the authorities of that country on the existence of such conflicting obligations, and for taking their views into account in the decision on whether to up</w:t>
      </w:r>
      <w:r>
        <w:rPr>
          <w:rFonts w:ascii="Times New Roman" w:hAnsi="Times New Roman" w:cs="Times New Roman"/>
          <w:noProof/>
          <w:sz w:val="24"/>
        </w:rPr>
        <w:t xml:space="preserve">hold </w:t>
      </w:r>
      <w:r>
        <w:rPr>
          <w:rFonts w:ascii="Times New Roman" w:hAnsi="Times New Roman" w:cs="Times New Roman"/>
          <w:noProof/>
          <w:sz w:val="24"/>
          <w:szCs w:val="24"/>
        </w:rPr>
        <w:t>or</w:t>
      </w:r>
      <w:r>
        <w:rPr>
          <w:rFonts w:ascii="Times New Roman" w:hAnsi="Times New Roman" w:cs="Times New Roman"/>
          <w:noProof/>
          <w:sz w:val="24"/>
        </w:rPr>
        <w:t xml:space="preserve"> annul the contested EPO. International agreements may further reduce conflicts of law situations. However, given that a number of non-EU countries have already implemented their own approaches to these matters, expectations as to the positive impac</w:t>
      </w:r>
      <w:r>
        <w:rPr>
          <w:rFonts w:ascii="Times New Roman" w:hAnsi="Times New Roman" w:cs="Times New Roman"/>
          <w:noProof/>
          <w:sz w:val="24"/>
        </w:rPr>
        <w:t>t of any "model" role of EU law necessarily have to be limited. This is particularly true for the fundamental choice as to whether to address the challenges by imposing data localisation requirements, which this initiative seeks to avoid in view of the inh</w:t>
      </w:r>
      <w:r>
        <w:rPr>
          <w:rFonts w:ascii="Times New Roman" w:hAnsi="Times New Roman" w:cs="Times New Roman"/>
          <w:noProof/>
          <w:sz w:val="24"/>
        </w:rPr>
        <w:t>erent negative side effects.</w:t>
      </w:r>
    </w:p>
    <w:p w:rsidR="001B65FF" w:rsidRDefault="003E4EF4">
      <w:pPr>
        <w:autoSpaceDE w:val="0"/>
        <w:autoSpaceDN w:val="0"/>
        <w:adjustRightInd w:val="0"/>
        <w:jc w:val="both"/>
        <w:rPr>
          <w:rFonts w:ascii="Times New Roman" w:hAnsi="Times New Roman" w:cs="Times New Roman"/>
          <w:noProof/>
          <w:sz w:val="24"/>
        </w:rPr>
      </w:pPr>
      <w:r>
        <w:rPr>
          <w:rFonts w:ascii="Times New Roman" w:hAnsi="Times New Roman" w:cs="Times New Roman"/>
          <w:noProof/>
          <w:sz w:val="24"/>
        </w:rPr>
        <w:t>The above analysis suggests that, if applied with proportionality and complemented with the proposed safeguards, each measure in this policy option respects fundamental rights. On the other hand, by not including a measure on d</w:t>
      </w:r>
      <w:r>
        <w:rPr>
          <w:rFonts w:ascii="Times New Roman" w:hAnsi="Times New Roman" w:cs="Times New Roman"/>
          <w:noProof/>
          <w:sz w:val="24"/>
        </w:rPr>
        <w:t>irect cooperation, or delaying its adoption, option C would leave direct cooperation to diverging national regimes, thereby not ensuring a similar high level of protection in the Union of direct access measures; safeguards would remain a national issue. Mi</w:t>
      </w:r>
      <w:r>
        <w:rPr>
          <w:rFonts w:ascii="Times New Roman" w:hAnsi="Times New Roman" w:cs="Times New Roman"/>
          <w:noProof/>
          <w:sz w:val="24"/>
        </w:rPr>
        <w:t>nimum safeguards could potentially stem from the additional protocol to the Budapest Convention, but it is too early to say. With a functioning mechanism to obtain data from service providers, it can be assumed that there would be fewer incentives for Memb</w:t>
      </w:r>
      <w:r>
        <w:rPr>
          <w:rFonts w:ascii="Times New Roman" w:hAnsi="Times New Roman" w:cs="Times New Roman"/>
          <w:noProof/>
          <w:sz w:val="24"/>
        </w:rPr>
        <w:t>er States to use direct access also in situations where they could instead go to a service provider.</w:t>
      </w:r>
    </w:p>
    <w:p w:rsidR="001B65FF" w:rsidRDefault="003E4EF4">
      <w:pPr>
        <w:autoSpaceDE w:val="0"/>
        <w:autoSpaceDN w:val="0"/>
        <w:adjustRightInd w:val="0"/>
        <w:spacing w:after="0"/>
        <w:jc w:val="both"/>
        <w:rPr>
          <w:rFonts w:ascii="Times New Roman" w:hAnsi="Times New Roman" w:cs="Times New Roman"/>
          <w:noProof/>
          <w:sz w:val="24"/>
          <w:u w:val="single"/>
        </w:rPr>
      </w:pPr>
      <w:bookmarkStart w:id="1513" w:name="_Toc498509691"/>
      <w:bookmarkStart w:id="1514" w:name="_Toc498521246"/>
      <w:r>
        <w:rPr>
          <w:rFonts w:ascii="Times New Roman" w:hAnsi="Times New Roman" w:cs="Times New Roman"/>
          <w:noProof/>
          <w:sz w:val="24"/>
          <w:u w:val="single"/>
        </w:rPr>
        <w:t>Access to databases</w:t>
      </w:r>
    </w:p>
    <w:p w:rsidR="001B65FF" w:rsidRDefault="003E4EF4">
      <w:pPr>
        <w:autoSpaceDE w:val="0"/>
        <w:autoSpaceDN w:val="0"/>
        <w:adjustRightInd w:val="0"/>
        <w:jc w:val="both"/>
        <w:rPr>
          <w:rFonts w:ascii="Times New Roman" w:hAnsi="Times New Roman" w:cs="Times New Roman"/>
          <w:noProof/>
          <w:sz w:val="24"/>
          <w:lang w:val="en-US"/>
        </w:rPr>
      </w:pPr>
      <w:r>
        <w:rPr>
          <w:rFonts w:ascii="Times New Roman" w:hAnsi="Times New Roman" w:cs="Times New Roman"/>
          <w:noProof/>
          <w:sz w:val="24"/>
          <w:lang w:val="en-US"/>
        </w:rPr>
        <w:t>The impact on fundamental rights of the legal base for access to dedicated database systems would be small as the data contained in thi</w:t>
      </w:r>
      <w:r>
        <w:rPr>
          <w:rFonts w:ascii="Times New Roman" w:hAnsi="Times New Roman" w:cs="Times New Roman"/>
          <w:noProof/>
          <w:sz w:val="24"/>
          <w:lang w:val="en-US"/>
        </w:rPr>
        <w:t>s database is not particularly sensitive in nature and authorities' access would remain essentially unchanged. Creating such a legal base would also indirectly allow the system to move to a tiered-access model as it could still ensure the vital public poli</w:t>
      </w:r>
      <w:r>
        <w:rPr>
          <w:rFonts w:ascii="Times New Roman" w:hAnsi="Times New Roman" w:cs="Times New Roman"/>
          <w:noProof/>
          <w:sz w:val="24"/>
          <w:lang w:val="en-US"/>
        </w:rPr>
        <w:t>cy interests at stake. This in turn would have a positive effect on individuals' fundamental right to privacy, as their personal data would no longer be publicly available and access to it – especially for abusive purposes – would be limited in a more effe</w:t>
      </w:r>
      <w:r>
        <w:rPr>
          <w:rFonts w:ascii="Times New Roman" w:hAnsi="Times New Roman" w:cs="Times New Roman"/>
          <w:noProof/>
          <w:sz w:val="24"/>
          <w:lang w:val="en-US"/>
        </w:rPr>
        <w:t>ctive manner.</w:t>
      </w:r>
    </w:p>
    <w:p w:rsidR="001B65FF" w:rsidRDefault="003E4EF4">
      <w:pPr>
        <w:keepNext/>
        <w:spacing w:before="240" w:after="120"/>
        <w:rPr>
          <w:rFonts w:ascii="Times New Roman" w:hAnsi="Times New Roman" w:cs="Times New Roman"/>
          <w:b/>
          <w:noProof/>
          <w:sz w:val="24"/>
          <w:szCs w:val="24"/>
        </w:rPr>
      </w:pPr>
      <w:r>
        <w:rPr>
          <w:rFonts w:ascii="Times New Roman" w:hAnsi="Times New Roman" w:cs="Times New Roman"/>
          <w:b/>
          <w:noProof/>
          <w:sz w:val="24"/>
          <w:szCs w:val="24"/>
        </w:rPr>
        <w:t>Option D: option C + direct access</w:t>
      </w:r>
      <w:bookmarkEnd w:id="1513"/>
      <w:bookmarkEnd w:id="1514"/>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The impacts of this option are the </w:t>
      </w:r>
      <w:r>
        <w:rPr>
          <w:rFonts w:ascii="Times New Roman" w:hAnsi="Times New Roman" w:cs="Times New Roman"/>
          <w:noProof/>
          <w:sz w:val="24"/>
          <w:szCs w:val="24"/>
        </w:rPr>
        <w:t>same</w:t>
      </w:r>
      <w:r>
        <w:rPr>
          <w:rFonts w:ascii="Times New Roman" w:hAnsi="Times New Roman" w:cs="Times New Roman"/>
          <w:noProof/>
          <w:sz w:val="24"/>
        </w:rPr>
        <w:t xml:space="preserve"> as in option C, plus those of a measure on direct access, as described below. </w:t>
      </w:r>
    </w:p>
    <w:p w:rsidR="001B65FF" w:rsidRDefault="003E4EF4">
      <w:pPr>
        <w:spacing w:after="120"/>
        <w:jc w:val="both"/>
        <w:rPr>
          <w:rFonts w:ascii="Times New Roman" w:hAnsi="Times New Roman" w:cs="Times New Roman"/>
          <w:noProof/>
          <w:sz w:val="24"/>
          <w:bdr w:val="none" w:sz="0" w:space="0" w:color="auto" w:frame="1"/>
        </w:rPr>
      </w:pPr>
      <w:r>
        <w:rPr>
          <w:rFonts w:ascii="Times New Roman" w:hAnsi="Times New Roman" w:cs="Times New Roman"/>
          <w:noProof/>
          <w:sz w:val="24"/>
          <w:bdr w:val="none" w:sz="0" w:space="0" w:color="auto" w:frame="1"/>
        </w:rPr>
        <w:t xml:space="preserve">This option </w:t>
      </w:r>
      <w:r>
        <w:rPr>
          <w:rFonts w:ascii="Times New Roman" w:hAnsi="Times New Roman" w:cs="Times New Roman"/>
          <w:noProof/>
          <w:sz w:val="24"/>
        </w:rPr>
        <w:t>would</w:t>
      </w:r>
      <w:r>
        <w:rPr>
          <w:rFonts w:ascii="Times New Roman" w:hAnsi="Times New Roman" w:cs="Times New Roman"/>
          <w:noProof/>
          <w:sz w:val="24"/>
          <w:szCs w:val="24"/>
        </w:rPr>
        <w:t xml:space="preserve"> allow public authorities to access data that is not publicly available and that is, in most cases, personal data.</w:t>
      </w:r>
      <w:r>
        <w:rPr>
          <w:rFonts w:ascii="Times New Roman" w:hAnsi="Times New Roman" w:cs="Times New Roman"/>
          <w:noProof/>
          <w:sz w:val="24"/>
          <w:szCs w:val="27"/>
          <w:bdr w:val="none" w:sz="0" w:space="0" w:color="auto" w:frame="1"/>
        </w:rPr>
        <w:t xml:space="preserve"> However, the intrusiveness is already inherent in the national investigative meas</w:t>
      </w:r>
      <w:r>
        <w:rPr>
          <w:rFonts w:ascii="Times New Roman" w:hAnsi="Times New Roman" w:cs="Times New Roman"/>
          <w:noProof/>
          <w:sz w:val="24"/>
          <w:bdr w:val="none" w:sz="0" w:space="0" w:color="auto" w:frame="1"/>
        </w:rPr>
        <w:t>ure, such as the search and seizure measure. Possible EU leg</w:t>
      </w:r>
      <w:r>
        <w:rPr>
          <w:rFonts w:ascii="Times New Roman" w:hAnsi="Times New Roman" w:cs="Times New Roman"/>
          <w:noProof/>
          <w:sz w:val="24"/>
          <w:bdr w:val="none" w:sz="0" w:space="0" w:color="auto" w:frame="1"/>
        </w:rPr>
        <w:t xml:space="preserve">islation instituting conditions and safeguards could inspire further EU Member States – beyond the 20 which already provide for direct access – to adopt legislation on these issues. A proposal would therefore indirectly have an impact on the rights of the </w:t>
      </w:r>
      <w:r>
        <w:rPr>
          <w:rFonts w:ascii="Times New Roman" w:hAnsi="Times New Roman" w:cs="Times New Roman"/>
          <w:noProof/>
          <w:sz w:val="24"/>
          <w:bdr w:val="none" w:sz="0" w:space="0" w:color="auto" w:frame="1"/>
        </w:rPr>
        <w:t xml:space="preserve">target of the investigation. It would </w:t>
      </w:r>
      <w:r>
        <w:rPr>
          <w:rFonts w:ascii="Times New Roman" w:hAnsi="Times New Roman" w:cs="Times New Roman"/>
          <w:noProof/>
          <w:sz w:val="24"/>
          <w:szCs w:val="27"/>
          <w:bdr w:val="none" w:sz="0" w:space="0" w:color="auto" w:frame="1"/>
        </w:rPr>
        <w:t xml:space="preserve">allow public authorities to also access data stored remotely if it is not clear whether it is stored on their territory, where this is not yet provided for in national law, i.e. it would widen the scope of the measure </w:t>
      </w:r>
      <w:r>
        <w:rPr>
          <w:rFonts w:ascii="Times New Roman" w:hAnsi="Times New Roman" w:cs="Times New Roman"/>
          <w:noProof/>
          <w:sz w:val="24"/>
          <w:szCs w:val="27"/>
          <w:bdr w:val="none" w:sz="0" w:space="0" w:color="auto" w:frame="1"/>
        </w:rPr>
        <w:t>to data to which they may not necessarily have had access until now. But whether the data is stored on a device or remotely in the cloud, on the territory of the investigating Member State or in a non-EU country, should not be a relevant factor regarding t</w:t>
      </w:r>
      <w:r>
        <w:rPr>
          <w:rFonts w:ascii="Times New Roman" w:hAnsi="Times New Roman" w:cs="Times New Roman"/>
          <w:noProof/>
          <w:sz w:val="24"/>
          <w:szCs w:val="27"/>
          <w:bdr w:val="none" w:sz="0" w:space="0" w:color="auto" w:frame="1"/>
        </w:rPr>
        <w:t xml:space="preserve">he fundamental rights </w:t>
      </w:r>
      <w:r>
        <w:rPr>
          <w:rFonts w:ascii="Times New Roman" w:hAnsi="Times New Roman" w:cs="Times New Roman"/>
          <w:noProof/>
          <w:sz w:val="24"/>
          <w:szCs w:val="24"/>
        </w:rPr>
        <w:t>protection</w:t>
      </w:r>
      <w:r>
        <w:rPr>
          <w:rFonts w:ascii="Times New Roman" w:hAnsi="Times New Roman" w:cs="Times New Roman"/>
          <w:noProof/>
          <w:sz w:val="24"/>
          <w:szCs w:val="27"/>
          <w:bdr w:val="none" w:sz="0" w:space="0" w:color="auto" w:frame="1"/>
        </w:rPr>
        <w:t xml:space="preserve"> of the data subject (which should be ensured by the conditions and safeguards), nor regarding the sensitivity of access by public authorities.</w:t>
      </w:r>
    </w:p>
    <w:p w:rsidR="001B65FF" w:rsidRDefault="003E4EF4">
      <w:pPr>
        <w:spacing w:after="120"/>
        <w:jc w:val="both"/>
        <w:rPr>
          <w:rFonts w:ascii="Times New Roman" w:hAnsi="Times New Roman" w:cs="Times New Roman"/>
          <w:noProof/>
          <w:sz w:val="24"/>
          <w:bdr w:val="none" w:sz="0" w:space="0" w:color="auto" w:frame="1"/>
        </w:rPr>
      </w:pPr>
      <w:r>
        <w:rPr>
          <w:rFonts w:ascii="Times New Roman" w:hAnsi="Times New Roman" w:cs="Times New Roman"/>
          <w:noProof/>
          <w:sz w:val="24"/>
          <w:szCs w:val="24"/>
        </w:rPr>
        <w:t xml:space="preserve">As </w:t>
      </w:r>
      <w:r>
        <w:rPr>
          <w:rFonts w:ascii="Times New Roman" w:hAnsi="Times New Roman" w:cs="Times New Roman"/>
          <w:noProof/>
          <w:sz w:val="24"/>
        </w:rPr>
        <w:t>the measure would</w:t>
      </w:r>
      <w:r>
        <w:rPr>
          <w:rFonts w:ascii="Times New Roman" w:hAnsi="Times New Roman" w:cs="Times New Roman"/>
          <w:noProof/>
          <w:sz w:val="24"/>
          <w:bdr w:val="none" w:sz="0" w:space="0" w:color="auto" w:frame="1"/>
        </w:rPr>
        <w:t xml:space="preserve"> be anchored in national law, all safeguards and conditions </w:t>
      </w:r>
      <w:r>
        <w:rPr>
          <w:rFonts w:ascii="Times New Roman" w:hAnsi="Times New Roman" w:cs="Times New Roman"/>
          <w:noProof/>
          <w:sz w:val="24"/>
          <w:bdr w:val="none" w:sz="0" w:space="0" w:color="auto" w:frame="1"/>
        </w:rPr>
        <w:t xml:space="preserve">set out by the </w:t>
      </w:r>
      <w:r>
        <w:rPr>
          <w:rFonts w:ascii="Times New Roman" w:hAnsi="Times New Roman" w:cs="Times New Roman"/>
          <w:noProof/>
          <w:sz w:val="24"/>
          <w:szCs w:val="24"/>
        </w:rPr>
        <w:t>respective</w:t>
      </w:r>
      <w:r>
        <w:rPr>
          <w:rFonts w:ascii="Times New Roman" w:hAnsi="Times New Roman" w:cs="Times New Roman"/>
          <w:noProof/>
          <w:sz w:val="24"/>
          <w:bdr w:val="none" w:sz="0" w:space="0" w:color="auto" w:frame="1"/>
        </w:rPr>
        <w:t xml:space="preserve"> national law would be preserved by this instrument (including thresholds and privileges).</w:t>
      </w:r>
      <w:r>
        <w:rPr>
          <w:rFonts w:ascii="Times New Roman" w:hAnsi="Times New Roman" w:cs="Times New Roman"/>
          <w:noProof/>
          <w:sz w:val="24"/>
        </w:rPr>
        <w:t xml:space="preserve"> In addition, it would include additional conditions and safeguards </w:t>
      </w:r>
      <w:r>
        <w:rPr>
          <w:rFonts w:ascii="Times New Roman" w:hAnsi="Times New Roman" w:cs="Times New Roman"/>
          <w:noProof/>
          <w:sz w:val="24"/>
          <w:bdr w:val="none" w:sz="0" w:space="0" w:color="auto" w:frame="1"/>
        </w:rPr>
        <w:t>to ensure that the use of this measure remains exceptional, such as the r</w:t>
      </w:r>
      <w:r>
        <w:rPr>
          <w:rFonts w:ascii="Times New Roman" w:hAnsi="Times New Roman" w:cs="Times New Roman"/>
          <w:noProof/>
          <w:sz w:val="24"/>
          <w:bdr w:val="none" w:sz="0" w:space="0" w:color="auto" w:frame="1"/>
        </w:rPr>
        <w:t xml:space="preserve">equirement that the data sought is necessary for the investigation and the measure is limited to what is necessary and proportionate to the purpose of the proceedings, also in view of the nature and </w:t>
      </w:r>
      <w:r>
        <w:rPr>
          <w:rFonts w:ascii="Times New Roman" w:hAnsi="Times New Roman" w:cs="Times New Roman"/>
          <w:noProof/>
          <w:sz w:val="24"/>
          <w:szCs w:val="24"/>
        </w:rPr>
        <w:t>gravity</w:t>
      </w:r>
      <w:r>
        <w:rPr>
          <w:rFonts w:ascii="Times New Roman" w:hAnsi="Times New Roman" w:cs="Times New Roman"/>
          <w:noProof/>
          <w:sz w:val="24"/>
          <w:bdr w:val="none" w:sz="0" w:space="0" w:color="auto" w:frame="1"/>
        </w:rPr>
        <w:t xml:space="preserve"> of the offence under investigation. It would ther</w:t>
      </w:r>
      <w:r>
        <w:rPr>
          <w:rFonts w:ascii="Times New Roman" w:hAnsi="Times New Roman" w:cs="Times New Roman"/>
          <w:noProof/>
          <w:sz w:val="24"/>
          <w:bdr w:val="none" w:sz="0" w:space="0" w:color="auto" w:frame="1"/>
        </w:rPr>
        <w:t>efore likely have a positive impact on the fundamental rights of the person affected as it could serve to limit overly broad national legal bases. It would also have a positive impact in creating legal certainty on the mutual acceptance among EU Member Sta</w:t>
      </w:r>
      <w:r>
        <w:rPr>
          <w:rFonts w:ascii="Times New Roman" w:hAnsi="Times New Roman" w:cs="Times New Roman"/>
          <w:noProof/>
          <w:sz w:val="24"/>
          <w:bdr w:val="none" w:sz="0" w:space="0" w:color="auto" w:frame="1"/>
        </w:rPr>
        <w:t>tes of the respective national measures.</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rPr>
        <w:t>Again, there is a risk of reciprocal response by non-EU countries. At the same time, a number of non-EU countries would not need to rely on EU legislation, as they may have already put in place other approaches to e</w:t>
      </w:r>
      <w:r>
        <w:rPr>
          <w:rFonts w:ascii="Times New Roman" w:hAnsi="Times New Roman" w:cs="Times New Roman"/>
          <w:noProof/>
          <w:sz w:val="24"/>
        </w:rPr>
        <w:t xml:space="preserve">nsure access to data, such as data localisation obligations or a more expansive set of investigative measures, including possibilities for investigators to directly access data, going further than what is proposed here. In that light, creating a framework </w:t>
      </w:r>
      <w:r>
        <w:rPr>
          <w:rFonts w:ascii="Times New Roman" w:hAnsi="Times New Roman" w:cs="Times New Roman"/>
          <w:noProof/>
          <w:sz w:val="24"/>
        </w:rPr>
        <w:t>for access to electronic evidence that builds on the robust protections already provided for under EU law and including specific safeguards could also set a positive example. Moreover, international agreements may reduce reciprocity issues, if they include</w:t>
      </w:r>
      <w:r>
        <w:rPr>
          <w:rFonts w:ascii="Times New Roman" w:hAnsi="Times New Roman" w:cs="Times New Roman"/>
          <w:noProof/>
          <w:sz w:val="24"/>
        </w:rPr>
        <w:t xml:space="preserve"> agreements on direct access as is already the case – to a limited extent – under the Budapest Convention.</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When assessing a combination of all measures, the main ones impacting fundamental rights are the legislative measures. As explained above, they would</w:t>
      </w:r>
      <w:r>
        <w:rPr>
          <w:rFonts w:ascii="Times New Roman" w:hAnsi="Times New Roman" w:cs="Times New Roman"/>
          <w:noProof/>
          <w:sz w:val="24"/>
        </w:rPr>
        <w:t xml:space="preserve"> include sufficient safeguards to make them compatible with fundamental rights. A combination of all legislative measures, including international solutions, would facilitate cross-border access to personal data to the biggest extent, and would also ensure</w:t>
      </w:r>
      <w:r>
        <w:rPr>
          <w:rFonts w:ascii="Times New Roman" w:hAnsi="Times New Roman" w:cs="Times New Roman"/>
          <w:noProof/>
          <w:sz w:val="24"/>
        </w:rPr>
        <w:t xml:space="preserve"> that fundamental rights are most widely protected in all situations covered by these measures. If only some of these measures would be pursued by Union law, it would still leave room for either national unilateral solutions and/or voluntary cooperation ou</w:t>
      </w:r>
      <w:r>
        <w:rPr>
          <w:rFonts w:ascii="Times New Roman" w:hAnsi="Times New Roman" w:cs="Times New Roman"/>
          <w:noProof/>
          <w:sz w:val="24"/>
        </w:rPr>
        <w:t>tside of a clear legal framework. The legislative measures would also ensure that the practical measures can take place in a legal framework where fundamental rights are protected, thereby complementing the practical measures from a fundamental rights poin</w:t>
      </w:r>
      <w:r>
        <w:rPr>
          <w:rFonts w:ascii="Times New Roman" w:hAnsi="Times New Roman" w:cs="Times New Roman"/>
          <w:noProof/>
          <w:sz w:val="24"/>
        </w:rPr>
        <w:t xml:space="preserve">t of view. </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In the Tele 2 judgement</w:t>
      </w:r>
      <w:r>
        <w:rPr>
          <w:rStyle w:val="FootnoteReference"/>
          <w:rFonts w:ascii="Times New Roman" w:hAnsi="Times New Roman" w:cs="Times New Roman"/>
          <w:noProof/>
          <w:sz w:val="24"/>
        </w:rPr>
        <w:footnoteReference w:id="115"/>
      </w:r>
      <w:r>
        <w:rPr>
          <w:rFonts w:ascii="Times New Roman" w:hAnsi="Times New Roman" w:cs="Times New Roman"/>
          <w:noProof/>
          <w:sz w:val="24"/>
        </w:rPr>
        <w:t>, the ECJ held that general and indiscriminate data retention legislation concerning metadata entailed a particularly serious interference with the rights to privacy and data protection and that the user concerned is, as</w:t>
      </w:r>
      <w:r>
        <w:rPr>
          <w:rFonts w:ascii="Times New Roman" w:hAnsi="Times New Roman" w:cs="Times New Roman"/>
          <w:noProof/>
          <w:sz w:val="24"/>
        </w:rPr>
        <w:t xml:space="preserve"> a result, likely to feel that their private lives are the subject of constant surveillance. It could also, according to the Court, affect the use of means of electronic communication and thus the exercise by users of their freedom of expression. The scope</w:t>
      </w:r>
      <w:r>
        <w:rPr>
          <w:rFonts w:ascii="Times New Roman" w:hAnsi="Times New Roman" w:cs="Times New Roman"/>
          <w:noProof/>
          <w:sz w:val="24"/>
        </w:rPr>
        <w:t xml:space="preserve"> of the two legislative measures is limited to a concrete investigation and not </w:t>
      </w:r>
      <w:r>
        <w:rPr>
          <w:rFonts w:ascii="Times New Roman" w:hAnsi="Times New Roman" w:cs="Times New Roman"/>
          <w:i/>
          <w:noProof/>
          <w:sz w:val="24"/>
        </w:rPr>
        <w:t>in abstracto</w:t>
      </w:r>
      <w:r>
        <w:rPr>
          <w:rFonts w:ascii="Times New Roman" w:hAnsi="Times New Roman" w:cs="Times New Roman"/>
          <w:noProof/>
          <w:sz w:val="24"/>
        </w:rPr>
        <w:t xml:space="preserve">, and therefore cannot be compared to a general data retention scheme. The interference with fundamental rights is justified by the aim of the measure, which is to </w:t>
      </w:r>
      <w:r>
        <w:rPr>
          <w:rFonts w:ascii="Times New Roman" w:hAnsi="Times New Roman" w:cs="Times New Roman"/>
          <w:noProof/>
          <w:sz w:val="24"/>
        </w:rPr>
        <w:t xml:space="preserve">ensure effective investigation and prosecution of crimes in the EU. This would be ensured in each individual case by the issuing judicial authority. </w:t>
      </w:r>
    </w:p>
    <w:p w:rsidR="001B65FF" w:rsidRDefault="003E4EF4">
      <w:pPr>
        <w:spacing w:after="120"/>
        <w:jc w:val="both"/>
        <w:rPr>
          <w:rFonts w:ascii="Times New Roman" w:hAnsi="Times New Roman"/>
          <w:noProof/>
          <w:sz w:val="24"/>
        </w:rPr>
      </w:pPr>
      <w:r>
        <w:rPr>
          <w:rFonts w:ascii="Times New Roman" w:hAnsi="Times New Roman" w:cs="Times New Roman"/>
          <w:noProof/>
          <w:sz w:val="24"/>
        </w:rPr>
        <w:t>The above analysis suggests that, if applied with proportionality and complemented with minimum conditions</w:t>
      </w:r>
      <w:r>
        <w:rPr>
          <w:rFonts w:ascii="Times New Roman" w:hAnsi="Times New Roman" w:cs="Times New Roman"/>
          <w:noProof/>
          <w:sz w:val="24"/>
        </w:rPr>
        <w:t xml:space="preserve"> and safeguards, the measures in this policy option respect fundamental rights.</w:t>
      </w:r>
    </w:p>
    <w:p w:rsidR="001B65FF" w:rsidRDefault="003E4EF4">
      <w:pPr>
        <w:keepNext/>
        <w:numPr>
          <w:ilvl w:val="1"/>
          <w:numId w:val="3"/>
        </w:numPr>
        <w:tabs>
          <w:tab w:val="clear" w:pos="1200"/>
          <w:tab w:val="num" w:pos="567"/>
        </w:tabs>
        <w:spacing w:before="200" w:after="240" w:line="240" w:lineRule="auto"/>
        <w:ind w:left="709"/>
        <w:jc w:val="both"/>
        <w:outlineLvl w:val="1"/>
        <w:rPr>
          <w:rFonts w:ascii="Times New Roman" w:eastAsia="Times New Roman" w:hAnsi="Times New Roman"/>
          <w:noProof/>
          <w:sz w:val="24"/>
        </w:rPr>
      </w:pPr>
      <w:bookmarkStart w:id="1515" w:name="_Toc497927291"/>
      <w:bookmarkStart w:id="1516" w:name="_Toc497927907"/>
      <w:bookmarkStart w:id="1517" w:name="_Toc497928173"/>
      <w:bookmarkStart w:id="1518" w:name="_Toc498509692"/>
      <w:bookmarkStart w:id="1519" w:name="_Toc498521247"/>
      <w:bookmarkStart w:id="1520" w:name="_Toc498701976"/>
      <w:bookmarkStart w:id="1521" w:name="_Toc498704708"/>
      <w:bookmarkStart w:id="1522" w:name="_Toc499020466"/>
      <w:bookmarkStart w:id="1523" w:name="_Toc499030400"/>
      <w:bookmarkStart w:id="1524" w:name="_Toc499044943"/>
      <w:bookmarkStart w:id="1525" w:name="_Toc499051358"/>
      <w:bookmarkStart w:id="1526" w:name="_Toc499133315"/>
      <w:bookmarkStart w:id="1527" w:name="_Toc499142884"/>
      <w:bookmarkStart w:id="1528" w:name="_Toc510952881"/>
      <w:r>
        <w:rPr>
          <w:rFonts w:ascii="Times New Roman" w:eastAsia="Times New Roman" w:hAnsi="Times New Roman"/>
          <w:b/>
          <w:noProof/>
          <w:sz w:val="24"/>
        </w:rPr>
        <w:t>Quantitative assessment</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rsidR="001B65FF" w:rsidRDefault="003E4EF4">
      <w:pPr>
        <w:spacing w:after="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quantification of the costs and benefits of the policy measures/policy options is limited by the </w:t>
      </w:r>
      <w:r>
        <w:rPr>
          <w:rFonts w:ascii="Times New Roman" w:hAnsi="Times New Roman" w:cs="Times New Roman"/>
          <w:b/>
          <w:noProof/>
          <w:sz w:val="24"/>
          <w:lang w:eastAsia="en-GB"/>
        </w:rPr>
        <w:t>lack of data</w:t>
      </w:r>
      <w:r>
        <w:rPr>
          <w:rFonts w:ascii="Times New Roman" w:hAnsi="Times New Roman" w:cs="Times New Roman"/>
          <w:noProof/>
          <w:sz w:val="24"/>
          <w:lang w:eastAsia="en-GB"/>
        </w:rPr>
        <w:t xml:space="preserve">, and requires the use of a number of </w:t>
      </w:r>
      <w:r>
        <w:rPr>
          <w:rFonts w:ascii="Times New Roman" w:hAnsi="Times New Roman" w:cs="Times New Roman"/>
          <w:b/>
          <w:noProof/>
          <w:sz w:val="24"/>
          <w:lang w:eastAsia="en-GB"/>
        </w:rPr>
        <w:t>assumptions</w:t>
      </w:r>
      <w:r>
        <w:rPr>
          <w:rFonts w:ascii="Times New Roman" w:hAnsi="Times New Roman" w:cs="Times New Roman"/>
          <w:noProof/>
          <w:sz w:val="24"/>
          <w:lang w:eastAsia="en-GB"/>
        </w:rPr>
        <w:t xml:space="preserve">, described in detail in Annex 4. Given these limitations, the estimates in this section provide an idea of the </w:t>
      </w:r>
      <w:r>
        <w:rPr>
          <w:rFonts w:ascii="Times New Roman" w:hAnsi="Times New Roman" w:cs="Times New Roman"/>
          <w:b/>
          <w:noProof/>
          <w:sz w:val="24"/>
          <w:lang w:eastAsia="en-GB"/>
        </w:rPr>
        <w:t>order of magnitude</w:t>
      </w:r>
      <w:r>
        <w:rPr>
          <w:rFonts w:ascii="Times New Roman" w:hAnsi="Times New Roman" w:cs="Times New Roman"/>
          <w:noProof/>
          <w:sz w:val="24"/>
          <w:lang w:eastAsia="en-GB"/>
        </w:rPr>
        <w:t xml:space="preserve"> of costs and benefits and therefore should not be taken as </w:t>
      </w:r>
      <w:r>
        <w:rPr>
          <w:rFonts w:ascii="Times New Roman" w:hAnsi="Times New Roman"/>
          <w:noProof/>
          <w:sz w:val="24"/>
          <w:lang w:eastAsia="en-GB"/>
        </w:rPr>
        <w:t>exact forecasts</w:t>
      </w:r>
      <w:r>
        <w:rPr>
          <w:rFonts w:ascii="Times New Roman" w:hAnsi="Times New Roman" w:cs="Times New Roman"/>
          <w:noProof/>
          <w:sz w:val="24"/>
          <w:lang w:eastAsia="en-GB"/>
        </w:rPr>
        <w:t>.</w:t>
      </w:r>
    </w:p>
    <w:p w:rsidR="001B65FF" w:rsidRDefault="001B65FF">
      <w:pPr>
        <w:spacing w:before="240" w:after="0"/>
        <w:contextualSpacing/>
        <w:jc w:val="both"/>
        <w:rPr>
          <w:rFonts w:ascii="Times New Roman" w:hAnsi="Times New Roman" w:cs="Times New Roman"/>
          <w:noProof/>
          <w:sz w:val="24"/>
          <w:lang w:eastAsia="en-GB"/>
        </w:rPr>
      </w:pPr>
    </w:p>
    <w:p w:rsidR="001B65FF" w:rsidRDefault="003E4EF4">
      <w:pPr>
        <w:spacing w:before="24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This section summarises the quantitat</w:t>
      </w:r>
      <w:r>
        <w:rPr>
          <w:rFonts w:ascii="Times New Roman" w:hAnsi="Times New Roman" w:cs="Times New Roman"/>
          <w:noProof/>
          <w:sz w:val="24"/>
          <w:lang w:eastAsia="en-GB"/>
        </w:rPr>
        <w:t>ive assessment for each policy option by estimating:</w:t>
      </w:r>
    </w:p>
    <w:p w:rsidR="001B65FF" w:rsidRDefault="003E4EF4">
      <w:pPr>
        <w:numPr>
          <w:ilvl w:val="0"/>
          <w:numId w:val="144"/>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main </w:t>
      </w:r>
      <w:r>
        <w:rPr>
          <w:rFonts w:ascii="Times New Roman" w:hAnsi="Times New Roman" w:cs="Times New Roman"/>
          <w:b/>
          <w:noProof/>
          <w:sz w:val="24"/>
          <w:lang w:eastAsia="en-GB"/>
        </w:rPr>
        <w:t xml:space="preserve">administrative costs </w:t>
      </w:r>
      <w:r>
        <w:rPr>
          <w:rFonts w:ascii="Times New Roman" w:hAnsi="Times New Roman" w:cs="Times New Roman"/>
          <w:noProof/>
          <w:sz w:val="24"/>
          <w:lang w:eastAsia="en-GB"/>
        </w:rPr>
        <w:t xml:space="preserve">for </w:t>
      </w:r>
      <w:r>
        <w:rPr>
          <w:rFonts w:ascii="Times New Roman" w:hAnsi="Times New Roman"/>
          <w:b/>
          <w:noProof/>
          <w:sz w:val="24"/>
          <w:lang w:eastAsia="en-GB"/>
        </w:rPr>
        <w:t>Member States</w:t>
      </w:r>
      <w:r>
        <w:rPr>
          <w:rFonts w:ascii="Times New Roman" w:hAnsi="Times New Roman" w:cs="Times New Roman"/>
          <w:noProof/>
          <w:sz w:val="24"/>
          <w:lang w:eastAsia="en-GB"/>
        </w:rPr>
        <w:t xml:space="preserve"> (i.e. </w:t>
      </w:r>
      <w:r>
        <w:rPr>
          <w:rFonts w:ascii="Times New Roman" w:hAnsi="Times New Roman" w:cs="Times New Roman"/>
          <w:b/>
          <w:noProof/>
          <w:sz w:val="24"/>
          <w:lang w:eastAsia="en-GB"/>
        </w:rPr>
        <w:t>transposition and enforcement</w:t>
      </w:r>
      <w:r>
        <w:rPr>
          <w:rFonts w:ascii="Times New Roman" w:hAnsi="Times New Roman" w:cs="Times New Roman"/>
          <w:noProof/>
          <w:sz w:val="24"/>
          <w:lang w:eastAsia="en-GB"/>
        </w:rPr>
        <w:t xml:space="preserve"> of the legislation) and </w:t>
      </w:r>
      <w:r>
        <w:rPr>
          <w:rFonts w:ascii="Times New Roman" w:hAnsi="Times New Roman"/>
          <w:b/>
          <w:noProof/>
          <w:sz w:val="24"/>
          <w:lang w:eastAsia="en-GB"/>
        </w:rPr>
        <w:t>service providers</w:t>
      </w:r>
      <w:r>
        <w:rPr>
          <w:rFonts w:ascii="Times New Roman" w:hAnsi="Times New Roman" w:cs="Times New Roman"/>
          <w:noProof/>
          <w:sz w:val="24"/>
          <w:lang w:eastAsia="en-GB"/>
        </w:rPr>
        <w:t xml:space="preserve"> (i.e. </w:t>
      </w:r>
      <w:r>
        <w:rPr>
          <w:rFonts w:ascii="Times New Roman" w:hAnsi="Times New Roman" w:cs="Times New Roman"/>
          <w:b/>
          <w:noProof/>
          <w:sz w:val="24"/>
          <w:lang w:eastAsia="en-GB"/>
        </w:rPr>
        <w:t>compliance</w:t>
      </w:r>
      <w:r>
        <w:rPr>
          <w:rFonts w:ascii="Times New Roman" w:hAnsi="Times New Roman" w:cs="Times New Roman"/>
          <w:noProof/>
          <w:sz w:val="24"/>
          <w:lang w:eastAsia="en-GB"/>
        </w:rPr>
        <w:t xml:space="preserve"> with the legislation), distinguishing between </w:t>
      </w:r>
      <w:r>
        <w:rPr>
          <w:rFonts w:ascii="Times New Roman" w:hAnsi="Times New Roman" w:cs="Times New Roman"/>
          <w:b/>
          <w:noProof/>
          <w:sz w:val="24"/>
          <w:lang w:eastAsia="en-GB"/>
        </w:rPr>
        <w:t>one-off</w:t>
      </w:r>
      <w:r>
        <w:rPr>
          <w:rFonts w:ascii="Times New Roman" w:hAnsi="Times New Roman" w:cs="Times New Roman"/>
          <w:noProof/>
          <w:sz w:val="24"/>
          <w:lang w:eastAsia="en-GB"/>
        </w:rPr>
        <w:t xml:space="preserve"> and </w:t>
      </w:r>
      <w:r>
        <w:rPr>
          <w:rFonts w:ascii="Times New Roman" w:hAnsi="Times New Roman" w:cs="Times New Roman"/>
          <w:b/>
          <w:noProof/>
          <w:sz w:val="24"/>
          <w:lang w:eastAsia="en-GB"/>
        </w:rPr>
        <w:t>co</w:t>
      </w:r>
      <w:r>
        <w:rPr>
          <w:rFonts w:ascii="Times New Roman" w:hAnsi="Times New Roman" w:cs="Times New Roman"/>
          <w:b/>
          <w:noProof/>
          <w:sz w:val="24"/>
          <w:lang w:eastAsia="en-GB"/>
        </w:rPr>
        <w:t>ntinuous</w:t>
      </w:r>
      <w:r>
        <w:rPr>
          <w:rFonts w:ascii="Times New Roman" w:hAnsi="Times New Roman" w:cs="Times New Roman"/>
          <w:noProof/>
          <w:sz w:val="24"/>
          <w:lang w:eastAsia="en-GB"/>
        </w:rPr>
        <w:t xml:space="preserve"> (annual) costs.</w:t>
      </w:r>
    </w:p>
    <w:p w:rsidR="001B65FF" w:rsidRDefault="003E4EF4">
      <w:pPr>
        <w:numPr>
          <w:ilvl w:val="0"/>
          <w:numId w:val="144"/>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main </w:t>
      </w:r>
      <w:r>
        <w:rPr>
          <w:rFonts w:ascii="Times New Roman" w:hAnsi="Times New Roman" w:cs="Times New Roman"/>
          <w:b/>
          <w:noProof/>
          <w:sz w:val="24"/>
          <w:lang w:eastAsia="en-GB"/>
        </w:rPr>
        <w:t>benefits</w:t>
      </w:r>
      <w:r>
        <w:rPr>
          <w:rFonts w:ascii="Times New Roman" w:hAnsi="Times New Roman" w:cs="Times New Roman"/>
          <w:noProof/>
          <w:sz w:val="24"/>
          <w:lang w:eastAsia="en-GB"/>
        </w:rPr>
        <w:t xml:space="preserve"> (</w:t>
      </w:r>
      <w:r>
        <w:rPr>
          <w:rFonts w:ascii="Times New Roman" w:hAnsi="Times New Roman" w:cs="Times New Roman"/>
          <w:b/>
          <w:noProof/>
          <w:sz w:val="24"/>
          <w:lang w:eastAsia="en-GB"/>
        </w:rPr>
        <w:t>savings</w:t>
      </w:r>
      <w:r>
        <w:rPr>
          <w:rFonts w:ascii="Times New Roman" w:hAnsi="Times New Roman" w:cs="Times New Roman"/>
          <w:noProof/>
          <w:sz w:val="24"/>
          <w:lang w:eastAsia="en-GB"/>
        </w:rPr>
        <w:t>) due to:</w:t>
      </w:r>
    </w:p>
    <w:p w:rsidR="001B65FF" w:rsidRDefault="003E4EF4">
      <w:pPr>
        <w:numPr>
          <w:ilvl w:val="1"/>
          <w:numId w:val="144"/>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 </w:t>
      </w:r>
      <w:r>
        <w:rPr>
          <w:rFonts w:ascii="Times New Roman" w:hAnsi="Times New Roman" w:cs="Times New Roman"/>
          <w:b/>
          <w:noProof/>
          <w:sz w:val="24"/>
          <w:lang w:eastAsia="en-GB"/>
        </w:rPr>
        <w:t xml:space="preserve">reduction </w:t>
      </w:r>
      <w:r>
        <w:rPr>
          <w:rFonts w:ascii="Times New Roman" w:hAnsi="Times New Roman" w:cs="Times New Roman"/>
          <w:noProof/>
          <w:sz w:val="24"/>
          <w:lang w:eastAsia="en-GB"/>
        </w:rPr>
        <w:t xml:space="preserve">of current </w:t>
      </w:r>
      <w:r>
        <w:rPr>
          <w:rFonts w:ascii="Times New Roman" w:hAnsi="Times New Roman" w:cs="Times New Roman"/>
          <w:b/>
          <w:noProof/>
          <w:sz w:val="24"/>
          <w:lang w:eastAsia="en-GB"/>
        </w:rPr>
        <w:t>administrative costs</w:t>
      </w:r>
      <w:r>
        <w:rPr>
          <w:rFonts w:ascii="Times New Roman" w:hAnsi="Times New Roman" w:cs="Times New Roman"/>
          <w:noProof/>
          <w:sz w:val="24"/>
          <w:lang w:eastAsia="en-GB"/>
        </w:rPr>
        <w:t xml:space="preserve">, for Member States and service providers; and </w:t>
      </w:r>
    </w:p>
    <w:p w:rsidR="001B65FF" w:rsidRDefault="003E4EF4">
      <w:pPr>
        <w:numPr>
          <w:ilvl w:val="1"/>
          <w:numId w:val="144"/>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 possible </w:t>
      </w:r>
      <w:r>
        <w:rPr>
          <w:rFonts w:ascii="Times New Roman" w:hAnsi="Times New Roman" w:cs="Times New Roman"/>
          <w:b/>
          <w:noProof/>
          <w:sz w:val="24"/>
          <w:lang w:eastAsia="en-GB"/>
        </w:rPr>
        <w:t>reduction of crime</w:t>
      </w:r>
      <w:r>
        <w:rPr>
          <w:rFonts w:ascii="Times New Roman" w:hAnsi="Times New Roman" w:cs="Times New Roman"/>
          <w:noProof/>
          <w:sz w:val="24"/>
          <w:lang w:eastAsia="en-GB"/>
        </w:rPr>
        <w:t xml:space="preserve"> caused by the  stronger </w:t>
      </w:r>
      <w:r>
        <w:rPr>
          <w:rFonts w:ascii="Times New Roman" w:hAnsi="Times New Roman" w:cs="Times New Roman"/>
          <w:b/>
          <w:noProof/>
          <w:sz w:val="24"/>
          <w:lang w:eastAsia="en-GB"/>
        </w:rPr>
        <w:t xml:space="preserve">deterrence </w:t>
      </w:r>
      <w:r>
        <w:rPr>
          <w:rFonts w:ascii="Times New Roman" w:hAnsi="Times New Roman" w:cs="Times New Roman"/>
          <w:noProof/>
          <w:sz w:val="24"/>
          <w:lang w:eastAsia="en-GB"/>
        </w:rPr>
        <w:t xml:space="preserve">that a </w:t>
      </w:r>
      <w:r>
        <w:rPr>
          <w:rFonts w:ascii="Times New Roman" w:hAnsi="Times New Roman" w:cs="Times New Roman"/>
          <w:b/>
          <w:noProof/>
          <w:sz w:val="24"/>
          <w:lang w:eastAsia="en-GB"/>
        </w:rPr>
        <w:t>more effective</w:t>
      </w:r>
      <w:r>
        <w:rPr>
          <w:rFonts w:ascii="Times New Roman" w:hAnsi="Times New Roman" w:cs="Times New Roman"/>
          <w:noProof/>
          <w:sz w:val="24"/>
          <w:lang w:eastAsia="en-GB"/>
        </w:rPr>
        <w:t xml:space="preserve"> investigation and</w:t>
      </w:r>
      <w:r>
        <w:rPr>
          <w:rFonts w:ascii="Times New Roman" w:hAnsi="Times New Roman" w:cs="Times New Roman"/>
          <w:noProof/>
          <w:sz w:val="24"/>
          <w:lang w:eastAsia="en-GB"/>
        </w:rPr>
        <w:t xml:space="preserve"> prosecution of crimes could create, thanks to improvements in cross-border access to e-evidence.</w:t>
      </w:r>
    </w:p>
    <w:p w:rsidR="001B65FF" w:rsidRDefault="001B65FF">
      <w:pPr>
        <w:ind w:left="1440"/>
        <w:jc w:val="both"/>
        <w:rPr>
          <w:rFonts w:ascii="Times New Roman" w:hAnsi="Times New Roman" w:cs="Times New Roman"/>
          <w:noProof/>
          <w:sz w:val="24"/>
          <w:lang w:eastAsia="en-GB"/>
        </w:rPr>
      </w:pPr>
    </w:p>
    <w:p w:rsidR="001B65FF" w:rsidRDefault="003E4EF4">
      <w:pPr>
        <w:rPr>
          <w:rFonts w:ascii="Times New Roman" w:hAnsi="Times New Roman" w:cs="Times New Roman"/>
          <w:b/>
          <w:noProof/>
          <w:sz w:val="24"/>
          <w:szCs w:val="24"/>
        </w:rPr>
      </w:pPr>
      <w:bookmarkStart w:id="1529" w:name="_Toc497927292"/>
      <w:bookmarkStart w:id="1530" w:name="_Toc497927908"/>
      <w:bookmarkStart w:id="1531" w:name="_Toc497928174"/>
      <w:bookmarkStart w:id="1532" w:name="_Toc498509693"/>
      <w:bookmarkStart w:id="1533" w:name="_Toc498521248"/>
      <w:r>
        <w:rPr>
          <w:rFonts w:ascii="Times New Roman" w:hAnsi="Times New Roman" w:cs="Times New Roman"/>
          <w:b/>
          <w:noProof/>
          <w:sz w:val="24"/>
          <w:szCs w:val="24"/>
        </w:rPr>
        <w:t>6.4.1 Costs</w:t>
      </w:r>
      <w:bookmarkEnd w:id="1529"/>
      <w:bookmarkEnd w:id="1530"/>
      <w:bookmarkEnd w:id="1531"/>
      <w:bookmarkEnd w:id="1532"/>
      <w:bookmarkEnd w:id="1533"/>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costs of this initiative are purely </w:t>
      </w:r>
      <w:r>
        <w:rPr>
          <w:rFonts w:ascii="Times New Roman" w:hAnsi="Times New Roman" w:cs="Times New Roman"/>
          <w:b/>
          <w:noProof/>
          <w:sz w:val="24"/>
        </w:rPr>
        <w:t>administrative</w:t>
      </w:r>
      <w:r>
        <w:rPr>
          <w:rFonts w:ascii="Times New Roman" w:hAnsi="Times New Roman" w:cs="Times New Roman"/>
          <w:noProof/>
          <w:sz w:val="24"/>
        </w:rPr>
        <w:t>, i.e.:</w:t>
      </w:r>
    </w:p>
    <w:p w:rsidR="001B65FF" w:rsidRDefault="003E4EF4">
      <w:pPr>
        <w:pBdr>
          <w:top w:val="single" w:sz="4" w:space="1" w:color="auto"/>
          <w:left w:val="single" w:sz="4" w:space="4" w:color="auto"/>
          <w:bottom w:val="single" w:sz="4" w:space="1" w:color="auto"/>
          <w:right w:val="single" w:sz="4" w:space="4" w:color="auto"/>
        </w:pBdr>
        <w:jc w:val="center"/>
        <w:rPr>
          <w:rFonts w:ascii="Times New Roman" w:hAnsi="Times New Roman" w:cs="Times New Roman"/>
          <w:noProof/>
        </w:rPr>
      </w:pPr>
      <w:r>
        <w:rPr>
          <w:rFonts w:ascii="Times New Roman" w:hAnsi="Times New Roman" w:cs="Times New Roman"/>
          <w:noProof/>
          <w:sz w:val="24"/>
        </w:rPr>
        <w:t xml:space="preserve">Costs = </w:t>
      </w:r>
      <w:r>
        <w:rPr>
          <w:rFonts w:ascii="Times New Roman" w:hAnsi="Times New Roman" w:cs="Times New Roman"/>
          <w:b/>
          <w:noProof/>
          <w:sz w:val="24"/>
        </w:rPr>
        <w:t>cost/minute</w:t>
      </w:r>
      <w:r>
        <w:rPr>
          <w:rFonts w:ascii="Times New Roman" w:hAnsi="Times New Roman" w:cs="Times New Roman"/>
          <w:noProof/>
          <w:sz w:val="24"/>
        </w:rPr>
        <w:t xml:space="preserve"> of the person doing the tasks x </w:t>
      </w:r>
      <w:r>
        <w:rPr>
          <w:rFonts w:ascii="Times New Roman" w:hAnsi="Times New Roman" w:cs="Times New Roman"/>
          <w:b/>
          <w:noProof/>
          <w:sz w:val="24"/>
        </w:rPr>
        <w:t>minutes</w:t>
      </w:r>
      <w:r>
        <w:rPr>
          <w:rFonts w:ascii="Times New Roman" w:hAnsi="Times New Roman" w:cs="Times New Roman"/>
          <w:noProof/>
          <w:sz w:val="24"/>
        </w:rPr>
        <w:t xml:space="preserve"> required to do the tasks</w:t>
      </w:r>
    </w:p>
    <w:p w:rsidR="001B65FF" w:rsidRDefault="003E4EF4">
      <w:pPr>
        <w:numPr>
          <w:ilvl w:val="0"/>
          <w:numId w:val="151"/>
        </w:numPr>
        <w:contextualSpacing/>
        <w:jc w:val="both"/>
        <w:rPr>
          <w:rFonts w:ascii="Times New Roman" w:hAnsi="Times New Roman" w:cs="Times New Roman"/>
          <w:noProof/>
          <w:sz w:val="24"/>
          <w:szCs w:val="24"/>
        </w:rPr>
      </w:pPr>
      <w:r>
        <w:rPr>
          <w:rFonts w:ascii="Times New Roman" w:hAnsi="Times New Roman" w:cs="Times New Roman"/>
          <w:b/>
          <w:noProof/>
          <w:sz w:val="24"/>
          <w:szCs w:val="24"/>
        </w:rPr>
        <w:t>Cost/minute</w:t>
      </w:r>
      <w:r>
        <w:rPr>
          <w:rFonts w:ascii="Times New Roman" w:hAnsi="Times New Roman" w:cs="Times New Roman"/>
          <w:noProof/>
          <w:sz w:val="24"/>
          <w:szCs w:val="24"/>
        </w:rPr>
        <w:t>:</w:t>
      </w:r>
    </w:p>
    <w:p w:rsidR="001B65FF" w:rsidRDefault="003E4EF4">
      <w:pPr>
        <w:numPr>
          <w:ilvl w:val="1"/>
          <w:numId w:val="1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It includes:</w:t>
      </w:r>
    </w:p>
    <w:p w:rsidR="001B65FF" w:rsidRDefault="003E4EF4">
      <w:pPr>
        <w:numPr>
          <w:ilvl w:val="2"/>
          <w:numId w:val="1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the salary based on the median of the salaries in the EU of level 2 professionals in the International Standard Classification of Occupations (ISCO)</w:t>
      </w:r>
      <w:r>
        <w:rPr>
          <w:rFonts w:ascii="Times New Roman" w:eastAsia="Times New Roman" w:hAnsi="Times New Roman" w:cs="Times New Roman"/>
          <w:noProof/>
          <w:sz w:val="24"/>
          <w:szCs w:val="24"/>
          <w:vertAlign w:val="superscript"/>
        </w:rPr>
        <w:footnoteReference w:id="116"/>
      </w:r>
      <w:r>
        <w:rPr>
          <w:rFonts w:ascii="Times New Roman" w:hAnsi="Times New Roman" w:cs="Times New Roman"/>
          <w:noProof/>
          <w:sz w:val="24"/>
          <w:szCs w:val="24"/>
        </w:rPr>
        <w:t>;</w:t>
      </w:r>
    </w:p>
    <w:p w:rsidR="001B65FF" w:rsidRDefault="003E4EF4">
      <w:pPr>
        <w:numPr>
          <w:ilvl w:val="2"/>
          <w:numId w:val="1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non-wage labour costs such as employers’ social </w:t>
      </w:r>
      <w:r>
        <w:rPr>
          <w:rFonts w:ascii="Times New Roman" w:hAnsi="Times New Roman" w:cs="Times New Roman"/>
          <w:noProof/>
          <w:sz w:val="24"/>
          <w:szCs w:val="24"/>
        </w:rPr>
        <w:t>contributions;</w:t>
      </w:r>
    </w:p>
    <w:p w:rsidR="001B65FF" w:rsidRDefault="003E4EF4">
      <w:pPr>
        <w:numPr>
          <w:ilvl w:val="2"/>
          <w:numId w:val="1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25% overhead (i.e. expenses not related to direct labour, such as the cost of office equipment.)</w:t>
      </w:r>
    </w:p>
    <w:p w:rsidR="001B65FF" w:rsidRDefault="003E4EF4">
      <w:pPr>
        <w:numPr>
          <w:ilvl w:val="1"/>
          <w:numId w:val="1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value is </w:t>
      </w:r>
      <w:r>
        <w:rPr>
          <w:rFonts w:ascii="Times New Roman" w:hAnsi="Times New Roman" w:cs="Times New Roman"/>
          <w:b/>
          <w:noProof/>
          <w:sz w:val="24"/>
          <w:szCs w:val="24"/>
        </w:rPr>
        <w:t>30 EUR/hour = 50 cents/minute</w:t>
      </w:r>
      <w:r>
        <w:rPr>
          <w:rFonts w:ascii="Times New Roman" w:hAnsi="Times New Roman" w:cs="Times New Roman"/>
          <w:noProof/>
          <w:sz w:val="24"/>
          <w:szCs w:val="24"/>
        </w:rPr>
        <w:t>.</w:t>
      </w:r>
    </w:p>
    <w:p w:rsidR="001B65FF" w:rsidRDefault="003E4EF4">
      <w:pPr>
        <w:numPr>
          <w:ilvl w:val="1"/>
          <w:numId w:val="1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It is assumed that this value remains </w:t>
      </w:r>
      <w:r>
        <w:rPr>
          <w:rFonts w:ascii="Times New Roman" w:hAnsi="Times New Roman" w:cs="Times New Roman"/>
          <w:b/>
          <w:noProof/>
          <w:sz w:val="24"/>
          <w:szCs w:val="24"/>
        </w:rPr>
        <w:t>constant</w:t>
      </w:r>
      <w:r>
        <w:rPr>
          <w:rFonts w:ascii="Times New Roman" w:hAnsi="Times New Roman" w:cs="Times New Roman"/>
          <w:noProof/>
          <w:sz w:val="24"/>
          <w:szCs w:val="24"/>
        </w:rPr>
        <w:t xml:space="preserve"> for all options and over time.</w:t>
      </w:r>
    </w:p>
    <w:p w:rsidR="001B65FF" w:rsidRDefault="003E4EF4">
      <w:pPr>
        <w:numPr>
          <w:ilvl w:val="0"/>
          <w:numId w:val="151"/>
        </w:numPr>
        <w:spacing w:after="0"/>
        <w:contextualSpacing/>
        <w:jc w:val="both"/>
        <w:rPr>
          <w:rFonts w:ascii="Times New Roman" w:hAnsi="Times New Roman" w:cs="Times New Roman"/>
          <w:noProof/>
          <w:sz w:val="24"/>
        </w:rPr>
      </w:pPr>
      <w:r>
        <w:rPr>
          <w:rFonts w:ascii="Times New Roman" w:hAnsi="Times New Roman" w:cs="Times New Roman"/>
          <w:b/>
          <w:noProof/>
          <w:sz w:val="24"/>
        </w:rPr>
        <w:t>Minutes</w:t>
      </w:r>
      <w:r>
        <w:rPr>
          <w:rFonts w:ascii="Times New Roman" w:hAnsi="Times New Roman" w:cs="Times New Roman"/>
          <w:noProof/>
          <w:sz w:val="24"/>
        </w:rPr>
        <w:t xml:space="preserve"> required to d</w:t>
      </w:r>
      <w:r>
        <w:rPr>
          <w:rFonts w:ascii="Times New Roman" w:hAnsi="Times New Roman" w:cs="Times New Roman"/>
          <w:noProof/>
          <w:sz w:val="24"/>
        </w:rPr>
        <w:t>o a task:</w:t>
      </w:r>
    </w:p>
    <w:p w:rsidR="001B65FF" w:rsidRDefault="003E4EF4">
      <w:pPr>
        <w:spacing w:after="0"/>
        <w:ind w:firstLine="360"/>
        <w:jc w:val="both"/>
        <w:rPr>
          <w:rFonts w:ascii="Times New Roman" w:hAnsi="Times New Roman" w:cs="Times New Roman"/>
          <w:noProof/>
          <w:sz w:val="24"/>
        </w:rPr>
      </w:pPr>
      <w:r>
        <w:rPr>
          <w:rFonts w:ascii="Times New Roman" w:hAnsi="Times New Roman" w:cs="Times New Roman"/>
          <w:noProof/>
          <w:sz w:val="24"/>
        </w:rPr>
        <w:t>This value can change from option to option, in two ways:</w:t>
      </w:r>
    </w:p>
    <w:p w:rsidR="001B65FF" w:rsidRDefault="003E4EF4">
      <w:pPr>
        <w:numPr>
          <w:ilvl w:val="0"/>
          <w:numId w:val="153"/>
        </w:numPr>
        <w:contextualSpacing/>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time</w:t>
      </w:r>
      <w:r>
        <w:rPr>
          <w:rFonts w:ascii="Times New Roman" w:hAnsi="Times New Roman" w:cs="Times New Roman"/>
          <w:noProof/>
          <w:sz w:val="24"/>
        </w:rPr>
        <w:t xml:space="preserve"> required to do </w:t>
      </w:r>
      <w:r>
        <w:rPr>
          <w:rFonts w:ascii="Times New Roman" w:hAnsi="Times New Roman" w:cs="Times New Roman"/>
          <w:b/>
          <w:noProof/>
          <w:sz w:val="24"/>
        </w:rPr>
        <w:t>one task</w:t>
      </w:r>
      <w:r>
        <w:rPr>
          <w:rFonts w:ascii="Times New Roman" w:hAnsi="Times New Roman" w:cs="Times New Roman"/>
          <w:noProof/>
          <w:sz w:val="24"/>
        </w:rPr>
        <w:t xml:space="preserve"> changes, or</w:t>
      </w:r>
    </w:p>
    <w:p w:rsidR="001B65FF" w:rsidRDefault="003E4EF4">
      <w:pPr>
        <w:numPr>
          <w:ilvl w:val="0"/>
          <w:numId w:val="153"/>
        </w:numPr>
        <w:spacing w:after="0"/>
        <w:contextualSpacing/>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total number of tasks</w:t>
      </w:r>
      <w:r>
        <w:rPr>
          <w:rFonts w:ascii="Times New Roman" w:hAnsi="Times New Roman" w:cs="Times New Roman"/>
          <w:noProof/>
          <w:sz w:val="24"/>
        </w:rPr>
        <w:t xml:space="preserve"> changes.</w:t>
      </w:r>
    </w:p>
    <w:p w:rsidR="001B65FF" w:rsidRDefault="003E4EF4">
      <w:pPr>
        <w:spacing w:before="240" w:after="0"/>
        <w:jc w:val="both"/>
        <w:rPr>
          <w:rFonts w:ascii="Times New Roman" w:hAnsi="Times New Roman" w:cs="Times New Roman"/>
          <w:noProof/>
          <w:sz w:val="24"/>
        </w:rPr>
      </w:pPr>
      <w:r>
        <w:rPr>
          <w:rFonts w:ascii="Times New Roman" w:hAnsi="Times New Roman" w:cs="Times New Roman"/>
          <w:noProof/>
          <w:sz w:val="24"/>
        </w:rPr>
        <w:t>Considering the above, to calculate the costs of each option the following 5 questions where analysed for ea</w:t>
      </w:r>
      <w:r>
        <w:rPr>
          <w:rFonts w:ascii="Times New Roman" w:hAnsi="Times New Roman" w:cs="Times New Roman"/>
          <w:noProof/>
          <w:sz w:val="24"/>
        </w:rPr>
        <w:t>ch of the measures:</w:t>
      </w:r>
    </w:p>
    <w:p w:rsidR="001B65FF" w:rsidRDefault="003E4EF4">
      <w:pPr>
        <w:numPr>
          <w:ilvl w:val="0"/>
          <w:numId w:val="154"/>
        </w:numPr>
        <w:contextualSpacing/>
        <w:jc w:val="both"/>
        <w:rPr>
          <w:rFonts w:ascii="Times New Roman" w:hAnsi="Times New Roman" w:cs="Times New Roman"/>
          <w:noProof/>
          <w:sz w:val="24"/>
        </w:rPr>
      </w:pPr>
      <w:r>
        <w:rPr>
          <w:rFonts w:ascii="Times New Roman" w:hAnsi="Times New Roman" w:cs="Times New Roman"/>
          <w:noProof/>
          <w:sz w:val="24"/>
        </w:rPr>
        <w:t xml:space="preserve">Are there any </w:t>
      </w:r>
      <w:r>
        <w:rPr>
          <w:rFonts w:ascii="Times New Roman" w:hAnsi="Times New Roman" w:cs="Times New Roman"/>
          <w:b/>
          <w:noProof/>
          <w:sz w:val="24"/>
        </w:rPr>
        <w:t>one-off costs</w:t>
      </w:r>
      <w:r>
        <w:rPr>
          <w:rFonts w:ascii="Times New Roman" w:hAnsi="Times New Roman" w:cs="Times New Roman"/>
          <w:noProof/>
          <w:sz w:val="24"/>
        </w:rPr>
        <w:t>? (e.g. transposition of the legislation).</w:t>
      </w:r>
    </w:p>
    <w:p w:rsidR="001B65FF" w:rsidRDefault="003E4EF4">
      <w:pPr>
        <w:numPr>
          <w:ilvl w:val="0"/>
          <w:numId w:val="154"/>
        </w:numPr>
        <w:contextualSpacing/>
        <w:jc w:val="both"/>
        <w:rPr>
          <w:rFonts w:ascii="Times New Roman" w:hAnsi="Times New Roman" w:cs="Times New Roman"/>
          <w:noProof/>
          <w:sz w:val="24"/>
        </w:rPr>
      </w:pPr>
      <w:r>
        <w:rPr>
          <w:rFonts w:ascii="Times New Roman" w:hAnsi="Times New Roman" w:cs="Times New Roman"/>
          <w:noProof/>
          <w:sz w:val="24"/>
        </w:rPr>
        <w:t xml:space="preserve">Does the measure </w:t>
      </w:r>
      <w:r>
        <w:rPr>
          <w:rFonts w:ascii="Times New Roman" w:hAnsi="Times New Roman" w:cs="Times New Roman"/>
          <w:b/>
          <w:noProof/>
          <w:sz w:val="24"/>
        </w:rPr>
        <w:t>change</w:t>
      </w:r>
      <w:r>
        <w:rPr>
          <w:rFonts w:ascii="Times New Roman" w:hAnsi="Times New Roman" w:cs="Times New Roman"/>
          <w:noProof/>
          <w:sz w:val="24"/>
        </w:rPr>
        <w:t xml:space="preserve"> any of the </w:t>
      </w:r>
      <w:r>
        <w:rPr>
          <w:rFonts w:ascii="Times New Roman" w:hAnsi="Times New Roman" w:cs="Times New Roman"/>
          <w:b/>
          <w:noProof/>
          <w:sz w:val="24"/>
        </w:rPr>
        <w:t xml:space="preserve">times </w:t>
      </w:r>
      <w:r>
        <w:rPr>
          <w:rFonts w:ascii="Times New Roman" w:hAnsi="Times New Roman" w:cs="Times New Roman"/>
          <w:noProof/>
          <w:sz w:val="24"/>
        </w:rPr>
        <w:t xml:space="preserve">required to do </w:t>
      </w:r>
      <w:r>
        <w:rPr>
          <w:rFonts w:ascii="Times New Roman" w:hAnsi="Times New Roman" w:cs="Times New Roman"/>
          <w:b/>
          <w:noProof/>
          <w:sz w:val="24"/>
        </w:rPr>
        <w:t>any task</w:t>
      </w:r>
      <w:r>
        <w:rPr>
          <w:rFonts w:ascii="Times New Roman" w:hAnsi="Times New Roman" w:cs="Times New Roman"/>
          <w:noProof/>
          <w:sz w:val="24"/>
        </w:rPr>
        <w:t xml:space="preserve"> required to attempt to access e-evidence across borders in each of the three channels (i.e. judicial cooperation, direct cooperation and direct access)?</w:t>
      </w:r>
    </w:p>
    <w:p w:rsidR="001B65FF" w:rsidRDefault="003E4EF4">
      <w:pPr>
        <w:numPr>
          <w:ilvl w:val="0"/>
          <w:numId w:val="154"/>
        </w:numPr>
        <w:contextualSpacing/>
        <w:jc w:val="both"/>
        <w:rPr>
          <w:rFonts w:ascii="Times New Roman" w:hAnsi="Times New Roman" w:cs="Times New Roman"/>
          <w:noProof/>
          <w:sz w:val="24"/>
        </w:rPr>
      </w:pPr>
      <w:r>
        <w:rPr>
          <w:rFonts w:ascii="Times New Roman" w:hAnsi="Times New Roman" w:cs="Times New Roman"/>
          <w:noProof/>
          <w:sz w:val="24"/>
        </w:rPr>
        <w:t>Does the measure</w:t>
      </w:r>
      <w:r>
        <w:rPr>
          <w:rFonts w:ascii="Times New Roman" w:hAnsi="Times New Roman" w:cs="Times New Roman"/>
          <w:b/>
          <w:noProof/>
          <w:sz w:val="24"/>
        </w:rPr>
        <w:t xml:space="preserve"> change</w:t>
      </w:r>
      <w:r>
        <w:rPr>
          <w:rFonts w:ascii="Times New Roman" w:hAnsi="Times New Roman" w:cs="Times New Roman"/>
          <w:noProof/>
          <w:sz w:val="24"/>
        </w:rPr>
        <w:t xml:space="preserve"> the </w:t>
      </w:r>
      <w:r>
        <w:rPr>
          <w:rFonts w:ascii="Times New Roman" w:hAnsi="Times New Roman" w:cs="Times New Roman"/>
          <w:b/>
          <w:noProof/>
          <w:sz w:val="24"/>
        </w:rPr>
        <w:t>total number</w:t>
      </w:r>
      <w:r>
        <w:rPr>
          <w:rFonts w:ascii="Times New Roman" w:hAnsi="Times New Roman" w:cs="Times New Roman"/>
          <w:noProof/>
          <w:sz w:val="24"/>
        </w:rPr>
        <w:t xml:space="preserve"> of </w:t>
      </w:r>
      <w:r>
        <w:rPr>
          <w:rFonts w:ascii="Times New Roman" w:hAnsi="Times New Roman" w:cs="Times New Roman"/>
          <w:b/>
          <w:noProof/>
          <w:sz w:val="24"/>
        </w:rPr>
        <w:t>attempts</w:t>
      </w:r>
      <w:r>
        <w:rPr>
          <w:rFonts w:ascii="Times New Roman" w:hAnsi="Times New Roman" w:cs="Times New Roman"/>
          <w:noProof/>
          <w:sz w:val="24"/>
        </w:rPr>
        <w:t xml:space="preserve"> to access e-evidence across borders in each of th</w:t>
      </w:r>
      <w:r>
        <w:rPr>
          <w:rFonts w:ascii="Times New Roman" w:hAnsi="Times New Roman" w:cs="Times New Roman"/>
          <w:noProof/>
          <w:sz w:val="24"/>
        </w:rPr>
        <w:t>e 3 channels?</w:t>
      </w:r>
    </w:p>
    <w:p w:rsidR="001B65FF" w:rsidRDefault="003E4EF4">
      <w:pPr>
        <w:numPr>
          <w:ilvl w:val="0"/>
          <w:numId w:val="154"/>
        </w:numPr>
        <w:contextualSpacing/>
        <w:jc w:val="both"/>
        <w:rPr>
          <w:rFonts w:ascii="Times New Roman" w:hAnsi="Times New Roman" w:cs="Times New Roman"/>
          <w:noProof/>
          <w:sz w:val="24"/>
        </w:rPr>
      </w:pPr>
      <w:r>
        <w:rPr>
          <w:rFonts w:ascii="Times New Roman" w:hAnsi="Times New Roman" w:cs="Times New Roman"/>
          <w:noProof/>
          <w:sz w:val="24"/>
        </w:rPr>
        <w:t>Combining the above, does the measure</w:t>
      </w:r>
      <w:r>
        <w:rPr>
          <w:rFonts w:ascii="Times New Roman" w:hAnsi="Times New Roman" w:cs="Times New Roman"/>
          <w:b/>
          <w:noProof/>
          <w:sz w:val="24"/>
        </w:rPr>
        <w:t xml:space="preserve"> change</w:t>
      </w:r>
      <w:r>
        <w:rPr>
          <w:rFonts w:ascii="Times New Roman" w:hAnsi="Times New Roman" w:cs="Times New Roman"/>
          <w:noProof/>
          <w:sz w:val="24"/>
        </w:rPr>
        <w:t xml:space="preserve"> the </w:t>
      </w:r>
      <w:r>
        <w:rPr>
          <w:rFonts w:ascii="Times New Roman" w:hAnsi="Times New Roman" w:cs="Times New Roman"/>
          <w:b/>
          <w:noProof/>
          <w:sz w:val="24"/>
        </w:rPr>
        <w:t>total time</w:t>
      </w:r>
      <w:r>
        <w:rPr>
          <w:rFonts w:ascii="Times New Roman" w:hAnsi="Times New Roman" w:cs="Times New Roman"/>
          <w:noProof/>
          <w:sz w:val="24"/>
        </w:rPr>
        <w:t xml:space="preserve"> to attempt to access e-evidence across borders?</w:t>
      </w:r>
    </w:p>
    <w:p w:rsidR="001B65FF" w:rsidRDefault="003E4EF4">
      <w:pPr>
        <w:numPr>
          <w:ilvl w:val="0"/>
          <w:numId w:val="154"/>
        </w:numPr>
        <w:contextualSpacing/>
        <w:jc w:val="both"/>
        <w:rPr>
          <w:rFonts w:ascii="Times New Roman" w:hAnsi="Times New Roman" w:cs="Times New Roman"/>
          <w:noProof/>
          <w:sz w:val="24"/>
        </w:rPr>
      </w:pPr>
      <w:r>
        <w:rPr>
          <w:rFonts w:ascii="Times New Roman" w:hAnsi="Times New Roman" w:cs="Times New Roman"/>
          <w:noProof/>
          <w:sz w:val="24"/>
        </w:rPr>
        <w:t>Combining the above, does the measure</w:t>
      </w:r>
      <w:r>
        <w:rPr>
          <w:rFonts w:ascii="Times New Roman" w:hAnsi="Times New Roman" w:cs="Times New Roman"/>
          <w:b/>
          <w:noProof/>
          <w:sz w:val="24"/>
        </w:rPr>
        <w:t xml:space="preserve"> change</w:t>
      </w:r>
      <w:r>
        <w:rPr>
          <w:rFonts w:ascii="Times New Roman" w:hAnsi="Times New Roman" w:cs="Times New Roman"/>
          <w:noProof/>
          <w:sz w:val="24"/>
        </w:rPr>
        <w:t xml:space="preserve"> the </w:t>
      </w:r>
      <w:r>
        <w:rPr>
          <w:rFonts w:ascii="Times New Roman" w:hAnsi="Times New Roman" w:cs="Times New Roman"/>
          <w:b/>
          <w:noProof/>
          <w:sz w:val="24"/>
        </w:rPr>
        <w:t xml:space="preserve">total continuous costs </w:t>
      </w:r>
      <w:r>
        <w:rPr>
          <w:rFonts w:ascii="Times New Roman" w:hAnsi="Times New Roman" w:cs="Times New Roman"/>
          <w:noProof/>
          <w:sz w:val="24"/>
        </w:rPr>
        <w:t>to attempt to access e-evidence across borders?</w:t>
      </w:r>
    </w:p>
    <w:p w:rsidR="001B65FF" w:rsidRDefault="003E4EF4">
      <w:pPr>
        <w:spacing w:before="240" w:after="0"/>
        <w:rPr>
          <w:rFonts w:ascii="Times New Roman" w:hAnsi="Times New Roman" w:cs="Times New Roman"/>
          <w:noProof/>
          <w:sz w:val="24"/>
          <w:u w:val="single"/>
        </w:rPr>
      </w:pPr>
      <w:r>
        <w:rPr>
          <w:rFonts w:ascii="Times New Roman" w:hAnsi="Times New Roman" w:cs="Times New Roman"/>
          <w:noProof/>
          <w:sz w:val="24"/>
          <w:u w:val="single"/>
        </w:rPr>
        <w:t>Limitations</w:t>
      </w:r>
    </w:p>
    <w:p w:rsidR="001B65FF" w:rsidRDefault="003E4EF4">
      <w:pPr>
        <w:numPr>
          <w:ilvl w:val="0"/>
          <w:numId w:val="149"/>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implementation of practical measures would be </w:t>
      </w:r>
      <w:r>
        <w:rPr>
          <w:rFonts w:ascii="Times New Roman" w:hAnsi="Times New Roman" w:cs="Times New Roman"/>
          <w:b/>
          <w:noProof/>
          <w:sz w:val="24"/>
          <w:lang w:eastAsia="en-GB"/>
        </w:rPr>
        <w:t>voluntary</w:t>
      </w:r>
      <w:r>
        <w:rPr>
          <w:rFonts w:ascii="Times New Roman" w:hAnsi="Times New Roman" w:cs="Times New Roman"/>
          <w:noProof/>
          <w:sz w:val="24"/>
          <w:lang w:eastAsia="en-GB"/>
        </w:rPr>
        <w:t xml:space="preserve"> for both Member States and service providers, so it is not possible to provide accurate estimates of actual costs.</w:t>
      </w:r>
    </w:p>
    <w:p w:rsidR="001B65FF" w:rsidRDefault="003E4EF4">
      <w:pPr>
        <w:numPr>
          <w:ilvl w:val="0"/>
          <w:numId w:val="149"/>
        </w:numPr>
        <w:spacing w:after="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The assumptions have a certain degree of approximation and subjectivity. To mitig</w:t>
      </w:r>
      <w:r>
        <w:rPr>
          <w:rFonts w:ascii="Times New Roman" w:hAnsi="Times New Roman" w:cs="Times New Roman"/>
          <w:noProof/>
          <w:sz w:val="24"/>
          <w:lang w:eastAsia="en-GB"/>
        </w:rPr>
        <w:t xml:space="preserve">ate this, the </w:t>
      </w:r>
      <w:r>
        <w:rPr>
          <w:rFonts w:ascii="Times New Roman" w:hAnsi="Times New Roman" w:cs="Times New Roman"/>
          <w:b/>
          <w:noProof/>
          <w:sz w:val="24"/>
          <w:lang w:eastAsia="en-GB"/>
        </w:rPr>
        <w:t>methodology, the model and the input data</w:t>
      </w:r>
      <w:r>
        <w:rPr>
          <w:rFonts w:ascii="Times New Roman" w:hAnsi="Times New Roman" w:cs="Times New Roman"/>
          <w:noProof/>
          <w:sz w:val="24"/>
          <w:lang w:eastAsia="en-GB"/>
        </w:rPr>
        <w:t xml:space="preserve"> were </w:t>
      </w:r>
      <w:r>
        <w:rPr>
          <w:rFonts w:ascii="Times New Roman" w:hAnsi="Times New Roman" w:cs="Times New Roman"/>
          <w:b/>
          <w:noProof/>
          <w:sz w:val="24"/>
          <w:lang w:eastAsia="en-GB"/>
        </w:rPr>
        <w:t>discussed and validated with external experts and reviewers</w:t>
      </w:r>
      <w:r>
        <w:rPr>
          <w:rFonts w:ascii="Times New Roman" w:hAnsi="Times New Roman" w:cs="Times New Roman"/>
          <w:noProof/>
          <w:sz w:val="24"/>
          <w:lang w:eastAsia="en-GB"/>
        </w:rPr>
        <w:t xml:space="preserve"> in several dedicated meetings (focus groups). The experts included practitioners from both the private sector (service providers) and f</w:t>
      </w:r>
      <w:r>
        <w:rPr>
          <w:rFonts w:ascii="Times New Roman" w:hAnsi="Times New Roman" w:cs="Times New Roman"/>
          <w:noProof/>
          <w:sz w:val="24"/>
          <w:lang w:eastAsia="en-GB"/>
        </w:rPr>
        <w:t xml:space="preserve">rom public authorities in Member States. </w:t>
      </w:r>
    </w:p>
    <w:p w:rsidR="001B65FF" w:rsidRDefault="003E4EF4">
      <w:pPr>
        <w:numPr>
          <w:ilvl w:val="0"/>
          <w:numId w:val="149"/>
        </w:numPr>
        <w:spacing w:after="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For international measures 3 and 4, because of the high degree of uncertainty regarding what would be agreed and when, it is not possible to quantify the impacts at all.</w:t>
      </w:r>
    </w:p>
    <w:p w:rsidR="001B65FF" w:rsidRDefault="003E4EF4">
      <w:pPr>
        <w:spacing w:before="120" w:after="120"/>
        <w:jc w:val="both"/>
        <w:rPr>
          <w:rFonts w:ascii="Times New Roman" w:hAnsi="Times New Roman" w:cs="Times New Roman"/>
          <w:noProof/>
          <w:sz w:val="24"/>
          <w:lang w:eastAsia="en-GB"/>
        </w:rPr>
      </w:pPr>
      <w:r>
        <w:rPr>
          <w:rFonts w:ascii="Times New Roman" w:hAnsi="Times New Roman" w:cs="Times New Roman"/>
          <w:noProof/>
          <w:sz w:val="24"/>
          <w:lang w:eastAsia="en-GB"/>
        </w:rPr>
        <w:t>The tables below summarise the one-off and c</w:t>
      </w:r>
      <w:r>
        <w:rPr>
          <w:rFonts w:ascii="Times New Roman" w:hAnsi="Times New Roman" w:cs="Times New Roman"/>
          <w:noProof/>
          <w:sz w:val="24"/>
          <w:lang w:eastAsia="en-GB"/>
        </w:rPr>
        <w:t xml:space="preserve">ontinuous costs estimates for the retained policy measures and the policy options they combine into (savings are indicated in red and with a minus sign): </w:t>
      </w:r>
    </w:p>
    <w:p w:rsidR="001B65FF" w:rsidRDefault="003E4EF4">
      <w:pPr>
        <w:spacing w:before="120" w:after="60"/>
        <w:jc w:val="center"/>
        <w:rPr>
          <w:rFonts w:ascii="Times New Roman" w:hAnsi="Times New Roman" w:cs="Times New Roman"/>
          <w:i/>
          <w:noProof/>
          <w:sz w:val="24"/>
          <w:szCs w:val="24"/>
        </w:rPr>
      </w:pPr>
      <w:r>
        <w:rPr>
          <w:rFonts w:ascii="Times New Roman" w:hAnsi="Times New Roman" w:cs="Times New Roman"/>
          <w:i/>
          <w:noProof/>
          <w:sz w:val="24"/>
          <w:szCs w:val="24"/>
        </w:rPr>
        <w:t>Table 7:  one-off and continuous costs estimates for the retained policy measures (EUR)</w:t>
      </w:r>
    </w:p>
    <w:tbl>
      <w:tblPr>
        <w:tblW w:w="8804" w:type="dxa"/>
        <w:tblInd w:w="93" w:type="dxa"/>
        <w:tblLook w:val="04A0" w:firstRow="1" w:lastRow="0" w:firstColumn="1" w:lastColumn="0" w:noHBand="0" w:noVBand="1"/>
      </w:tblPr>
      <w:tblGrid>
        <w:gridCol w:w="1439"/>
        <w:gridCol w:w="1837"/>
        <w:gridCol w:w="1842"/>
        <w:gridCol w:w="1843"/>
        <w:gridCol w:w="1843"/>
      </w:tblGrid>
      <w:tr w:rsidR="001B65FF">
        <w:trPr>
          <w:trHeight w:val="672"/>
        </w:trPr>
        <w:tc>
          <w:tcPr>
            <w:tcW w:w="1439"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1B65FF" w:rsidRDefault="003E4EF4">
            <w:pPr>
              <w:spacing w:before="60" w:after="120" w:line="240" w:lineRule="auto"/>
              <w:contextualSpacing/>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 xml:space="preserve">POLICY </w:t>
            </w:r>
            <w:r>
              <w:rPr>
                <w:rFonts w:ascii="Times New Roman" w:eastAsia="Times New Roman" w:hAnsi="Times New Roman" w:cs="Times New Roman"/>
                <w:b/>
                <w:bCs/>
                <w:noProof/>
                <w:color w:val="000000"/>
                <w:lang w:eastAsia="en-GB"/>
              </w:rPr>
              <w:t>MEASURES</w:t>
            </w:r>
          </w:p>
        </w:tc>
        <w:tc>
          <w:tcPr>
            <w:tcW w:w="3679" w:type="dxa"/>
            <w:gridSpan w:val="2"/>
            <w:tcBorders>
              <w:top w:val="single" w:sz="4" w:space="0" w:color="auto"/>
              <w:left w:val="nil"/>
              <w:bottom w:val="single" w:sz="4" w:space="0" w:color="auto"/>
              <w:right w:val="single" w:sz="4" w:space="0" w:color="auto"/>
            </w:tcBorders>
            <w:shd w:val="clear" w:color="000000" w:fill="EEECE1"/>
            <w:vAlign w:val="center"/>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ONE-OFF COSTS</w:t>
            </w:r>
          </w:p>
        </w:tc>
        <w:tc>
          <w:tcPr>
            <w:tcW w:w="3686" w:type="dxa"/>
            <w:gridSpan w:val="2"/>
            <w:tcBorders>
              <w:top w:val="single" w:sz="4" w:space="0" w:color="auto"/>
              <w:left w:val="nil"/>
              <w:bottom w:val="single" w:sz="4" w:space="0" w:color="auto"/>
              <w:right w:val="single" w:sz="4" w:space="0" w:color="auto"/>
            </w:tcBorders>
            <w:shd w:val="clear" w:color="000000" w:fill="EEECE1"/>
            <w:vAlign w:val="center"/>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CONTINUOUS (ANNUAL) COSTS - BASELINE</w:t>
            </w:r>
          </w:p>
        </w:tc>
      </w:tr>
      <w:tr w:rsidR="001B65FF">
        <w:trPr>
          <w:trHeight w:val="585"/>
        </w:trPr>
        <w:tc>
          <w:tcPr>
            <w:tcW w:w="1439" w:type="dxa"/>
            <w:vMerge/>
            <w:tcBorders>
              <w:top w:val="single" w:sz="4" w:space="0" w:color="auto"/>
              <w:left w:val="single" w:sz="4" w:space="0" w:color="auto"/>
              <w:bottom w:val="single" w:sz="4" w:space="0" w:color="auto"/>
              <w:right w:val="single" w:sz="4" w:space="0" w:color="auto"/>
            </w:tcBorders>
            <w:vAlign w:val="center"/>
            <w:hideMark/>
          </w:tcPr>
          <w:p w:rsidR="001B65FF" w:rsidRDefault="001B65FF">
            <w:pPr>
              <w:spacing w:after="0" w:line="240" w:lineRule="auto"/>
              <w:rPr>
                <w:rFonts w:ascii="Times New Roman" w:eastAsia="Times New Roman" w:hAnsi="Times New Roman" w:cs="Times New Roman"/>
                <w:b/>
                <w:bCs/>
                <w:noProof/>
                <w:color w:val="000000"/>
                <w:lang w:eastAsia="en-GB"/>
              </w:rPr>
            </w:pPr>
          </w:p>
        </w:tc>
        <w:tc>
          <w:tcPr>
            <w:tcW w:w="1837" w:type="dxa"/>
            <w:tcBorders>
              <w:top w:val="nil"/>
              <w:left w:val="nil"/>
              <w:bottom w:val="single" w:sz="4" w:space="0" w:color="auto"/>
              <w:right w:val="single" w:sz="4" w:space="0" w:color="auto"/>
            </w:tcBorders>
            <w:shd w:val="clear" w:color="000000" w:fill="EEECE1"/>
            <w:vAlign w:val="bottom"/>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Service providers</w:t>
            </w:r>
          </w:p>
        </w:tc>
        <w:tc>
          <w:tcPr>
            <w:tcW w:w="1842" w:type="dxa"/>
            <w:tcBorders>
              <w:top w:val="nil"/>
              <w:left w:val="nil"/>
              <w:bottom w:val="single" w:sz="4" w:space="0" w:color="auto"/>
              <w:right w:val="single" w:sz="4" w:space="0" w:color="auto"/>
            </w:tcBorders>
            <w:shd w:val="clear" w:color="000000" w:fill="EEECE1"/>
            <w:vAlign w:val="bottom"/>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Public authorities</w:t>
            </w:r>
          </w:p>
        </w:tc>
        <w:tc>
          <w:tcPr>
            <w:tcW w:w="1843" w:type="dxa"/>
            <w:tcBorders>
              <w:top w:val="nil"/>
              <w:left w:val="nil"/>
              <w:bottom w:val="single" w:sz="4" w:space="0" w:color="auto"/>
              <w:right w:val="single" w:sz="4" w:space="0" w:color="auto"/>
            </w:tcBorders>
            <w:shd w:val="clear" w:color="000000" w:fill="EEECE1"/>
            <w:vAlign w:val="bottom"/>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Service providers</w:t>
            </w:r>
          </w:p>
        </w:tc>
        <w:tc>
          <w:tcPr>
            <w:tcW w:w="1843" w:type="dxa"/>
            <w:tcBorders>
              <w:top w:val="nil"/>
              <w:left w:val="nil"/>
              <w:bottom w:val="single" w:sz="4" w:space="0" w:color="auto"/>
              <w:right w:val="single" w:sz="4" w:space="0" w:color="auto"/>
            </w:tcBorders>
            <w:shd w:val="clear" w:color="000000" w:fill="EEECE1"/>
            <w:vAlign w:val="bottom"/>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Public authorities</w:t>
            </w:r>
          </w:p>
        </w:tc>
      </w:tr>
      <w:tr w:rsidR="001B65FF">
        <w:trPr>
          <w:trHeight w:val="315"/>
        </w:trPr>
        <w:tc>
          <w:tcPr>
            <w:tcW w:w="1439"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c>
          <w:tcPr>
            <w:tcW w:w="1837"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€ 0</w:t>
            </w:r>
          </w:p>
        </w:tc>
        <w:tc>
          <w:tcPr>
            <w:tcW w:w="1842"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€ 0</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€ 0</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€ 0</w:t>
            </w:r>
          </w:p>
        </w:tc>
      </w:tr>
      <w:tr w:rsidR="001B65FF">
        <w:trPr>
          <w:trHeight w:val="315"/>
        </w:trPr>
        <w:tc>
          <w:tcPr>
            <w:tcW w:w="1439"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1837"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€ 0</w:t>
            </w:r>
          </w:p>
        </w:tc>
        <w:tc>
          <w:tcPr>
            <w:tcW w:w="1842"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€ 400,000</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€ 448,345</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FF0000"/>
                <w:sz w:val="24"/>
                <w:szCs w:val="24"/>
                <w:lang w:eastAsia="en-GB"/>
              </w:rPr>
              <w:t>-€ 98,574</w:t>
            </w:r>
          </w:p>
        </w:tc>
      </w:tr>
      <w:tr w:rsidR="001B65FF">
        <w:trPr>
          <w:trHeight w:val="315"/>
        </w:trPr>
        <w:tc>
          <w:tcPr>
            <w:tcW w:w="1439"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w:t>
            </w:r>
          </w:p>
        </w:tc>
        <w:tc>
          <w:tcPr>
            <w:tcW w:w="1837"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€ 120,000</w:t>
            </w:r>
          </w:p>
        </w:tc>
        <w:tc>
          <w:tcPr>
            <w:tcW w:w="1842"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€ 292,800</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FF0000"/>
                <w:sz w:val="24"/>
                <w:szCs w:val="24"/>
                <w:lang w:eastAsia="en-GB"/>
              </w:rPr>
              <w:t>-€ 1,479,387</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FF0000"/>
                <w:sz w:val="24"/>
                <w:szCs w:val="24"/>
                <w:lang w:eastAsia="en-GB"/>
              </w:rPr>
              <w:t>-€ 1,507,361</w:t>
            </w:r>
          </w:p>
        </w:tc>
      </w:tr>
      <w:tr w:rsidR="001B65FF">
        <w:trPr>
          <w:trHeight w:val="315"/>
        </w:trPr>
        <w:tc>
          <w:tcPr>
            <w:tcW w:w="1439"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7365" w:type="dxa"/>
            <w:gridSpan w:val="4"/>
            <w:tcBorders>
              <w:top w:val="single" w:sz="4" w:space="0" w:color="auto"/>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center"/>
              <w:rPr>
                <w:rFonts w:ascii="Times" w:eastAsia="Times New Roman" w:hAnsi="Times" w:cs="Times New Roman"/>
                <w:noProof/>
                <w:color w:val="000000"/>
                <w:sz w:val="24"/>
                <w:szCs w:val="24"/>
                <w:lang w:eastAsia="en-GB"/>
              </w:rPr>
            </w:pPr>
            <w:r>
              <w:rPr>
                <w:rFonts w:ascii="Times" w:eastAsia="Times New Roman" w:hAnsi="Times" w:cs="Times New Roman"/>
                <w:noProof/>
                <w:color w:val="000000"/>
                <w:sz w:val="24"/>
                <w:szCs w:val="24"/>
                <w:lang w:eastAsia="en-GB"/>
              </w:rPr>
              <w:t>NA</w:t>
            </w:r>
          </w:p>
        </w:tc>
      </w:tr>
      <w:tr w:rsidR="001B65FF">
        <w:trPr>
          <w:trHeight w:val="315"/>
        </w:trPr>
        <w:tc>
          <w:tcPr>
            <w:tcW w:w="1439"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4</w:t>
            </w:r>
          </w:p>
        </w:tc>
        <w:tc>
          <w:tcPr>
            <w:tcW w:w="7365" w:type="dxa"/>
            <w:gridSpan w:val="4"/>
            <w:tcBorders>
              <w:top w:val="single" w:sz="4" w:space="0" w:color="auto"/>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center"/>
              <w:rPr>
                <w:rFonts w:ascii="Times" w:eastAsia="Times New Roman" w:hAnsi="Times" w:cs="Times New Roman"/>
                <w:noProof/>
                <w:color w:val="000000"/>
                <w:sz w:val="24"/>
                <w:szCs w:val="24"/>
                <w:lang w:eastAsia="en-GB"/>
              </w:rPr>
            </w:pPr>
            <w:r>
              <w:rPr>
                <w:rFonts w:ascii="Times" w:eastAsia="Times New Roman" w:hAnsi="Times" w:cs="Times New Roman"/>
                <w:noProof/>
                <w:color w:val="000000"/>
                <w:sz w:val="24"/>
                <w:szCs w:val="24"/>
                <w:lang w:eastAsia="en-GB"/>
              </w:rPr>
              <w:t>NA</w:t>
            </w:r>
          </w:p>
        </w:tc>
      </w:tr>
      <w:tr w:rsidR="001B65FF">
        <w:trPr>
          <w:trHeight w:val="315"/>
        </w:trPr>
        <w:tc>
          <w:tcPr>
            <w:tcW w:w="1439"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5</w:t>
            </w:r>
          </w:p>
        </w:tc>
        <w:tc>
          <w:tcPr>
            <w:tcW w:w="1837"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€ 1,560,000</w:t>
            </w:r>
          </w:p>
        </w:tc>
        <w:tc>
          <w:tcPr>
            <w:tcW w:w="1842"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€ 1,296,000</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FF0000"/>
                <w:sz w:val="24"/>
                <w:szCs w:val="24"/>
                <w:lang w:eastAsia="en-GB"/>
              </w:rPr>
              <w:t>-€ 924,385</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FF0000"/>
                <w:sz w:val="24"/>
                <w:szCs w:val="24"/>
                <w:lang w:eastAsia="en-GB"/>
              </w:rPr>
              <w:t>-€ 763,975</w:t>
            </w:r>
          </w:p>
        </w:tc>
      </w:tr>
      <w:tr w:rsidR="001B65FF">
        <w:trPr>
          <w:trHeight w:val="315"/>
        </w:trPr>
        <w:tc>
          <w:tcPr>
            <w:tcW w:w="1439"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6</w:t>
            </w:r>
          </w:p>
        </w:tc>
        <w:tc>
          <w:tcPr>
            <w:tcW w:w="1837"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€ 0</w:t>
            </w:r>
          </w:p>
        </w:tc>
        <w:tc>
          <w:tcPr>
            <w:tcW w:w="1842"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€ 672,000</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FF0000"/>
                <w:sz w:val="24"/>
                <w:szCs w:val="24"/>
                <w:lang w:eastAsia="en-GB"/>
              </w:rPr>
              <w:t>-€ 2,241,725</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FF0000"/>
                <w:sz w:val="24"/>
                <w:szCs w:val="24"/>
                <w:lang w:eastAsia="en-GB"/>
              </w:rPr>
              <w:t>-€ 4,928,724</w:t>
            </w:r>
          </w:p>
        </w:tc>
      </w:tr>
      <w:tr w:rsidR="001B65FF">
        <w:trPr>
          <w:trHeight w:val="315"/>
        </w:trPr>
        <w:tc>
          <w:tcPr>
            <w:tcW w:w="1439"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7</w:t>
            </w:r>
          </w:p>
        </w:tc>
        <w:tc>
          <w:tcPr>
            <w:tcW w:w="1837"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€ 0</w:t>
            </w:r>
          </w:p>
        </w:tc>
        <w:tc>
          <w:tcPr>
            <w:tcW w:w="1842"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€ 648,000</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FF0000"/>
                <w:sz w:val="24"/>
                <w:szCs w:val="24"/>
                <w:lang w:eastAsia="en-GB"/>
              </w:rPr>
              <w:t>-€ 134,503</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€ 113,361</w:t>
            </w:r>
          </w:p>
        </w:tc>
      </w:tr>
      <w:tr w:rsidR="001B65FF">
        <w:trPr>
          <w:trHeight w:val="315"/>
        </w:trPr>
        <w:tc>
          <w:tcPr>
            <w:tcW w:w="1439" w:type="dxa"/>
            <w:tcBorders>
              <w:top w:val="nil"/>
              <w:left w:val="single" w:sz="4" w:space="0" w:color="auto"/>
              <w:bottom w:val="single" w:sz="4" w:space="0" w:color="auto"/>
              <w:right w:val="single" w:sz="4" w:space="0" w:color="auto"/>
            </w:tcBorders>
            <w:shd w:val="clear" w:color="auto" w:fill="auto"/>
            <w:noWrap/>
            <w:vAlign w:val="bottom"/>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Total</w:t>
            </w:r>
          </w:p>
        </w:tc>
        <w:tc>
          <w:tcPr>
            <w:tcW w:w="1837"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€ 1,680,000</w:t>
            </w:r>
          </w:p>
        </w:tc>
        <w:tc>
          <w:tcPr>
            <w:tcW w:w="1842"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€ 3,308,800</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FF0000"/>
                <w:sz w:val="24"/>
                <w:szCs w:val="24"/>
                <w:lang w:eastAsia="en-GB"/>
              </w:rPr>
              <w:t>-€ 4,331,656</w:t>
            </w:r>
          </w:p>
        </w:tc>
        <w:tc>
          <w:tcPr>
            <w:tcW w:w="1843" w:type="dxa"/>
            <w:tcBorders>
              <w:top w:val="nil"/>
              <w:left w:val="nil"/>
              <w:bottom w:val="single" w:sz="4" w:space="0" w:color="auto"/>
              <w:right w:val="single" w:sz="4"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FF0000"/>
                <w:sz w:val="24"/>
                <w:szCs w:val="24"/>
                <w:lang w:eastAsia="en-GB"/>
              </w:rPr>
              <w:t>-€ 7,185,273</w:t>
            </w:r>
          </w:p>
        </w:tc>
      </w:tr>
    </w:tbl>
    <w:p w:rsidR="001B65FF" w:rsidRDefault="001B65FF">
      <w:pPr>
        <w:spacing w:before="120" w:after="0"/>
        <w:jc w:val="center"/>
        <w:rPr>
          <w:rFonts w:ascii="Times New Roman" w:hAnsi="Times New Roman" w:cs="Times New Roman"/>
          <w:i/>
          <w:noProof/>
          <w:sz w:val="24"/>
          <w:szCs w:val="24"/>
        </w:rPr>
      </w:pPr>
    </w:p>
    <w:tbl>
      <w:tblPr>
        <w:tblW w:w="10857" w:type="dxa"/>
        <w:tblInd w:w="108" w:type="dxa"/>
        <w:tblLook w:val="04A0" w:firstRow="1" w:lastRow="0" w:firstColumn="1" w:lastColumn="0" w:noHBand="0" w:noVBand="1"/>
      </w:tblPr>
      <w:tblGrid>
        <w:gridCol w:w="9184"/>
        <w:gridCol w:w="1673"/>
      </w:tblGrid>
      <w:tr w:rsidR="001B65FF">
        <w:trPr>
          <w:trHeight w:val="131"/>
        </w:trPr>
        <w:tc>
          <w:tcPr>
            <w:tcW w:w="9184" w:type="dxa"/>
            <w:tcBorders>
              <w:top w:val="nil"/>
              <w:left w:val="nil"/>
              <w:bottom w:val="nil"/>
              <w:right w:val="nil"/>
            </w:tcBorders>
            <w:shd w:val="clear" w:color="auto" w:fill="auto"/>
            <w:noWrap/>
            <w:hideMark/>
          </w:tcPr>
          <w:p w:rsidR="001B65FF" w:rsidRDefault="003E4EF4">
            <w:pPr>
              <w:spacing w:after="120"/>
              <w:jc w:val="center"/>
              <w:rPr>
                <w:rFonts w:ascii="Times New Roman" w:hAnsi="Times New Roman" w:cs="Times New Roman"/>
                <w:i/>
                <w:noProof/>
                <w:sz w:val="24"/>
                <w:szCs w:val="24"/>
              </w:rPr>
            </w:pPr>
            <w:r>
              <w:rPr>
                <w:rFonts w:ascii="Times New Roman" w:hAnsi="Times New Roman" w:cs="Times New Roman"/>
                <w:i/>
                <w:noProof/>
                <w:sz w:val="24"/>
                <w:szCs w:val="24"/>
              </w:rPr>
              <w:t>Table 8: one-off and continuous costs estimates for the policy options</w:t>
            </w:r>
            <w:r>
              <w:rPr>
                <w:rFonts w:ascii="Times New Roman" w:hAnsi="Times New Roman" w:cs="Times New Roman"/>
                <w:i/>
                <w:noProof/>
                <w:sz w:val="24"/>
                <w:szCs w:val="24"/>
              </w:rPr>
              <w:t xml:space="preserve"> (EUR)</w:t>
            </w:r>
          </w:p>
          <w:tbl>
            <w:tblPr>
              <w:tblW w:w="8676" w:type="dxa"/>
              <w:tblLook w:val="04A0" w:firstRow="1" w:lastRow="0" w:firstColumn="1" w:lastColumn="0" w:noHBand="0" w:noVBand="1"/>
            </w:tblPr>
            <w:tblGrid>
              <w:gridCol w:w="2014"/>
              <w:gridCol w:w="1417"/>
              <w:gridCol w:w="1559"/>
              <w:gridCol w:w="1843"/>
              <w:gridCol w:w="1843"/>
            </w:tblGrid>
            <w:tr w:rsidR="001B65FF">
              <w:trPr>
                <w:trHeight w:val="315"/>
              </w:trPr>
              <w:tc>
                <w:tcPr>
                  <w:tcW w:w="2014"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1B65FF" w:rsidRDefault="003E4EF4">
                  <w:pPr>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POLICY MEASURES</w:t>
                  </w:r>
                </w:p>
              </w:tc>
              <w:tc>
                <w:tcPr>
                  <w:tcW w:w="2976" w:type="dxa"/>
                  <w:gridSpan w:val="2"/>
                  <w:tcBorders>
                    <w:top w:val="single" w:sz="4" w:space="0" w:color="auto"/>
                    <w:left w:val="nil"/>
                    <w:bottom w:val="single" w:sz="4" w:space="0" w:color="auto"/>
                    <w:right w:val="single" w:sz="4" w:space="0" w:color="auto"/>
                  </w:tcBorders>
                  <w:shd w:val="clear" w:color="000000" w:fill="EEECE1"/>
                  <w:vAlign w:val="center"/>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ONE-OFF COSTS</w:t>
                  </w:r>
                </w:p>
              </w:tc>
              <w:tc>
                <w:tcPr>
                  <w:tcW w:w="3686" w:type="dxa"/>
                  <w:gridSpan w:val="2"/>
                  <w:tcBorders>
                    <w:top w:val="single" w:sz="4" w:space="0" w:color="auto"/>
                    <w:left w:val="nil"/>
                    <w:bottom w:val="single" w:sz="4" w:space="0" w:color="auto"/>
                    <w:right w:val="single" w:sz="4" w:space="0" w:color="auto"/>
                  </w:tcBorders>
                  <w:shd w:val="clear" w:color="000000" w:fill="EEECE1"/>
                  <w:vAlign w:val="center"/>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CONTINUOUS (ANNUAL) COSTS - BASELINE</w:t>
                  </w:r>
                </w:p>
              </w:tc>
            </w:tr>
            <w:tr w:rsidR="001B65FF">
              <w:trPr>
                <w:trHeight w:val="630"/>
              </w:trPr>
              <w:tc>
                <w:tcPr>
                  <w:tcW w:w="2014" w:type="dxa"/>
                  <w:vMerge/>
                  <w:tcBorders>
                    <w:top w:val="single" w:sz="4" w:space="0" w:color="auto"/>
                    <w:left w:val="single" w:sz="4" w:space="0" w:color="auto"/>
                    <w:bottom w:val="single" w:sz="4" w:space="0" w:color="auto"/>
                    <w:right w:val="single" w:sz="4" w:space="0" w:color="auto"/>
                  </w:tcBorders>
                  <w:vAlign w:val="center"/>
                  <w:hideMark/>
                </w:tcPr>
                <w:p w:rsidR="001B65FF" w:rsidRDefault="001B65FF">
                  <w:pPr>
                    <w:spacing w:after="0" w:line="240" w:lineRule="auto"/>
                    <w:rPr>
                      <w:rFonts w:ascii="Times New Roman" w:eastAsia="Times New Roman" w:hAnsi="Times New Roman" w:cs="Times New Roman"/>
                      <w:b/>
                      <w:bCs/>
                      <w:noProof/>
                      <w:color w:val="000000"/>
                      <w:lang w:eastAsia="en-GB"/>
                    </w:rPr>
                  </w:pPr>
                </w:p>
              </w:tc>
              <w:tc>
                <w:tcPr>
                  <w:tcW w:w="1417" w:type="dxa"/>
                  <w:tcBorders>
                    <w:top w:val="nil"/>
                    <w:left w:val="nil"/>
                    <w:bottom w:val="single" w:sz="4" w:space="0" w:color="auto"/>
                    <w:right w:val="single" w:sz="4" w:space="0" w:color="auto"/>
                  </w:tcBorders>
                  <w:shd w:val="clear" w:color="000000" w:fill="EEECE1"/>
                  <w:vAlign w:val="bottom"/>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Service providers</w:t>
                  </w:r>
                </w:p>
              </w:tc>
              <w:tc>
                <w:tcPr>
                  <w:tcW w:w="1559" w:type="dxa"/>
                  <w:tcBorders>
                    <w:top w:val="nil"/>
                    <w:left w:val="nil"/>
                    <w:bottom w:val="single" w:sz="4" w:space="0" w:color="auto"/>
                    <w:right w:val="single" w:sz="4" w:space="0" w:color="auto"/>
                  </w:tcBorders>
                  <w:shd w:val="clear" w:color="000000" w:fill="EEECE1"/>
                  <w:vAlign w:val="bottom"/>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Public authorities</w:t>
                  </w:r>
                </w:p>
              </w:tc>
              <w:tc>
                <w:tcPr>
                  <w:tcW w:w="1843" w:type="dxa"/>
                  <w:tcBorders>
                    <w:top w:val="nil"/>
                    <w:left w:val="nil"/>
                    <w:bottom w:val="single" w:sz="4" w:space="0" w:color="auto"/>
                    <w:right w:val="single" w:sz="4" w:space="0" w:color="auto"/>
                  </w:tcBorders>
                  <w:shd w:val="clear" w:color="000000" w:fill="EEECE1"/>
                  <w:vAlign w:val="bottom"/>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Service providers</w:t>
                  </w:r>
                </w:p>
              </w:tc>
              <w:tc>
                <w:tcPr>
                  <w:tcW w:w="1843" w:type="dxa"/>
                  <w:tcBorders>
                    <w:top w:val="nil"/>
                    <w:left w:val="nil"/>
                    <w:bottom w:val="single" w:sz="4" w:space="0" w:color="auto"/>
                    <w:right w:val="single" w:sz="4" w:space="0" w:color="auto"/>
                  </w:tcBorders>
                  <w:shd w:val="clear" w:color="000000" w:fill="EEECE1"/>
                  <w:vAlign w:val="bottom"/>
                  <w:hideMark/>
                </w:tcPr>
                <w:p w:rsidR="001B65FF" w:rsidRDefault="003E4EF4">
                  <w:pPr>
                    <w:spacing w:after="0" w:line="240" w:lineRule="auto"/>
                    <w:jc w:val="center"/>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Public authorities</w:t>
                  </w:r>
                </w:p>
              </w:tc>
            </w:tr>
            <w:tr w:rsidR="001B65FF">
              <w:trPr>
                <w:trHeight w:val="300"/>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O</w:t>
                  </w:r>
                </w:p>
              </w:tc>
              <w:tc>
                <w:tcPr>
                  <w:tcW w:w="1417"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€ 0</w:t>
                  </w:r>
                </w:p>
              </w:tc>
              <w:tc>
                <w:tcPr>
                  <w:tcW w:w="1559"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€ 0</w:t>
                  </w:r>
                </w:p>
              </w:tc>
              <w:tc>
                <w:tcPr>
                  <w:tcW w:w="1843"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€ 0</w:t>
                  </w:r>
                </w:p>
              </w:tc>
              <w:tc>
                <w:tcPr>
                  <w:tcW w:w="1843"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€ 0</w:t>
                  </w:r>
                </w:p>
              </w:tc>
            </w:tr>
            <w:tr w:rsidR="001B65FF">
              <w:trPr>
                <w:trHeight w:val="300"/>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A (measure 1+2)</w:t>
                  </w:r>
                </w:p>
              </w:tc>
              <w:tc>
                <w:tcPr>
                  <w:tcW w:w="1417"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€ 120,000</w:t>
                  </w:r>
                </w:p>
              </w:tc>
              <w:tc>
                <w:tcPr>
                  <w:tcW w:w="1559"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€ 692,800</w:t>
                  </w:r>
                </w:p>
              </w:tc>
              <w:tc>
                <w:tcPr>
                  <w:tcW w:w="1843"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FF0000"/>
                      <w:sz w:val="24"/>
                      <w:lang w:eastAsia="en-GB"/>
                    </w:rPr>
                    <w:t>-€ 1,031,042</w:t>
                  </w:r>
                </w:p>
              </w:tc>
              <w:tc>
                <w:tcPr>
                  <w:tcW w:w="1843"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FF0000"/>
                      <w:sz w:val="24"/>
                      <w:lang w:eastAsia="en-GB"/>
                    </w:rPr>
                    <w:t>-€ 1,605,935</w:t>
                  </w:r>
                </w:p>
              </w:tc>
            </w:tr>
            <w:tr w:rsidR="001B65FF">
              <w:trPr>
                <w:trHeight w:val="300"/>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B (1 to 4)</w:t>
                  </w:r>
                </w:p>
              </w:tc>
              <w:tc>
                <w:tcPr>
                  <w:tcW w:w="1417"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€ 120,000</w:t>
                  </w:r>
                </w:p>
              </w:tc>
              <w:tc>
                <w:tcPr>
                  <w:tcW w:w="1559"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xml:space="preserve">€ </w:t>
                  </w:r>
                  <w:r>
                    <w:rPr>
                      <w:rFonts w:ascii="Times New Roman" w:eastAsia="Times New Roman" w:hAnsi="Times New Roman" w:cs="Times New Roman"/>
                      <w:noProof/>
                      <w:color w:val="000000"/>
                      <w:sz w:val="24"/>
                      <w:lang w:eastAsia="en-GB"/>
                    </w:rPr>
                    <w:t>692,800</w:t>
                  </w:r>
                </w:p>
              </w:tc>
              <w:tc>
                <w:tcPr>
                  <w:tcW w:w="1843"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FF0000"/>
                      <w:sz w:val="24"/>
                      <w:lang w:eastAsia="en-GB"/>
                    </w:rPr>
                    <w:t>-€ 1,031,042</w:t>
                  </w:r>
                </w:p>
              </w:tc>
              <w:tc>
                <w:tcPr>
                  <w:tcW w:w="1843"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FF0000"/>
                      <w:sz w:val="24"/>
                      <w:lang w:eastAsia="en-GB"/>
                    </w:rPr>
                    <w:t>-€ 1,605,935</w:t>
                  </w:r>
                </w:p>
              </w:tc>
            </w:tr>
            <w:tr w:rsidR="001B65FF">
              <w:trPr>
                <w:trHeight w:val="300"/>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C (1 to 6)</w:t>
                  </w:r>
                </w:p>
              </w:tc>
              <w:tc>
                <w:tcPr>
                  <w:tcW w:w="1417"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€ 1,680,000</w:t>
                  </w:r>
                </w:p>
              </w:tc>
              <w:tc>
                <w:tcPr>
                  <w:tcW w:w="1559"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€ 2,660,800</w:t>
                  </w:r>
                </w:p>
              </w:tc>
              <w:tc>
                <w:tcPr>
                  <w:tcW w:w="1843"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FF0000"/>
                      <w:sz w:val="24"/>
                      <w:lang w:eastAsia="en-GB"/>
                    </w:rPr>
                    <w:t>-€ 4,197,152</w:t>
                  </w:r>
                </w:p>
              </w:tc>
              <w:tc>
                <w:tcPr>
                  <w:tcW w:w="1843"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FF0000"/>
                      <w:sz w:val="24"/>
                      <w:lang w:eastAsia="en-GB"/>
                    </w:rPr>
                    <w:t>-€ 7,298,634</w:t>
                  </w:r>
                </w:p>
              </w:tc>
            </w:tr>
            <w:tr w:rsidR="001B65FF">
              <w:trPr>
                <w:trHeight w:val="300"/>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D (1 to 7)</w:t>
                  </w:r>
                </w:p>
              </w:tc>
              <w:tc>
                <w:tcPr>
                  <w:tcW w:w="1417"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€ 1,680,000</w:t>
                  </w:r>
                </w:p>
              </w:tc>
              <w:tc>
                <w:tcPr>
                  <w:tcW w:w="1559"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000000"/>
                      <w:sz w:val="24"/>
                      <w:lang w:eastAsia="en-GB"/>
                    </w:rPr>
                    <w:t>€ 3,308,800</w:t>
                  </w:r>
                </w:p>
              </w:tc>
              <w:tc>
                <w:tcPr>
                  <w:tcW w:w="1843"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FF0000"/>
                      <w:sz w:val="24"/>
                      <w:lang w:eastAsia="en-GB"/>
                    </w:rPr>
                    <w:t>-€ 4,331,656</w:t>
                  </w:r>
                </w:p>
              </w:tc>
              <w:tc>
                <w:tcPr>
                  <w:tcW w:w="1843" w:type="dxa"/>
                  <w:tcBorders>
                    <w:top w:val="nil"/>
                    <w:left w:val="nil"/>
                    <w:bottom w:val="single" w:sz="4" w:space="0" w:color="auto"/>
                    <w:right w:val="single" w:sz="4" w:space="0" w:color="auto"/>
                  </w:tcBorders>
                  <w:shd w:val="clear" w:color="auto" w:fill="auto"/>
                  <w:noWrap/>
                  <w:vAlign w:val="bottom"/>
                  <w:hideMark/>
                </w:tcPr>
                <w:p w:rsidR="001B65FF" w:rsidRDefault="003E4EF4">
                  <w:pPr>
                    <w:spacing w:after="0" w:line="240" w:lineRule="auto"/>
                    <w:jc w:val="right"/>
                    <w:rPr>
                      <w:rFonts w:ascii="Times New Roman" w:eastAsia="Times New Roman" w:hAnsi="Times New Roman" w:cs="Times New Roman"/>
                      <w:noProof/>
                      <w:color w:val="000000"/>
                      <w:sz w:val="24"/>
                      <w:lang w:eastAsia="en-GB"/>
                    </w:rPr>
                  </w:pPr>
                  <w:r>
                    <w:rPr>
                      <w:rFonts w:ascii="Times New Roman" w:eastAsia="Times New Roman" w:hAnsi="Times New Roman" w:cs="Times New Roman"/>
                      <w:noProof/>
                      <w:color w:val="FF0000"/>
                      <w:sz w:val="24"/>
                      <w:lang w:eastAsia="en-GB"/>
                    </w:rPr>
                    <w:t>-€ 7,185,273</w:t>
                  </w:r>
                </w:p>
              </w:tc>
            </w:tr>
          </w:tbl>
          <w:p w:rsidR="001B65FF" w:rsidRDefault="001B65FF">
            <w:pPr>
              <w:jc w:val="center"/>
              <w:rPr>
                <w:rFonts w:ascii="Times New Roman" w:hAnsi="Times New Roman" w:cs="Times New Roman"/>
                <w:noProof/>
                <w:sz w:val="20"/>
              </w:rPr>
            </w:pPr>
          </w:p>
        </w:tc>
        <w:tc>
          <w:tcPr>
            <w:tcW w:w="1673" w:type="dxa"/>
            <w:tcBorders>
              <w:top w:val="nil"/>
              <w:left w:val="nil"/>
              <w:bottom w:val="nil"/>
              <w:right w:val="nil"/>
            </w:tcBorders>
            <w:shd w:val="clear" w:color="auto" w:fill="auto"/>
            <w:noWrap/>
          </w:tcPr>
          <w:p w:rsidR="001B65FF" w:rsidRDefault="001B65FF">
            <w:pPr>
              <w:jc w:val="center"/>
              <w:rPr>
                <w:rFonts w:ascii="Times New Roman" w:hAnsi="Times New Roman" w:cs="Times New Roman"/>
                <w:noProof/>
                <w:sz w:val="20"/>
              </w:rPr>
            </w:pPr>
          </w:p>
        </w:tc>
      </w:tr>
    </w:tbl>
    <w:p w:rsidR="001B65FF" w:rsidRDefault="003E4EF4">
      <w:p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The Member States that are likely to be most impacted are Germany, UK and France, as the major</w:t>
      </w:r>
      <w:r>
        <w:rPr>
          <w:rFonts w:ascii="Times New Roman" w:hAnsi="Times New Roman" w:cs="Times New Roman"/>
          <w:noProof/>
          <w:sz w:val="24"/>
          <w:lang w:eastAsia="en-GB"/>
        </w:rPr>
        <w:t xml:space="preserve"> issuers of requests (see section 2.1.1.) and Ireland as a major addressee of requests where a number of important service providers are established.</w:t>
      </w:r>
    </w:p>
    <w:p w:rsidR="001B65FF" w:rsidRDefault="003E4EF4">
      <w:p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See </w:t>
      </w:r>
      <w:r>
        <w:rPr>
          <w:rFonts w:ascii="Times New Roman" w:hAnsi="Times New Roman" w:cs="Times New Roman"/>
          <w:b/>
          <w:noProof/>
          <w:sz w:val="24"/>
          <w:lang w:eastAsia="en-GB"/>
        </w:rPr>
        <w:t>Annex 4</w:t>
      </w:r>
      <w:r>
        <w:rPr>
          <w:rFonts w:ascii="Times New Roman" w:hAnsi="Times New Roman" w:cs="Times New Roman"/>
          <w:noProof/>
          <w:sz w:val="24"/>
          <w:lang w:eastAsia="en-GB"/>
        </w:rPr>
        <w:t xml:space="preserve"> for further details on the model, the assumptions and the calculations. </w:t>
      </w:r>
    </w:p>
    <w:p w:rsidR="001B65FF" w:rsidRDefault="003E4EF4">
      <w:pPr>
        <w:keepNext/>
        <w:rPr>
          <w:rFonts w:ascii="Times New Roman" w:hAnsi="Times New Roman" w:cs="Times New Roman"/>
          <w:b/>
          <w:noProof/>
          <w:sz w:val="24"/>
          <w:szCs w:val="24"/>
        </w:rPr>
      </w:pPr>
      <w:bookmarkStart w:id="1534" w:name="_Toc497927293"/>
      <w:bookmarkStart w:id="1535" w:name="_Toc497927909"/>
      <w:bookmarkStart w:id="1536" w:name="_Toc497928175"/>
      <w:bookmarkStart w:id="1537" w:name="_Toc498509694"/>
      <w:bookmarkStart w:id="1538" w:name="_Toc498521249"/>
      <w:r>
        <w:rPr>
          <w:rFonts w:ascii="Times New Roman" w:hAnsi="Times New Roman" w:cs="Times New Roman"/>
          <w:b/>
          <w:noProof/>
          <w:sz w:val="24"/>
          <w:szCs w:val="24"/>
        </w:rPr>
        <w:t>6.4.2 Benefits</w:t>
      </w:r>
      <w:bookmarkEnd w:id="1534"/>
      <w:bookmarkEnd w:id="1535"/>
      <w:bookmarkEnd w:id="1536"/>
      <w:bookmarkEnd w:id="1537"/>
      <w:bookmarkEnd w:id="1538"/>
    </w:p>
    <w:p w:rsidR="001B65FF" w:rsidRDefault="003E4EF4">
      <w:pPr>
        <w:spacing w:after="0"/>
        <w:rPr>
          <w:rFonts w:ascii="Times New Roman" w:hAnsi="Times New Roman" w:cs="Times New Roman"/>
          <w:noProof/>
          <w:sz w:val="24"/>
        </w:rPr>
      </w:pPr>
      <w:r>
        <w:rPr>
          <w:rFonts w:ascii="Times New Roman" w:hAnsi="Times New Roman" w:cs="Times New Roman"/>
          <w:noProof/>
          <w:sz w:val="24"/>
        </w:rPr>
        <w:t xml:space="preserve">There </w:t>
      </w:r>
      <w:r>
        <w:rPr>
          <w:rFonts w:ascii="Times New Roman" w:hAnsi="Times New Roman" w:cs="Times New Roman"/>
          <w:noProof/>
          <w:sz w:val="24"/>
        </w:rPr>
        <w:t>are two types of benefits</w:t>
      </w:r>
    </w:p>
    <w:p w:rsidR="001B65FF" w:rsidRDefault="003E4EF4">
      <w:pPr>
        <w:numPr>
          <w:ilvl w:val="0"/>
          <w:numId w:val="148"/>
        </w:numPr>
        <w:spacing w:after="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Savings in administrative costs:</w:t>
      </w:r>
    </w:p>
    <w:p w:rsidR="001B65FF" w:rsidRDefault="003E4EF4">
      <w:pPr>
        <w:pStyle w:val="ListParagraph"/>
        <w:numPr>
          <w:ilvl w:val="1"/>
          <w:numId w:val="148"/>
        </w:numPr>
        <w:ind w:left="1134"/>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They derive directly from the calculation of costs in the previous section. </w:t>
      </w:r>
    </w:p>
    <w:p w:rsidR="001B65FF" w:rsidRDefault="003E4EF4">
      <w:pPr>
        <w:pStyle w:val="ListParagraph"/>
        <w:ind w:left="1134"/>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When these costs are lower than those that would be incurred in the baseline scenario, they are </w:t>
      </w:r>
      <w:r>
        <w:rPr>
          <w:rFonts w:ascii="Times New Roman" w:hAnsi="Times New Roman" w:cs="Times New Roman"/>
          <w:b/>
          <w:noProof/>
          <w:sz w:val="24"/>
          <w:szCs w:val="24"/>
          <w:lang w:eastAsia="en-GB"/>
        </w:rPr>
        <w:t xml:space="preserve">benefits. </w:t>
      </w:r>
    </w:p>
    <w:p w:rsidR="001B65FF" w:rsidRDefault="003E4EF4">
      <w:pPr>
        <w:pStyle w:val="ListParagraph"/>
        <w:numPr>
          <w:ilvl w:val="1"/>
          <w:numId w:val="148"/>
        </w:numPr>
        <w:spacing w:after="0"/>
        <w:ind w:left="1134"/>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All the optio</w:t>
      </w:r>
      <w:r>
        <w:rPr>
          <w:rFonts w:ascii="Times New Roman" w:hAnsi="Times New Roman" w:cs="Times New Roman"/>
          <w:noProof/>
          <w:sz w:val="24"/>
          <w:szCs w:val="24"/>
          <w:lang w:eastAsia="en-GB"/>
        </w:rPr>
        <w:t>ns except the baseline generate savings, as shown in table 8 above.</w:t>
      </w:r>
    </w:p>
    <w:p w:rsidR="001B65FF" w:rsidRDefault="003E4EF4">
      <w:pPr>
        <w:numPr>
          <w:ilvl w:val="0"/>
          <w:numId w:val="148"/>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Reduction of crime:</w:t>
      </w:r>
    </w:p>
    <w:p w:rsidR="001B65FF" w:rsidRDefault="003E4EF4">
      <w:pPr>
        <w:numPr>
          <w:ilvl w:val="0"/>
          <w:numId w:val="150"/>
        </w:numPr>
        <w:ind w:left="108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To estimate how each policy option could reduce crime, the </w:t>
      </w:r>
      <w:r>
        <w:rPr>
          <w:rFonts w:ascii="Times New Roman" w:hAnsi="Times New Roman" w:cs="Times New Roman"/>
          <w:b/>
          <w:noProof/>
          <w:sz w:val="24"/>
          <w:lang w:eastAsia="en-GB"/>
        </w:rPr>
        <w:t>qualitative scores</w:t>
      </w:r>
      <w:r>
        <w:rPr>
          <w:rFonts w:ascii="Times New Roman" w:hAnsi="Times New Roman" w:cs="Times New Roman"/>
          <w:noProof/>
          <w:sz w:val="24"/>
          <w:lang w:eastAsia="en-GB"/>
        </w:rPr>
        <w:t xml:space="preserve"> on the social impact (enhanced security through more effective fight against crime) obtain</w:t>
      </w:r>
      <w:r>
        <w:rPr>
          <w:rFonts w:ascii="Times New Roman" w:hAnsi="Times New Roman" w:cs="Times New Roman"/>
          <w:noProof/>
          <w:sz w:val="24"/>
          <w:lang w:eastAsia="en-GB"/>
        </w:rPr>
        <w:t xml:space="preserve">ed in the assessment of each policy option were </w:t>
      </w:r>
      <w:r>
        <w:rPr>
          <w:rFonts w:ascii="Times New Roman" w:hAnsi="Times New Roman" w:cs="Times New Roman"/>
          <w:b/>
          <w:noProof/>
          <w:sz w:val="24"/>
          <w:lang w:eastAsia="en-GB"/>
        </w:rPr>
        <w:t>translated into percentages</w:t>
      </w:r>
      <w:r>
        <w:rPr>
          <w:rFonts w:ascii="Times New Roman" w:hAnsi="Times New Roman" w:cs="Times New Roman"/>
          <w:noProof/>
          <w:sz w:val="24"/>
          <w:lang w:eastAsia="en-GB"/>
        </w:rPr>
        <w:t xml:space="preserve"> </w:t>
      </w:r>
      <w:r>
        <w:rPr>
          <w:rFonts w:ascii="Times New Roman" w:hAnsi="Times New Roman" w:cs="Times New Roman"/>
          <w:b/>
          <w:noProof/>
          <w:sz w:val="24"/>
          <w:lang w:eastAsia="en-GB"/>
        </w:rPr>
        <w:t>of decrease of crime</w:t>
      </w:r>
      <w:r>
        <w:rPr>
          <w:rFonts w:ascii="Times New Roman" w:hAnsi="Times New Roman" w:cs="Times New Roman"/>
          <w:noProof/>
          <w:sz w:val="24"/>
          <w:lang w:eastAsia="en-GB"/>
        </w:rPr>
        <w:t xml:space="preserve">. </w:t>
      </w:r>
    </w:p>
    <w:p w:rsidR="001B65FF" w:rsidRDefault="003E4EF4">
      <w:pPr>
        <w:numPr>
          <w:ilvl w:val="0"/>
          <w:numId w:val="150"/>
        </w:numPr>
        <w:ind w:left="108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The qualitative scores range from -3 (baseline) to +3 (option D) (see table 9 below).</w:t>
      </w:r>
    </w:p>
    <w:p w:rsidR="001B65FF" w:rsidRDefault="003E4EF4">
      <w:pPr>
        <w:numPr>
          <w:ilvl w:val="0"/>
          <w:numId w:val="150"/>
        </w:numPr>
        <w:ind w:left="108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 the baseline (policy measure 0), it was assumed that there will not be any decrease of criminal acts and organised crime gains (0%).  </w:t>
      </w:r>
    </w:p>
    <w:p w:rsidR="001B65FF" w:rsidRDefault="003E4EF4">
      <w:pPr>
        <w:numPr>
          <w:ilvl w:val="1"/>
          <w:numId w:val="150"/>
        </w:numPr>
        <w:ind w:left="108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The qualitative scores range of -3 to +3 results in a respective range of 0% to -3% change (decrease) of criminal acts</w:t>
      </w:r>
      <w:r>
        <w:rPr>
          <w:rFonts w:ascii="Times New Roman" w:hAnsi="Times New Roman" w:cs="Times New Roman"/>
          <w:noProof/>
          <w:sz w:val="24"/>
          <w:lang w:eastAsia="en-GB"/>
        </w:rPr>
        <w:t xml:space="preserve"> and organised crime gains. This assumes that the </w:t>
      </w:r>
      <w:r>
        <w:rPr>
          <w:rFonts w:ascii="Times New Roman" w:hAnsi="Times New Roman" w:cs="Times New Roman"/>
          <w:b/>
          <w:noProof/>
          <w:sz w:val="24"/>
          <w:lang w:eastAsia="en-GB"/>
        </w:rPr>
        <w:t>range of decrease of crime</w:t>
      </w:r>
      <w:r>
        <w:rPr>
          <w:rFonts w:ascii="Times New Roman" w:hAnsi="Times New Roman" w:cs="Times New Roman"/>
          <w:noProof/>
          <w:sz w:val="24"/>
          <w:lang w:eastAsia="en-GB"/>
        </w:rPr>
        <w:t xml:space="preserve"> due to increased deterrence thanks to the implementation of a given option would be between </w:t>
      </w:r>
      <w:r>
        <w:rPr>
          <w:rFonts w:ascii="Times New Roman" w:hAnsi="Times New Roman" w:cs="Times New Roman"/>
          <w:b/>
          <w:noProof/>
          <w:sz w:val="24"/>
          <w:lang w:eastAsia="en-GB"/>
        </w:rPr>
        <w:t>0% and 3%.</w:t>
      </w:r>
    </w:p>
    <w:p w:rsidR="001B65FF" w:rsidRDefault="003E4EF4">
      <w:pPr>
        <w:numPr>
          <w:ilvl w:val="0"/>
          <w:numId w:val="150"/>
        </w:numPr>
        <w:spacing w:before="240"/>
        <w:ind w:left="108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The range of qualitative scores for the policy measures was converted into a</w:t>
      </w:r>
      <w:r>
        <w:rPr>
          <w:rFonts w:ascii="Times New Roman" w:hAnsi="Times New Roman" w:cs="Times New Roman"/>
          <w:noProof/>
          <w:sz w:val="24"/>
          <w:lang w:eastAsia="en-GB"/>
        </w:rPr>
        <w:t xml:space="preserve"> range of percentages taking the above into account, resulting in the following table: </w:t>
      </w:r>
    </w:p>
    <w:p w:rsidR="001B65FF" w:rsidRDefault="001B65FF">
      <w:pPr>
        <w:spacing w:before="240"/>
        <w:contextualSpacing/>
        <w:jc w:val="both"/>
        <w:rPr>
          <w:rFonts w:ascii="Times New Roman" w:hAnsi="Times New Roman" w:cs="Times New Roman"/>
          <w:noProof/>
          <w:sz w:val="24"/>
          <w:lang w:eastAsia="en-GB"/>
        </w:rPr>
      </w:pPr>
    </w:p>
    <w:p w:rsidR="001B65FF" w:rsidRDefault="003E4EF4">
      <w:pPr>
        <w:spacing w:before="240"/>
        <w:contextualSpacing/>
        <w:jc w:val="center"/>
        <w:rPr>
          <w:rFonts w:ascii="Times New Roman" w:hAnsi="Times New Roman" w:cs="Times New Roman"/>
          <w:i/>
          <w:noProof/>
          <w:sz w:val="24"/>
          <w:lang w:eastAsia="en-GB"/>
        </w:rPr>
      </w:pPr>
      <w:r>
        <w:rPr>
          <w:rFonts w:ascii="Times New Roman" w:hAnsi="Times New Roman" w:cs="Times New Roman"/>
          <w:i/>
          <w:noProof/>
          <w:sz w:val="24"/>
          <w:lang w:eastAsia="en-GB"/>
        </w:rPr>
        <w:t>Table 9: one-off and continuous costs estimates for the policy options (EUR)</w:t>
      </w:r>
    </w:p>
    <w:tbl>
      <w:tblPr>
        <w:tblW w:w="8410" w:type="dxa"/>
        <w:jc w:val="center"/>
        <w:tblInd w:w="1440" w:type="dxa"/>
        <w:tblLook w:val="04A0" w:firstRow="1" w:lastRow="0" w:firstColumn="1" w:lastColumn="0" w:noHBand="0" w:noVBand="1"/>
      </w:tblPr>
      <w:tblGrid>
        <w:gridCol w:w="4152"/>
        <w:gridCol w:w="4258"/>
      </w:tblGrid>
      <w:tr w:rsidR="001B65FF">
        <w:trPr>
          <w:trHeight w:val="388"/>
          <w:jc w:val="center"/>
        </w:trPr>
        <w:tc>
          <w:tcPr>
            <w:tcW w:w="4152"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Qualitative score for social impact</w:t>
            </w:r>
          </w:p>
        </w:tc>
        <w:tc>
          <w:tcPr>
            <w:tcW w:w="4258" w:type="dxa"/>
            <w:tcBorders>
              <w:top w:val="single" w:sz="8" w:space="0" w:color="auto"/>
              <w:left w:val="nil"/>
              <w:bottom w:val="single" w:sz="8" w:space="0" w:color="auto"/>
              <w:right w:val="single" w:sz="8" w:space="0" w:color="auto"/>
            </w:tcBorders>
            <w:shd w:val="clear" w:color="000000" w:fill="F2F2F2"/>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Estimated decrease of crime</w:t>
            </w:r>
          </w:p>
        </w:tc>
      </w:tr>
      <w:tr w:rsidR="001B65FF">
        <w:trPr>
          <w:trHeight w:val="330"/>
          <w:jc w:val="center"/>
        </w:trPr>
        <w:tc>
          <w:tcPr>
            <w:tcW w:w="4152"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4258"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r>
      <w:tr w:rsidR="001B65FF">
        <w:trPr>
          <w:trHeight w:val="330"/>
          <w:jc w:val="center"/>
        </w:trPr>
        <w:tc>
          <w:tcPr>
            <w:tcW w:w="4152"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w:t>
            </w:r>
          </w:p>
        </w:tc>
        <w:tc>
          <w:tcPr>
            <w:tcW w:w="4258"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-0.25%</w:t>
            </w:r>
          </w:p>
        </w:tc>
      </w:tr>
      <w:tr w:rsidR="001B65FF">
        <w:trPr>
          <w:trHeight w:val="330"/>
          <w:jc w:val="center"/>
        </w:trPr>
        <w:tc>
          <w:tcPr>
            <w:tcW w:w="4152"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4258"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-0.5%</w:t>
            </w:r>
          </w:p>
        </w:tc>
      </w:tr>
      <w:tr w:rsidR="001B65FF">
        <w:trPr>
          <w:trHeight w:val="330"/>
          <w:jc w:val="center"/>
        </w:trPr>
        <w:tc>
          <w:tcPr>
            <w:tcW w:w="4152"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w:t>
            </w:r>
          </w:p>
        </w:tc>
        <w:tc>
          <w:tcPr>
            <w:tcW w:w="4258"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-0.75%</w:t>
            </w:r>
          </w:p>
        </w:tc>
      </w:tr>
      <w:tr w:rsidR="001B65FF">
        <w:trPr>
          <w:trHeight w:val="330"/>
          <w:jc w:val="center"/>
        </w:trPr>
        <w:tc>
          <w:tcPr>
            <w:tcW w:w="4152"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4258"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r>
      <w:tr w:rsidR="001B65FF">
        <w:trPr>
          <w:trHeight w:val="330"/>
          <w:jc w:val="center"/>
        </w:trPr>
        <w:tc>
          <w:tcPr>
            <w:tcW w:w="4152"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w:t>
            </w:r>
          </w:p>
        </w:tc>
        <w:tc>
          <w:tcPr>
            <w:tcW w:w="4258"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-1.25%</w:t>
            </w:r>
          </w:p>
        </w:tc>
      </w:tr>
      <w:tr w:rsidR="001B65FF">
        <w:trPr>
          <w:trHeight w:val="330"/>
          <w:jc w:val="center"/>
        </w:trPr>
        <w:tc>
          <w:tcPr>
            <w:tcW w:w="4152"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4258"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-1.5%</w:t>
            </w:r>
          </w:p>
        </w:tc>
      </w:tr>
    </w:tbl>
    <w:p w:rsidR="001B65FF" w:rsidRDefault="001B65FF">
      <w:pPr>
        <w:tabs>
          <w:tab w:val="left" w:pos="1080"/>
        </w:tabs>
        <w:spacing w:before="240"/>
        <w:ind w:left="1080"/>
        <w:contextualSpacing/>
        <w:jc w:val="both"/>
        <w:rPr>
          <w:rFonts w:ascii="Times New Roman" w:hAnsi="Times New Roman" w:cs="Times New Roman"/>
          <w:noProof/>
          <w:sz w:val="24"/>
          <w:lang w:eastAsia="en-GB"/>
        </w:rPr>
      </w:pPr>
    </w:p>
    <w:p w:rsidR="001B65FF" w:rsidRDefault="003E4EF4">
      <w:pPr>
        <w:numPr>
          <w:ilvl w:val="0"/>
          <w:numId w:val="150"/>
        </w:numPr>
        <w:tabs>
          <w:tab w:val="left" w:pos="1080"/>
        </w:tabs>
        <w:spacing w:before="240"/>
        <w:ind w:left="108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It assumes a current level of </w:t>
      </w:r>
      <w:r>
        <w:rPr>
          <w:rFonts w:ascii="Times New Roman" w:hAnsi="Times New Roman" w:cs="Times New Roman"/>
          <w:b/>
          <w:noProof/>
          <w:sz w:val="24"/>
          <w:lang w:eastAsia="en-GB"/>
        </w:rPr>
        <w:t>crime</w:t>
      </w:r>
      <w:r>
        <w:rPr>
          <w:rFonts w:ascii="Times New Roman" w:hAnsi="Times New Roman" w:cs="Times New Roman"/>
          <w:noProof/>
          <w:sz w:val="24"/>
          <w:lang w:eastAsia="en-GB"/>
        </w:rPr>
        <w:t xml:space="preserve"> of </w:t>
      </w:r>
      <w:r>
        <w:rPr>
          <w:rFonts w:ascii="Times New Roman" w:hAnsi="Times New Roman" w:cs="Times New Roman"/>
          <w:b/>
          <w:noProof/>
          <w:sz w:val="24"/>
          <w:lang w:eastAsia="en-GB"/>
        </w:rPr>
        <w:t>1.5% of EU GDP</w:t>
      </w:r>
      <w:r>
        <w:rPr>
          <w:rFonts w:ascii="Times New Roman" w:hAnsi="Times New Roman" w:cs="Times New Roman"/>
          <w:b/>
          <w:noProof/>
          <w:sz w:val="24"/>
          <w:vertAlign w:val="superscript"/>
          <w:lang w:eastAsia="en-GB"/>
        </w:rPr>
        <w:footnoteReference w:id="117"/>
      </w:r>
      <w:r>
        <w:rPr>
          <w:rFonts w:ascii="Times New Roman" w:hAnsi="Times New Roman" w:cs="Times New Roman"/>
          <w:noProof/>
          <w:sz w:val="24"/>
          <w:lang w:eastAsia="en-GB"/>
        </w:rPr>
        <w:t>, i.e. EUR 222 billion, based on estimates from the United Nations Office on Drugs and Crime</w:t>
      </w:r>
      <w:r>
        <w:rPr>
          <w:rFonts w:ascii="Times New Roman" w:hAnsi="Times New Roman" w:cs="Times New Roman"/>
          <w:noProof/>
          <w:sz w:val="24"/>
          <w:vertAlign w:val="superscript"/>
          <w:lang w:eastAsia="en-GB"/>
        </w:rPr>
        <w:footnoteReference w:id="118"/>
      </w:r>
      <w:r>
        <w:rPr>
          <w:rFonts w:ascii="Times New Roman" w:hAnsi="Times New Roman" w:cs="Times New Roman"/>
          <w:noProof/>
          <w:sz w:val="24"/>
          <w:lang w:eastAsia="en-GB"/>
        </w:rPr>
        <w:t xml:space="preserve">. </w:t>
      </w:r>
    </w:p>
    <w:p w:rsidR="001B65FF" w:rsidRDefault="003E4EF4">
      <w:pPr>
        <w:spacing w:after="0"/>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Limitations:</w:t>
      </w:r>
    </w:p>
    <w:p w:rsidR="001B65FF" w:rsidRDefault="003E4EF4">
      <w:pPr>
        <w:numPr>
          <w:ilvl w:val="0"/>
          <w:numId w:val="149"/>
        </w:numPr>
        <w:spacing w:after="0"/>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For the benefits derived from a reduction of crime, the assumption on the conversion of the qualitative range into percentages of decrease of crime was used for the sole purpose of </w:t>
      </w:r>
      <w:r>
        <w:rPr>
          <w:rFonts w:ascii="Times New Roman" w:hAnsi="Times New Roman" w:cs="Times New Roman"/>
          <w:b/>
          <w:noProof/>
          <w:sz w:val="24"/>
          <w:lang w:eastAsia="en-GB"/>
        </w:rPr>
        <w:t>comparing the options</w:t>
      </w:r>
      <w:r>
        <w:rPr>
          <w:rFonts w:ascii="Times New Roman" w:hAnsi="Times New Roman" w:cs="Times New Roman"/>
          <w:noProof/>
          <w:sz w:val="24"/>
          <w:lang w:eastAsia="en-GB"/>
        </w:rPr>
        <w:t xml:space="preserve">. Therefore, the total value of benefits derived from </w:t>
      </w:r>
      <w:r>
        <w:rPr>
          <w:rFonts w:ascii="Times New Roman" w:hAnsi="Times New Roman" w:cs="Times New Roman"/>
          <w:noProof/>
          <w:sz w:val="24"/>
          <w:lang w:eastAsia="en-GB"/>
        </w:rPr>
        <w:t xml:space="preserve">a reduction of crime for a given policy option must be interpreted in relation to the other options, rather than as an </w:t>
      </w:r>
      <w:r>
        <w:rPr>
          <w:rFonts w:ascii="Times New Roman" w:hAnsi="Times New Roman" w:cs="Times New Roman"/>
          <w:b/>
          <w:noProof/>
          <w:sz w:val="24"/>
          <w:lang w:eastAsia="en-GB"/>
        </w:rPr>
        <w:t>accurate estimate</w:t>
      </w:r>
      <w:r>
        <w:rPr>
          <w:rFonts w:ascii="Times New Roman" w:hAnsi="Times New Roman" w:cs="Times New Roman"/>
          <w:noProof/>
          <w:sz w:val="24"/>
          <w:lang w:eastAsia="en-GB"/>
        </w:rPr>
        <w:t xml:space="preserve"> of the actual reduction of crime that a given policy option would cause.     </w:t>
      </w:r>
    </w:p>
    <w:p w:rsidR="001B65FF" w:rsidRDefault="003E4EF4">
      <w:pPr>
        <w:numPr>
          <w:ilvl w:val="0"/>
          <w:numId w:val="149"/>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percentage for each policy option was the sum of the percentages for its policy measures. This could lead to an </w:t>
      </w:r>
      <w:r>
        <w:rPr>
          <w:rFonts w:ascii="Times New Roman" w:hAnsi="Times New Roman" w:cs="Times New Roman"/>
          <w:b/>
          <w:noProof/>
          <w:sz w:val="24"/>
          <w:lang w:eastAsia="en-GB"/>
        </w:rPr>
        <w:t>overestimation</w:t>
      </w:r>
      <w:r>
        <w:rPr>
          <w:rFonts w:ascii="Times New Roman" w:hAnsi="Times New Roman" w:cs="Times New Roman"/>
          <w:noProof/>
          <w:sz w:val="24"/>
          <w:lang w:eastAsia="en-GB"/>
        </w:rPr>
        <w:t xml:space="preserve"> of the benefits, since some overlaps on the benefits can occur when developing/transposing legislation combining two or more </w:t>
      </w:r>
      <w:r>
        <w:rPr>
          <w:rFonts w:ascii="Times New Roman" w:hAnsi="Times New Roman" w:cs="Times New Roman"/>
          <w:noProof/>
          <w:sz w:val="24"/>
          <w:lang w:eastAsia="en-GB"/>
        </w:rPr>
        <w:t>legislative and/or non-legislative measures.</w:t>
      </w:r>
    </w:p>
    <w:p w:rsidR="001B65FF" w:rsidRDefault="003E4EF4">
      <w:pPr>
        <w:numPr>
          <w:ilvl w:val="0"/>
          <w:numId w:val="149"/>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assumptions have a certain degree of approximation and subjectivity. To mitigate this, the </w:t>
      </w:r>
      <w:r>
        <w:rPr>
          <w:rFonts w:ascii="Times New Roman" w:hAnsi="Times New Roman" w:cs="Times New Roman"/>
          <w:b/>
          <w:noProof/>
          <w:sz w:val="24"/>
          <w:lang w:eastAsia="en-GB"/>
        </w:rPr>
        <w:t>methodology, the model and the input data</w:t>
      </w:r>
      <w:r>
        <w:rPr>
          <w:rFonts w:ascii="Times New Roman" w:hAnsi="Times New Roman" w:cs="Times New Roman"/>
          <w:noProof/>
          <w:sz w:val="24"/>
          <w:lang w:eastAsia="en-GB"/>
        </w:rPr>
        <w:t xml:space="preserve"> were </w:t>
      </w:r>
      <w:r>
        <w:rPr>
          <w:rFonts w:ascii="Times New Roman" w:hAnsi="Times New Roman" w:cs="Times New Roman"/>
          <w:b/>
          <w:noProof/>
          <w:sz w:val="24"/>
          <w:lang w:eastAsia="en-GB"/>
        </w:rPr>
        <w:t>discussed and validated with external experts and reviewers</w:t>
      </w:r>
      <w:r>
        <w:rPr>
          <w:rFonts w:ascii="Times New Roman" w:hAnsi="Times New Roman" w:cs="Times New Roman"/>
          <w:noProof/>
          <w:sz w:val="24"/>
          <w:lang w:eastAsia="en-GB"/>
        </w:rPr>
        <w:t xml:space="preserve"> in several dedicated meetings. </w:t>
      </w:r>
    </w:p>
    <w:p w:rsidR="001B65FF" w:rsidRDefault="001B65FF">
      <w:pPr>
        <w:spacing w:before="240"/>
        <w:contextualSpacing/>
        <w:jc w:val="both"/>
        <w:rPr>
          <w:rFonts w:ascii="Times New Roman" w:hAnsi="Times New Roman" w:cs="Times New Roman"/>
          <w:noProof/>
          <w:sz w:val="24"/>
          <w:lang w:eastAsia="en-GB"/>
        </w:rPr>
      </w:pPr>
    </w:p>
    <w:p w:rsidR="001B65FF" w:rsidRDefault="003E4EF4">
      <w:pPr>
        <w:spacing w:before="240" w:after="0"/>
        <w:contextualSpacing/>
        <w:jc w:val="both"/>
        <w:rPr>
          <w:rFonts w:ascii="Times New Roman" w:hAnsi="Times New Roman" w:cs="Times New Roman"/>
          <w:i/>
          <w:noProof/>
          <w:sz w:val="24"/>
          <w:lang w:eastAsia="en-GB"/>
        </w:rPr>
      </w:pPr>
      <w:r>
        <w:rPr>
          <w:rFonts w:ascii="Times New Roman" w:hAnsi="Times New Roman" w:cs="Times New Roman"/>
          <w:noProof/>
          <w:sz w:val="24"/>
          <w:lang w:eastAsia="en-GB"/>
        </w:rPr>
        <w:t xml:space="preserve">The tables below summarise the benefits for the policy options: </w:t>
      </w:r>
    </w:p>
    <w:p w:rsidR="001B65FF" w:rsidRDefault="003E4EF4">
      <w:pPr>
        <w:keepNext/>
        <w:spacing w:before="240" w:after="120"/>
        <w:jc w:val="center"/>
        <w:rPr>
          <w:rFonts w:ascii="Times New Roman" w:hAnsi="Times New Roman" w:cs="Times New Roman"/>
          <w:i/>
          <w:noProof/>
          <w:sz w:val="24"/>
          <w:lang w:eastAsia="en-GB"/>
        </w:rPr>
      </w:pPr>
      <w:r>
        <w:rPr>
          <w:rFonts w:ascii="Times New Roman" w:hAnsi="Times New Roman" w:cs="Times New Roman"/>
          <w:i/>
          <w:noProof/>
          <w:sz w:val="24"/>
          <w:lang w:eastAsia="en-GB"/>
        </w:rPr>
        <w:t xml:space="preserve">Table 10: </w:t>
      </w:r>
      <w:r>
        <w:rPr>
          <w:rFonts w:ascii="Times New Roman" w:hAnsi="Times New Roman" w:cs="Times New Roman"/>
          <w:i/>
          <w:noProof/>
          <w:sz w:val="24"/>
          <w:szCs w:val="24"/>
        </w:rPr>
        <w:t xml:space="preserve">estimated benefits for the policy options </w:t>
      </w:r>
      <w:r>
        <w:rPr>
          <w:rFonts w:ascii="Times New Roman" w:hAnsi="Times New Roman" w:cs="Times New Roman"/>
          <w:i/>
          <w:noProof/>
          <w:sz w:val="24"/>
          <w:lang w:eastAsia="en-GB"/>
        </w:rPr>
        <w:t>(EUR billion)</w:t>
      </w:r>
    </w:p>
    <w:tbl>
      <w:tblPr>
        <w:tblW w:w="9448" w:type="dxa"/>
        <w:jc w:val="center"/>
        <w:tblInd w:w="-235" w:type="dxa"/>
        <w:tblLook w:val="04A0" w:firstRow="1" w:lastRow="0" w:firstColumn="1" w:lastColumn="0" w:noHBand="0" w:noVBand="1"/>
      </w:tblPr>
      <w:tblGrid>
        <w:gridCol w:w="2448"/>
        <w:gridCol w:w="2120"/>
        <w:gridCol w:w="2680"/>
        <w:gridCol w:w="2200"/>
      </w:tblGrid>
      <w:tr w:rsidR="001B65FF">
        <w:trPr>
          <w:trHeight w:val="791"/>
          <w:jc w:val="center"/>
        </w:trPr>
        <w:tc>
          <w:tcPr>
            <w:tcW w:w="2448" w:type="dxa"/>
            <w:tcBorders>
              <w:top w:val="single" w:sz="8" w:space="0" w:color="auto"/>
              <w:left w:val="single" w:sz="8" w:space="0" w:color="auto"/>
              <w:bottom w:val="single" w:sz="8" w:space="0" w:color="auto"/>
              <w:right w:val="nil"/>
            </w:tcBorders>
            <w:shd w:val="clear" w:color="000000" w:fill="F2F2F2"/>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POLICY OPTIONS</w:t>
            </w:r>
          </w:p>
        </w:tc>
        <w:tc>
          <w:tcPr>
            <w:tcW w:w="21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Qualitative score for social impact</w:t>
            </w:r>
          </w:p>
        </w:tc>
        <w:tc>
          <w:tcPr>
            <w:tcW w:w="2680" w:type="dxa"/>
            <w:tcBorders>
              <w:top w:val="single" w:sz="8" w:space="0" w:color="auto"/>
              <w:left w:val="nil"/>
              <w:bottom w:val="single" w:sz="8" w:space="0" w:color="auto"/>
              <w:right w:val="single" w:sz="8" w:space="0" w:color="auto"/>
            </w:tcBorders>
            <w:shd w:val="clear" w:color="000000" w:fill="F2F2F2"/>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Estimated decrease of crime</w:t>
            </w:r>
          </w:p>
        </w:tc>
        <w:tc>
          <w:tcPr>
            <w:tcW w:w="2200" w:type="dxa"/>
            <w:tcBorders>
              <w:top w:val="single" w:sz="8" w:space="0" w:color="auto"/>
              <w:left w:val="nil"/>
              <w:bottom w:val="single" w:sz="8" w:space="0" w:color="auto"/>
              <w:right w:val="single" w:sz="8" w:space="0" w:color="auto"/>
            </w:tcBorders>
            <w:shd w:val="clear" w:color="000000" w:fill="F2F2F2"/>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Benefits fro</w:t>
            </w:r>
            <w:r>
              <w:rPr>
                <w:rFonts w:ascii="Times New Roman" w:eastAsia="Times New Roman" w:hAnsi="Times New Roman" w:cs="Times New Roman"/>
                <w:b/>
                <w:bCs/>
                <w:noProof/>
                <w:color w:val="000000"/>
                <w:sz w:val="24"/>
                <w:szCs w:val="24"/>
                <w:lang w:eastAsia="en-GB"/>
              </w:rPr>
              <w:t>m reduction of crime</w:t>
            </w:r>
          </w:p>
        </w:tc>
      </w:tr>
      <w:tr w:rsidR="001B65FF">
        <w:trPr>
          <w:trHeight w:val="400"/>
          <w:jc w:val="center"/>
        </w:trPr>
        <w:tc>
          <w:tcPr>
            <w:tcW w:w="2448"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O</w:t>
            </w:r>
          </w:p>
        </w:tc>
        <w:tc>
          <w:tcPr>
            <w:tcW w:w="2120" w:type="dxa"/>
            <w:tcBorders>
              <w:top w:val="nil"/>
              <w:left w:val="nil"/>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2680"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0.00%</w:t>
            </w:r>
          </w:p>
        </w:tc>
        <w:tc>
          <w:tcPr>
            <w:tcW w:w="2200" w:type="dxa"/>
            <w:tcBorders>
              <w:top w:val="nil"/>
              <w:left w:val="nil"/>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0</w:t>
            </w:r>
          </w:p>
        </w:tc>
      </w:tr>
      <w:tr w:rsidR="001B65FF">
        <w:trPr>
          <w:trHeight w:val="400"/>
          <w:jc w:val="center"/>
        </w:trPr>
        <w:tc>
          <w:tcPr>
            <w:tcW w:w="2448"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 (measure 1 to 2)</w:t>
            </w:r>
          </w:p>
        </w:tc>
        <w:tc>
          <w:tcPr>
            <w:tcW w:w="2120" w:type="dxa"/>
            <w:tcBorders>
              <w:top w:val="nil"/>
              <w:left w:val="nil"/>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w:t>
            </w:r>
          </w:p>
        </w:tc>
        <w:tc>
          <w:tcPr>
            <w:tcW w:w="2680"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-0.25%</w:t>
            </w:r>
          </w:p>
        </w:tc>
        <w:tc>
          <w:tcPr>
            <w:tcW w:w="2200" w:type="dxa"/>
            <w:tcBorders>
              <w:top w:val="nil"/>
              <w:left w:val="nil"/>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-0.555</w:t>
            </w:r>
          </w:p>
        </w:tc>
      </w:tr>
      <w:tr w:rsidR="001B65FF">
        <w:trPr>
          <w:trHeight w:val="400"/>
          <w:jc w:val="center"/>
        </w:trPr>
        <w:tc>
          <w:tcPr>
            <w:tcW w:w="2448"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B (1 to 4)</w:t>
            </w:r>
          </w:p>
        </w:tc>
        <w:tc>
          <w:tcPr>
            <w:tcW w:w="2120" w:type="dxa"/>
            <w:tcBorders>
              <w:top w:val="nil"/>
              <w:left w:val="nil"/>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-1</w:t>
            </w:r>
          </w:p>
        </w:tc>
        <w:tc>
          <w:tcPr>
            <w:tcW w:w="2680"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-0.50%</w:t>
            </w:r>
          </w:p>
        </w:tc>
        <w:tc>
          <w:tcPr>
            <w:tcW w:w="2200" w:type="dxa"/>
            <w:tcBorders>
              <w:top w:val="nil"/>
              <w:left w:val="nil"/>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-1.11</w:t>
            </w:r>
          </w:p>
        </w:tc>
      </w:tr>
      <w:tr w:rsidR="001B65FF">
        <w:trPr>
          <w:trHeight w:val="400"/>
          <w:jc w:val="center"/>
        </w:trPr>
        <w:tc>
          <w:tcPr>
            <w:tcW w:w="2448"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 (1 to 6)</w:t>
            </w:r>
          </w:p>
        </w:tc>
        <w:tc>
          <w:tcPr>
            <w:tcW w:w="2120" w:type="dxa"/>
            <w:tcBorders>
              <w:top w:val="nil"/>
              <w:left w:val="nil"/>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2.5</w:t>
            </w:r>
          </w:p>
        </w:tc>
        <w:tc>
          <w:tcPr>
            <w:tcW w:w="2680"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-1.38%</w:t>
            </w:r>
          </w:p>
        </w:tc>
        <w:tc>
          <w:tcPr>
            <w:tcW w:w="2200" w:type="dxa"/>
            <w:tcBorders>
              <w:top w:val="nil"/>
              <w:left w:val="nil"/>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-3.05</w:t>
            </w:r>
          </w:p>
        </w:tc>
      </w:tr>
      <w:tr w:rsidR="001B65FF">
        <w:trPr>
          <w:trHeight w:val="400"/>
          <w:jc w:val="center"/>
        </w:trPr>
        <w:tc>
          <w:tcPr>
            <w:tcW w:w="2448"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D (1 to 7)</w:t>
            </w:r>
          </w:p>
        </w:tc>
        <w:tc>
          <w:tcPr>
            <w:tcW w:w="2120" w:type="dxa"/>
            <w:tcBorders>
              <w:top w:val="nil"/>
              <w:left w:val="nil"/>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3</w:t>
            </w:r>
          </w:p>
        </w:tc>
        <w:tc>
          <w:tcPr>
            <w:tcW w:w="2680"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-1.50%</w:t>
            </w:r>
          </w:p>
        </w:tc>
        <w:tc>
          <w:tcPr>
            <w:tcW w:w="2200" w:type="dxa"/>
            <w:tcBorders>
              <w:top w:val="nil"/>
              <w:left w:val="nil"/>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-3.33</w:t>
            </w:r>
          </w:p>
        </w:tc>
      </w:tr>
    </w:tbl>
    <w:p w:rsidR="001B65FF" w:rsidRDefault="003E4EF4">
      <w:p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See </w:t>
      </w:r>
      <w:r>
        <w:rPr>
          <w:rFonts w:ascii="Times New Roman" w:hAnsi="Times New Roman" w:cs="Times New Roman"/>
          <w:b/>
          <w:noProof/>
          <w:sz w:val="24"/>
          <w:lang w:eastAsia="en-GB"/>
        </w:rPr>
        <w:t>Annex 4</w:t>
      </w:r>
      <w:r>
        <w:rPr>
          <w:rFonts w:ascii="Times New Roman" w:hAnsi="Times New Roman" w:cs="Times New Roman"/>
          <w:noProof/>
          <w:sz w:val="24"/>
          <w:lang w:eastAsia="en-GB"/>
        </w:rPr>
        <w:t xml:space="preserve"> for further details on the model, the assumptions and the calculations. </w:t>
      </w:r>
    </w:p>
    <w:p w:rsidR="001B65FF" w:rsidRDefault="003E4EF4">
      <w:pPr>
        <w:keepNext/>
        <w:numPr>
          <w:ilvl w:val="0"/>
          <w:numId w:val="3"/>
        </w:numPr>
        <w:spacing w:before="240" w:after="240" w:line="240" w:lineRule="auto"/>
        <w:jc w:val="both"/>
        <w:outlineLvl w:val="0"/>
        <w:rPr>
          <w:rFonts w:ascii="Times New Roman" w:eastAsia="Times New Roman" w:hAnsi="Times New Roman" w:cs="Times New Roman"/>
          <w:b/>
          <w:smallCaps/>
          <w:noProof/>
          <w:sz w:val="24"/>
          <w:szCs w:val="20"/>
        </w:rPr>
      </w:pPr>
      <w:bookmarkStart w:id="1539" w:name="_Toc499019170"/>
      <w:bookmarkStart w:id="1540" w:name="_Toc499020201"/>
      <w:bookmarkStart w:id="1541" w:name="_Toc499020467"/>
      <w:bookmarkStart w:id="1542" w:name="_Toc499020617"/>
      <w:bookmarkStart w:id="1543" w:name="_Toc499022234"/>
      <w:bookmarkStart w:id="1544" w:name="_Toc499022512"/>
      <w:bookmarkStart w:id="1545" w:name="_Toc499028467"/>
      <w:bookmarkStart w:id="1546" w:name="_Toc499029845"/>
      <w:bookmarkStart w:id="1547" w:name="_Toc499030401"/>
      <w:bookmarkStart w:id="1548" w:name="_Toc499036760"/>
      <w:bookmarkStart w:id="1549" w:name="_Toc499039236"/>
      <w:bookmarkStart w:id="1550" w:name="_Toc499039621"/>
      <w:bookmarkStart w:id="1551" w:name="_Toc499045059"/>
      <w:bookmarkStart w:id="1552" w:name="_Toc499048084"/>
      <w:bookmarkStart w:id="1553" w:name="_Toc499050726"/>
      <w:bookmarkStart w:id="1554" w:name="_Toc499051359"/>
      <w:bookmarkStart w:id="1555" w:name="_Toc499053316"/>
      <w:bookmarkStart w:id="1556" w:name="_Toc499128411"/>
      <w:bookmarkStart w:id="1557" w:name="_Toc499129525"/>
      <w:bookmarkStart w:id="1558" w:name="_Toc499130036"/>
      <w:bookmarkStart w:id="1559" w:name="_Toc499134828"/>
      <w:bookmarkStart w:id="1560" w:name="_Toc499138221"/>
      <w:bookmarkStart w:id="1561" w:name="_Toc499138360"/>
      <w:bookmarkStart w:id="1562" w:name="_Toc499138622"/>
      <w:bookmarkStart w:id="1563" w:name="_Toc499140966"/>
      <w:bookmarkStart w:id="1564" w:name="_Toc499141254"/>
      <w:bookmarkStart w:id="1565" w:name="_Toc499142885"/>
      <w:bookmarkStart w:id="1566" w:name="_Toc499143330"/>
      <w:bookmarkStart w:id="1567" w:name="_Toc497927294"/>
      <w:bookmarkStart w:id="1568" w:name="_Toc497927910"/>
      <w:bookmarkStart w:id="1569" w:name="_Toc497928176"/>
      <w:bookmarkStart w:id="1570" w:name="_Toc498509695"/>
      <w:bookmarkStart w:id="1571" w:name="_Toc498521250"/>
      <w:bookmarkStart w:id="1572" w:name="_Toc498701977"/>
      <w:bookmarkStart w:id="1573" w:name="_Toc498704709"/>
      <w:bookmarkStart w:id="1574" w:name="_Toc499020468"/>
      <w:bookmarkStart w:id="1575" w:name="_Toc499030402"/>
      <w:bookmarkStart w:id="1576" w:name="_Toc499044944"/>
      <w:bookmarkStart w:id="1577" w:name="_Toc499051360"/>
      <w:bookmarkStart w:id="1578" w:name="_Toc499133316"/>
      <w:bookmarkStart w:id="1579" w:name="_Toc499142886"/>
      <w:bookmarkStart w:id="1580" w:name="_Toc510952882"/>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r>
        <w:rPr>
          <w:rFonts w:ascii="Times New Roman" w:eastAsia="Times New Roman" w:hAnsi="Times New Roman" w:cs="Times New Roman"/>
          <w:b/>
          <w:smallCaps/>
          <w:noProof/>
          <w:sz w:val="24"/>
          <w:szCs w:val="20"/>
        </w:rPr>
        <w:t xml:space="preserve">How do the </w:t>
      </w:r>
      <w:r>
        <w:rPr>
          <w:rFonts w:ascii="Times New Roman" w:eastAsia="Times New Roman" w:hAnsi="Times New Roman" w:cs="Times New Roman"/>
          <w:b/>
          <w:smallCaps/>
          <w:noProof/>
          <w:sz w:val="24"/>
          <w:szCs w:val="20"/>
        </w:rPr>
        <w:t>options compare?</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rsidR="001B65FF" w:rsidRDefault="003E4EF4">
      <w:pPr>
        <w:keepNext/>
        <w:numPr>
          <w:ilvl w:val="1"/>
          <w:numId w:val="3"/>
        </w:numPr>
        <w:tabs>
          <w:tab w:val="clear" w:pos="1200"/>
          <w:tab w:val="num" w:pos="567"/>
        </w:tabs>
        <w:spacing w:after="240" w:line="240" w:lineRule="auto"/>
        <w:ind w:left="709"/>
        <w:jc w:val="both"/>
        <w:outlineLvl w:val="1"/>
        <w:rPr>
          <w:rFonts w:ascii="Times New Roman" w:eastAsia="Times New Roman" w:hAnsi="Times New Roman"/>
          <w:noProof/>
          <w:sz w:val="24"/>
        </w:rPr>
      </w:pPr>
      <w:bookmarkStart w:id="1581" w:name="_Toc499133317"/>
      <w:bookmarkStart w:id="1582" w:name="_Toc499142887"/>
      <w:bookmarkStart w:id="1583" w:name="_Toc510952883"/>
      <w:r>
        <w:rPr>
          <w:rFonts w:ascii="Times New Roman" w:eastAsia="Times New Roman" w:hAnsi="Times New Roman"/>
          <w:b/>
          <w:noProof/>
          <w:sz w:val="24"/>
        </w:rPr>
        <w:t>Qualitative comparison</w:t>
      </w:r>
      <w:bookmarkEnd w:id="1581"/>
      <w:bookmarkEnd w:id="1582"/>
      <w:bookmarkEnd w:id="1583"/>
    </w:p>
    <w:p w:rsidR="001B65FF" w:rsidRDefault="003E4EF4">
      <w:pPr>
        <w:pStyle w:val="Text2"/>
        <w:spacing w:line="276" w:lineRule="auto"/>
        <w:ind w:left="0"/>
        <w:rPr>
          <w:noProof/>
        </w:rPr>
      </w:pPr>
      <w:r>
        <w:rPr>
          <w:noProof/>
        </w:rPr>
        <w:t>The options were qualitatively compared in two ways: in relation to a set of assessment criteria and in relation to the extent that they achieve the specific objectives.</w:t>
      </w:r>
    </w:p>
    <w:p w:rsidR="001B65FF" w:rsidRDefault="003E4EF4">
      <w:pPr>
        <w:pStyle w:val="Text2"/>
        <w:spacing w:after="0"/>
        <w:ind w:left="0"/>
        <w:rPr>
          <w:noProof/>
          <w:u w:val="single"/>
        </w:rPr>
      </w:pPr>
      <w:r>
        <w:rPr>
          <w:noProof/>
          <w:u w:val="single"/>
        </w:rPr>
        <w:t>Comparison through assessment criteria</w:t>
      </w:r>
    </w:p>
    <w:p w:rsidR="001B65FF" w:rsidRDefault="003E4EF4">
      <w:pPr>
        <w:pStyle w:val="Text2"/>
        <w:spacing w:before="240"/>
        <w:ind w:left="0"/>
        <w:rPr>
          <w:i/>
          <w:noProof/>
        </w:rPr>
      </w:pPr>
      <w:r>
        <w:rPr>
          <w:noProof/>
        </w:rPr>
        <w:t xml:space="preserve">The </w:t>
      </w:r>
      <w:r>
        <w:rPr>
          <w:noProof/>
        </w:rPr>
        <w:t>following criteria were used to assess the impacts of each policy option:</w:t>
      </w: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09"/>
        <w:gridCol w:w="7513"/>
      </w:tblGrid>
      <w:tr w:rsidR="001B65FF" w:rsidTr="001B65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shd w:val="clear" w:color="auto" w:fill="FFFFFF" w:themeFill="background1"/>
            <w:hideMark/>
          </w:tcPr>
          <w:p w:rsidR="001B65FF" w:rsidRDefault="003E4EF4">
            <w:pPr>
              <w:pStyle w:val="Boxtext"/>
              <w:spacing w:before="0"/>
              <w:jc w:val="center"/>
              <w:rPr>
                <w:rFonts w:ascii="Times New Roman" w:hAnsi="Times New Roman" w:cs="Times New Roman"/>
                <w:noProof/>
                <w:color w:val="auto"/>
                <w:sz w:val="22"/>
              </w:rPr>
            </w:pPr>
            <w:r>
              <w:rPr>
                <w:rFonts w:ascii="Times New Roman" w:hAnsi="Times New Roman" w:cs="Times New Roman"/>
                <w:noProof/>
                <w:color w:val="auto"/>
                <w:sz w:val="22"/>
              </w:rPr>
              <w:t>Criteria</w:t>
            </w:r>
          </w:p>
        </w:tc>
        <w:tc>
          <w:tcPr>
            <w:tcW w:w="7513" w:type="dxa"/>
            <w:shd w:val="clear" w:color="auto" w:fill="FFFFFF" w:themeFill="background1"/>
            <w:hideMark/>
          </w:tcPr>
          <w:p w:rsidR="001B65FF" w:rsidRDefault="003E4EF4">
            <w:pPr>
              <w:pStyle w:val="Box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rPr>
            </w:pPr>
            <w:r>
              <w:rPr>
                <w:rFonts w:ascii="Times New Roman" w:hAnsi="Times New Roman" w:cs="Times New Roman"/>
                <w:noProof/>
                <w:color w:val="auto"/>
                <w:sz w:val="22"/>
              </w:rPr>
              <w:t>Rationale for the assessment</w:t>
            </w:r>
          </w:p>
        </w:tc>
      </w:tr>
      <w:tr w:rsidR="001B65FF" w:rsidTr="001B65FF">
        <w:trPr>
          <w:cnfStyle w:val="000000100000" w:firstRow="0" w:lastRow="0" w:firstColumn="0" w:lastColumn="0" w:oddVBand="0" w:evenVBand="0" w:oddHBand="1" w:evenHBand="0" w:firstRowFirstColumn="0" w:firstRowLastColumn="0" w:lastRowFirstColumn="0" w:lastRowLastColumn="0"/>
          <w:trHeight w:val="1688"/>
        </w:trPr>
        <w:tc>
          <w:tcPr>
            <w:cnfStyle w:val="001000000000" w:firstRow="0" w:lastRow="0" w:firstColumn="1" w:lastColumn="0" w:oddVBand="0" w:evenVBand="0" w:oddHBand="0" w:evenHBand="0" w:firstRowFirstColumn="0" w:firstRowLastColumn="0" w:lastRowFirstColumn="0" w:lastRowLastColumn="0"/>
            <w:tcW w:w="1809" w:type="dxa"/>
            <w:hideMark/>
          </w:tcPr>
          <w:p w:rsidR="001B65FF" w:rsidRDefault="003E4EF4">
            <w:pPr>
              <w:pStyle w:val="Boxtext"/>
              <w:spacing w:after="0"/>
              <w:jc w:val="left"/>
              <w:rPr>
                <w:rFonts w:ascii="Times New Roman" w:hAnsi="Times New Roman" w:cs="Times New Roman"/>
                <w:noProof/>
                <w:color w:val="auto"/>
                <w:sz w:val="22"/>
                <w:szCs w:val="22"/>
              </w:rPr>
            </w:pPr>
            <w:r>
              <w:rPr>
                <w:rFonts w:ascii="Times New Roman" w:hAnsi="Times New Roman"/>
                <w:noProof/>
                <w:color w:val="auto"/>
                <w:sz w:val="22"/>
              </w:rPr>
              <w:t>Effectiveness/</w:t>
            </w:r>
          </w:p>
          <w:p w:rsidR="001B65FF" w:rsidRDefault="003E4EF4">
            <w:pPr>
              <w:pStyle w:val="Boxtext"/>
              <w:spacing w:after="0"/>
              <w:jc w:val="left"/>
              <w:rPr>
                <w:rFonts w:ascii="Times New Roman" w:hAnsi="Times New Roman"/>
                <w:noProof/>
                <w:color w:val="auto"/>
                <w:sz w:val="22"/>
              </w:rPr>
            </w:pPr>
            <w:r>
              <w:rPr>
                <w:rFonts w:ascii="Times New Roman" w:hAnsi="Times New Roman"/>
                <w:noProof/>
                <w:color w:val="auto"/>
                <w:sz w:val="22"/>
              </w:rPr>
              <w:t>social impact</w:t>
            </w:r>
          </w:p>
        </w:tc>
        <w:tc>
          <w:tcPr>
            <w:tcW w:w="7513" w:type="dxa"/>
            <w:shd w:val="clear" w:color="auto" w:fill="FFFFFF" w:themeFill="background1"/>
            <w:hideMark/>
          </w:tcPr>
          <w:p w:rsidR="001B65FF" w:rsidRDefault="003E4EF4">
            <w:pPr>
              <w:pStyle w:val="Bullettables"/>
              <w:numPr>
                <w:ilvl w:val="0"/>
                <w:numId w:val="44"/>
              </w:numP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Enhance security through capacity to investigate, prosecute, sanction and prevent crime:</w:t>
            </w:r>
          </w:p>
          <w:p w:rsidR="001B65FF" w:rsidRDefault="003E4EF4">
            <w:pPr>
              <w:pStyle w:val="Bullettables"/>
              <w:numPr>
                <w:ilvl w:val="1"/>
                <w:numId w:val="44"/>
              </w:numPr>
              <w:spacing w:before="0"/>
              <w:ind w:left="1026"/>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 xml:space="preserve">Reduced delays in access </w:t>
            </w:r>
            <w:r>
              <w:rPr>
                <w:rFonts w:ascii="Times New Roman" w:hAnsi="Times New Roman"/>
                <w:noProof/>
                <w:sz w:val="22"/>
                <w:lang w:val="en-GB"/>
              </w:rPr>
              <w:t>to cross-border digital evidence</w:t>
            </w:r>
          </w:p>
          <w:p w:rsidR="001B65FF" w:rsidRDefault="003E4EF4">
            <w:pPr>
              <w:pStyle w:val="Bullettables"/>
              <w:numPr>
                <w:ilvl w:val="1"/>
                <w:numId w:val="44"/>
              </w:numPr>
              <w:spacing w:before="0"/>
              <w:ind w:left="1026"/>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Ensured cross-border access to digital evidence where it is currently missing</w:t>
            </w:r>
          </w:p>
          <w:p w:rsidR="001B65FF" w:rsidRDefault="003E4EF4">
            <w:pPr>
              <w:pStyle w:val="Bullettables"/>
              <w:numPr>
                <w:ilvl w:val="1"/>
                <w:numId w:val="44"/>
              </w:numPr>
              <w:spacing w:before="0"/>
              <w:ind w:left="1026"/>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Improved legal certainty, transparency and accountability</w:t>
            </w:r>
          </w:p>
          <w:p w:rsidR="001B65FF" w:rsidRDefault="003E4EF4">
            <w:pPr>
              <w:pStyle w:val="Bullettables"/>
              <w:numPr>
                <w:ilvl w:val="1"/>
                <w:numId w:val="44"/>
              </w:numPr>
              <w:spacing w:before="0"/>
              <w:ind w:left="1026"/>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Possible reduction of crime</w:t>
            </w:r>
          </w:p>
        </w:tc>
      </w:tr>
      <w:tr w:rsidR="001B65FF" w:rsidTr="001B65FF">
        <w:trPr>
          <w:trHeight w:val="1262"/>
        </w:trPr>
        <w:tc>
          <w:tcPr>
            <w:cnfStyle w:val="001000000000" w:firstRow="0" w:lastRow="0" w:firstColumn="1" w:lastColumn="0" w:oddVBand="0" w:evenVBand="0" w:oddHBand="0" w:evenHBand="0" w:firstRowFirstColumn="0" w:firstRowLastColumn="0" w:lastRowFirstColumn="0" w:lastRowLastColumn="0"/>
            <w:tcW w:w="1809" w:type="dxa"/>
            <w:hideMark/>
          </w:tcPr>
          <w:p w:rsidR="001B65FF" w:rsidRDefault="003E4EF4">
            <w:pPr>
              <w:pStyle w:val="Boxtext"/>
              <w:spacing w:after="0"/>
              <w:jc w:val="left"/>
              <w:rPr>
                <w:rFonts w:ascii="Times New Roman" w:hAnsi="Times New Roman"/>
                <w:noProof/>
                <w:color w:val="auto"/>
                <w:sz w:val="22"/>
              </w:rPr>
            </w:pPr>
            <w:r>
              <w:rPr>
                <w:rFonts w:ascii="Times New Roman" w:hAnsi="Times New Roman"/>
                <w:noProof/>
                <w:color w:val="auto"/>
                <w:sz w:val="22"/>
              </w:rPr>
              <w:t>Efficiency</w:t>
            </w:r>
          </w:p>
        </w:tc>
        <w:tc>
          <w:tcPr>
            <w:tcW w:w="7513" w:type="dxa"/>
            <w:shd w:val="clear" w:color="auto" w:fill="FFFFFF" w:themeFill="background1"/>
            <w:hideMark/>
          </w:tcPr>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Administrative costs for Law Enforcement and Ju</w:t>
            </w:r>
            <w:r>
              <w:rPr>
                <w:rFonts w:ascii="Times New Roman" w:hAnsi="Times New Roman"/>
                <w:noProof/>
                <w:sz w:val="22"/>
                <w:lang w:val="en-GB"/>
              </w:rPr>
              <w:t>diciary;</w:t>
            </w:r>
          </w:p>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A</w:t>
            </w:r>
            <w:r>
              <w:rPr>
                <w:rFonts w:ascii="Times New Roman" w:eastAsia="Calibri" w:hAnsi="Times New Roman"/>
                <w:noProof/>
                <w:sz w:val="22"/>
                <w:lang w:val="en-GB"/>
              </w:rPr>
              <w:t xml:space="preserve">dministrative and compliance costs for </w:t>
            </w:r>
            <w:r>
              <w:rPr>
                <w:rFonts w:ascii="Times New Roman" w:hAnsi="Times New Roman"/>
                <w:noProof/>
                <w:sz w:val="22"/>
                <w:lang w:val="en-GB"/>
              </w:rPr>
              <w:t>service providers, including SMEs</w:t>
            </w:r>
          </w:p>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Regulatory burdens on business</w:t>
            </w:r>
          </w:p>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Cooperation between public institutions and private sector</w:t>
            </w:r>
          </w:p>
        </w:tc>
      </w:tr>
      <w:tr w:rsidR="001B65FF" w:rsidTr="001B65FF">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809" w:type="dxa"/>
          </w:tcPr>
          <w:p w:rsidR="001B65FF" w:rsidRDefault="003E4EF4">
            <w:pPr>
              <w:pStyle w:val="Boxtext"/>
              <w:spacing w:after="0"/>
              <w:jc w:val="left"/>
              <w:rPr>
                <w:rFonts w:ascii="Times New Roman" w:hAnsi="Times New Roman"/>
                <w:noProof/>
                <w:color w:val="auto"/>
                <w:sz w:val="22"/>
              </w:rPr>
            </w:pPr>
            <w:r>
              <w:rPr>
                <w:rFonts w:ascii="Times New Roman" w:hAnsi="Times New Roman"/>
                <w:noProof/>
                <w:color w:val="auto"/>
                <w:sz w:val="22"/>
              </w:rPr>
              <w:t>Competitiveness</w:t>
            </w:r>
          </w:p>
        </w:tc>
        <w:tc>
          <w:tcPr>
            <w:tcW w:w="7513" w:type="dxa"/>
            <w:shd w:val="clear" w:color="auto" w:fill="FFFFFF" w:themeFill="background1"/>
          </w:tcPr>
          <w:p w:rsidR="001B65FF" w:rsidRDefault="003E4EF4">
            <w:pPr>
              <w:pStyle w:val="Bullettables"/>
              <w:numPr>
                <w:ilvl w:val="0"/>
                <w:numId w:val="44"/>
              </w:numP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 xml:space="preserve">Effect on business models chosen by service providers, in </w:t>
            </w:r>
            <w:r>
              <w:rPr>
                <w:rFonts w:ascii="Times New Roman" w:hAnsi="Times New Roman"/>
                <w:noProof/>
                <w:sz w:val="22"/>
                <w:lang w:val="en-GB"/>
              </w:rPr>
              <w:t>particular where data location and access to this data is an important factor for customers</w:t>
            </w:r>
          </w:p>
        </w:tc>
      </w:tr>
      <w:tr w:rsidR="001B65FF" w:rsidTr="001B65FF">
        <w:trPr>
          <w:trHeight w:val="2043"/>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tcBorders>
            <w:hideMark/>
          </w:tcPr>
          <w:p w:rsidR="001B65FF" w:rsidRDefault="003E4EF4">
            <w:pPr>
              <w:pStyle w:val="Boxtext"/>
              <w:spacing w:after="0"/>
              <w:jc w:val="left"/>
              <w:rPr>
                <w:rFonts w:ascii="Times New Roman" w:hAnsi="Times New Roman"/>
                <w:noProof/>
                <w:color w:val="auto"/>
                <w:sz w:val="22"/>
              </w:rPr>
            </w:pPr>
            <w:r>
              <w:rPr>
                <w:rFonts w:ascii="Times New Roman" w:hAnsi="Times New Roman"/>
                <w:noProof/>
                <w:color w:val="auto"/>
                <w:sz w:val="22"/>
              </w:rPr>
              <w:t>Fundamental rights</w:t>
            </w:r>
          </w:p>
        </w:tc>
        <w:tc>
          <w:tcPr>
            <w:tcW w:w="7513" w:type="dxa"/>
            <w:tcBorders>
              <w:bottom w:val="single" w:sz="4" w:space="0" w:color="auto"/>
            </w:tcBorders>
            <w:shd w:val="clear" w:color="auto" w:fill="FFFFFF" w:themeFill="background1"/>
            <w:hideMark/>
          </w:tcPr>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Protection of personal data</w:t>
            </w:r>
          </w:p>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Respect for private and family life</w:t>
            </w:r>
          </w:p>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Right to liberty and security</w:t>
            </w:r>
          </w:p>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lang w:val="en-GB"/>
              </w:rPr>
            </w:pPr>
            <w:r>
              <w:rPr>
                <w:rFonts w:ascii="Times New Roman" w:hAnsi="Times New Roman" w:cs="Times New Roman"/>
                <w:noProof/>
                <w:sz w:val="22"/>
                <w:lang w:val="en-GB"/>
              </w:rPr>
              <w:t>Right</w:t>
            </w:r>
            <w:r>
              <w:rPr>
                <w:rFonts w:ascii="Times New Roman" w:hAnsi="Times New Roman"/>
                <w:noProof/>
                <w:sz w:val="22"/>
                <w:lang w:val="en-GB"/>
              </w:rPr>
              <w:t xml:space="preserve"> of defence</w:t>
            </w:r>
          </w:p>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 xml:space="preserve">Right to an effective remedy and </w:t>
            </w:r>
            <w:r>
              <w:rPr>
                <w:rFonts w:ascii="Times New Roman" w:hAnsi="Times New Roman"/>
                <w:noProof/>
                <w:sz w:val="22"/>
                <w:lang w:val="en-GB"/>
              </w:rPr>
              <w:t>to a fair trial</w:t>
            </w:r>
          </w:p>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Style w:val="longtext"/>
                <w:rFonts w:ascii="Times New Roman" w:hAnsi="Times New Roman"/>
                <w:noProof/>
                <w:sz w:val="22"/>
                <w:lang w:val="en-GB"/>
              </w:rPr>
            </w:pPr>
            <w:r>
              <w:rPr>
                <w:rStyle w:val="longtext"/>
                <w:rFonts w:ascii="Times New Roman" w:hAnsi="Times New Roman"/>
                <w:noProof/>
                <w:sz w:val="22"/>
                <w:lang w:val="en-GB"/>
              </w:rPr>
              <w:t>Freedom of expression</w:t>
            </w:r>
          </w:p>
          <w:p w:rsidR="001B65FF" w:rsidRDefault="003E4EF4">
            <w:pPr>
              <w:pStyle w:val="Bullettables"/>
              <w:numPr>
                <w:ilvl w:val="0"/>
                <w:numId w:val="44"/>
              </w:num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Freedom to conduct a business</w:t>
            </w:r>
          </w:p>
        </w:tc>
      </w:tr>
      <w:tr w:rsidR="001B65FF" w:rsidTr="001B65F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tcPr>
          <w:p w:rsidR="001B65FF" w:rsidRDefault="003E4EF4">
            <w:pPr>
              <w:pStyle w:val="Boxtext"/>
              <w:spacing w:after="0"/>
              <w:jc w:val="left"/>
              <w:rPr>
                <w:rFonts w:ascii="Times New Roman" w:hAnsi="Times New Roman"/>
                <w:noProof/>
                <w:color w:val="auto"/>
                <w:sz w:val="22"/>
              </w:rPr>
            </w:pPr>
            <w:r>
              <w:rPr>
                <w:rFonts w:ascii="Times New Roman" w:hAnsi="Times New Roman"/>
                <w:noProof/>
                <w:color w:val="auto"/>
                <w:sz w:val="22"/>
              </w:rPr>
              <w:t>Impact on international relations</w:t>
            </w:r>
          </w:p>
        </w:tc>
        <w:tc>
          <w:tcPr>
            <w:tcW w:w="7513" w:type="dxa"/>
            <w:tcBorders>
              <w:top w:val="single" w:sz="4" w:space="0" w:color="auto"/>
              <w:bottom w:val="single" w:sz="4" w:space="0" w:color="auto"/>
            </w:tcBorders>
            <w:shd w:val="clear" w:color="auto" w:fill="FFFFFF" w:themeFill="background1"/>
          </w:tcPr>
          <w:p w:rsidR="001B65FF" w:rsidRDefault="003E4EF4">
            <w:pPr>
              <w:pStyle w:val="Bullettables"/>
              <w:numPr>
                <w:ilvl w:val="0"/>
                <w:numId w:val="44"/>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Sovereignty</w:t>
            </w:r>
          </w:p>
          <w:p w:rsidR="001B65FF" w:rsidRDefault="003E4EF4">
            <w:pPr>
              <w:pStyle w:val="Bullettables"/>
              <w:numPr>
                <w:ilvl w:val="0"/>
                <w:numId w:val="44"/>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Conflicts of law</w:t>
            </w:r>
          </w:p>
          <w:p w:rsidR="001B65FF" w:rsidRDefault="003E4EF4">
            <w:pPr>
              <w:pStyle w:val="Bullettables"/>
              <w:numPr>
                <w:ilvl w:val="0"/>
                <w:numId w:val="44"/>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lang w:val="en-GB"/>
              </w:rPr>
            </w:pPr>
            <w:r>
              <w:rPr>
                <w:rFonts w:ascii="Times New Roman" w:hAnsi="Times New Roman"/>
                <w:noProof/>
                <w:sz w:val="22"/>
                <w:lang w:val="en-GB"/>
              </w:rPr>
              <w:t>Reciprocity</w:t>
            </w:r>
          </w:p>
        </w:tc>
      </w:tr>
    </w:tbl>
    <w:p w:rsidR="001B65FF" w:rsidRDefault="001B65FF">
      <w:pPr>
        <w:pStyle w:val="Text1"/>
        <w:spacing w:after="0"/>
        <w:rPr>
          <w:noProof/>
        </w:rPr>
      </w:pPr>
    </w:p>
    <w:p w:rsidR="001B65FF" w:rsidRDefault="001B65FF">
      <w:pPr>
        <w:jc w:val="both"/>
        <w:rPr>
          <w:rFonts w:ascii="Times New Roman" w:hAnsi="Times New Roman" w:cs="Times New Roman"/>
          <w:noProof/>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7389"/>
      </w:tblGrid>
      <w:tr w:rsidR="001B65FF">
        <w:trPr>
          <w:trHeight w:val="227"/>
          <w:tblHeader/>
          <w:jc w:val="center"/>
        </w:trPr>
        <w:tc>
          <w:tcPr>
            <w:tcW w:w="1584" w:type="dxa"/>
            <w:hideMark/>
          </w:tcPr>
          <w:p w:rsidR="001B65FF" w:rsidRDefault="003E4EF4">
            <w:pPr>
              <w:rPr>
                <w:rFonts w:ascii="Times New Roman" w:hAnsi="Times New Roman"/>
                <w:b/>
                <w:noProof/>
              </w:rPr>
            </w:pPr>
            <w:r>
              <w:rPr>
                <w:rFonts w:ascii="Times New Roman" w:hAnsi="Times New Roman"/>
                <w:b/>
                <w:noProof/>
              </w:rPr>
              <w:t>Score</w:t>
            </w:r>
          </w:p>
        </w:tc>
        <w:tc>
          <w:tcPr>
            <w:tcW w:w="7389" w:type="dxa"/>
            <w:hideMark/>
          </w:tcPr>
          <w:p w:rsidR="001B65FF" w:rsidRDefault="003E4EF4">
            <w:pPr>
              <w:rPr>
                <w:rFonts w:ascii="Times New Roman" w:hAnsi="Times New Roman"/>
                <w:b/>
                <w:noProof/>
              </w:rPr>
            </w:pPr>
            <w:r>
              <w:rPr>
                <w:rFonts w:ascii="Times New Roman" w:hAnsi="Times New Roman"/>
                <w:b/>
                <w:noProof/>
              </w:rPr>
              <w:t>Impact level</w:t>
            </w:r>
          </w:p>
        </w:tc>
      </w:tr>
      <w:tr w:rsidR="001B65FF">
        <w:trPr>
          <w:trHeight w:val="227"/>
          <w:jc w:val="center"/>
        </w:trPr>
        <w:tc>
          <w:tcPr>
            <w:tcW w:w="1584" w:type="dxa"/>
            <w:hideMark/>
          </w:tcPr>
          <w:p w:rsidR="001B65FF" w:rsidRDefault="003E4EF4">
            <w:pPr>
              <w:spacing w:after="0"/>
              <w:rPr>
                <w:rFonts w:ascii="Times New Roman" w:hAnsi="Times New Roman"/>
                <w:noProof/>
              </w:rPr>
            </w:pPr>
            <w:r>
              <w:rPr>
                <w:rFonts w:ascii="Times New Roman" w:hAnsi="Times New Roman"/>
                <w:noProof/>
              </w:rPr>
              <w:t>+2.5 to +3.0</w:t>
            </w:r>
          </w:p>
        </w:tc>
        <w:tc>
          <w:tcPr>
            <w:tcW w:w="7389" w:type="dxa"/>
            <w:hideMark/>
          </w:tcPr>
          <w:p w:rsidR="001B65FF" w:rsidRDefault="003E4EF4">
            <w:pPr>
              <w:spacing w:after="0"/>
              <w:rPr>
                <w:rFonts w:ascii="Times New Roman" w:hAnsi="Times New Roman"/>
                <w:noProof/>
              </w:rPr>
            </w:pPr>
            <w:r>
              <w:rPr>
                <w:rFonts w:ascii="Times New Roman" w:hAnsi="Times New Roman"/>
                <w:noProof/>
              </w:rPr>
              <w:t xml:space="preserve">Highly positive (e.g. the option is likely to result in substantial </w:t>
            </w:r>
            <w:r>
              <w:rPr>
                <w:rFonts w:ascii="Times New Roman" w:hAnsi="Times New Roman"/>
                <w:noProof/>
              </w:rPr>
              <w:t>improvements of the capacity of public authorities to investigate prosecute crime)</w:t>
            </w:r>
          </w:p>
        </w:tc>
      </w:tr>
      <w:tr w:rsidR="001B65FF">
        <w:trPr>
          <w:trHeight w:val="563"/>
          <w:jc w:val="center"/>
        </w:trPr>
        <w:tc>
          <w:tcPr>
            <w:tcW w:w="1584" w:type="dxa"/>
            <w:hideMark/>
          </w:tcPr>
          <w:p w:rsidR="001B65FF" w:rsidRDefault="003E4EF4">
            <w:pPr>
              <w:spacing w:after="0"/>
              <w:rPr>
                <w:rFonts w:ascii="Times New Roman" w:hAnsi="Times New Roman"/>
                <w:noProof/>
              </w:rPr>
            </w:pPr>
            <w:r>
              <w:rPr>
                <w:rFonts w:ascii="Times New Roman" w:hAnsi="Times New Roman"/>
                <w:noProof/>
              </w:rPr>
              <w:t>+1.5 to +2.0</w:t>
            </w:r>
          </w:p>
        </w:tc>
        <w:tc>
          <w:tcPr>
            <w:tcW w:w="7389" w:type="dxa"/>
            <w:hideMark/>
          </w:tcPr>
          <w:p w:rsidR="001B65FF" w:rsidRDefault="003E4EF4">
            <w:pPr>
              <w:spacing w:after="0"/>
              <w:rPr>
                <w:rFonts w:ascii="Times New Roman" w:hAnsi="Times New Roman"/>
                <w:noProof/>
              </w:rPr>
            </w:pPr>
            <w:r>
              <w:rPr>
                <w:rFonts w:ascii="Times New Roman" w:hAnsi="Times New Roman"/>
                <w:noProof/>
              </w:rPr>
              <w:t>Moderate positive (e.g. high cost savings, better protection of victims, broader investigation and prosecution capacity, etc)</w:t>
            </w:r>
          </w:p>
        </w:tc>
      </w:tr>
      <w:tr w:rsidR="001B65FF">
        <w:trPr>
          <w:trHeight w:val="227"/>
          <w:jc w:val="center"/>
        </w:trPr>
        <w:tc>
          <w:tcPr>
            <w:tcW w:w="1584" w:type="dxa"/>
            <w:hideMark/>
          </w:tcPr>
          <w:p w:rsidR="001B65FF" w:rsidRDefault="003E4EF4">
            <w:pPr>
              <w:spacing w:after="0"/>
              <w:rPr>
                <w:rFonts w:ascii="Times New Roman" w:hAnsi="Times New Roman"/>
                <w:noProof/>
              </w:rPr>
            </w:pPr>
            <w:r>
              <w:rPr>
                <w:rFonts w:ascii="Times New Roman" w:hAnsi="Times New Roman"/>
                <w:noProof/>
              </w:rPr>
              <w:t>+1</w:t>
            </w:r>
          </w:p>
        </w:tc>
        <w:tc>
          <w:tcPr>
            <w:tcW w:w="7389" w:type="dxa"/>
            <w:hideMark/>
          </w:tcPr>
          <w:p w:rsidR="001B65FF" w:rsidRDefault="003E4EF4">
            <w:pPr>
              <w:spacing w:after="0"/>
              <w:rPr>
                <w:rFonts w:ascii="Times New Roman" w:hAnsi="Times New Roman"/>
                <w:noProof/>
              </w:rPr>
            </w:pPr>
            <w:r>
              <w:rPr>
                <w:rFonts w:ascii="Times New Roman" w:hAnsi="Times New Roman"/>
                <w:noProof/>
              </w:rPr>
              <w:t>Small positive (e.g. uncertai</w:t>
            </w:r>
            <w:r>
              <w:rPr>
                <w:rFonts w:ascii="Times New Roman" w:hAnsi="Times New Roman"/>
                <w:noProof/>
              </w:rPr>
              <w:t>n or indirect impact)</w:t>
            </w:r>
          </w:p>
        </w:tc>
      </w:tr>
      <w:tr w:rsidR="001B65FF">
        <w:trPr>
          <w:trHeight w:val="227"/>
          <w:jc w:val="center"/>
        </w:trPr>
        <w:tc>
          <w:tcPr>
            <w:tcW w:w="1584" w:type="dxa"/>
            <w:hideMark/>
          </w:tcPr>
          <w:p w:rsidR="001B65FF" w:rsidRDefault="003E4EF4">
            <w:pPr>
              <w:spacing w:after="0"/>
              <w:rPr>
                <w:rFonts w:ascii="Times New Roman" w:hAnsi="Times New Roman"/>
                <w:noProof/>
              </w:rPr>
            </w:pPr>
            <w:r>
              <w:rPr>
                <w:rFonts w:ascii="Times New Roman" w:hAnsi="Times New Roman"/>
                <w:noProof/>
              </w:rPr>
              <w:t>-0.5 to +0.5</w:t>
            </w:r>
          </w:p>
        </w:tc>
        <w:tc>
          <w:tcPr>
            <w:tcW w:w="7389" w:type="dxa"/>
            <w:hideMark/>
          </w:tcPr>
          <w:p w:rsidR="001B65FF" w:rsidRDefault="003E4EF4">
            <w:pPr>
              <w:spacing w:after="0"/>
              <w:rPr>
                <w:rFonts w:ascii="Times New Roman" w:hAnsi="Times New Roman"/>
                <w:noProof/>
              </w:rPr>
            </w:pPr>
            <w:r>
              <w:rPr>
                <w:rFonts w:ascii="Times New Roman" w:hAnsi="Times New Roman"/>
                <w:noProof/>
              </w:rPr>
              <w:t>Very uncertain or insignificant</w:t>
            </w:r>
          </w:p>
        </w:tc>
      </w:tr>
      <w:tr w:rsidR="001B65FF">
        <w:trPr>
          <w:trHeight w:val="227"/>
          <w:jc w:val="center"/>
        </w:trPr>
        <w:tc>
          <w:tcPr>
            <w:tcW w:w="1584" w:type="dxa"/>
            <w:hideMark/>
          </w:tcPr>
          <w:p w:rsidR="001B65FF" w:rsidRDefault="003E4EF4">
            <w:pPr>
              <w:spacing w:after="0"/>
              <w:rPr>
                <w:rFonts w:ascii="Times New Roman" w:hAnsi="Times New Roman"/>
                <w:noProof/>
              </w:rPr>
            </w:pPr>
            <w:r>
              <w:rPr>
                <w:rFonts w:ascii="Times New Roman" w:hAnsi="Times New Roman"/>
                <w:noProof/>
              </w:rPr>
              <w:t>-1</w:t>
            </w:r>
          </w:p>
        </w:tc>
        <w:tc>
          <w:tcPr>
            <w:tcW w:w="7389" w:type="dxa"/>
            <w:hideMark/>
          </w:tcPr>
          <w:p w:rsidR="001B65FF" w:rsidRDefault="003E4EF4">
            <w:pPr>
              <w:spacing w:after="0"/>
              <w:rPr>
                <w:rFonts w:ascii="Times New Roman" w:hAnsi="Times New Roman"/>
                <w:noProof/>
              </w:rPr>
            </w:pPr>
            <w:r>
              <w:rPr>
                <w:rFonts w:ascii="Times New Roman" w:hAnsi="Times New Roman"/>
                <w:noProof/>
              </w:rPr>
              <w:t>Small negative</w:t>
            </w:r>
          </w:p>
        </w:tc>
      </w:tr>
      <w:tr w:rsidR="001B65FF">
        <w:trPr>
          <w:trHeight w:val="227"/>
          <w:jc w:val="center"/>
        </w:trPr>
        <w:tc>
          <w:tcPr>
            <w:tcW w:w="1584" w:type="dxa"/>
            <w:hideMark/>
          </w:tcPr>
          <w:p w:rsidR="001B65FF" w:rsidRDefault="003E4EF4">
            <w:pPr>
              <w:spacing w:after="0"/>
              <w:rPr>
                <w:rFonts w:ascii="Times New Roman" w:hAnsi="Times New Roman"/>
                <w:noProof/>
              </w:rPr>
            </w:pPr>
            <w:r>
              <w:rPr>
                <w:rFonts w:ascii="Times New Roman" w:hAnsi="Times New Roman"/>
                <w:noProof/>
              </w:rPr>
              <w:t>-2 to -1.5</w:t>
            </w:r>
          </w:p>
        </w:tc>
        <w:tc>
          <w:tcPr>
            <w:tcW w:w="7389" w:type="dxa"/>
            <w:hideMark/>
          </w:tcPr>
          <w:p w:rsidR="001B65FF" w:rsidRDefault="003E4EF4">
            <w:pPr>
              <w:spacing w:after="0"/>
              <w:rPr>
                <w:rFonts w:ascii="Times New Roman" w:hAnsi="Times New Roman"/>
                <w:noProof/>
              </w:rPr>
            </w:pPr>
            <w:r>
              <w:rPr>
                <w:rFonts w:ascii="Times New Roman" w:hAnsi="Times New Roman"/>
                <w:noProof/>
              </w:rPr>
              <w:t>Moderate negative</w:t>
            </w:r>
          </w:p>
        </w:tc>
      </w:tr>
      <w:tr w:rsidR="001B65FF">
        <w:trPr>
          <w:trHeight w:val="227"/>
          <w:jc w:val="center"/>
        </w:trPr>
        <w:tc>
          <w:tcPr>
            <w:tcW w:w="1584" w:type="dxa"/>
            <w:hideMark/>
          </w:tcPr>
          <w:p w:rsidR="001B65FF" w:rsidRDefault="003E4EF4">
            <w:pPr>
              <w:spacing w:after="0"/>
              <w:rPr>
                <w:rFonts w:ascii="Times New Roman" w:hAnsi="Times New Roman"/>
                <w:noProof/>
              </w:rPr>
            </w:pPr>
            <w:r>
              <w:rPr>
                <w:rFonts w:ascii="Times New Roman" w:hAnsi="Times New Roman"/>
                <w:noProof/>
              </w:rPr>
              <w:t>-3 to -2.5</w:t>
            </w:r>
          </w:p>
        </w:tc>
        <w:tc>
          <w:tcPr>
            <w:tcW w:w="7389" w:type="dxa"/>
            <w:hideMark/>
          </w:tcPr>
          <w:p w:rsidR="001B65FF" w:rsidRDefault="003E4EF4">
            <w:pPr>
              <w:spacing w:after="0"/>
              <w:rPr>
                <w:rFonts w:ascii="Times New Roman" w:hAnsi="Times New Roman"/>
                <w:noProof/>
              </w:rPr>
            </w:pPr>
            <w:r>
              <w:rPr>
                <w:rFonts w:ascii="Times New Roman" w:hAnsi="Times New Roman"/>
                <w:noProof/>
              </w:rPr>
              <w:t>Highly negative</w:t>
            </w:r>
          </w:p>
        </w:tc>
      </w:tr>
    </w:tbl>
    <w:p w:rsidR="001B65FF" w:rsidRDefault="001B65FF">
      <w:pPr>
        <w:jc w:val="both"/>
        <w:rPr>
          <w:rFonts w:ascii="Times New Roman" w:hAnsi="Times New Roman" w:cs="Times New Roman"/>
          <w:noProof/>
          <w:sz w:val="24"/>
        </w:rPr>
      </w:pP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 xml:space="preserve">The table below summarises the qualitative scores for each main assessment criteria and each option. All criteria were given the same weight. The detailed comparative assessment of all options can be found in Annex 4. </w:t>
      </w:r>
    </w:p>
    <w:p w:rsidR="001B65FF" w:rsidRDefault="001B65FF">
      <w:pPr>
        <w:spacing w:after="0"/>
        <w:jc w:val="both"/>
        <w:rPr>
          <w:rFonts w:ascii="Times New Roman" w:hAnsi="Times New Roman" w:cs="Times New Roman"/>
          <w:noProof/>
          <w:sz w:val="24"/>
        </w:rPr>
      </w:pPr>
    </w:p>
    <w:tbl>
      <w:tblPr>
        <w:tblStyle w:val="ListTable3-Accent51"/>
        <w:tblW w:w="0" w:type="auto"/>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870"/>
        <w:gridCol w:w="691"/>
        <w:gridCol w:w="1134"/>
        <w:gridCol w:w="1095"/>
        <w:gridCol w:w="1216"/>
        <w:gridCol w:w="1217"/>
      </w:tblGrid>
      <w:tr w:rsidR="001B65FF" w:rsidTr="001B65FF">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100" w:firstRow="0" w:lastRow="0" w:firstColumn="1" w:lastColumn="0" w:oddVBand="0" w:evenVBand="0" w:oddHBand="0" w:evenHBand="0" w:firstRowFirstColumn="1" w:firstRowLastColumn="0" w:lastRowFirstColumn="0" w:lastRowLastColumn="0"/>
            <w:tcW w:w="3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B65FF" w:rsidRDefault="003E4EF4">
            <w:pPr>
              <w:pStyle w:val="Boxtext"/>
              <w:spacing w:before="40" w:afterLines="40" w:after="96"/>
              <w:contextualSpacing w:val="0"/>
              <w:jc w:val="center"/>
              <w:rPr>
                <w:rFonts w:ascii="Times New Roman" w:hAnsi="Times New Roman"/>
                <w:noProof/>
                <w:color w:val="auto"/>
                <w:sz w:val="24"/>
              </w:rPr>
            </w:pPr>
            <w:r>
              <w:rPr>
                <w:rFonts w:ascii="Times New Roman" w:hAnsi="Times New Roman"/>
                <w:noProof/>
                <w:color w:val="auto"/>
                <w:sz w:val="24"/>
              </w:rPr>
              <w:t>Criteria</w:t>
            </w:r>
          </w:p>
        </w:tc>
        <w:tc>
          <w:tcPr>
            <w:tcW w:w="691" w:type="dxa"/>
            <w:tcBorders>
              <w:left w:val="single" w:sz="4" w:space="0" w:color="auto"/>
            </w:tcBorders>
            <w:shd w:val="clear" w:color="auto" w:fill="FFFFFF" w:themeFill="background1"/>
            <w:hideMark/>
          </w:tcPr>
          <w:p w:rsidR="001B65FF" w:rsidRDefault="003E4EF4">
            <w:pPr>
              <w:pStyle w:val="Boxtext"/>
              <w:spacing w:before="40" w:afterLines="40" w:after="96"/>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O</w:t>
            </w:r>
          </w:p>
        </w:tc>
        <w:tc>
          <w:tcPr>
            <w:tcW w:w="1134" w:type="dxa"/>
            <w:shd w:val="clear" w:color="auto" w:fill="FFFFFF" w:themeFill="background1"/>
          </w:tcPr>
          <w:p w:rsidR="001B65FF" w:rsidRDefault="003E4EF4">
            <w:pPr>
              <w:pStyle w:val="Boxtext"/>
              <w:spacing w:before="40" w:afterLines="40" w:after="96"/>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A</w:t>
            </w:r>
          </w:p>
        </w:tc>
        <w:tc>
          <w:tcPr>
            <w:tcW w:w="1095" w:type="dxa"/>
            <w:shd w:val="clear" w:color="auto" w:fill="FFFFFF" w:themeFill="background1"/>
          </w:tcPr>
          <w:p w:rsidR="001B65FF" w:rsidRDefault="003E4EF4">
            <w:pPr>
              <w:pStyle w:val="Boxtext"/>
              <w:spacing w:before="40" w:afterLines="40" w:after="96"/>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B</w:t>
            </w:r>
          </w:p>
        </w:tc>
        <w:tc>
          <w:tcPr>
            <w:tcW w:w="1216" w:type="dxa"/>
            <w:shd w:val="clear" w:color="auto" w:fill="FFFFFF" w:themeFill="background1"/>
          </w:tcPr>
          <w:p w:rsidR="001B65FF" w:rsidRDefault="003E4EF4">
            <w:pPr>
              <w:pStyle w:val="Boxtext"/>
              <w:spacing w:before="40" w:afterLines="40" w:after="96"/>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C</w:t>
            </w:r>
          </w:p>
        </w:tc>
        <w:tc>
          <w:tcPr>
            <w:tcW w:w="1217" w:type="dxa"/>
            <w:shd w:val="clear" w:color="auto" w:fill="FFFFFF" w:themeFill="background1"/>
          </w:tcPr>
          <w:p w:rsidR="001B65FF" w:rsidRDefault="003E4EF4">
            <w:pPr>
              <w:pStyle w:val="Boxtext"/>
              <w:spacing w:before="40" w:afterLines="40" w:after="96"/>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4"/>
              </w:rPr>
            </w:pPr>
            <w:r>
              <w:rPr>
                <w:rFonts w:ascii="Times New Roman" w:hAnsi="Times New Roman"/>
                <w:noProof/>
                <w:color w:val="auto"/>
                <w:sz w:val="24"/>
              </w:rPr>
              <w:t>D</w:t>
            </w:r>
          </w:p>
        </w:tc>
      </w:tr>
      <w:tr w:rsidR="001B65FF" w:rsidTr="001B65FF">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left w:val="single" w:sz="4" w:space="0" w:color="auto"/>
              <w:bottom w:val="single" w:sz="4" w:space="0" w:color="auto"/>
              <w:right w:val="single" w:sz="4" w:space="0" w:color="auto"/>
            </w:tcBorders>
            <w:vAlign w:val="center"/>
            <w:hideMark/>
          </w:tcPr>
          <w:p w:rsidR="001B65FF" w:rsidRDefault="003E4EF4">
            <w:pPr>
              <w:pStyle w:val="Boxtext"/>
              <w:spacing w:before="0" w:afterLines="40" w:after="96"/>
              <w:contextualSpacing w:val="0"/>
              <w:jc w:val="left"/>
              <w:rPr>
                <w:rFonts w:ascii="Times New Roman" w:hAnsi="Times New Roman"/>
                <w:noProof/>
                <w:color w:val="auto"/>
                <w:sz w:val="24"/>
              </w:rPr>
            </w:pPr>
            <w:r>
              <w:rPr>
                <w:rFonts w:ascii="Times New Roman" w:hAnsi="Times New Roman" w:cs="Times New Roman"/>
                <w:noProof/>
                <w:color w:val="auto"/>
                <w:sz w:val="24"/>
              </w:rPr>
              <w:t>Effectiveness/social impact</w:t>
            </w:r>
          </w:p>
        </w:tc>
        <w:tc>
          <w:tcPr>
            <w:tcW w:w="691" w:type="dxa"/>
            <w:tcBorders>
              <w:left w:val="single" w:sz="4" w:space="0" w:color="auto"/>
            </w:tcBorders>
            <w:shd w:val="clear" w:color="auto" w:fill="FFFFFF" w:themeFill="background1"/>
            <w:vAlign w:val="center"/>
            <w:hideMark/>
          </w:tcPr>
          <w:p w:rsidR="001B65FF" w:rsidRDefault="003E4EF4">
            <w:pPr>
              <w:pStyle w:val="Bullettables"/>
              <w:tabs>
                <w:tab w:val="clear" w:pos="360"/>
              </w:tabs>
              <w:spacing w:before="0" w:afterLines="40" w:after="96"/>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-3</w:t>
            </w:r>
          </w:p>
        </w:tc>
        <w:tc>
          <w:tcPr>
            <w:tcW w:w="1134" w:type="dxa"/>
            <w:shd w:val="clear" w:color="auto" w:fill="FFFFFF" w:themeFill="background1"/>
            <w:vAlign w:val="center"/>
          </w:tcPr>
          <w:p w:rsidR="001B65FF" w:rsidRDefault="003E4EF4">
            <w:pPr>
              <w:pStyle w:val="Bullettables"/>
              <w:tabs>
                <w:tab w:val="clear" w:pos="360"/>
              </w:tabs>
              <w:spacing w:before="0" w:afterLines="40" w:after="96"/>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-2</w:t>
            </w:r>
          </w:p>
        </w:tc>
        <w:tc>
          <w:tcPr>
            <w:tcW w:w="1095" w:type="dxa"/>
            <w:shd w:val="clear" w:color="auto" w:fill="FFFFFF" w:themeFill="background1"/>
            <w:vAlign w:val="center"/>
          </w:tcPr>
          <w:p w:rsidR="001B65FF" w:rsidRDefault="003E4EF4">
            <w:pPr>
              <w:pStyle w:val="Bullettables"/>
              <w:tabs>
                <w:tab w:val="clear" w:pos="360"/>
              </w:tabs>
              <w:spacing w:before="0" w:afterLines="40" w:after="96"/>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-1</w:t>
            </w:r>
          </w:p>
        </w:tc>
        <w:tc>
          <w:tcPr>
            <w:tcW w:w="1216" w:type="dxa"/>
            <w:shd w:val="clear" w:color="auto" w:fill="FFFFFF" w:themeFill="background1"/>
            <w:vAlign w:val="center"/>
          </w:tcPr>
          <w:p w:rsidR="001B65FF" w:rsidRDefault="003E4EF4">
            <w:pPr>
              <w:pStyle w:val="Bullettables"/>
              <w:tabs>
                <w:tab w:val="clear" w:pos="360"/>
              </w:tabs>
              <w:spacing w:before="0" w:afterLines="40" w:after="96"/>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+2,5</w:t>
            </w:r>
          </w:p>
        </w:tc>
        <w:tc>
          <w:tcPr>
            <w:tcW w:w="1217" w:type="dxa"/>
            <w:shd w:val="clear" w:color="auto" w:fill="FFFFFF" w:themeFill="background1"/>
            <w:vAlign w:val="center"/>
          </w:tcPr>
          <w:p w:rsidR="001B65FF" w:rsidRDefault="003E4EF4">
            <w:pPr>
              <w:pStyle w:val="Bullettables"/>
              <w:tabs>
                <w:tab w:val="clear" w:pos="360"/>
              </w:tabs>
              <w:spacing w:before="0" w:afterLines="40" w:after="96"/>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+3</w:t>
            </w:r>
          </w:p>
        </w:tc>
      </w:tr>
      <w:tr w:rsidR="001B65FF" w:rsidTr="001B65FF">
        <w:trPr>
          <w:trHeight w:val="426"/>
          <w:jc w:val="center"/>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auto"/>
            </w:tcBorders>
            <w:vAlign w:val="center"/>
            <w:hideMark/>
          </w:tcPr>
          <w:p w:rsidR="001B65FF" w:rsidRDefault="003E4EF4">
            <w:pPr>
              <w:pStyle w:val="Boxtext"/>
              <w:spacing w:before="0" w:afterLines="40" w:after="96"/>
              <w:contextualSpacing w:val="0"/>
              <w:jc w:val="left"/>
              <w:rPr>
                <w:rFonts w:ascii="Times New Roman" w:hAnsi="Times New Roman"/>
                <w:noProof/>
                <w:color w:val="auto"/>
                <w:sz w:val="24"/>
              </w:rPr>
            </w:pPr>
            <w:r>
              <w:rPr>
                <w:rFonts w:ascii="Times New Roman" w:hAnsi="Times New Roman" w:cs="Times New Roman"/>
                <w:noProof/>
                <w:color w:val="auto"/>
                <w:sz w:val="24"/>
              </w:rPr>
              <w:t>Efficiency</w:t>
            </w:r>
          </w:p>
        </w:tc>
        <w:tc>
          <w:tcPr>
            <w:tcW w:w="691" w:type="dxa"/>
            <w:shd w:val="clear" w:color="auto" w:fill="FFFFFF" w:themeFill="background1"/>
            <w:vAlign w:val="center"/>
            <w:hideMark/>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lang w:val="en-GB"/>
              </w:rPr>
              <w:t>-1</w:t>
            </w:r>
          </w:p>
        </w:tc>
        <w:tc>
          <w:tcPr>
            <w:tcW w:w="1134"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lang w:val="en-GB"/>
              </w:rPr>
              <w:t>-0,5</w:t>
            </w:r>
          </w:p>
        </w:tc>
        <w:tc>
          <w:tcPr>
            <w:tcW w:w="1095"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+0,5</w:t>
            </w:r>
          </w:p>
        </w:tc>
        <w:tc>
          <w:tcPr>
            <w:tcW w:w="1216"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lang w:val="en-GB"/>
              </w:rPr>
              <w:t>+1,5</w:t>
            </w:r>
          </w:p>
        </w:tc>
        <w:tc>
          <w:tcPr>
            <w:tcW w:w="1217"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lang w:val="en-GB"/>
              </w:rPr>
              <w:t>+2</w:t>
            </w:r>
          </w:p>
        </w:tc>
      </w:tr>
      <w:tr w:rsidR="001B65FF" w:rsidTr="001B65F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870" w:type="dxa"/>
            <w:vAlign w:val="center"/>
          </w:tcPr>
          <w:p w:rsidR="001B65FF" w:rsidRDefault="003E4EF4">
            <w:pPr>
              <w:pStyle w:val="Boxtext"/>
              <w:spacing w:before="0" w:afterLines="40" w:after="96"/>
              <w:contextualSpacing w:val="0"/>
              <w:jc w:val="left"/>
              <w:rPr>
                <w:rFonts w:ascii="Times New Roman" w:hAnsi="Times New Roman"/>
                <w:noProof/>
                <w:color w:val="auto"/>
                <w:sz w:val="24"/>
              </w:rPr>
            </w:pPr>
            <w:r>
              <w:rPr>
                <w:rFonts w:ascii="Times New Roman" w:hAnsi="Times New Roman" w:cs="Times New Roman"/>
                <w:noProof/>
                <w:color w:val="auto"/>
                <w:sz w:val="24"/>
              </w:rPr>
              <w:t>Competitiveness</w:t>
            </w:r>
          </w:p>
        </w:tc>
        <w:tc>
          <w:tcPr>
            <w:tcW w:w="691" w:type="dxa"/>
            <w:shd w:val="clear" w:color="auto" w:fill="FFFFFF" w:themeFill="background1"/>
            <w:vAlign w:val="center"/>
          </w:tcPr>
          <w:p w:rsidR="001B65FF" w:rsidRDefault="003E4EF4">
            <w:pPr>
              <w:pStyle w:val="Bullettables"/>
              <w:tabs>
                <w:tab w:val="clear" w:pos="360"/>
              </w:tabs>
              <w:spacing w:before="0"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-1</w:t>
            </w:r>
          </w:p>
        </w:tc>
        <w:tc>
          <w:tcPr>
            <w:tcW w:w="1134" w:type="dxa"/>
            <w:shd w:val="clear" w:color="auto" w:fill="FFFFFF" w:themeFill="background1"/>
            <w:vAlign w:val="center"/>
          </w:tcPr>
          <w:p w:rsidR="001B65FF" w:rsidRDefault="003E4EF4">
            <w:pPr>
              <w:pStyle w:val="Bullettables"/>
              <w:tabs>
                <w:tab w:val="clear" w:pos="360"/>
              </w:tabs>
              <w:spacing w:before="0"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-1</w:t>
            </w:r>
          </w:p>
        </w:tc>
        <w:tc>
          <w:tcPr>
            <w:tcW w:w="1095" w:type="dxa"/>
            <w:shd w:val="clear" w:color="auto" w:fill="FFFFFF" w:themeFill="background1"/>
            <w:vAlign w:val="center"/>
          </w:tcPr>
          <w:p w:rsidR="001B65FF" w:rsidRDefault="003E4EF4">
            <w:pPr>
              <w:pStyle w:val="Bullettables"/>
              <w:tabs>
                <w:tab w:val="clear" w:pos="360"/>
              </w:tabs>
              <w:spacing w:before="0"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0</w:t>
            </w:r>
          </w:p>
        </w:tc>
        <w:tc>
          <w:tcPr>
            <w:tcW w:w="1216" w:type="dxa"/>
            <w:shd w:val="clear" w:color="auto" w:fill="FFFFFF" w:themeFill="background1"/>
            <w:vAlign w:val="center"/>
          </w:tcPr>
          <w:p w:rsidR="001B65FF" w:rsidRDefault="003E4EF4">
            <w:pPr>
              <w:pStyle w:val="Bullettables"/>
              <w:tabs>
                <w:tab w:val="clear" w:pos="360"/>
              </w:tabs>
              <w:spacing w:before="0"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-1,5</w:t>
            </w:r>
          </w:p>
        </w:tc>
        <w:tc>
          <w:tcPr>
            <w:tcW w:w="1217" w:type="dxa"/>
            <w:shd w:val="clear" w:color="auto" w:fill="FFFFFF" w:themeFill="background1"/>
            <w:vAlign w:val="center"/>
          </w:tcPr>
          <w:p w:rsidR="001B65FF" w:rsidRDefault="003E4EF4">
            <w:pPr>
              <w:pStyle w:val="Bullettables"/>
              <w:tabs>
                <w:tab w:val="clear" w:pos="360"/>
              </w:tabs>
              <w:spacing w:before="0"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-1,5</w:t>
            </w:r>
          </w:p>
        </w:tc>
      </w:tr>
      <w:tr w:rsidR="001B65FF" w:rsidTr="001B65FF">
        <w:trPr>
          <w:trHeight w:val="411"/>
          <w:jc w:val="center"/>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rsidR="001B65FF" w:rsidRDefault="003E4EF4">
            <w:pPr>
              <w:pStyle w:val="Boxtext"/>
              <w:spacing w:before="0" w:afterLines="40" w:after="96"/>
              <w:contextualSpacing w:val="0"/>
              <w:jc w:val="left"/>
              <w:rPr>
                <w:rFonts w:ascii="Times New Roman" w:hAnsi="Times New Roman"/>
                <w:noProof/>
                <w:color w:val="auto"/>
                <w:sz w:val="24"/>
              </w:rPr>
            </w:pPr>
            <w:r>
              <w:rPr>
                <w:rFonts w:ascii="Times New Roman" w:hAnsi="Times New Roman" w:cs="Times New Roman"/>
                <w:noProof/>
                <w:color w:val="auto"/>
                <w:sz w:val="24"/>
              </w:rPr>
              <w:t xml:space="preserve">Fundamental rights </w:t>
            </w:r>
          </w:p>
        </w:tc>
        <w:tc>
          <w:tcPr>
            <w:tcW w:w="691" w:type="dxa"/>
            <w:shd w:val="clear" w:color="auto" w:fill="FFFFFF" w:themeFill="background1"/>
            <w:vAlign w:val="center"/>
            <w:hideMark/>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0</w:t>
            </w:r>
          </w:p>
        </w:tc>
        <w:tc>
          <w:tcPr>
            <w:tcW w:w="1134"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0</w:t>
            </w:r>
          </w:p>
        </w:tc>
        <w:tc>
          <w:tcPr>
            <w:tcW w:w="1095"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lang w:val="en-GB"/>
              </w:rPr>
              <w:t>+</w:t>
            </w:r>
            <w:r>
              <w:rPr>
                <w:rFonts w:ascii="Times New Roman" w:hAnsi="Times New Roman" w:cs="Times New Roman"/>
                <w:noProof/>
                <w:sz w:val="24"/>
                <w:szCs w:val="24"/>
                <w:lang w:val="en-GB"/>
              </w:rPr>
              <w:t>2</w:t>
            </w:r>
          </w:p>
        </w:tc>
        <w:tc>
          <w:tcPr>
            <w:tcW w:w="1216"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+1</w:t>
            </w:r>
          </w:p>
        </w:tc>
        <w:tc>
          <w:tcPr>
            <w:tcW w:w="1217"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+1</w:t>
            </w:r>
          </w:p>
        </w:tc>
      </w:tr>
      <w:tr w:rsidR="001B65FF" w:rsidTr="001B65FF">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3870" w:type="dxa"/>
            <w:vAlign w:val="center"/>
          </w:tcPr>
          <w:p w:rsidR="001B65FF" w:rsidRDefault="003E4EF4">
            <w:pPr>
              <w:pStyle w:val="Boxtext"/>
              <w:spacing w:before="0" w:afterLines="40" w:after="96"/>
              <w:contextualSpacing w:val="0"/>
              <w:jc w:val="left"/>
              <w:rPr>
                <w:rFonts w:ascii="Times New Roman" w:hAnsi="Times New Roman"/>
                <w:noProof/>
                <w:color w:val="auto"/>
                <w:sz w:val="24"/>
              </w:rPr>
            </w:pPr>
            <w:r>
              <w:rPr>
                <w:rFonts w:ascii="Times New Roman" w:hAnsi="Times New Roman"/>
                <w:noProof/>
                <w:color w:val="auto"/>
                <w:sz w:val="24"/>
              </w:rPr>
              <w:t>Impact on international relations</w:t>
            </w:r>
          </w:p>
        </w:tc>
        <w:tc>
          <w:tcPr>
            <w:tcW w:w="691" w:type="dxa"/>
            <w:shd w:val="clear" w:color="auto" w:fill="FFFFFF" w:themeFill="background1"/>
            <w:vAlign w:val="center"/>
          </w:tcPr>
          <w:p w:rsidR="001B65FF" w:rsidRDefault="003E4EF4">
            <w:pPr>
              <w:pStyle w:val="Bullettables"/>
              <w:tabs>
                <w:tab w:val="clear" w:pos="360"/>
              </w:tabs>
              <w:spacing w:before="0"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-1</w:t>
            </w:r>
          </w:p>
        </w:tc>
        <w:tc>
          <w:tcPr>
            <w:tcW w:w="1134" w:type="dxa"/>
            <w:shd w:val="clear" w:color="auto" w:fill="FFFFFF" w:themeFill="background1"/>
            <w:vAlign w:val="center"/>
          </w:tcPr>
          <w:p w:rsidR="001B65FF" w:rsidRDefault="003E4EF4">
            <w:pPr>
              <w:pStyle w:val="Bullettables"/>
              <w:tabs>
                <w:tab w:val="clear" w:pos="360"/>
              </w:tabs>
              <w:spacing w:before="0"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-0,5</w:t>
            </w:r>
          </w:p>
        </w:tc>
        <w:tc>
          <w:tcPr>
            <w:tcW w:w="1095" w:type="dxa"/>
            <w:shd w:val="clear" w:color="auto" w:fill="FFFFFF" w:themeFill="background1"/>
            <w:vAlign w:val="center"/>
          </w:tcPr>
          <w:p w:rsidR="001B65FF" w:rsidRDefault="003E4EF4">
            <w:pPr>
              <w:pStyle w:val="Bullettables"/>
              <w:tabs>
                <w:tab w:val="clear" w:pos="360"/>
              </w:tabs>
              <w:spacing w:before="0"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+2</w:t>
            </w:r>
          </w:p>
        </w:tc>
        <w:tc>
          <w:tcPr>
            <w:tcW w:w="1216" w:type="dxa"/>
            <w:shd w:val="clear" w:color="auto" w:fill="FFFFFF" w:themeFill="background1"/>
            <w:vAlign w:val="center"/>
          </w:tcPr>
          <w:p w:rsidR="001B65FF" w:rsidRDefault="003E4EF4">
            <w:pPr>
              <w:pStyle w:val="Bullettables"/>
              <w:tabs>
                <w:tab w:val="clear" w:pos="360"/>
              </w:tabs>
              <w:spacing w:before="0"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+1</w:t>
            </w:r>
          </w:p>
        </w:tc>
        <w:tc>
          <w:tcPr>
            <w:tcW w:w="1217" w:type="dxa"/>
            <w:shd w:val="clear" w:color="auto" w:fill="FFFFFF" w:themeFill="background1"/>
            <w:vAlign w:val="center"/>
          </w:tcPr>
          <w:p w:rsidR="001B65FF" w:rsidRDefault="003E4EF4">
            <w:pPr>
              <w:pStyle w:val="Bullettables"/>
              <w:tabs>
                <w:tab w:val="clear" w:pos="360"/>
              </w:tabs>
              <w:spacing w:before="0" w:afterLines="40" w:after="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sz w:val="24"/>
                <w:szCs w:val="24"/>
                <w:lang w:val="en-GB"/>
              </w:rPr>
              <w:t>+0,5</w:t>
            </w:r>
          </w:p>
        </w:tc>
      </w:tr>
      <w:tr w:rsidR="001B65FF" w:rsidTr="001B65FF">
        <w:trPr>
          <w:trHeight w:val="427"/>
          <w:jc w:val="center"/>
        </w:trPr>
        <w:tc>
          <w:tcPr>
            <w:cnfStyle w:val="001000000000" w:firstRow="0" w:lastRow="0" w:firstColumn="1" w:lastColumn="0" w:oddVBand="0" w:evenVBand="0" w:oddHBand="0" w:evenHBand="0" w:firstRowFirstColumn="0" w:firstRowLastColumn="0" w:lastRowFirstColumn="0" w:lastRowLastColumn="0"/>
            <w:tcW w:w="3870" w:type="dxa"/>
            <w:vAlign w:val="center"/>
          </w:tcPr>
          <w:p w:rsidR="001B65FF" w:rsidRDefault="003E4EF4">
            <w:pPr>
              <w:pStyle w:val="Boxtext"/>
              <w:spacing w:before="0" w:afterLines="40" w:after="96"/>
              <w:contextualSpacing w:val="0"/>
              <w:jc w:val="right"/>
              <w:rPr>
                <w:rFonts w:ascii="Times New Roman" w:hAnsi="Times New Roman" w:cs="Times New Roman"/>
                <w:noProof/>
                <w:color w:val="auto"/>
                <w:sz w:val="24"/>
              </w:rPr>
            </w:pPr>
            <w:r>
              <w:rPr>
                <w:rFonts w:ascii="Times New Roman" w:hAnsi="Times New Roman" w:cs="Times New Roman"/>
                <w:noProof/>
                <w:color w:val="auto"/>
                <w:sz w:val="24"/>
              </w:rPr>
              <w:t>Total</w:t>
            </w:r>
          </w:p>
        </w:tc>
        <w:tc>
          <w:tcPr>
            <w:tcW w:w="691"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lang w:val="en-GB"/>
              </w:rPr>
            </w:pPr>
            <w:r>
              <w:rPr>
                <w:rFonts w:ascii="Times New Roman" w:hAnsi="Times New Roman" w:cs="Times New Roman"/>
                <w:b/>
                <w:noProof/>
                <w:sz w:val="24"/>
                <w:lang w:val="en-GB"/>
              </w:rPr>
              <w:t>-6</w:t>
            </w:r>
          </w:p>
        </w:tc>
        <w:tc>
          <w:tcPr>
            <w:tcW w:w="1134"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lang w:val="en-GB"/>
              </w:rPr>
            </w:pPr>
            <w:r>
              <w:rPr>
                <w:rFonts w:ascii="Times New Roman" w:hAnsi="Times New Roman" w:cs="Times New Roman"/>
                <w:b/>
                <w:noProof/>
                <w:sz w:val="24"/>
                <w:lang w:val="en-GB"/>
              </w:rPr>
              <w:t>-4</w:t>
            </w:r>
          </w:p>
        </w:tc>
        <w:tc>
          <w:tcPr>
            <w:tcW w:w="1095"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lang w:val="en-GB"/>
              </w:rPr>
            </w:pPr>
            <w:r>
              <w:rPr>
                <w:rFonts w:ascii="Times New Roman" w:hAnsi="Times New Roman" w:cs="Times New Roman"/>
                <w:b/>
                <w:noProof/>
                <w:sz w:val="24"/>
                <w:szCs w:val="24"/>
                <w:lang w:val="en-GB"/>
              </w:rPr>
              <w:t>+3,5</w:t>
            </w:r>
          </w:p>
        </w:tc>
        <w:tc>
          <w:tcPr>
            <w:tcW w:w="1216"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lang w:val="en-GB"/>
              </w:rPr>
            </w:pPr>
            <w:r>
              <w:rPr>
                <w:rFonts w:ascii="Times New Roman" w:hAnsi="Times New Roman" w:cs="Times New Roman"/>
                <w:b/>
                <w:noProof/>
                <w:sz w:val="24"/>
                <w:lang w:val="en-GB"/>
              </w:rPr>
              <w:t>+</w:t>
            </w:r>
            <w:r>
              <w:rPr>
                <w:rFonts w:ascii="Times New Roman" w:hAnsi="Times New Roman" w:cs="Times New Roman"/>
                <w:b/>
                <w:noProof/>
                <w:sz w:val="24"/>
                <w:szCs w:val="24"/>
                <w:lang w:val="en-GB"/>
              </w:rPr>
              <w:t>4</w:t>
            </w:r>
            <w:r>
              <w:rPr>
                <w:rFonts w:ascii="Times New Roman" w:hAnsi="Times New Roman" w:cs="Times New Roman"/>
                <w:b/>
                <w:noProof/>
                <w:sz w:val="24"/>
                <w:lang w:val="en-GB"/>
              </w:rPr>
              <w:t>,5</w:t>
            </w:r>
          </w:p>
        </w:tc>
        <w:tc>
          <w:tcPr>
            <w:tcW w:w="1217" w:type="dxa"/>
            <w:shd w:val="clear" w:color="auto" w:fill="FFFFFF" w:themeFill="background1"/>
            <w:vAlign w:val="center"/>
          </w:tcPr>
          <w:p w:rsidR="001B65FF" w:rsidRDefault="003E4EF4">
            <w:pPr>
              <w:pStyle w:val="Bullettables"/>
              <w:tabs>
                <w:tab w:val="clear" w:pos="360"/>
              </w:tabs>
              <w:spacing w:before="0" w:afterLines="40" w:after="9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lang w:val="en-GB"/>
              </w:rPr>
            </w:pPr>
            <w:r>
              <w:rPr>
                <w:rFonts w:ascii="Times New Roman" w:hAnsi="Times New Roman" w:cs="Times New Roman"/>
                <w:b/>
                <w:noProof/>
                <w:sz w:val="24"/>
                <w:lang w:val="en-GB"/>
              </w:rPr>
              <w:t>+</w:t>
            </w:r>
            <w:r>
              <w:rPr>
                <w:rFonts w:ascii="Times New Roman" w:hAnsi="Times New Roman" w:cs="Times New Roman"/>
                <w:b/>
                <w:noProof/>
                <w:sz w:val="24"/>
                <w:szCs w:val="24"/>
                <w:lang w:val="en-GB"/>
              </w:rPr>
              <w:t>5</w:t>
            </w:r>
          </w:p>
        </w:tc>
      </w:tr>
    </w:tbl>
    <w:p w:rsidR="001B65FF" w:rsidRDefault="003E4EF4">
      <w:pPr>
        <w:spacing w:before="200" w:after="0"/>
        <w:rPr>
          <w:rFonts w:ascii="Times New Roman" w:hAnsi="Times New Roman" w:cs="Times New Roman"/>
          <w:noProof/>
          <w:u w:val="single"/>
        </w:rPr>
      </w:pPr>
      <w:r>
        <w:rPr>
          <w:rFonts w:ascii="Times New Roman" w:eastAsia="Times New Roman" w:hAnsi="Times New Roman" w:cs="Times New Roman"/>
          <w:noProof/>
          <w:sz w:val="24"/>
          <w:u w:val="single"/>
        </w:rPr>
        <w:t>Effectiveness/social impact</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least effective is the baseline scenario, which even leads to a worsening of the situation due to the growing relevance of electronic data, while the most effective is option D combining all the seven retained measures. There is an important difference</w:t>
      </w:r>
      <w:r>
        <w:rPr>
          <w:rFonts w:ascii="Times New Roman" w:hAnsi="Times New Roman" w:cs="Times New Roman"/>
          <w:noProof/>
          <w:sz w:val="24"/>
          <w:szCs w:val="24"/>
        </w:rPr>
        <w:t xml:space="preserve"> in terms of effectiveness between options including legislative measures and options not containing them, as the main problem to be solved is a regulatory failure. Non-legislative measures can therefore only lead to limited improvements within the existin</w:t>
      </w:r>
      <w:r>
        <w:rPr>
          <w:rFonts w:ascii="Times New Roman" w:hAnsi="Times New Roman" w:cs="Times New Roman"/>
          <w:noProof/>
          <w:sz w:val="24"/>
          <w:szCs w:val="24"/>
        </w:rPr>
        <w:t xml:space="preserve">g legal framework. </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szCs w:val="24"/>
        </w:rPr>
        <w:t>Option B can improve the effectiveness in relation to option A depending on the international agreement reached, but it remains highly uncertain what the results would be and when they would become effective. The biggest added value could be achieved if in</w:t>
      </w:r>
      <w:r>
        <w:rPr>
          <w:rFonts w:ascii="Times New Roman" w:hAnsi="Times New Roman" w:cs="Times New Roman"/>
          <w:noProof/>
          <w:sz w:val="24"/>
          <w:szCs w:val="24"/>
        </w:rPr>
        <w:t xml:space="preserve">ternational agreements complemented EU legislation, while adopting legislation would also help to define a common EU position on some of the key issues. </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szCs w:val="24"/>
        </w:rPr>
        <w:t xml:space="preserve">Option C would significantly increase the effectiveness of access to electronic evidence in different </w:t>
      </w:r>
      <w:r>
        <w:rPr>
          <w:rFonts w:ascii="Times New Roman" w:hAnsi="Times New Roman" w:cs="Times New Roman"/>
          <w:noProof/>
          <w:sz w:val="24"/>
          <w:szCs w:val="24"/>
        </w:rPr>
        <w:t>ways, as it would:</w:t>
      </w:r>
    </w:p>
    <w:p w:rsidR="001B65FF" w:rsidRDefault="003E4EF4">
      <w:pPr>
        <w:pStyle w:val="ListParagraph"/>
        <w:numPr>
          <w:ilvl w:val="0"/>
          <w:numId w:val="44"/>
        </w:numPr>
        <w:jc w:val="both"/>
        <w:rPr>
          <w:rFonts w:ascii="Times New Roman" w:hAnsi="Times New Roman" w:cs="Times New Roman"/>
          <w:noProof/>
          <w:sz w:val="24"/>
          <w:szCs w:val="24"/>
        </w:rPr>
      </w:pPr>
      <w:r>
        <w:rPr>
          <w:rFonts w:ascii="Times New Roman" w:hAnsi="Times New Roman" w:cs="Times New Roman"/>
          <w:noProof/>
          <w:sz w:val="24"/>
          <w:szCs w:val="24"/>
        </w:rPr>
        <w:t>ensure faster access compared to current judicial cooperation channels,</w:t>
      </w:r>
    </w:p>
    <w:p w:rsidR="001B65FF" w:rsidRDefault="003E4EF4">
      <w:pPr>
        <w:pStyle w:val="ListParagraph"/>
        <w:numPr>
          <w:ilvl w:val="0"/>
          <w:numId w:val="44"/>
        </w:numPr>
        <w:jc w:val="both"/>
        <w:rPr>
          <w:rFonts w:ascii="Times New Roman" w:hAnsi="Times New Roman" w:cs="Times New Roman"/>
          <w:noProof/>
          <w:sz w:val="24"/>
          <w:szCs w:val="24"/>
        </w:rPr>
      </w:pPr>
      <w:r>
        <w:rPr>
          <w:rFonts w:ascii="Times New Roman" w:hAnsi="Times New Roman" w:cs="Times New Roman"/>
          <w:noProof/>
          <w:sz w:val="24"/>
          <w:szCs w:val="24"/>
        </w:rPr>
        <w:t>bring increased legal certainty compared to current voluntary cooperation channels, and</w:t>
      </w:r>
    </w:p>
    <w:p w:rsidR="001B65FF" w:rsidRDefault="003E4EF4">
      <w:pPr>
        <w:pStyle w:val="ListParagraph"/>
        <w:numPr>
          <w:ilvl w:val="0"/>
          <w:numId w:val="44"/>
        </w:numPr>
        <w:jc w:val="both"/>
        <w:rPr>
          <w:rFonts w:ascii="Times New Roman" w:hAnsi="Times New Roman" w:cs="Times New Roman"/>
          <w:noProof/>
          <w:sz w:val="24"/>
          <w:szCs w:val="24"/>
        </w:rPr>
      </w:pPr>
      <w:r>
        <w:rPr>
          <w:rFonts w:ascii="Times New Roman" w:hAnsi="Times New Roman" w:cs="Times New Roman"/>
          <w:noProof/>
          <w:sz w:val="24"/>
          <w:szCs w:val="24"/>
        </w:rPr>
        <w:t xml:space="preserve">ensure access to content where there is no conflict of law. </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szCs w:val="24"/>
        </w:rPr>
        <w:t>Improving access</w:t>
      </w:r>
      <w:r>
        <w:rPr>
          <w:rFonts w:ascii="Times New Roman" w:hAnsi="Times New Roman" w:cs="Times New Roman"/>
          <w:noProof/>
          <w:sz w:val="24"/>
          <w:szCs w:val="24"/>
        </w:rPr>
        <w:t xml:space="preserve"> for non-content data is a significant step forward, as this type of evidence is more frequently requested than content data (cf. the transparency reports by US-based service providers that mostly concern non-content data, as content data can only be provi</w:t>
      </w:r>
      <w:r>
        <w:rPr>
          <w:rFonts w:ascii="Times New Roman" w:hAnsi="Times New Roman" w:cs="Times New Roman"/>
          <w:noProof/>
          <w:sz w:val="24"/>
          <w:szCs w:val="24"/>
        </w:rPr>
        <w:t>ded in emergency situations). For content data held by US providers, the preservation of data by service providers under the new instrument would ensure that at least the content data is not lost while judicial cooperation channels are pursued. Moreover, b</w:t>
      </w:r>
      <w:r>
        <w:rPr>
          <w:rFonts w:ascii="Times New Roman" w:hAnsi="Times New Roman" w:cs="Times New Roman"/>
          <w:noProof/>
          <w:sz w:val="24"/>
          <w:szCs w:val="24"/>
        </w:rPr>
        <w:t>y also covering content data and combining it with a conflicts of obligations clause, the instrument would be future-proof and might not need to be amended if an agreement with the US was reached on access to content data in the framework of a bilateral ag</w:t>
      </w:r>
      <w:r>
        <w:rPr>
          <w:rFonts w:ascii="Times New Roman" w:hAnsi="Times New Roman" w:cs="Times New Roman"/>
          <w:noProof/>
          <w:sz w:val="24"/>
          <w:szCs w:val="24"/>
        </w:rPr>
        <w:t>reement.</w:t>
      </w:r>
    </w:p>
    <w:p w:rsidR="001B65FF" w:rsidRDefault="003E4EF4">
      <w:pPr>
        <w:jc w:val="both"/>
        <w:rPr>
          <w:rFonts w:ascii="Times New Roman" w:hAnsi="Times New Roman" w:cs="Times New Roman"/>
          <w:noProof/>
          <w:sz w:val="24"/>
        </w:rPr>
      </w:pPr>
      <w:r>
        <w:rPr>
          <w:rFonts w:ascii="Times New Roman" w:hAnsi="Times New Roman" w:cs="Times New Roman"/>
          <w:noProof/>
          <w:sz w:val="24"/>
          <w:szCs w:val="24"/>
        </w:rPr>
        <w:t>Option D would be slightly more effective than option C, as it would add another tool that would be useful for practitioners in certain situations. This would in particular benefit those Member States that do not access data possibly stored outsid</w:t>
      </w:r>
      <w:r>
        <w:rPr>
          <w:rFonts w:ascii="Times New Roman" w:hAnsi="Times New Roman" w:cs="Times New Roman"/>
          <w:noProof/>
          <w:sz w:val="24"/>
          <w:szCs w:val="24"/>
        </w:rPr>
        <w:t xml:space="preserve">e of their territory. </w:t>
      </w:r>
    </w:p>
    <w:p w:rsidR="001B65FF" w:rsidRDefault="003E4EF4">
      <w:pPr>
        <w:spacing w:after="0"/>
        <w:rPr>
          <w:rFonts w:ascii="Times New Roman" w:hAnsi="Times New Roman" w:cs="Times New Roman"/>
          <w:i/>
          <w:noProof/>
          <w:u w:val="single"/>
        </w:rPr>
      </w:pPr>
      <w:r>
        <w:rPr>
          <w:rFonts w:ascii="Times New Roman" w:eastAsia="Times New Roman" w:hAnsi="Times New Roman" w:cs="Times New Roman"/>
          <w:noProof/>
          <w:sz w:val="24"/>
          <w:u w:val="single"/>
        </w:rPr>
        <w:t>Efficiency</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Except for the baseline, all options would</w:t>
      </w:r>
      <w:r>
        <w:rPr>
          <w:rFonts w:ascii="Times New Roman" w:hAnsi="Times New Roman" w:cs="Times New Roman"/>
          <w:noProof/>
          <w:sz w:val="24"/>
          <w:szCs w:val="24"/>
        </w:rPr>
        <w:t xml:space="preserve"> generate some administrative costs for public authorities but are expected to lead to even greater benefits in terms of savings, as the processes become more efficient through the</w:t>
      </w:r>
      <w:r>
        <w:rPr>
          <w:rFonts w:ascii="Times New Roman" w:hAnsi="Times New Roman" w:cs="Times New Roman"/>
          <w:noProof/>
          <w:sz w:val="24"/>
          <w:szCs w:val="24"/>
        </w:rPr>
        <w:t xml:space="preserve"> different sets of measures and public authorities would be able to use the most efficient and appropriate channel available. </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rPr>
        <w:t>Options C and D would both lead to a significant shift from judicial cooperation channels to more efficient direct cooperation ch</w:t>
      </w:r>
      <w:r>
        <w:rPr>
          <w:rFonts w:ascii="Times New Roman" w:hAnsi="Times New Roman" w:cs="Times New Roman"/>
          <w:noProof/>
          <w:sz w:val="24"/>
        </w:rPr>
        <w:t>annels and, to a more limited extent, to direct access channels, leading to important cost savings for Member States.</w:t>
      </w:r>
      <w:r>
        <w:rPr>
          <w:rFonts w:ascii="Times New Roman" w:hAnsi="Times New Roman" w:cs="Times New Roman"/>
          <w:noProof/>
          <w:sz w:val="24"/>
          <w:szCs w:val="24"/>
        </w:rPr>
        <w:t xml:space="preserve"> If an international solution includes provisions on direct cooperation, this would also apply.</w:t>
      </w:r>
    </w:p>
    <w:p w:rsidR="001B65FF" w:rsidRDefault="003E4EF4">
      <w:pPr>
        <w:jc w:val="both"/>
        <w:rPr>
          <w:rFonts w:ascii="Times New Roman" w:hAnsi="Times New Roman" w:cs="Times New Roman"/>
          <w:noProof/>
          <w:sz w:val="24"/>
        </w:rPr>
      </w:pPr>
      <w:r>
        <w:rPr>
          <w:rFonts w:ascii="Times New Roman" w:hAnsi="Times New Roman" w:cs="Times New Roman"/>
          <w:noProof/>
          <w:sz w:val="24"/>
          <w:szCs w:val="24"/>
        </w:rPr>
        <w:t>For service providers, all options will sim</w:t>
      </w:r>
      <w:r>
        <w:rPr>
          <w:rFonts w:ascii="Times New Roman" w:hAnsi="Times New Roman" w:cs="Times New Roman"/>
          <w:noProof/>
          <w:sz w:val="24"/>
          <w:szCs w:val="24"/>
        </w:rPr>
        <w:t>ilarly generate administrative costs, and also some savings when processes become more efficient, but less than for public authorities as they remain involved to the same extent for both judicial cooperation channels and for direct cooperation channels. Th</w:t>
      </w:r>
      <w:r>
        <w:rPr>
          <w:rFonts w:ascii="Times New Roman" w:hAnsi="Times New Roman" w:cs="Times New Roman"/>
          <w:noProof/>
          <w:sz w:val="24"/>
          <w:szCs w:val="24"/>
        </w:rPr>
        <w:t xml:space="preserve">e main burden for them would result from options C and D including a European Production Order, as they would be faced with orders from other Member States authorities, and would have to establish a legal representative. The biggest gain for them would be </w:t>
      </w:r>
      <w:r>
        <w:rPr>
          <w:rFonts w:ascii="Times New Roman" w:hAnsi="Times New Roman" w:cs="Times New Roman"/>
          <w:noProof/>
          <w:sz w:val="24"/>
          <w:szCs w:val="24"/>
        </w:rPr>
        <w:t>an increase of legal certainty and less conflicts of law.</w:t>
      </w:r>
    </w:p>
    <w:p w:rsidR="001B65FF" w:rsidRDefault="003E4EF4">
      <w:pPr>
        <w:spacing w:after="0"/>
        <w:rPr>
          <w:rFonts w:ascii="Times New Roman" w:hAnsi="Times New Roman" w:cs="Times New Roman"/>
          <w:i/>
          <w:noProof/>
          <w:u w:val="single"/>
        </w:rPr>
      </w:pPr>
      <w:r>
        <w:rPr>
          <w:rFonts w:ascii="Times New Roman" w:eastAsia="Times New Roman" w:hAnsi="Times New Roman" w:cs="Times New Roman"/>
          <w:noProof/>
          <w:sz w:val="24"/>
          <w:u w:val="single"/>
        </w:rPr>
        <w:t>Competitiveness</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szCs w:val="24"/>
        </w:rPr>
        <w:t>Under the baseline and option A, companies would continue to suffer from the lack of legal certainty currently surrounding cross-border requests for electronic evidence, and from a r</w:t>
      </w:r>
      <w:r>
        <w:rPr>
          <w:rFonts w:ascii="Times New Roman" w:hAnsi="Times New Roman" w:cs="Times New Roman"/>
          <w:noProof/>
          <w:sz w:val="24"/>
          <w:szCs w:val="24"/>
        </w:rPr>
        <w:t>isk of conflicts of law if Member States adopt diverging national solutions. The options including legislative measures would improve legal certainty for companies and reduce the risk of conflicts of law. Options C and D with provisions on a European Produ</w:t>
      </w:r>
      <w:r>
        <w:rPr>
          <w:rFonts w:ascii="Times New Roman" w:hAnsi="Times New Roman" w:cs="Times New Roman"/>
          <w:noProof/>
          <w:sz w:val="24"/>
          <w:szCs w:val="24"/>
        </w:rPr>
        <w:t xml:space="preserve">ction Order score best in this regard, as companies would have a clear legal framework and as a result a better understanding of their obligations under that framework. </w:t>
      </w:r>
    </w:p>
    <w:p w:rsidR="001B65FF" w:rsidRDefault="003E4EF4">
      <w:pPr>
        <w:jc w:val="both"/>
        <w:rPr>
          <w:rFonts w:ascii="Times New Roman" w:hAnsi="Times New Roman" w:cs="Times New Roman"/>
          <w:noProof/>
        </w:rPr>
      </w:pPr>
      <w:r>
        <w:rPr>
          <w:rFonts w:ascii="Times New Roman" w:hAnsi="Times New Roman" w:cs="Times New Roman"/>
          <w:noProof/>
          <w:sz w:val="24"/>
          <w:szCs w:val="24"/>
        </w:rPr>
        <w:t>Options C and D with provisions on a European Production Order could however also impa</w:t>
      </w:r>
      <w:r>
        <w:rPr>
          <w:rFonts w:ascii="Times New Roman" w:hAnsi="Times New Roman" w:cs="Times New Roman"/>
          <w:noProof/>
          <w:sz w:val="24"/>
          <w:szCs w:val="24"/>
        </w:rPr>
        <w:t>ct the business models chosen by companies with regard to corporate customers. It would therefore be important to include a “controller first” clause in the proposal to mitigate this risk.</w:t>
      </w:r>
    </w:p>
    <w:p w:rsidR="001B65FF" w:rsidRDefault="003E4EF4">
      <w:pPr>
        <w:spacing w:after="0"/>
        <w:rPr>
          <w:rFonts w:ascii="Times New Roman" w:hAnsi="Times New Roman" w:cs="Times New Roman"/>
          <w:i/>
          <w:noProof/>
          <w:u w:val="single"/>
        </w:rPr>
      </w:pPr>
      <w:r>
        <w:rPr>
          <w:rFonts w:ascii="Times New Roman" w:eastAsia="Times New Roman" w:hAnsi="Times New Roman" w:cs="Times New Roman"/>
          <w:noProof/>
          <w:sz w:val="24"/>
          <w:u w:val="single"/>
        </w:rPr>
        <w:t xml:space="preserve">Fundamental rights </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rPr>
        <w:t>Non</w:t>
      </w:r>
      <w:r>
        <w:rPr>
          <w:rFonts w:ascii="Times New Roman" w:hAnsi="Times New Roman" w:cs="Times New Roman"/>
          <w:noProof/>
          <w:sz w:val="24"/>
          <w:szCs w:val="24"/>
        </w:rPr>
        <w:t>-legislative options would have a smaller im</w:t>
      </w:r>
      <w:r>
        <w:rPr>
          <w:rFonts w:ascii="Times New Roman" w:hAnsi="Times New Roman" w:cs="Times New Roman"/>
          <w:noProof/>
          <w:sz w:val="24"/>
          <w:szCs w:val="24"/>
        </w:rPr>
        <w:t>pact on fundamental rights of data subjects since they don’t change the way the existing cooperation channels function, but make them more effective, either by reducing the time it takes to obtain the data (without fundamental right impact) or by increasin</w:t>
      </w:r>
      <w:r>
        <w:rPr>
          <w:rFonts w:ascii="Times New Roman" w:hAnsi="Times New Roman" w:cs="Times New Roman"/>
          <w:noProof/>
          <w:sz w:val="24"/>
          <w:szCs w:val="24"/>
        </w:rPr>
        <w:t>g the number of requests. However, compared to legislative options, non-legislative options can’t achieve a similar level of protection when compared to the baseline scenario. The lack of a clear legal framework for direct cooperation creates a risk for fu</w:t>
      </w:r>
      <w:r>
        <w:rPr>
          <w:rFonts w:ascii="Times New Roman" w:hAnsi="Times New Roman" w:cs="Times New Roman"/>
          <w:noProof/>
          <w:sz w:val="24"/>
          <w:szCs w:val="24"/>
        </w:rPr>
        <w:t xml:space="preserve">ndamental rights of the persons whose data is sought, as they can’t refer to clear protecting provisions. This can only be overcome by a legal framework with clear rules protecting fundamental rights. The need for an appropriate legal basis in the area of </w:t>
      </w:r>
      <w:r>
        <w:rPr>
          <w:rFonts w:ascii="Times New Roman" w:hAnsi="Times New Roman" w:cs="Times New Roman"/>
          <w:noProof/>
          <w:sz w:val="24"/>
          <w:szCs w:val="24"/>
        </w:rPr>
        <w:t>criminal law (</w:t>
      </w:r>
      <w:r>
        <w:rPr>
          <w:rFonts w:ascii="Times New Roman" w:hAnsi="Times New Roman" w:cs="Times New Roman"/>
          <w:i/>
          <w:noProof/>
          <w:sz w:val="24"/>
          <w:szCs w:val="24"/>
        </w:rPr>
        <w:t>nulla poena sine lege</w:t>
      </w:r>
      <w:r>
        <w:rPr>
          <w:rFonts w:ascii="Times New Roman" w:hAnsi="Times New Roman" w:cs="Times New Roman"/>
          <w:noProof/>
          <w:sz w:val="24"/>
          <w:szCs w:val="24"/>
        </w:rPr>
        <w:t>) and criminal procedural law is furthermore anchored in national constitutions.</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szCs w:val="24"/>
        </w:rPr>
        <w:t>Option B, with the inclusion of international agreements may have a positive impact on fundamental rights, by including provisions protectin</w:t>
      </w:r>
      <w:r>
        <w:rPr>
          <w:rFonts w:ascii="Times New Roman" w:hAnsi="Times New Roman" w:cs="Times New Roman"/>
          <w:noProof/>
          <w:sz w:val="24"/>
          <w:szCs w:val="24"/>
        </w:rPr>
        <w:t xml:space="preserve">g fundamental rights and by improving legal certainty in a larger number of countries, compared to the Union, but the level of protection may be lower for multilateral solutions than for bilateral agreements. </w:t>
      </w:r>
    </w:p>
    <w:p w:rsidR="001B65FF" w:rsidRDefault="003E4EF4">
      <w:pPr>
        <w:jc w:val="both"/>
        <w:rPr>
          <w:rFonts w:ascii="Times New Roman" w:hAnsi="Times New Roman" w:cs="Times New Roman"/>
          <w:noProof/>
        </w:rPr>
      </w:pPr>
      <w:r>
        <w:rPr>
          <w:rFonts w:ascii="Times New Roman" w:hAnsi="Times New Roman" w:cs="Times New Roman"/>
          <w:noProof/>
          <w:sz w:val="24"/>
          <w:szCs w:val="24"/>
        </w:rPr>
        <w:t xml:space="preserve">Options C and D with provisions on a European </w:t>
      </w:r>
      <w:r>
        <w:rPr>
          <w:rFonts w:ascii="Times New Roman" w:hAnsi="Times New Roman" w:cs="Times New Roman"/>
          <w:noProof/>
          <w:sz w:val="24"/>
          <w:szCs w:val="24"/>
        </w:rPr>
        <w:t>Production Order and on direct access would have the biggest potential impact on fundamental rights by facilitating access by public authorities to personal data, but these impacts would be mitigated by including sufficient safeguards and conditions, as ex</w:t>
      </w:r>
      <w:r>
        <w:rPr>
          <w:rFonts w:ascii="Times New Roman" w:hAnsi="Times New Roman" w:cs="Times New Roman"/>
          <w:noProof/>
          <w:sz w:val="24"/>
          <w:szCs w:val="24"/>
        </w:rPr>
        <w:t>plained above in the description of measures. E.g., the involvement of a judicial authority that assesses the proportionality and the conformity with fundamental rights of the measure, and with legal remedies clearly spelled out, protects the fundamental r</w:t>
      </w:r>
      <w:r>
        <w:rPr>
          <w:rFonts w:ascii="Times New Roman" w:hAnsi="Times New Roman" w:cs="Times New Roman"/>
          <w:noProof/>
          <w:sz w:val="24"/>
          <w:szCs w:val="24"/>
        </w:rPr>
        <w:t>ights of the persons affected better than the voluntary cooperation where law enforcement issues requests in an unclear legal framework with service providers assessing the legality of this measure. This means that these options score better, in terms of f</w:t>
      </w:r>
      <w:r>
        <w:rPr>
          <w:rFonts w:ascii="Times New Roman" w:hAnsi="Times New Roman" w:cs="Times New Roman"/>
          <w:noProof/>
          <w:sz w:val="24"/>
          <w:szCs w:val="24"/>
        </w:rPr>
        <w:t>undamental rights impacts, than the non-legislative options.</w:t>
      </w:r>
    </w:p>
    <w:p w:rsidR="001B65FF" w:rsidRDefault="001B65FF">
      <w:pPr>
        <w:spacing w:after="0"/>
        <w:rPr>
          <w:rFonts w:ascii="Times New Roman" w:eastAsia="Times New Roman" w:hAnsi="Times New Roman" w:cs="Times New Roman"/>
          <w:noProof/>
          <w:sz w:val="24"/>
          <w:u w:val="single"/>
        </w:rPr>
      </w:pPr>
    </w:p>
    <w:p w:rsidR="001B65FF" w:rsidRDefault="001B65FF">
      <w:pPr>
        <w:spacing w:after="0"/>
        <w:rPr>
          <w:rFonts w:ascii="Times New Roman" w:eastAsia="Times New Roman" w:hAnsi="Times New Roman" w:cs="Times New Roman"/>
          <w:noProof/>
          <w:sz w:val="24"/>
          <w:u w:val="single"/>
        </w:rPr>
      </w:pPr>
    </w:p>
    <w:p w:rsidR="001B65FF" w:rsidRDefault="003E4EF4">
      <w:pPr>
        <w:spacing w:after="0"/>
        <w:rPr>
          <w:rFonts w:ascii="Times New Roman" w:hAnsi="Times New Roman" w:cs="Times New Roman"/>
          <w:i/>
          <w:noProof/>
          <w:u w:val="single"/>
        </w:rPr>
      </w:pPr>
      <w:r>
        <w:rPr>
          <w:rFonts w:ascii="Times New Roman" w:eastAsia="Times New Roman" w:hAnsi="Times New Roman" w:cs="Times New Roman"/>
          <w:noProof/>
          <w:sz w:val="24"/>
          <w:u w:val="single"/>
        </w:rPr>
        <w:t>Impact on international relations</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szCs w:val="24"/>
        </w:rPr>
        <w:t>While non-legislative options would not have much impact on non-EU countries, Options B, C and D including international agreements would benefit international</w:t>
      </w:r>
      <w:r>
        <w:rPr>
          <w:rFonts w:ascii="Times New Roman" w:hAnsi="Times New Roman" w:cs="Times New Roman"/>
          <w:noProof/>
          <w:sz w:val="24"/>
          <w:szCs w:val="24"/>
        </w:rPr>
        <w:t xml:space="preserve"> relations by providing a mutually acceptable framework for cross-border access to e-evidence. However, international agreements are uncertain and may take a long time to become effective.</w:t>
      </w:r>
    </w:p>
    <w:p w:rsidR="001B65FF" w:rsidRDefault="003E4EF4">
      <w:pPr>
        <w:jc w:val="both"/>
        <w:rPr>
          <w:rFonts w:ascii="Times New Roman" w:hAnsi="Times New Roman" w:cs="Times New Roman"/>
          <w:noProof/>
          <w:sz w:val="24"/>
        </w:rPr>
      </w:pPr>
      <w:r>
        <w:rPr>
          <w:rFonts w:ascii="Times New Roman" w:hAnsi="Times New Roman" w:cs="Times New Roman"/>
          <w:noProof/>
          <w:sz w:val="24"/>
          <w:szCs w:val="24"/>
        </w:rPr>
        <w:t>Options C and D, with provisions on a European Production Order and</w:t>
      </w:r>
      <w:r>
        <w:rPr>
          <w:rFonts w:ascii="Times New Roman" w:hAnsi="Times New Roman" w:cs="Times New Roman"/>
          <w:noProof/>
          <w:sz w:val="24"/>
          <w:szCs w:val="24"/>
        </w:rPr>
        <w:t xml:space="preserve"> on direct access that move away from data storage location, could trigger reciprocal responses by non-EU countries. For the EPO, this could be mitigated by a 'conflicts of law' clause.   </w:t>
      </w:r>
    </w:p>
    <w:p w:rsidR="001B65FF" w:rsidRDefault="003E4EF4">
      <w:pPr>
        <w:rPr>
          <w:rFonts w:ascii="Times New Roman" w:hAnsi="Times New Roman"/>
          <w:b/>
          <w:noProof/>
          <w:sz w:val="24"/>
        </w:rPr>
      </w:pPr>
      <w:bookmarkStart w:id="1584" w:name="_Toc498509699"/>
      <w:bookmarkStart w:id="1585" w:name="_Toc498521253"/>
      <w:r>
        <w:rPr>
          <w:rFonts w:ascii="Times New Roman" w:hAnsi="Times New Roman"/>
          <w:b/>
          <w:noProof/>
          <w:sz w:val="24"/>
        </w:rPr>
        <w:t>7.1.2 Assessment with regard to meeting the specific objectives</w:t>
      </w:r>
      <w:bookmarkEnd w:id="1584"/>
      <w:bookmarkEnd w:id="1585"/>
    </w:p>
    <w:p w:rsidR="001B65FF" w:rsidRDefault="003E4EF4">
      <w:pPr>
        <w:spacing w:after="0"/>
        <w:rPr>
          <w:rFonts w:ascii="Times New Roman" w:eastAsia="Times New Roman" w:hAnsi="Times New Roman" w:cs="Times New Roman"/>
          <w:noProof/>
          <w:sz w:val="24"/>
          <w:u w:val="single"/>
        </w:rPr>
      </w:pPr>
      <w:r>
        <w:rPr>
          <w:rFonts w:ascii="Times New Roman" w:eastAsia="Times New Roman" w:hAnsi="Times New Roman" w:cs="Times New Roman"/>
          <w:noProof/>
          <w:sz w:val="24"/>
          <w:u w:val="single"/>
        </w:rPr>
        <w:t>Red</w:t>
      </w:r>
      <w:r>
        <w:rPr>
          <w:rFonts w:ascii="Times New Roman" w:eastAsia="Times New Roman" w:hAnsi="Times New Roman" w:cs="Times New Roman"/>
          <w:noProof/>
          <w:sz w:val="24"/>
          <w:u w:val="single"/>
        </w:rPr>
        <w:t>uce delays in cross-border access to electronic evidence</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rPr>
        <w:t xml:space="preserve">All options address this specific objective, but to different degrees. While options A and B would lead </w:t>
      </w:r>
      <w:r>
        <w:rPr>
          <w:rFonts w:ascii="Times New Roman" w:hAnsi="Times New Roman" w:cs="Times New Roman"/>
          <w:noProof/>
          <w:sz w:val="24"/>
          <w:szCs w:val="24"/>
        </w:rPr>
        <w:t>to reasonable reductions in delays for both MLA/EIO and direct cooperation, legislative options</w:t>
      </w:r>
      <w:r>
        <w:rPr>
          <w:rFonts w:ascii="Times New Roman" w:hAnsi="Times New Roman" w:cs="Times New Roman"/>
          <w:noProof/>
          <w:sz w:val="24"/>
          <w:szCs w:val="24"/>
        </w:rPr>
        <w:t xml:space="preserve"> C and D would lead to a shift from judicial cooperation to direct cooperation (or direct access), significantly reducing delays, as the latter channels are faster. By introducing deadlines for direct cooperation, options C and D could further reduce delay</w:t>
      </w:r>
      <w:r>
        <w:rPr>
          <w:rFonts w:ascii="Times New Roman" w:hAnsi="Times New Roman" w:cs="Times New Roman"/>
          <w:noProof/>
          <w:sz w:val="24"/>
          <w:szCs w:val="24"/>
        </w:rPr>
        <w:t xml:space="preserve">s. </w:t>
      </w:r>
    </w:p>
    <w:p w:rsidR="001B65FF" w:rsidRDefault="003E4EF4">
      <w:pPr>
        <w:spacing w:after="0"/>
        <w:rPr>
          <w:rFonts w:ascii="Times New Roman" w:eastAsia="Times New Roman" w:hAnsi="Times New Roman" w:cs="Times New Roman"/>
          <w:noProof/>
          <w:sz w:val="24"/>
          <w:u w:val="single"/>
        </w:rPr>
      </w:pPr>
      <w:r>
        <w:rPr>
          <w:rFonts w:ascii="Times New Roman" w:eastAsia="Times New Roman" w:hAnsi="Times New Roman" w:cs="Times New Roman"/>
          <w:noProof/>
          <w:sz w:val="24"/>
          <w:u w:val="single"/>
        </w:rPr>
        <w:t>Ensure cross-border access to electronic evidence where it is currently missing</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szCs w:val="24"/>
        </w:rPr>
        <w:t xml:space="preserve">While it can be expected that non-legislative measures would lead to some improvements also in terms of ensuring access to electronic evidence where it is currently </w:t>
      </w:r>
      <w:r>
        <w:rPr>
          <w:rFonts w:ascii="Times New Roman" w:hAnsi="Times New Roman" w:cs="Times New Roman"/>
          <w:noProof/>
          <w:sz w:val="24"/>
          <w:szCs w:val="24"/>
        </w:rPr>
        <w:t>missing, options C and D could achieve this to a greater extent, as they introduce a more efficient procedure which includes obligations for service providers to give access to the data.</w:t>
      </w:r>
    </w:p>
    <w:p w:rsidR="001B65FF" w:rsidRDefault="003E4EF4">
      <w:pPr>
        <w:spacing w:after="0"/>
        <w:rPr>
          <w:rFonts w:ascii="Times New Roman" w:eastAsia="Times New Roman" w:hAnsi="Times New Roman" w:cs="Times New Roman"/>
          <w:noProof/>
          <w:sz w:val="24"/>
          <w:u w:val="single"/>
        </w:rPr>
      </w:pPr>
      <w:r>
        <w:rPr>
          <w:rFonts w:ascii="Times New Roman" w:eastAsia="Times New Roman" w:hAnsi="Times New Roman" w:cs="Times New Roman"/>
          <w:noProof/>
          <w:sz w:val="24"/>
          <w:u w:val="single"/>
        </w:rPr>
        <w:t>Improve legal certainty, protection of fundamental rights,</w:t>
      </w:r>
      <w:r>
        <w:rPr>
          <w:rFonts w:ascii="Times New Roman" w:hAnsi="Times New Roman" w:cs="Times New Roman"/>
          <w:b/>
          <w:noProof/>
          <w:sz w:val="20"/>
          <w:szCs w:val="20"/>
        </w:rPr>
        <w:t xml:space="preserve"> </w:t>
      </w:r>
      <w:r>
        <w:rPr>
          <w:rFonts w:ascii="Times New Roman" w:eastAsia="Times New Roman" w:hAnsi="Times New Roman" w:cs="Times New Roman"/>
          <w:noProof/>
          <w:sz w:val="24"/>
          <w:u w:val="single"/>
        </w:rPr>
        <w:t>transparen</w:t>
      </w:r>
      <w:r>
        <w:rPr>
          <w:rFonts w:ascii="Times New Roman" w:eastAsia="Times New Roman" w:hAnsi="Times New Roman" w:cs="Times New Roman"/>
          <w:noProof/>
          <w:sz w:val="24"/>
          <w:u w:val="single"/>
        </w:rPr>
        <w:t>cy and accountability</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Only </w:t>
      </w:r>
      <w:r>
        <w:rPr>
          <w:rFonts w:ascii="Times New Roman" w:hAnsi="Times New Roman" w:cs="Times New Roman"/>
          <w:noProof/>
          <w:sz w:val="24"/>
          <w:szCs w:val="24"/>
        </w:rPr>
        <w:t>options B, C and D with their legislative measures would be able to effectively achieve this specific objective, which is closely linked to the s</w:t>
      </w:r>
      <w:r>
        <w:rPr>
          <w:rFonts w:ascii="Times New Roman" w:hAnsi="Times New Roman" w:cs="Times New Roman"/>
          <w:noProof/>
          <w:sz w:val="24"/>
          <w:lang w:eastAsia="en-GB"/>
        </w:rPr>
        <w:t xml:space="preserve">hortcomings </w:t>
      </w:r>
      <w:r>
        <w:rPr>
          <w:rFonts w:ascii="Times New Roman" w:hAnsi="Times New Roman" w:cs="Times New Roman"/>
          <w:noProof/>
          <w:sz w:val="24"/>
          <w:szCs w:val="24"/>
        </w:rPr>
        <w:t>of the current legal framework. Options C and D would achieve it to a be</w:t>
      </w:r>
      <w:r>
        <w:rPr>
          <w:rFonts w:ascii="Times New Roman" w:hAnsi="Times New Roman" w:cs="Times New Roman"/>
          <w:noProof/>
          <w:sz w:val="24"/>
          <w:szCs w:val="24"/>
        </w:rPr>
        <w:t xml:space="preserve">tter extent than option B, because the outcome of international agreements is uncertain. Option D would achieve this objective slightly better than option C, because it would also add legal certainty for the situations of cross-border access to e-evidence </w:t>
      </w:r>
      <w:r>
        <w:rPr>
          <w:rFonts w:ascii="Times New Roman" w:hAnsi="Times New Roman" w:cs="Times New Roman"/>
          <w:noProof/>
          <w:sz w:val="24"/>
          <w:szCs w:val="24"/>
        </w:rPr>
        <w:t>using direct access. The result of this assessment is consistent with the scores obtained by each of the options: options including legislative measures score far better than the non-legislative option A, and among the former, options C and D obtain the hi</w:t>
      </w:r>
      <w:r>
        <w:rPr>
          <w:rFonts w:ascii="Times New Roman" w:hAnsi="Times New Roman" w:cs="Times New Roman"/>
          <w:noProof/>
          <w:sz w:val="24"/>
          <w:szCs w:val="24"/>
        </w:rPr>
        <w:t xml:space="preserve">ghest scores because of the uncertainty of international solutions. </w:t>
      </w:r>
    </w:p>
    <w:p w:rsidR="001B65FF" w:rsidRDefault="003E4EF4">
      <w:pPr>
        <w:keepNext/>
        <w:numPr>
          <w:ilvl w:val="1"/>
          <w:numId w:val="3"/>
        </w:numPr>
        <w:tabs>
          <w:tab w:val="clear" w:pos="1200"/>
          <w:tab w:val="num" w:pos="567"/>
        </w:tabs>
        <w:spacing w:after="120" w:line="240" w:lineRule="auto"/>
        <w:ind w:left="709"/>
        <w:jc w:val="both"/>
        <w:outlineLvl w:val="1"/>
        <w:rPr>
          <w:rFonts w:ascii="Times New Roman" w:eastAsia="Times New Roman" w:hAnsi="Times New Roman"/>
          <w:noProof/>
          <w:sz w:val="24"/>
        </w:rPr>
      </w:pPr>
      <w:bookmarkStart w:id="1586" w:name="_Toc498509214"/>
      <w:bookmarkStart w:id="1587" w:name="_Toc498509458"/>
      <w:bookmarkStart w:id="1588" w:name="_Toc498509701"/>
      <w:bookmarkStart w:id="1589" w:name="_Toc498511017"/>
      <w:bookmarkStart w:id="1590" w:name="_Toc498517225"/>
      <w:bookmarkStart w:id="1591" w:name="_Toc498517699"/>
      <w:bookmarkStart w:id="1592" w:name="_Toc498517992"/>
      <w:bookmarkStart w:id="1593" w:name="_Toc498518758"/>
      <w:bookmarkStart w:id="1594" w:name="_Toc498520564"/>
      <w:bookmarkStart w:id="1595" w:name="_Toc498521066"/>
      <w:bookmarkStart w:id="1596" w:name="_Toc498522228"/>
      <w:bookmarkStart w:id="1597" w:name="_Toc498522410"/>
      <w:bookmarkStart w:id="1598" w:name="_Toc498522593"/>
      <w:bookmarkStart w:id="1599" w:name="_Toc498523459"/>
      <w:bookmarkStart w:id="1600" w:name="_Toc498517289"/>
      <w:bookmarkStart w:id="1601" w:name="_Toc498521312"/>
      <w:bookmarkStart w:id="1602" w:name="_Toc498701979"/>
      <w:bookmarkStart w:id="1603" w:name="_Toc498704711"/>
      <w:bookmarkStart w:id="1604" w:name="_Toc499020470"/>
      <w:bookmarkStart w:id="1605" w:name="_Toc499030404"/>
      <w:bookmarkStart w:id="1606" w:name="_Toc499044946"/>
      <w:bookmarkStart w:id="1607" w:name="_Toc499051362"/>
      <w:bookmarkStart w:id="1608" w:name="_Toc499133318"/>
      <w:bookmarkStart w:id="1609" w:name="_Toc499142888"/>
      <w:bookmarkStart w:id="1610" w:name="_Toc510952884"/>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rPr>
          <w:rFonts w:ascii="Times New Roman" w:eastAsia="Times New Roman" w:hAnsi="Times New Roman"/>
          <w:b/>
          <w:noProof/>
          <w:sz w:val="24"/>
        </w:rPr>
        <w:t>Quantitative comparison</w:t>
      </w:r>
      <w:bookmarkEnd w:id="1601"/>
      <w:bookmarkEnd w:id="1602"/>
      <w:bookmarkEnd w:id="1603"/>
      <w:bookmarkEnd w:id="1604"/>
      <w:bookmarkEnd w:id="1605"/>
      <w:bookmarkEnd w:id="1606"/>
      <w:bookmarkEnd w:id="1607"/>
      <w:bookmarkEnd w:id="1608"/>
      <w:bookmarkEnd w:id="1609"/>
      <w:bookmarkEnd w:id="1610"/>
    </w:p>
    <w:p w:rsidR="001B65FF" w:rsidRDefault="003E4EF4">
      <w:pPr>
        <w:spacing w:after="120"/>
        <w:rPr>
          <w:rFonts w:ascii="Times New Roman" w:hAnsi="Times New Roman" w:cs="Times New Roman"/>
          <w:noProof/>
          <w:sz w:val="24"/>
          <w:u w:val="single"/>
        </w:rPr>
      </w:pPr>
      <w:r>
        <w:rPr>
          <w:rFonts w:ascii="Times New Roman" w:hAnsi="Times New Roman" w:cs="Times New Roman"/>
          <w:noProof/>
          <w:sz w:val="24"/>
          <w:u w:val="single"/>
        </w:rPr>
        <w:t xml:space="preserve">Overall </w:t>
      </w:r>
      <w:r>
        <w:rPr>
          <w:rFonts w:ascii="Times New Roman" w:eastAsia="Times New Roman" w:hAnsi="Times New Roman"/>
          <w:noProof/>
          <w:sz w:val="24"/>
          <w:u w:val="single"/>
        </w:rPr>
        <w:t>costs</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For the purpose of comparing the options and calculating overall costs, a period of 10 years (2017-2026) was considered. Over that period, the total </w:t>
      </w:r>
      <w:r>
        <w:rPr>
          <w:rFonts w:ascii="Times New Roman" w:hAnsi="Times New Roman" w:cs="Times New Roman"/>
          <w:noProof/>
          <w:sz w:val="24"/>
        </w:rPr>
        <w:t>of costs per option is the following:</w:t>
      </w:r>
    </w:p>
    <w:p w:rsidR="001B65FF" w:rsidRDefault="001B65FF">
      <w:pPr>
        <w:spacing w:after="120"/>
        <w:jc w:val="both"/>
        <w:rPr>
          <w:rFonts w:ascii="Times New Roman" w:hAnsi="Times New Roman" w:cs="Times New Roman"/>
          <w:noProof/>
          <w:sz w:val="24"/>
        </w:rPr>
      </w:pPr>
    </w:p>
    <w:p w:rsidR="001B65FF" w:rsidRDefault="001B65FF">
      <w:pPr>
        <w:spacing w:after="120"/>
        <w:jc w:val="both"/>
        <w:rPr>
          <w:rFonts w:ascii="Times New Roman" w:hAnsi="Times New Roman" w:cs="Times New Roman"/>
          <w:noProof/>
          <w:sz w:val="24"/>
        </w:rPr>
      </w:pPr>
    </w:p>
    <w:p w:rsidR="001B65FF" w:rsidRDefault="001B65FF">
      <w:pPr>
        <w:spacing w:after="120"/>
        <w:jc w:val="both"/>
        <w:rPr>
          <w:rFonts w:ascii="Times New Roman" w:hAnsi="Times New Roman" w:cs="Times New Roman"/>
          <w:noProof/>
          <w:sz w:val="24"/>
        </w:rPr>
      </w:pPr>
    </w:p>
    <w:p w:rsidR="001B65FF" w:rsidRDefault="001B65FF">
      <w:pPr>
        <w:spacing w:after="120"/>
        <w:jc w:val="both"/>
        <w:rPr>
          <w:rFonts w:ascii="Times New Roman" w:hAnsi="Times New Roman" w:cs="Times New Roman"/>
          <w:noProof/>
          <w:sz w:val="24"/>
        </w:rPr>
      </w:pPr>
    </w:p>
    <w:p w:rsidR="001B65FF" w:rsidRDefault="003E4EF4">
      <w:pPr>
        <w:spacing w:after="60"/>
        <w:jc w:val="center"/>
        <w:rPr>
          <w:rFonts w:ascii="Times New Roman" w:hAnsi="Times New Roman" w:cs="Times New Roman"/>
          <w:i/>
          <w:noProof/>
          <w:sz w:val="24"/>
        </w:rPr>
      </w:pPr>
      <w:r>
        <w:rPr>
          <w:rFonts w:ascii="Times New Roman" w:hAnsi="Times New Roman" w:cs="Times New Roman"/>
          <w:i/>
          <w:noProof/>
          <w:sz w:val="24"/>
        </w:rPr>
        <w:t>Table 11: comparative quantitative assessment of the policy options over 10 years (EUR</w:t>
      </w:r>
      <w:r>
        <w:rPr>
          <w:rFonts w:ascii="Times New Roman" w:hAnsi="Times New Roman" w:cs="Times New Roman"/>
          <w:noProof/>
          <w:sz w:val="24"/>
        </w:rPr>
        <w:t>)</w:t>
      </w:r>
    </w:p>
    <w:tbl>
      <w:tblPr>
        <w:tblW w:w="7151" w:type="dxa"/>
        <w:jc w:val="center"/>
        <w:tblInd w:w="-2018" w:type="dxa"/>
        <w:tblLook w:val="04A0" w:firstRow="1" w:lastRow="0" w:firstColumn="1" w:lastColumn="0" w:noHBand="0" w:noVBand="1"/>
      </w:tblPr>
      <w:tblGrid>
        <w:gridCol w:w="4111"/>
        <w:gridCol w:w="3040"/>
      </w:tblGrid>
      <w:tr w:rsidR="001B65FF">
        <w:trPr>
          <w:trHeight w:val="319"/>
          <w:jc w:val="center"/>
        </w:trPr>
        <w:tc>
          <w:tcPr>
            <w:tcW w:w="4111"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bookmarkStart w:id="1611" w:name="_Toc498509278"/>
            <w:bookmarkStart w:id="1612" w:name="_Toc498509522"/>
            <w:bookmarkStart w:id="1613" w:name="_Toc498509765"/>
            <w:bookmarkStart w:id="1614" w:name="_Toc498511081"/>
            <w:bookmarkStart w:id="1615" w:name="_Toc498517290"/>
            <w:bookmarkEnd w:id="1611"/>
            <w:bookmarkEnd w:id="1612"/>
            <w:bookmarkEnd w:id="1613"/>
            <w:bookmarkEnd w:id="1614"/>
            <w:bookmarkEnd w:id="1615"/>
            <w:r>
              <w:rPr>
                <w:rFonts w:ascii="Times New Roman" w:eastAsia="Times New Roman" w:hAnsi="Times New Roman" w:cs="Times New Roman"/>
                <w:b/>
                <w:bCs/>
                <w:noProof/>
                <w:color w:val="000000"/>
                <w:sz w:val="24"/>
                <w:szCs w:val="24"/>
                <w:lang w:eastAsia="en-GB"/>
              </w:rPr>
              <w:t>POLICY OPTIONS</w:t>
            </w:r>
          </w:p>
        </w:tc>
        <w:tc>
          <w:tcPr>
            <w:tcW w:w="3040" w:type="dxa"/>
            <w:tcBorders>
              <w:top w:val="single" w:sz="8" w:space="0" w:color="auto"/>
              <w:left w:val="nil"/>
              <w:bottom w:val="single" w:sz="8" w:space="0" w:color="auto"/>
              <w:right w:val="single" w:sz="8" w:space="0" w:color="auto"/>
            </w:tcBorders>
            <w:shd w:val="clear" w:color="000000" w:fill="F2F2F2"/>
            <w:vAlign w:val="center"/>
            <w:hideMark/>
          </w:tcPr>
          <w:p w:rsidR="001B65FF" w:rsidRDefault="003E4EF4">
            <w:pPr>
              <w:spacing w:after="0" w:line="240" w:lineRule="auto"/>
              <w:jc w:val="center"/>
              <w:rPr>
                <w:rFonts w:ascii="Times New Roman" w:eastAsia="Times New Roman" w:hAnsi="Times New Roman" w:cs="Times New Roman"/>
                <w:b/>
                <w:bCs/>
                <w:noProof/>
                <w:color w:val="000000"/>
                <w:sz w:val="24"/>
                <w:szCs w:val="24"/>
                <w:lang w:eastAsia="en-GB"/>
              </w:rPr>
            </w:pPr>
            <w:r>
              <w:rPr>
                <w:rFonts w:ascii="Times New Roman" w:eastAsia="Times New Roman" w:hAnsi="Times New Roman" w:cs="Times New Roman"/>
                <w:b/>
                <w:bCs/>
                <w:noProof/>
                <w:color w:val="000000"/>
                <w:sz w:val="24"/>
                <w:szCs w:val="24"/>
                <w:lang w:eastAsia="en-GB"/>
              </w:rPr>
              <w:t>Total costs</w:t>
            </w:r>
          </w:p>
        </w:tc>
      </w:tr>
      <w:tr w:rsidR="001B65FF">
        <w:trPr>
          <w:trHeight w:val="192"/>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O</w:t>
            </w:r>
          </w:p>
        </w:tc>
        <w:tc>
          <w:tcPr>
            <w:tcW w:w="3040"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000000"/>
                <w:sz w:val="24"/>
                <w:szCs w:val="24"/>
              </w:rPr>
              <w:t>€ 0</w:t>
            </w:r>
          </w:p>
        </w:tc>
      </w:tr>
      <w:tr w:rsidR="001B65FF">
        <w:trPr>
          <w:trHeight w:val="319"/>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 (measure 1+2)</w:t>
            </w:r>
          </w:p>
        </w:tc>
        <w:tc>
          <w:tcPr>
            <w:tcW w:w="3040"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FF0000"/>
                <w:sz w:val="24"/>
                <w:szCs w:val="24"/>
              </w:rPr>
              <w:t>-€ 25,556,978</w:t>
            </w:r>
          </w:p>
        </w:tc>
      </w:tr>
      <w:tr w:rsidR="001B65FF">
        <w:trPr>
          <w:trHeight w:val="319"/>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B (measure 1 to 4)</w:t>
            </w:r>
          </w:p>
        </w:tc>
        <w:tc>
          <w:tcPr>
            <w:tcW w:w="3040"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FF0000"/>
                <w:sz w:val="24"/>
                <w:szCs w:val="24"/>
              </w:rPr>
              <w:t>-€ 25,556,978</w:t>
            </w:r>
          </w:p>
        </w:tc>
      </w:tr>
      <w:tr w:rsidR="001B65FF">
        <w:trPr>
          <w:trHeight w:val="319"/>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 (measure 1 to 6)</w:t>
            </w:r>
          </w:p>
        </w:tc>
        <w:tc>
          <w:tcPr>
            <w:tcW w:w="3040"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FF0000"/>
                <w:sz w:val="24"/>
                <w:szCs w:val="24"/>
              </w:rPr>
              <w:t xml:space="preserve">-€ </w:t>
            </w:r>
            <w:r>
              <w:rPr>
                <w:rFonts w:ascii="Times New Roman" w:hAnsi="Times New Roman" w:cs="Times New Roman"/>
                <w:noProof/>
                <w:color w:val="FF0000"/>
                <w:sz w:val="24"/>
                <w:szCs w:val="24"/>
              </w:rPr>
              <w:t>110,617,058</w:t>
            </w:r>
          </w:p>
        </w:tc>
      </w:tr>
      <w:tr w:rsidR="001B65FF">
        <w:trPr>
          <w:trHeight w:val="319"/>
          <w:jc w:val="center"/>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D (measure 1 to 7)</w:t>
            </w:r>
          </w:p>
        </w:tc>
        <w:tc>
          <w:tcPr>
            <w:tcW w:w="3040" w:type="dxa"/>
            <w:tcBorders>
              <w:top w:val="nil"/>
              <w:left w:val="nil"/>
              <w:bottom w:val="single" w:sz="8" w:space="0" w:color="auto"/>
              <w:right w:val="single" w:sz="8" w:space="0" w:color="auto"/>
            </w:tcBorders>
            <w:shd w:val="clear" w:color="auto" w:fill="auto"/>
            <w:noWrap/>
            <w:vAlign w:val="center"/>
            <w:hideMark/>
          </w:tcPr>
          <w:p w:rsidR="001B65FF" w:rsidRDefault="003E4EF4">
            <w:pPr>
              <w:spacing w:after="0" w:line="240" w:lineRule="auto"/>
              <w:jc w:val="center"/>
              <w:rPr>
                <w:rFonts w:ascii="Times New Roman" w:eastAsia="Times New Roman" w:hAnsi="Times New Roman" w:cs="Times New Roman"/>
                <w:noProof/>
                <w:color w:val="000000"/>
                <w:sz w:val="24"/>
                <w:szCs w:val="24"/>
                <w:lang w:eastAsia="en-GB"/>
              </w:rPr>
            </w:pPr>
            <w:r>
              <w:rPr>
                <w:rFonts w:ascii="Times New Roman" w:hAnsi="Times New Roman" w:cs="Times New Roman"/>
                <w:noProof/>
                <w:color w:val="FF0000"/>
                <w:sz w:val="24"/>
                <w:szCs w:val="24"/>
              </w:rPr>
              <w:t>-€ 110,180,487</w:t>
            </w:r>
          </w:p>
        </w:tc>
      </w:tr>
    </w:tbl>
    <w:p w:rsidR="001B65FF" w:rsidRDefault="003E4EF4">
      <w:pPr>
        <w:spacing w:before="120"/>
        <w:jc w:val="both"/>
        <w:rPr>
          <w:rFonts w:ascii="Times New Roman" w:hAnsi="Times New Roman" w:cs="Times New Roman"/>
          <w:noProof/>
          <w:sz w:val="24"/>
        </w:rPr>
      </w:pPr>
      <w:r>
        <w:rPr>
          <w:rFonts w:ascii="Times New Roman" w:hAnsi="Times New Roman" w:cs="Times New Roman"/>
          <w:noProof/>
          <w:sz w:val="24"/>
        </w:rPr>
        <w:t xml:space="preserve">The costs above are negative, which means that they are </w:t>
      </w:r>
      <w:r>
        <w:rPr>
          <w:rFonts w:ascii="Times New Roman" w:hAnsi="Times New Roman" w:cs="Times New Roman"/>
          <w:b/>
          <w:noProof/>
          <w:sz w:val="24"/>
        </w:rPr>
        <w:t xml:space="preserve">savings </w:t>
      </w:r>
      <w:r>
        <w:rPr>
          <w:rFonts w:ascii="Times New Roman" w:hAnsi="Times New Roman" w:cs="Times New Roman"/>
          <w:noProof/>
          <w:sz w:val="24"/>
        </w:rPr>
        <w:t>compared to the baseline.</w:t>
      </w:r>
    </w:p>
    <w:p w:rsidR="001B65FF" w:rsidRDefault="003E4EF4">
      <w:pPr>
        <w:spacing w:after="120"/>
        <w:rPr>
          <w:rFonts w:ascii="Times New Roman" w:hAnsi="Times New Roman" w:cs="Times New Roman"/>
          <w:noProof/>
          <w:sz w:val="24"/>
          <w:u w:val="single"/>
        </w:rPr>
      </w:pPr>
      <w:r>
        <w:rPr>
          <w:rFonts w:ascii="Times New Roman" w:hAnsi="Times New Roman" w:cs="Times New Roman"/>
          <w:noProof/>
          <w:sz w:val="24"/>
          <w:u w:val="single"/>
        </w:rPr>
        <w:t>Overall benefits</w:t>
      </w:r>
    </w:p>
    <w:p w:rsidR="001B65FF" w:rsidRDefault="003E4EF4">
      <w:pPr>
        <w:jc w:val="both"/>
        <w:rPr>
          <w:rFonts w:ascii="Times New Roman" w:hAnsi="Times New Roman" w:cs="Times New Roman"/>
          <w:i/>
          <w:noProof/>
          <w:sz w:val="24"/>
        </w:rPr>
      </w:pPr>
      <w:r>
        <w:rPr>
          <w:rFonts w:ascii="Times New Roman" w:hAnsi="Times New Roman" w:cs="Times New Roman"/>
          <w:noProof/>
          <w:sz w:val="24"/>
        </w:rPr>
        <w:t xml:space="preserve">The overall benefits are those calculated in section 6.2. that derive from a reduction of crime (the </w:t>
      </w:r>
      <w:r>
        <w:rPr>
          <w:rFonts w:ascii="Times New Roman" w:hAnsi="Times New Roman" w:cs="Times New Roman"/>
          <w:noProof/>
          <w:sz w:val="24"/>
        </w:rPr>
        <w:t>benefits derived from administrative savings are already considered in Table 11 above). It is assumed that the overall benefits will be achieved over a 10 year period as well. The table below compares the estimated costs and benefits for the different opti</w:t>
      </w:r>
      <w:r>
        <w:rPr>
          <w:rFonts w:ascii="Times New Roman" w:hAnsi="Times New Roman" w:cs="Times New Roman"/>
          <w:noProof/>
          <w:sz w:val="24"/>
        </w:rPr>
        <w:t>ons:</w:t>
      </w:r>
    </w:p>
    <w:p w:rsidR="001B65FF" w:rsidRDefault="003E4EF4">
      <w:pPr>
        <w:keepNext/>
        <w:spacing w:after="120"/>
        <w:jc w:val="center"/>
        <w:rPr>
          <w:rFonts w:ascii="Times New Roman" w:hAnsi="Times New Roman" w:cs="Times New Roman"/>
          <w:i/>
          <w:noProof/>
          <w:sz w:val="24"/>
        </w:rPr>
      </w:pPr>
      <w:r>
        <w:rPr>
          <w:rFonts w:ascii="Times New Roman" w:hAnsi="Times New Roman" w:cs="Times New Roman"/>
          <w:i/>
          <w:noProof/>
          <w:sz w:val="24"/>
        </w:rPr>
        <w:t>Table 12: comparative quantitative assessment of the policy options (EUR million</w:t>
      </w:r>
      <w:r>
        <w:rPr>
          <w:rFonts w:ascii="Times New Roman" w:hAnsi="Times New Roman" w:cs="Times New Roman"/>
          <w:noProof/>
          <w:sz w:val="24"/>
        </w:rPr>
        <w:t>)</w:t>
      </w:r>
    </w:p>
    <w:tbl>
      <w:tblPr>
        <w:tblStyle w:val="TableGrid"/>
        <w:tblW w:w="4741" w:type="pct"/>
        <w:jc w:val="center"/>
        <w:tblInd w:w="518" w:type="dxa"/>
        <w:tblLook w:val="04A0" w:firstRow="1" w:lastRow="0" w:firstColumn="1" w:lastColumn="0" w:noHBand="0" w:noVBand="1"/>
      </w:tblPr>
      <w:tblGrid>
        <w:gridCol w:w="2417"/>
        <w:gridCol w:w="838"/>
        <w:gridCol w:w="1270"/>
        <w:gridCol w:w="1506"/>
        <w:gridCol w:w="1506"/>
        <w:gridCol w:w="1334"/>
      </w:tblGrid>
      <w:tr w:rsidR="001B65FF">
        <w:trPr>
          <w:trHeight w:val="231"/>
          <w:tblHeader/>
          <w:jc w:val="center"/>
        </w:trPr>
        <w:tc>
          <w:tcPr>
            <w:tcW w:w="1362" w:type="pct"/>
            <w:shd w:val="clear" w:color="auto" w:fill="auto"/>
            <w:noWrap/>
            <w:hideMark/>
          </w:tcPr>
          <w:p w:rsidR="001B65FF" w:rsidRDefault="001B65FF">
            <w:pPr>
              <w:jc w:val="both"/>
              <w:rPr>
                <w:noProof/>
                <w:sz w:val="24"/>
                <w:szCs w:val="24"/>
              </w:rPr>
            </w:pPr>
          </w:p>
        </w:tc>
        <w:tc>
          <w:tcPr>
            <w:tcW w:w="472" w:type="pct"/>
            <w:shd w:val="clear" w:color="auto" w:fill="auto"/>
            <w:noWrap/>
            <w:vAlign w:val="center"/>
            <w:hideMark/>
          </w:tcPr>
          <w:p w:rsidR="001B65FF" w:rsidRDefault="003E4EF4">
            <w:pPr>
              <w:jc w:val="center"/>
              <w:rPr>
                <w:b/>
                <w:noProof/>
                <w:sz w:val="24"/>
              </w:rPr>
            </w:pPr>
            <w:r>
              <w:rPr>
                <w:b/>
                <w:noProof/>
                <w:sz w:val="24"/>
                <w:szCs w:val="22"/>
              </w:rPr>
              <w:t>O</w:t>
            </w:r>
          </w:p>
        </w:tc>
        <w:tc>
          <w:tcPr>
            <w:tcW w:w="715" w:type="pct"/>
            <w:shd w:val="clear" w:color="auto" w:fill="auto"/>
            <w:noWrap/>
            <w:vAlign w:val="center"/>
            <w:hideMark/>
          </w:tcPr>
          <w:p w:rsidR="001B65FF" w:rsidRDefault="003E4EF4">
            <w:pPr>
              <w:jc w:val="center"/>
              <w:rPr>
                <w:b/>
                <w:noProof/>
                <w:sz w:val="24"/>
              </w:rPr>
            </w:pPr>
            <w:r>
              <w:rPr>
                <w:b/>
                <w:noProof/>
                <w:sz w:val="24"/>
                <w:szCs w:val="22"/>
              </w:rPr>
              <w:t>A</w:t>
            </w:r>
          </w:p>
        </w:tc>
        <w:tc>
          <w:tcPr>
            <w:tcW w:w="849" w:type="pct"/>
            <w:shd w:val="clear" w:color="auto" w:fill="auto"/>
            <w:noWrap/>
            <w:vAlign w:val="center"/>
            <w:hideMark/>
          </w:tcPr>
          <w:p w:rsidR="001B65FF" w:rsidRDefault="003E4EF4">
            <w:pPr>
              <w:jc w:val="center"/>
              <w:rPr>
                <w:b/>
                <w:noProof/>
                <w:sz w:val="24"/>
                <w:szCs w:val="24"/>
              </w:rPr>
            </w:pPr>
            <w:r>
              <w:rPr>
                <w:b/>
                <w:noProof/>
                <w:sz w:val="24"/>
                <w:szCs w:val="24"/>
              </w:rPr>
              <w:t>B</w:t>
            </w:r>
          </w:p>
        </w:tc>
        <w:tc>
          <w:tcPr>
            <w:tcW w:w="849" w:type="pct"/>
            <w:shd w:val="clear" w:color="auto" w:fill="auto"/>
            <w:noWrap/>
            <w:vAlign w:val="center"/>
            <w:hideMark/>
          </w:tcPr>
          <w:p w:rsidR="001B65FF" w:rsidRDefault="003E4EF4">
            <w:pPr>
              <w:jc w:val="center"/>
              <w:rPr>
                <w:b/>
                <w:noProof/>
                <w:sz w:val="24"/>
                <w:szCs w:val="24"/>
              </w:rPr>
            </w:pPr>
            <w:r>
              <w:rPr>
                <w:b/>
                <w:noProof/>
                <w:sz w:val="24"/>
                <w:szCs w:val="24"/>
              </w:rPr>
              <w:t>C</w:t>
            </w:r>
          </w:p>
        </w:tc>
        <w:tc>
          <w:tcPr>
            <w:tcW w:w="752" w:type="pct"/>
            <w:shd w:val="clear" w:color="auto" w:fill="auto"/>
            <w:noWrap/>
            <w:vAlign w:val="center"/>
            <w:hideMark/>
          </w:tcPr>
          <w:p w:rsidR="001B65FF" w:rsidRDefault="003E4EF4">
            <w:pPr>
              <w:jc w:val="center"/>
              <w:rPr>
                <w:b/>
                <w:noProof/>
                <w:sz w:val="24"/>
                <w:szCs w:val="24"/>
              </w:rPr>
            </w:pPr>
            <w:r>
              <w:rPr>
                <w:b/>
                <w:noProof/>
                <w:sz w:val="24"/>
                <w:szCs w:val="24"/>
              </w:rPr>
              <w:t>D</w:t>
            </w:r>
          </w:p>
        </w:tc>
      </w:tr>
      <w:tr w:rsidR="001B65FF">
        <w:trPr>
          <w:cantSplit/>
          <w:trHeight w:val="231"/>
          <w:jc w:val="center"/>
        </w:trPr>
        <w:tc>
          <w:tcPr>
            <w:tcW w:w="1362" w:type="pct"/>
            <w:shd w:val="clear" w:color="auto" w:fill="auto"/>
            <w:noWrap/>
            <w:hideMark/>
          </w:tcPr>
          <w:p w:rsidR="001B65FF" w:rsidRDefault="003E4EF4">
            <w:pPr>
              <w:jc w:val="both"/>
              <w:rPr>
                <w:noProof/>
                <w:sz w:val="24"/>
              </w:rPr>
            </w:pPr>
            <w:r>
              <w:rPr>
                <w:noProof/>
                <w:sz w:val="24"/>
                <w:szCs w:val="24"/>
              </w:rPr>
              <w:t>Overall costs (savings)</w:t>
            </w:r>
          </w:p>
        </w:tc>
        <w:tc>
          <w:tcPr>
            <w:tcW w:w="472" w:type="pct"/>
            <w:shd w:val="clear" w:color="auto" w:fill="auto"/>
            <w:noWrap/>
          </w:tcPr>
          <w:p w:rsidR="001B65FF" w:rsidRDefault="003E4EF4">
            <w:pPr>
              <w:jc w:val="center"/>
              <w:rPr>
                <w:noProof/>
                <w:sz w:val="24"/>
              </w:rPr>
            </w:pPr>
            <w:r>
              <w:rPr>
                <w:noProof/>
                <w:sz w:val="24"/>
                <w:szCs w:val="22"/>
              </w:rPr>
              <w:t>0</w:t>
            </w:r>
          </w:p>
        </w:tc>
        <w:tc>
          <w:tcPr>
            <w:tcW w:w="715" w:type="pct"/>
            <w:shd w:val="clear" w:color="auto" w:fill="auto"/>
            <w:noWrap/>
            <w:vAlign w:val="bottom"/>
          </w:tcPr>
          <w:p w:rsidR="001B65FF" w:rsidRDefault="003E4EF4">
            <w:pPr>
              <w:jc w:val="center"/>
              <w:rPr>
                <w:noProof/>
                <w:sz w:val="24"/>
                <w:szCs w:val="24"/>
              </w:rPr>
            </w:pPr>
            <w:r>
              <w:rPr>
                <w:rFonts w:asciiTheme="minorHAnsi" w:hAnsiTheme="minorHAnsi"/>
                <w:noProof/>
                <w:color w:val="FF0000"/>
                <w:sz w:val="24"/>
                <w:szCs w:val="24"/>
              </w:rPr>
              <w:t>-€ 26</w:t>
            </w:r>
          </w:p>
        </w:tc>
        <w:tc>
          <w:tcPr>
            <w:tcW w:w="849" w:type="pct"/>
            <w:shd w:val="clear" w:color="auto" w:fill="auto"/>
            <w:noWrap/>
            <w:vAlign w:val="bottom"/>
          </w:tcPr>
          <w:p w:rsidR="001B65FF" w:rsidRDefault="003E4EF4">
            <w:pPr>
              <w:jc w:val="center"/>
              <w:rPr>
                <w:noProof/>
                <w:sz w:val="24"/>
                <w:szCs w:val="24"/>
              </w:rPr>
            </w:pPr>
            <w:r>
              <w:rPr>
                <w:rFonts w:asciiTheme="minorHAnsi" w:hAnsiTheme="minorHAnsi"/>
                <w:noProof/>
                <w:color w:val="FF0000"/>
                <w:sz w:val="24"/>
                <w:szCs w:val="24"/>
              </w:rPr>
              <w:t>-€ 26</w:t>
            </w:r>
          </w:p>
        </w:tc>
        <w:tc>
          <w:tcPr>
            <w:tcW w:w="849" w:type="pct"/>
            <w:shd w:val="clear" w:color="auto" w:fill="auto"/>
            <w:noWrap/>
            <w:vAlign w:val="bottom"/>
          </w:tcPr>
          <w:p w:rsidR="001B65FF" w:rsidRDefault="003E4EF4">
            <w:pPr>
              <w:jc w:val="center"/>
              <w:rPr>
                <w:noProof/>
                <w:sz w:val="24"/>
                <w:szCs w:val="24"/>
              </w:rPr>
            </w:pPr>
            <w:r>
              <w:rPr>
                <w:rFonts w:asciiTheme="minorHAnsi" w:hAnsiTheme="minorHAnsi"/>
                <w:noProof/>
                <w:color w:val="FF0000"/>
                <w:sz w:val="24"/>
                <w:szCs w:val="24"/>
              </w:rPr>
              <w:t>-€ 111</w:t>
            </w:r>
          </w:p>
        </w:tc>
        <w:tc>
          <w:tcPr>
            <w:tcW w:w="752" w:type="pct"/>
            <w:shd w:val="clear" w:color="auto" w:fill="auto"/>
            <w:noWrap/>
            <w:vAlign w:val="bottom"/>
          </w:tcPr>
          <w:p w:rsidR="001B65FF" w:rsidRDefault="003E4EF4">
            <w:pPr>
              <w:jc w:val="center"/>
              <w:rPr>
                <w:noProof/>
                <w:sz w:val="24"/>
                <w:szCs w:val="24"/>
              </w:rPr>
            </w:pPr>
            <w:r>
              <w:rPr>
                <w:rFonts w:asciiTheme="minorHAnsi" w:hAnsiTheme="minorHAnsi"/>
                <w:noProof/>
                <w:color w:val="FF0000"/>
                <w:sz w:val="24"/>
                <w:szCs w:val="24"/>
              </w:rPr>
              <w:t>-€ 110</w:t>
            </w:r>
          </w:p>
        </w:tc>
      </w:tr>
      <w:tr w:rsidR="001B65FF">
        <w:trPr>
          <w:cantSplit/>
          <w:trHeight w:val="231"/>
          <w:jc w:val="center"/>
        </w:trPr>
        <w:tc>
          <w:tcPr>
            <w:tcW w:w="1362" w:type="pct"/>
            <w:shd w:val="clear" w:color="auto" w:fill="auto"/>
            <w:noWrap/>
            <w:hideMark/>
          </w:tcPr>
          <w:p w:rsidR="001B65FF" w:rsidRDefault="003E4EF4">
            <w:pPr>
              <w:jc w:val="both"/>
              <w:rPr>
                <w:noProof/>
                <w:sz w:val="24"/>
              </w:rPr>
            </w:pPr>
            <w:r>
              <w:rPr>
                <w:noProof/>
                <w:sz w:val="24"/>
                <w:szCs w:val="24"/>
              </w:rPr>
              <w:t xml:space="preserve">Overall benefits </w:t>
            </w:r>
          </w:p>
        </w:tc>
        <w:tc>
          <w:tcPr>
            <w:tcW w:w="472" w:type="pct"/>
            <w:shd w:val="clear" w:color="auto" w:fill="auto"/>
            <w:noWrap/>
          </w:tcPr>
          <w:p w:rsidR="001B65FF" w:rsidRDefault="003E4EF4">
            <w:pPr>
              <w:jc w:val="center"/>
              <w:rPr>
                <w:noProof/>
                <w:sz w:val="24"/>
              </w:rPr>
            </w:pPr>
            <w:r>
              <w:rPr>
                <w:noProof/>
                <w:sz w:val="24"/>
                <w:szCs w:val="22"/>
              </w:rPr>
              <w:t>0</w:t>
            </w:r>
          </w:p>
        </w:tc>
        <w:tc>
          <w:tcPr>
            <w:tcW w:w="715" w:type="pct"/>
            <w:shd w:val="clear" w:color="auto" w:fill="auto"/>
            <w:noWrap/>
            <w:vAlign w:val="bottom"/>
          </w:tcPr>
          <w:p w:rsidR="001B65FF" w:rsidRDefault="003E4EF4">
            <w:pPr>
              <w:jc w:val="center"/>
              <w:rPr>
                <w:noProof/>
                <w:sz w:val="24"/>
                <w:szCs w:val="24"/>
              </w:rPr>
            </w:pPr>
            <w:r>
              <w:rPr>
                <w:rFonts w:asciiTheme="minorHAnsi" w:hAnsiTheme="minorHAnsi"/>
                <w:noProof/>
                <w:color w:val="000000"/>
                <w:sz w:val="24"/>
                <w:szCs w:val="24"/>
              </w:rPr>
              <w:t>€ 555</w:t>
            </w:r>
          </w:p>
        </w:tc>
        <w:tc>
          <w:tcPr>
            <w:tcW w:w="849" w:type="pct"/>
            <w:shd w:val="clear" w:color="auto" w:fill="auto"/>
            <w:noWrap/>
            <w:vAlign w:val="bottom"/>
          </w:tcPr>
          <w:p w:rsidR="001B65FF" w:rsidRDefault="003E4EF4">
            <w:pPr>
              <w:jc w:val="center"/>
              <w:rPr>
                <w:noProof/>
                <w:sz w:val="24"/>
                <w:szCs w:val="24"/>
              </w:rPr>
            </w:pPr>
            <w:r>
              <w:rPr>
                <w:rFonts w:asciiTheme="minorHAnsi" w:hAnsiTheme="minorHAnsi"/>
                <w:noProof/>
                <w:color w:val="000000"/>
                <w:sz w:val="24"/>
                <w:szCs w:val="24"/>
              </w:rPr>
              <w:t>€ 1,110</w:t>
            </w:r>
          </w:p>
        </w:tc>
        <w:tc>
          <w:tcPr>
            <w:tcW w:w="849" w:type="pct"/>
            <w:shd w:val="clear" w:color="auto" w:fill="auto"/>
            <w:noWrap/>
            <w:vAlign w:val="bottom"/>
          </w:tcPr>
          <w:p w:rsidR="001B65FF" w:rsidRDefault="003E4EF4">
            <w:pPr>
              <w:jc w:val="center"/>
              <w:rPr>
                <w:noProof/>
                <w:sz w:val="24"/>
                <w:szCs w:val="24"/>
              </w:rPr>
            </w:pPr>
            <w:r>
              <w:rPr>
                <w:rFonts w:asciiTheme="minorHAnsi" w:hAnsiTheme="minorHAnsi"/>
                <w:noProof/>
                <w:color w:val="000000"/>
                <w:sz w:val="24"/>
                <w:szCs w:val="24"/>
              </w:rPr>
              <w:t>€ 3,053</w:t>
            </w:r>
          </w:p>
        </w:tc>
        <w:tc>
          <w:tcPr>
            <w:tcW w:w="752" w:type="pct"/>
            <w:shd w:val="clear" w:color="auto" w:fill="auto"/>
            <w:noWrap/>
            <w:vAlign w:val="bottom"/>
          </w:tcPr>
          <w:p w:rsidR="001B65FF" w:rsidRDefault="003E4EF4">
            <w:pPr>
              <w:jc w:val="center"/>
              <w:rPr>
                <w:noProof/>
                <w:sz w:val="24"/>
                <w:szCs w:val="24"/>
              </w:rPr>
            </w:pPr>
            <w:r>
              <w:rPr>
                <w:rFonts w:asciiTheme="minorHAnsi" w:hAnsiTheme="minorHAnsi"/>
                <w:noProof/>
                <w:color w:val="000000"/>
                <w:sz w:val="24"/>
                <w:szCs w:val="24"/>
              </w:rPr>
              <w:t>€ 3,330</w:t>
            </w:r>
          </w:p>
        </w:tc>
      </w:tr>
      <w:tr w:rsidR="001B65FF">
        <w:trPr>
          <w:cantSplit/>
          <w:trHeight w:val="231"/>
          <w:jc w:val="center"/>
        </w:trPr>
        <w:tc>
          <w:tcPr>
            <w:tcW w:w="1362" w:type="pct"/>
            <w:shd w:val="clear" w:color="auto" w:fill="auto"/>
            <w:noWrap/>
            <w:vAlign w:val="bottom"/>
          </w:tcPr>
          <w:p w:rsidR="001B65FF" w:rsidRDefault="003E4EF4">
            <w:pPr>
              <w:jc w:val="right"/>
              <w:rPr>
                <w:b/>
                <w:noProof/>
                <w:sz w:val="24"/>
              </w:rPr>
            </w:pPr>
            <w:r>
              <w:rPr>
                <w:b/>
                <w:noProof/>
                <w:sz w:val="24"/>
                <w:szCs w:val="24"/>
              </w:rPr>
              <w:t>Total (savings)</w:t>
            </w:r>
          </w:p>
        </w:tc>
        <w:tc>
          <w:tcPr>
            <w:tcW w:w="472" w:type="pct"/>
            <w:shd w:val="clear" w:color="auto" w:fill="auto"/>
            <w:noWrap/>
            <w:vAlign w:val="bottom"/>
          </w:tcPr>
          <w:p w:rsidR="001B65FF" w:rsidRDefault="003E4EF4">
            <w:pPr>
              <w:jc w:val="center"/>
              <w:rPr>
                <w:b/>
                <w:noProof/>
                <w:sz w:val="24"/>
              </w:rPr>
            </w:pPr>
            <w:r>
              <w:rPr>
                <w:b/>
                <w:noProof/>
                <w:sz w:val="24"/>
                <w:szCs w:val="22"/>
              </w:rPr>
              <w:t>0</w:t>
            </w:r>
          </w:p>
        </w:tc>
        <w:tc>
          <w:tcPr>
            <w:tcW w:w="715" w:type="pct"/>
            <w:shd w:val="clear" w:color="auto" w:fill="auto"/>
            <w:noWrap/>
            <w:vAlign w:val="bottom"/>
          </w:tcPr>
          <w:p w:rsidR="001B65FF" w:rsidRDefault="003E4EF4">
            <w:pPr>
              <w:jc w:val="center"/>
              <w:rPr>
                <w:b/>
                <w:noProof/>
                <w:sz w:val="24"/>
                <w:szCs w:val="24"/>
              </w:rPr>
            </w:pPr>
            <w:r>
              <w:rPr>
                <w:rFonts w:asciiTheme="minorHAnsi" w:hAnsiTheme="minorHAnsi"/>
                <w:noProof/>
                <w:color w:val="000000"/>
                <w:sz w:val="24"/>
                <w:szCs w:val="24"/>
              </w:rPr>
              <w:t>€ 581</w:t>
            </w:r>
          </w:p>
        </w:tc>
        <w:tc>
          <w:tcPr>
            <w:tcW w:w="849" w:type="pct"/>
            <w:shd w:val="clear" w:color="auto" w:fill="auto"/>
            <w:noWrap/>
            <w:vAlign w:val="bottom"/>
          </w:tcPr>
          <w:p w:rsidR="001B65FF" w:rsidRDefault="003E4EF4">
            <w:pPr>
              <w:jc w:val="center"/>
              <w:rPr>
                <w:b/>
                <w:noProof/>
                <w:sz w:val="24"/>
                <w:szCs w:val="24"/>
              </w:rPr>
            </w:pPr>
            <w:r>
              <w:rPr>
                <w:rFonts w:asciiTheme="minorHAnsi" w:hAnsiTheme="minorHAnsi"/>
                <w:noProof/>
                <w:color w:val="000000"/>
                <w:sz w:val="24"/>
                <w:szCs w:val="24"/>
              </w:rPr>
              <w:t>€ 1,136</w:t>
            </w:r>
          </w:p>
        </w:tc>
        <w:tc>
          <w:tcPr>
            <w:tcW w:w="849" w:type="pct"/>
            <w:shd w:val="clear" w:color="auto" w:fill="auto"/>
            <w:noWrap/>
            <w:vAlign w:val="bottom"/>
          </w:tcPr>
          <w:p w:rsidR="001B65FF" w:rsidRDefault="003E4EF4">
            <w:pPr>
              <w:jc w:val="center"/>
              <w:rPr>
                <w:b/>
                <w:noProof/>
                <w:sz w:val="24"/>
                <w:szCs w:val="24"/>
              </w:rPr>
            </w:pPr>
            <w:r>
              <w:rPr>
                <w:rFonts w:asciiTheme="minorHAnsi" w:hAnsiTheme="minorHAnsi"/>
                <w:noProof/>
                <w:color w:val="000000"/>
                <w:sz w:val="24"/>
                <w:szCs w:val="24"/>
              </w:rPr>
              <w:t>€ 3,163</w:t>
            </w:r>
          </w:p>
        </w:tc>
        <w:tc>
          <w:tcPr>
            <w:tcW w:w="752" w:type="pct"/>
            <w:shd w:val="clear" w:color="auto" w:fill="auto"/>
            <w:noWrap/>
            <w:vAlign w:val="bottom"/>
          </w:tcPr>
          <w:p w:rsidR="001B65FF" w:rsidRDefault="003E4EF4">
            <w:pPr>
              <w:jc w:val="center"/>
              <w:rPr>
                <w:b/>
                <w:noProof/>
                <w:sz w:val="24"/>
                <w:szCs w:val="24"/>
              </w:rPr>
            </w:pPr>
            <w:r>
              <w:rPr>
                <w:rFonts w:asciiTheme="minorHAnsi" w:hAnsiTheme="minorHAnsi"/>
                <w:noProof/>
                <w:color w:val="000000"/>
                <w:sz w:val="24"/>
                <w:szCs w:val="24"/>
              </w:rPr>
              <w:t>€ 3,440</w:t>
            </w:r>
          </w:p>
        </w:tc>
      </w:tr>
    </w:tbl>
    <w:p w:rsidR="001B65FF" w:rsidRDefault="003E4EF4">
      <w:pPr>
        <w:spacing w:before="240"/>
        <w:jc w:val="both"/>
        <w:rPr>
          <w:rFonts w:ascii="Times New Roman" w:hAnsi="Times New Roman" w:cs="Times New Roman"/>
          <w:noProof/>
          <w:sz w:val="24"/>
          <w:lang w:eastAsia="en-GB"/>
        </w:rPr>
      </w:pPr>
      <w:r>
        <w:rPr>
          <w:rFonts w:ascii="Times New Roman" w:hAnsi="Times New Roman" w:cs="Times New Roman"/>
          <w:noProof/>
          <w:sz w:val="24"/>
          <w:szCs w:val="24"/>
        </w:rPr>
        <w:t xml:space="preserve">Given the limitations caused by the lack of data, the calculation of benefits as a reduction of crime was carried out for the main purpose of comparing the options. In consequence, the </w:t>
      </w:r>
      <w:r>
        <w:rPr>
          <w:rFonts w:ascii="Times New Roman" w:hAnsi="Times New Roman" w:cs="Times New Roman"/>
          <w:noProof/>
          <w:sz w:val="24"/>
          <w:lang w:eastAsia="en-GB"/>
        </w:rPr>
        <w:t>total value of benefits must be interpreted in relation to the other op</w:t>
      </w:r>
      <w:r>
        <w:rPr>
          <w:rFonts w:ascii="Times New Roman" w:hAnsi="Times New Roman" w:cs="Times New Roman"/>
          <w:noProof/>
          <w:sz w:val="24"/>
          <w:lang w:eastAsia="en-GB"/>
        </w:rPr>
        <w:t xml:space="preserve">tions, rather than as an accurate estimate of the actual reduction of crime that the preferred policy option would actually cause. In particular, the much higher potential benefits in relation to the costs of the options should not be taken at face value. </w:t>
      </w:r>
      <w:r>
        <w:rPr>
          <w:rFonts w:ascii="Times New Roman" w:hAnsi="Times New Roman" w:cs="Times New Roman"/>
          <w:noProof/>
          <w:sz w:val="24"/>
          <w:lang w:eastAsia="en-GB"/>
        </w:rPr>
        <w:t xml:space="preserve">That said, option D is the option that could offer comparatively more benefits in the form of reduction of crime, followed closely by option C. </w:t>
      </w:r>
    </w:p>
    <w:p w:rsidR="001B65FF" w:rsidRDefault="003E4EF4">
      <w:pPr>
        <w:keepNext/>
        <w:numPr>
          <w:ilvl w:val="0"/>
          <w:numId w:val="3"/>
        </w:numPr>
        <w:spacing w:before="240" w:after="240" w:line="240" w:lineRule="auto"/>
        <w:jc w:val="both"/>
        <w:outlineLvl w:val="0"/>
        <w:rPr>
          <w:rFonts w:ascii="Times New Roman" w:eastAsia="Times New Roman" w:hAnsi="Times New Roman" w:cs="Times New Roman"/>
          <w:b/>
          <w:smallCaps/>
          <w:noProof/>
          <w:sz w:val="24"/>
          <w:szCs w:val="20"/>
        </w:rPr>
      </w:pPr>
      <w:bookmarkStart w:id="1616" w:name="_Toc498509279"/>
      <w:bookmarkStart w:id="1617" w:name="_Toc498509523"/>
      <w:bookmarkStart w:id="1618" w:name="_Toc498509766"/>
      <w:bookmarkStart w:id="1619" w:name="_Toc498511082"/>
      <w:bookmarkStart w:id="1620" w:name="_Toc498517291"/>
      <w:bookmarkStart w:id="1621" w:name="_Toc498509280"/>
      <w:bookmarkStart w:id="1622" w:name="_Toc498509524"/>
      <w:bookmarkStart w:id="1623" w:name="_Toc498509767"/>
      <w:bookmarkStart w:id="1624" w:name="_Toc498511083"/>
      <w:bookmarkStart w:id="1625" w:name="_Toc498517292"/>
      <w:bookmarkStart w:id="1626" w:name="_Toc498517293"/>
      <w:bookmarkStart w:id="1627" w:name="_Toc498509281"/>
      <w:bookmarkStart w:id="1628" w:name="_Toc498509525"/>
      <w:bookmarkStart w:id="1629" w:name="_Toc498509768"/>
      <w:bookmarkStart w:id="1630" w:name="_Toc498511084"/>
      <w:bookmarkStart w:id="1631" w:name="_Toc498517294"/>
      <w:bookmarkStart w:id="1632" w:name="_Toc498518823"/>
      <w:bookmarkStart w:id="1633" w:name="_Toc498520629"/>
      <w:bookmarkStart w:id="1634" w:name="_Toc498521131"/>
      <w:bookmarkStart w:id="1635" w:name="_Toc498521313"/>
      <w:bookmarkStart w:id="1636" w:name="_Toc498522293"/>
      <w:bookmarkStart w:id="1637" w:name="_Toc498522475"/>
      <w:bookmarkStart w:id="1638" w:name="_Toc498522658"/>
      <w:bookmarkStart w:id="1639" w:name="_Toc498523524"/>
      <w:bookmarkStart w:id="1640" w:name="_Toc498523637"/>
      <w:bookmarkStart w:id="1641" w:name="_Toc498523749"/>
      <w:bookmarkStart w:id="1642" w:name="_Toc498523867"/>
      <w:bookmarkStart w:id="1643" w:name="_Toc498523985"/>
      <w:bookmarkStart w:id="1644" w:name="_Toc498524120"/>
      <w:bookmarkStart w:id="1645" w:name="_Toc498524228"/>
      <w:bookmarkStart w:id="1646" w:name="_Toc498525590"/>
      <w:bookmarkStart w:id="1647" w:name="_Toc498697435"/>
      <w:bookmarkStart w:id="1648" w:name="_Toc498697542"/>
      <w:bookmarkStart w:id="1649" w:name="_Toc498698764"/>
      <w:bookmarkStart w:id="1650" w:name="_Toc498700395"/>
      <w:bookmarkStart w:id="1651" w:name="_Toc498701980"/>
      <w:bookmarkStart w:id="1652" w:name="_Toc498704712"/>
      <w:bookmarkStart w:id="1653" w:name="_Toc498518824"/>
      <w:bookmarkStart w:id="1654" w:name="_Toc498520630"/>
      <w:bookmarkStart w:id="1655" w:name="_Toc498521132"/>
      <w:bookmarkStart w:id="1656" w:name="_Toc498521314"/>
      <w:bookmarkStart w:id="1657" w:name="_Toc498522294"/>
      <w:bookmarkStart w:id="1658" w:name="_Toc498522476"/>
      <w:bookmarkStart w:id="1659" w:name="_Toc498522659"/>
      <w:bookmarkStart w:id="1660" w:name="_Toc498523525"/>
      <w:bookmarkStart w:id="1661" w:name="_Toc498523638"/>
      <w:bookmarkStart w:id="1662" w:name="_Toc498523750"/>
      <w:bookmarkStart w:id="1663" w:name="_Toc498523868"/>
      <w:bookmarkStart w:id="1664" w:name="_Toc498523986"/>
      <w:bookmarkStart w:id="1665" w:name="_Toc498524121"/>
      <w:bookmarkStart w:id="1666" w:name="_Toc498524229"/>
      <w:bookmarkStart w:id="1667" w:name="_Toc498525591"/>
      <w:bookmarkStart w:id="1668" w:name="_Toc498697436"/>
      <w:bookmarkStart w:id="1669" w:name="_Toc498697543"/>
      <w:bookmarkStart w:id="1670" w:name="_Toc498698765"/>
      <w:bookmarkStart w:id="1671" w:name="_Toc498700396"/>
      <w:bookmarkStart w:id="1672" w:name="_Toc498701981"/>
      <w:bookmarkStart w:id="1673" w:name="_Toc498704713"/>
      <w:bookmarkStart w:id="1674" w:name="_Toc498518825"/>
      <w:bookmarkStart w:id="1675" w:name="_Toc498520631"/>
      <w:bookmarkStart w:id="1676" w:name="_Toc498521133"/>
      <w:bookmarkStart w:id="1677" w:name="_Toc498521315"/>
      <w:bookmarkStart w:id="1678" w:name="_Toc498522295"/>
      <w:bookmarkStart w:id="1679" w:name="_Toc498522477"/>
      <w:bookmarkStart w:id="1680" w:name="_Toc498522660"/>
      <w:bookmarkStart w:id="1681" w:name="_Toc498523526"/>
      <w:bookmarkStart w:id="1682" w:name="_Toc498523639"/>
      <w:bookmarkStart w:id="1683" w:name="_Toc498523751"/>
      <w:bookmarkStart w:id="1684" w:name="_Toc498523869"/>
      <w:bookmarkStart w:id="1685" w:name="_Toc498523987"/>
      <w:bookmarkStart w:id="1686" w:name="_Toc498524122"/>
      <w:bookmarkStart w:id="1687" w:name="_Toc498524230"/>
      <w:bookmarkStart w:id="1688" w:name="_Toc498525592"/>
      <w:bookmarkStart w:id="1689" w:name="_Toc498697437"/>
      <w:bookmarkStart w:id="1690" w:name="_Toc498697544"/>
      <w:bookmarkStart w:id="1691" w:name="_Toc498698766"/>
      <w:bookmarkStart w:id="1692" w:name="_Toc498700397"/>
      <w:bookmarkStart w:id="1693" w:name="_Toc498701982"/>
      <w:bookmarkStart w:id="1694" w:name="_Toc498704714"/>
      <w:bookmarkStart w:id="1695" w:name="_Toc498518826"/>
      <w:bookmarkStart w:id="1696" w:name="_Toc498520632"/>
      <w:bookmarkStart w:id="1697" w:name="_Toc498521134"/>
      <w:bookmarkStart w:id="1698" w:name="_Toc498521316"/>
      <w:bookmarkStart w:id="1699" w:name="_Toc498522296"/>
      <w:bookmarkStart w:id="1700" w:name="_Toc498522478"/>
      <w:bookmarkStart w:id="1701" w:name="_Toc498522661"/>
      <w:bookmarkStart w:id="1702" w:name="_Toc498523527"/>
      <w:bookmarkStart w:id="1703" w:name="_Toc498523640"/>
      <w:bookmarkStart w:id="1704" w:name="_Toc498523752"/>
      <w:bookmarkStart w:id="1705" w:name="_Toc498523870"/>
      <w:bookmarkStart w:id="1706" w:name="_Toc498523988"/>
      <w:bookmarkStart w:id="1707" w:name="_Toc498524123"/>
      <w:bookmarkStart w:id="1708" w:name="_Toc498524231"/>
      <w:bookmarkStart w:id="1709" w:name="_Toc498525593"/>
      <w:bookmarkStart w:id="1710" w:name="_Toc498697438"/>
      <w:bookmarkStart w:id="1711" w:name="_Toc498697545"/>
      <w:bookmarkStart w:id="1712" w:name="_Toc498698767"/>
      <w:bookmarkStart w:id="1713" w:name="_Toc498700398"/>
      <w:bookmarkStart w:id="1714" w:name="_Toc498701983"/>
      <w:bookmarkStart w:id="1715" w:name="_Toc498704715"/>
      <w:bookmarkStart w:id="1716" w:name="_Toc481484479"/>
      <w:bookmarkStart w:id="1717" w:name="_Toc497927297"/>
      <w:bookmarkStart w:id="1718" w:name="_Toc497927913"/>
      <w:bookmarkStart w:id="1719" w:name="_Toc497928179"/>
      <w:bookmarkStart w:id="1720" w:name="_Toc498509769"/>
      <w:bookmarkStart w:id="1721" w:name="_Toc498521317"/>
      <w:bookmarkStart w:id="1722" w:name="_Toc498701984"/>
      <w:bookmarkStart w:id="1723" w:name="_Toc498704716"/>
      <w:bookmarkStart w:id="1724" w:name="_Toc499020471"/>
      <w:bookmarkStart w:id="1725" w:name="_Toc499030405"/>
      <w:bookmarkStart w:id="1726" w:name="_Toc499044947"/>
      <w:bookmarkStart w:id="1727" w:name="_Toc499051363"/>
      <w:bookmarkStart w:id="1728" w:name="_Toc499133319"/>
      <w:bookmarkStart w:id="1729" w:name="_Toc499142889"/>
      <w:bookmarkStart w:id="1730" w:name="_Toc51095288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rPr>
          <w:rFonts w:ascii="Times New Roman" w:eastAsia="Times New Roman" w:hAnsi="Times New Roman" w:cs="Times New Roman"/>
          <w:b/>
          <w:smallCaps/>
          <w:noProof/>
          <w:sz w:val="24"/>
          <w:szCs w:val="20"/>
        </w:rPr>
        <w:t>Preferred option</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1B65FF" w:rsidRDefault="003E4EF4">
      <w:pPr>
        <w:jc w:val="both"/>
        <w:rPr>
          <w:rFonts w:ascii="Times New Roman" w:eastAsia="Calibri" w:hAnsi="Times New Roman" w:cs="Times New Roman"/>
          <w:noProof/>
          <w:sz w:val="24"/>
        </w:rPr>
      </w:pPr>
      <w:bookmarkStart w:id="1731" w:name="_Toc481484480"/>
      <w:bookmarkStart w:id="1732" w:name="_Toc497927298"/>
      <w:bookmarkStart w:id="1733" w:name="_Toc497927914"/>
      <w:bookmarkStart w:id="1734" w:name="_Toc497928180"/>
      <w:bookmarkEnd w:id="1731"/>
      <w:bookmarkEnd w:id="1732"/>
      <w:bookmarkEnd w:id="1733"/>
      <w:bookmarkEnd w:id="1734"/>
      <w:r>
        <w:rPr>
          <w:rFonts w:ascii="Times New Roman" w:eastAsia="Calibri" w:hAnsi="Times New Roman" w:cs="Times New Roman"/>
          <w:noProof/>
          <w:sz w:val="24"/>
        </w:rPr>
        <w:t>On the basis of the assessment, the preferred option identified is option D. Option D scores s</w:t>
      </w:r>
      <w:r>
        <w:rPr>
          <w:rFonts w:ascii="Times New Roman" w:eastAsia="Calibri" w:hAnsi="Times New Roman" w:cs="Times New Roman"/>
          <w:noProof/>
          <w:sz w:val="24"/>
        </w:rPr>
        <w:t>lightly better than option C, with a total score of +5.</w:t>
      </w:r>
    </w:p>
    <w:p w:rsidR="001B65FF" w:rsidRDefault="003E4EF4">
      <w:pPr>
        <w:spacing w:after="0"/>
        <w:jc w:val="both"/>
        <w:rPr>
          <w:rFonts w:ascii="Times New Roman" w:eastAsia="Calibri" w:hAnsi="Times New Roman" w:cs="Times New Roman"/>
          <w:noProof/>
          <w:sz w:val="24"/>
          <w:u w:val="single"/>
        </w:rPr>
      </w:pPr>
      <w:r>
        <w:rPr>
          <w:rFonts w:ascii="Times New Roman" w:eastAsia="Calibri" w:hAnsi="Times New Roman" w:cs="Times New Roman"/>
          <w:noProof/>
          <w:sz w:val="24"/>
          <w:u w:val="single"/>
        </w:rPr>
        <w:t>Main advantages</w:t>
      </w:r>
    </w:p>
    <w:p w:rsidR="001B65FF" w:rsidRDefault="003E4EF4">
      <w:pPr>
        <w:spacing w:after="0"/>
        <w:rPr>
          <w:rFonts w:ascii="Times New Roman" w:hAnsi="Times New Roman" w:cs="Times New Roman"/>
          <w:noProof/>
          <w:sz w:val="24"/>
        </w:rPr>
      </w:pPr>
      <w:r>
        <w:rPr>
          <w:rFonts w:ascii="Times New Roman" w:hAnsi="Times New Roman" w:cs="Times New Roman"/>
          <w:noProof/>
          <w:sz w:val="24"/>
        </w:rPr>
        <w:t>Option D would effectively achieve the strategic objectives of the EU intervention since:</w:t>
      </w:r>
    </w:p>
    <w:p w:rsidR="001B65FF" w:rsidRDefault="003E4EF4">
      <w:pPr>
        <w:pStyle w:val="ListParagraph"/>
        <w:numPr>
          <w:ilvl w:val="0"/>
          <w:numId w:val="145"/>
        </w:numPr>
        <w:jc w:val="both"/>
        <w:rPr>
          <w:rFonts w:ascii="Times New Roman" w:hAnsi="Times New Roman" w:cs="Times New Roman"/>
          <w:noProof/>
          <w:sz w:val="24"/>
        </w:rPr>
      </w:pPr>
      <w:r>
        <w:rPr>
          <w:rFonts w:ascii="Times New Roman" w:hAnsi="Times New Roman" w:cs="Times New Roman"/>
          <w:noProof/>
          <w:sz w:val="24"/>
        </w:rPr>
        <w:t xml:space="preserve">A combination of all the measures in option D would bring the biggest improvements of the </w:t>
      </w:r>
      <w:r>
        <w:rPr>
          <w:rFonts w:ascii="Times New Roman" w:hAnsi="Times New Roman" w:cs="Times New Roman"/>
          <w:noProof/>
          <w:sz w:val="24"/>
        </w:rPr>
        <w:t>public authorities' capacity to investigate and prosecute crimes. It would allow combining the benefits of the various measures as these are complementary.</w:t>
      </w:r>
    </w:p>
    <w:p w:rsidR="001B65FF" w:rsidRDefault="003E4EF4">
      <w:pPr>
        <w:pStyle w:val="ListParagraph"/>
        <w:numPr>
          <w:ilvl w:val="0"/>
          <w:numId w:val="145"/>
        </w:numPr>
        <w:spacing w:after="120"/>
        <w:jc w:val="both"/>
        <w:rPr>
          <w:rFonts w:ascii="Times New Roman" w:hAnsi="Times New Roman" w:cs="Times New Roman"/>
          <w:noProof/>
          <w:sz w:val="24"/>
        </w:rPr>
      </w:pPr>
      <w:r>
        <w:rPr>
          <w:rFonts w:ascii="Times New Roman" w:hAnsi="Times New Roman" w:cs="Times New Roman"/>
          <w:noProof/>
          <w:sz w:val="24"/>
        </w:rPr>
        <w:t>A combination of all measures would contribute to legal certainty and transparency in direct coopera</w:t>
      </w:r>
      <w:r>
        <w:rPr>
          <w:rFonts w:ascii="Times New Roman" w:hAnsi="Times New Roman" w:cs="Times New Roman"/>
          <w:noProof/>
          <w:sz w:val="24"/>
        </w:rPr>
        <w:t xml:space="preserve">tion with service providers. It could create robust measures to ensure accountability, including through judicial redress. </w:t>
      </w:r>
    </w:p>
    <w:p w:rsidR="001B65FF" w:rsidRDefault="003E4EF4">
      <w:pPr>
        <w:spacing w:after="120"/>
        <w:jc w:val="both"/>
        <w:rPr>
          <w:rFonts w:ascii="Times New Roman" w:hAnsi="Times New Roman" w:cs="Times New Roman"/>
          <w:noProof/>
          <w:sz w:val="24"/>
        </w:rPr>
      </w:pPr>
      <w:r>
        <w:rPr>
          <w:rFonts w:ascii="Times New Roman" w:hAnsi="Times New Roman" w:cs="Times New Roman"/>
          <w:noProof/>
          <w:sz w:val="24"/>
        </w:rPr>
        <w:t xml:space="preserve">In particular, option D would provide a comprehensive framework for obtaining e-evidence in cross-border investigations as it would </w:t>
      </w:r>
      <w:r>
        <w:rPr>
          <w:rFonts w:ascii="Times New Roman" w:hAnsi="Times New Roman" w:cs="Times New Roman"/>
          <w:noProof/>
          <w:sz w:val="24"/>
        </w:rPr>
        <w:t xml:space="preserve">include a European Production Order which would have a wide material and geographical </w:t>
      </w:r>
      <w:r>
        <w:rPr>
          <w:rFonts w:ascii="Times New Roman" w:hAnsi="Times New Roman" w:cs="Times New Roman"/>
          <w:noProof/>
          <w:sz w:val="24"/>
          <w:szCs w:val="24"/>
        </w:rPr>
        <w:t>scope</w:t>
      </w:r>
      <w:r>
        <w:rPr>
          <w:rFonts w:ascii="Times New Roman" w:hAnsi="Times New Roman" w:cs="Times New Roman"/>
          <w:noProof/>
          <w:sz w:val="24"/>
        </w:rPr>
        <w:t xml:space="preserve">, made more effective through the support of practical measures and international agreements, and a measure on direct access which would provide solutions for swift </w:t>
      </w:r>
      <w:r>
        <w:rPr>
          <w:rFonts w:ascii="Times New Roman" w:hAnsi="Times New Roman" w:cs="Times New Roman"/>
          <w:noProof/>
          <w:sz w:val="24"/>
        </w:rPr>
        <w:t>access to data in very specific circumstances.</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szCs w:val="24"/>
        </w:rPr>
        <w:t>A combination of the European Production Order including a conflicts of law clause that would give a role to the law of the non-EU country, and of international solutions would significantly reduce the risk of</w:t>
      </w:r>
      <w:r>
        <w:rPr>
          <w:rFonts w:ascii="Times New Roman" w:hAnsi="Times New Roman" w:cs="Times New Roman"/>
          <w:noProof/>
          <w:sz w:val="24"/>
          <w:szCs w:val="24"/>
        </w:rPr>
        <w:t xml:space="preserve"> reciprocal responses from non-EU countries. The risk of conflicts of law for service providers which arise from diverging national solutions would decrease. There would also be cost savings and reduced burden for authorities, both in issuing and receiving</w:t>
      </w:r>
      <w:r>
        <w:rPr>
          <w:rFonts w:ascii="Times New Roman" w:hAnsi="Times New Roman" w:cs="Times New Roman"/>
          <w:noProof/>
          <w:sz w:val="24"/>
          <w:szCs w:val="24"/>
        </w:rPr>
        <w:t xml:space="preserve"> States, including non-EU countries. </w:t>
      </w:r>
    </w:p>
    <w:p w:rsidR="001B65FF" w:rsidRDefault="003E4EF4">
      <w:pPr>
        <w:keepNext/>
        <w:spacing w:after="0"/>
        <w:rPr>
          <w:rFonts w:ascii="Times New Roman" w:hAnsi="Times New Roman" w:cs="Times New Roman"/>
          <w:noProof/>
          <w:sz w:val="24"/>
          <w:u w:val="single"/>
        </w:rPr>
      </w:pPr>
      <w:r>
        <w:rPr>
          <w:rFonts w:ascii="Times New Roman" w:hAnsi="Times New Roman" w:cs="Times New Roman"/>
          <w:noProof/>
          <w:sz w:val="24"/>
          <w:u w:val="single"/>
        </w:rPr>
        <w:t>Main disadvantages</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szCs w:val="24"/>
        </w:rPr>
        <w:t>Improvements to judicial cooperation in the EU would not extend beyond what is feasible within the existing legal framework, meaning that the mutual recognition process would not be fundamentally cha</w:t>
      </w:r>
      <w:r>
        <w:rPr>
          <w:rFonts w:ascii="Times New Roman" w:hAnsi="Times New Roman" w:cs="Times New Roman"/>
          <w:noProof/>
          <w:sz w:val="24"/>
          <w:szCs w:val="24"/>
        </w:rPr>
        <w:t>nged, as the same 120-day deadline would still apply.</w:t>
      </w:r>
      <w:r>
        <w:rPr>
          <w:rFonts w:ascii="Times New Roman" w:eastAsia="Calibri" w:hAnsi="Times New Roman" w:cs="Times New Roman"/>
          <w:noProof/>
          <w:sz w:val="24"/>
          <w:szCs w:val="24"/>
          <w:lang w:eastAsia="ar-SA"/>
        </w:rPr>
        <w:t xml:space="preserve"> </w:t>
      </w:r>
      <w:r>
        <w:rPr>
          <w:rFonts w:ascii="Times New Roman" w:hAnsi="Times New Roman" w:cs="Times New Roman"/>
          <w:noProof/>
          <w:sz w:val="24"/>
          <w:szCs w:val="24"/>
        </w:rPr>
        <w:t xml:space="preserve">Some of the practical measures to improve cooperation between public authorities and service providers would to some extent become superfluous once a legislative measure on EPO comes into force. </w:t>
      </w:r>
    </w:p>
    <w:p w:rsidR="001B65FF" w:rsidRDefault="003E4EF4">
      <w:pPr>
        <w:autoSpaceDE w:val="0"/>
        <w:autoSpaceDN w:val="0"/>
        <w:adjustRightInd w:val="0"/>
        <w:jc w:val="both"/>
        <w:rPr>
          <w:rFonts w:ascii="Times New Roman" w:hAnsi="Times New Roman" w:cs="Times New Roman"/>
          <w:noProof/>
          <w:sz w:val="24"/>
          <w:szCs w:val="24"/>
        </w:rPr>
      </w:pPr>
      <w:r>
        <w:rPr>
          <w:rFonts w:ascii="Times New Roman" w:hAnsi="Times New Roman" w:cs="Times New Roman"/>
          <w:noProof/>
          <w:sz w:val="24"/>
          <w:szCs w:val="24"/>
        </w:rPr>
        <w:t>Becaus</w:t>
      </w:r>
      <w:r>
        <w:rPr>
          <w:rFonts w:ascii="Times New Roman" w:hAnsi="Times New Roman" w:cs="Times New Roman"/>
          <w:noProof/>
          <w:sz w:val="24"/>
          <w:szCs w:val="24"/>
        </w:rPr>
        <w:t xml:space="preserve">e of conflicts with US law, the </w:t>
      </w:r>
      <w:r>
        <w:rPr>
          <w:rFonts w:ascii="Times New Roman" w:hAnsi="Times New Roman" w:cs="Times New Roman"/>
          <w:noProof/>
          <w:sz w:val="24"/>
        </w:rPr>
        <w:t>European Production Order</w:t>
      </w:r>
      <w:r>
        <w:rPr>
          <w:rFonts w:ascii="Times New Roman" w:hAnsi="Times New Roman" w:cs="Times New Roman"/>
          <w:noProof/>
          <w:sz w:val="24"/>
          <w:szCs w:val="24"/>
        </w:rPr>
        <w:t xml:space="preserve"> would not allow EU authorities to obtain content data from US providers, and a bilateral agreement could take years. Thus for some time Member States' authorities would not witness significant chang</w:t>
      </w:r>
      <w:r>
        <w:rPr>
          <w:rFonts w:ascii="Times New Roman" w:hAnsi="Times New Roman" w:cs="Times New Roman"/>
          <w:noProof/>
          <w:sz w:val="24"/>
          <w:szCs w:val="24"/>
        </w:rPr>
        <w:t>es as relates to content data and would still have to rely on the existing MLA channels, which can be improved only to some extent through practical measures.</w:t>
      </w:r>
    </w:p>
    <w:p w:rsidR="001B65FF" w:rsidRDefault="003E4EF4">
      <w:pPr>
        <w:spacing w:after="0"/>
        <w:rPr>
          <w:rFonts w:ascii="Times New Roman" w:hAnsi="Times New Roman" w:cs="Times New Roman"/>
          <w:noProof/>
          <w:sz w:val="24"/>
          <w:u w:val="single"/>
        </w:rPr>
      </w:pPr>
      <w:r>
        <w:rPr>
          <w:rFonts w:ascii="Times New Roman" w:hAnsi="Times New Roman" w:cs="Times New Roman"/>
          <w:noProof/>
          <w:sz w:val="24"/>
          <w:u w:val="single"/>
        </w:rPr>
        <w:t>Trade-offs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This option would enhance security but at a cost for service providers not established</w:t>
      </w:r>
      <w:r>
        <w:rPr>
          <w:rFonts w:ascii="Times New Roman" w:hAnsi="Times New Roman" w:cs="Times New Roman"/>
          <w:noProof/>
          <w:sz w:val="24"/>
        </w:rPr>
        <w:t xml:space="preserve"> in the Union, particularly for SMEs, due to the introduction of the obligation to designate a legal representative. </w:t>
      </w:r>
      <w:r>
        <w:rPr>
          <w:rFonts w:ascii="Times New Roman" w:hAnsi="Times New Roman" w:cs="Times New Roman"/>
          <w:noProof/>
          <w:sz w:val="24"/>
          <w:szCs w:val="24"/>
        </w:rPr>
        <w:t xml:space="preserve">Also, the </w:t>
      </w:r>
      <w:r>
        <w:rPr>
          <w:rFonts w:ascii="Times New Roman" w:hAnsi="Times New Roman" w:cs="Times New Roman"/>
          <w:noProof/>
          <w:sz w:val="24"/>
        </w:rPr>
        <w:t>measures to facilitate direct cooperation may have a considerable impact on fundamental rights, as it would allow public authorit</w:t>
      </w:r>
      <w:r>
        <w:rPr>
          <w:rFonts w:ascii="Times New Roman" w:hAnsi="Times New Roman" w:cs="Times New Roman"/>
          <w:noProof/>
          <w:sz w:val="24"/>
        </w:rPr>
        <w:t xml:space="preserve">ies to access data that is not publicly available and that is, in most cases, personal data. </w:t>
      </w:r>
    </w:p>
    <w:p w:rsidR="001B65FF" w:rsidRDefault="003E4EF4">
      <w:pPr>
        <w:spacing w:after="0"/>
        <w:rPr>
          <w:rFonts w:ascii="Times New Roman" w:hAnsi="Times New Roman" w:cs="Times New Roman"/>
          <w:noProof/>
          <w:sz w:val="24"/>
          <w:u w:val="single"/>
        </w:rPr>
      </w:pPr>
      <w:r>
        <w:rPr>
          <w:rFonts w:ascii="Times New Roman" w:hAnsi="Times New Roman" w:cs="Times New Roman"/>
          <w:noProof/>
          <w:sz w:val="24"/>
          <w:u w:val="single"/>
        </w:rPr>
        <w:t xml:space="preserve">Fundamental rights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When assessing a combination of all measures, the main options impacting fundamental rights are the two legislative measures. The two measures</w:t>
      </w:r>
      <w:r>
        <w:rPr>
          <w:rFonts w:ascii="Times New Roman" w:hAnsi="Times New Roman" w:cs="Times New Roman"/>
          <w:noProof/>
          <w:sz w:val="24"/>
        </w:rPr>
        <w:t xml:space="preserve"> would include sufficient safeguards to make the measures compatible with fundamental rights. In the Tele 2 judgement, the ECJ held that general and indiscriminate data retention legislation concerning metadata entailed a particularly serious interference </w:t>
      </w:r>
      <w:r>
        <w:rPr>
          <w:rFonts w:ascii="Times New Roman" w:hAnsi="Times New Roman" w:cs="Times New Roman"/>
          <w:noProof/>
          <w:sz w:val="24"/>
        </w:rPr>
        <w:t>with the rights to privacy and data protection and that the user concerned is, as a result, likely to feel that their private lives are the subject of constant surveillance. It could also, according to the Court, affect the use of means of electronic commu</w:t>
      </w:r>
      <w:r>
        <w:rPr>
          <w:rFonts w:ascii="Times New Roman" w:hAnsi="Times New Roman" w:cs="Times New Roman"/>
          <w:noProof/>
          <w:sz w:val="24"/>
        </w:rPr>
        <w:t>nication and thus the exercise by users of their freedom of expression. In the framework of the two legislative measures, it cannot be excluded that a similar effect could be claimed in individual cases, but because the measures always take place in the fr</w:t>
      </w:r>
      <w:r>
        <w:rPr>
          <w:rFonts w:ascii="Times New Roman" w:hAnsi="Times New Roman" w:cs="Times New Roman"/>
          <w:noProof/>
          <w:sz w:val="24"/>
        </w:rPr>
        <w:t>amework of a concrete investigation and not in abstracto, it cannot be compared to a data retention scheme. The interference with these fundamental rights is justified by the aim of the measure, which is to ensure effective investigation and prosecution of</w:t>
      </w:r>
      <w:r>
        <w:rPr>
          <w:rFonts w:ascii="Times New Roman" w:hAnsi="Times New Roman" w:cs="Times New Roman"/>
          <w:noProof/>
          <w:sz w:val="24"/>
        </w:rPr>
        <w:t xml:space="preserve"> crimes in the EU. This would also have to be ensured in each individual case by the issuing judicial authority.</w:t>
      </w:r>
    </w:p>
    <w:p w:rsidR="001B65FF" w:rsidRDefault="003E4EF4">
      <w:pPr>
        <w:spacing w:after="0"/>
        <w:rPr>
          <w:rFonts w:ascii="Times New Roman" w:hAnsi="Times New Roman" w:cs="Times New Roman"/>
          <w:noProof/>
          <w:sz w:val="24"/>
          <w:u w:val="single"/>
        </w:rPr>
      </w:pPr>
      <w:r>
        <w:rPr>
          <w:rFonts w:ascii="Times New Roman" w:hAnsi="Times New Roman" w:cs="Times New Roman"/>
          <w:noProof/>
          <w:sz w:val="24"/>
          <w:u w:val="single"/>
        </w:rPr>
        <w:t>Subsidiarity</w:t>
      </w:r>
    </w:p>
    <w:p w:rsidR="001B65FF" w:rsidRDefault="003E4EF4">
      <w:pPr>
        <w:spacing w:after="0"/>
        <w:jc w:val="both"/>
        <w:rPr>
          <w:rFonts w:ascii="Times New Roman" w:hAnsi="Times New Roman"/>
          <w:noProof/>
          <w:sz w:val="24"/>
        </w:rPr>
      </w:pPr>
      <w:r>
        <w:rPr>
          <w:rFonts w:ascii="Times New Roman" w:hAnsi="Times New Roman"/>
          <w:noProof/>
          <w:sz w:val="24"/>
        </w:rPr>
        <w:t>Given the international dimension of the problems to solve, the measures included in the preferred policy option need to be adopte</w:t>
      </w:r>
      <w:r>
        <w:rPr>
          <w:rFonts w:ascii="Times New Roman" w:hAnsi="Times New Roman"/>
          <w:noProof/>
          <w:sz w:val="24"/>
        </w:rPr>
        <w:t xml:space="preserve">d at EU level in order to achieve the objectives. In particular, action by Member States would fall short in addressing, e.g. the following issues: </w:t>
      </w:r>
    </w:p>
    <w:p w:rsidR="001B65FF" w:rsidRDefault="003E4EF4">
      <w:pPr>
        <w:numPr>
          <w:ilvl w:val="0"/>
          <w:numId w:val="141"/>
        </w:numPr>
        <w:autoSpaceDE w:val="0"/>
        <w:autoSpaceDN w:val="0"/>
        <w:adjustRightInd w:val="0"/>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Different practices and legislative instruments at national level on cross-border access to e-evidence in </w:t>
      </w:r>
      <w:r>
        <w:rPr>
          <w:rFonts w:ascii="Times New Roman" w:hAnsi="Times New Roman" w:cs="Times New Roman"/>
          <w:noProof/>
          <w:sz w:val="24"/>
          <w:szCs w:val="24"/>
        </w:rPr>
        <w:t>order to enhance cross-border cooperation and ensure coherence in law enforcement approach to access to e-evidence;</w:t>
      </w:r>
    </w:p>
    <w:p w:rsidR="001B65FF" w:rsidRDefault="003E4EF4">
      <w:pPr>
        <w:numPr>
          <w:ilvl w:val="0"/>
          <w:numId w:val="141"/>
        </w:numPr>
        <w:autoSpaceDE w:val="0"/>
        <w:autoSpaceDN w:val="0"/>
        <w:adjustRightInd w:val="0"/>
        <w:spacing w:after="0"/>
        <w:contextualSpacing/>
        <w:jc w:val="both"/>
        <w:rPr>
          <w:rFonts w:ascii="Times New Roman" w:hAnsi="Times New Roman"/>
          <w:noProof/>
          <w:sz w:val="24"/>
        </w:rPr>
      </w:pPr>
      <w:r>
        <w:rPr>
          <w:rFonts w:ascii="Times New Roman" w:hAnsi="Times New Roman"/>
          <w:noProof/>
          <w:sz w:val="24"/>
        </w:rPr>
        <w:t>Improving the expediency of judicial cooperation on the basis of existing EU legislation, notably via the EIO;</w:t>
      </w:r>
    </w:p>
    <w:p w:rsidR="001B65FF" w:rsidRDefault="003E4EF4">
      <w:pPr>
        <w:numPr>
          <w:ilvl w:val="0"/>
          <w:numId w:val="141"/>
        </w:numPr>
        <w:autoSpaceDE w:val="0"/>
        <w:autoSpaceDN w:val="0"/>
        <w:adjustRightInd w:val="0"/>
        <w:spacing w:after="0"/>
        <w:contextualSpacing/>
        <w:jc w:val="both"/>
        <w:rPr>
          <w:rFonts w:ascii="Times New Roman" w:hAnsi="Times New Roman"/>
          <w:noProof/>
          <w:sz w:val="24"/>
        </w:rPr>
      </w:pPr>
      <w:r>
        <w:rPr>
          <w:rFonts w:ascii="Times New Roman" w:hAnsi="Times New Roman"/>
          <w:noProof/>
          <w:sz w:val="24"/>
        </w:rPr>
        <w:t>Obstacles to cross-border coo</w:t>
      </w:r>
      <w:r>
        <w:rPr>
          <w:rFonts w:ascii="Times New Roman" w:hAnsi="Times New Roman"/>
          <w:noProof/>
          <w:sz w:val="24"/>
        </w:rPr>
        <w:t>peration in obtaining e-evidence with non-EU countries.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Given the diversity of legal approaches, the number of policy areas concerned by the matter (security, fundamental rights including data protection, economic issues) and the large range of stakeholder</w:t>
      </w:r>
      <w:r>
        <w:rPr>
          <w:rFonts w:ascii="Times New Roman" w:hAnsi="Times New Roman" w:cs="Times New Roman"/>
          <w:noProof/>
          <w:sz w:val="24"/>
        </w:rPr>
        <w:t xml:space="preserve">s, the EU seems the most appropriate level to address the identified problems. </w:t>
      </w:r>
    </w:p>
    <w:p w:rsidR="001B65FF" w:rsidRDefault="003E4EF4">
      <w:pPr>
        <w:spacing w:after="0"/>
        <w:rPr>
          <w:rFonts w:ascii="Times New Roman" w:hAnsi="Times New Roman" w:cs="Times New Roman"/>
          <w:noProof/>
          <w:sz w:val="24"/>
          <w:u w:val="single"/>
        </w:rPr>
      </w:pPr>
      <w:r>
        <w:rPr>
          <w:rFonts w:ascii="Times New Roman" w:hAnsi="Times New Roman" w:cs="Times New Roman"/>
          <w:noProof/>
          <w:sz w:val="24"/>
          <w:u w:val="single"/>
        </w:rPr>
        <w:t>Proportionality</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legislative instrument would introduce conditions and safeguards for judicial authorities of Member States to request from a foreign service provider throug</w:t>
      </w:r>
      <w:r>
        <w:rPr>
          <w:rFonts w:ascii="Times New Roman" w:hAnsi="Times New Roman" w:cs="Times New Roman"/>
          <w:noProof/>
          <w:sz w:val="24"/>
        </w:rPr>
        <w:t>h a European Production Order the disclosure of information stored in a digital form that could be used as evidence, including on proportionality, and conditions and safeguards for direct access to e-evidence from an information system on the basis of nati</w:t>
      </w:r>
      <w:r>
        <w:rPr>
          <w:rFonts w:ascii="Times New Roman" w:hAnsi="Times New Roman" w:cs="Times New Roman"/>
          <w:noProof/>
          <w:sz w:val="24"/>
        </w:rPr>
        <w:t>onal laws. On the whole, the option does not go beyond what is necessary to achieve the objective identified for the EU intervention.</w:t>
      </w:r>
    </w:p>
    <w:p w:rsidR="001B65FF" w:rsidRDefault="003E4EF4">
      <w:pPr>
        <w:keepNext/>
        <w:numPr>
          <w:ilvl w:val="0"/>
          <w:numId w:val="3"/>
        </w:numPr>
        <w:spacing w:before="240" w:after="120" w:line="240" w:lineRule="auto"/>
        <w:jc w:val="both"/>
        <w:outlineLvl w:val="0"/>
        <w:rPr>
          <w:rFonts w:ascii="Times New Roman" w:eastAsia="Times New Roman" w:hAnsi="Times New Roman" w:cs="Times New Roman"/>
          <w:b/>
          <w:smallCaps/>
          <w:noProof/>
          <w:sz w:val="24"/>
          <w:szCs w:val="20"/>
        </w:rPr>
      </w:pPr>
      <w:bookmarkStart w:id="1735" w:name="_Toc481484482"/>
      <w:bookmarkStart w:id="1736" w:name="_Toc497927299"/>
      <w:bookmarkStart w:id="1737" w:name="_Toc497927915"/>
      <w:bookmarkStart w:id="1738" w:name="_Toc497928181"/>
      <w:bookmarkStart w:id="1739" w:name="_Toc498509770"/>
      <w:bookmarkStart w:id="1740" w:name="_Toc498521318"/>
      <w:bookmarkStart w:id="1741" w:name="_Toc498701985"/>
      <w:bookmarkStart w:id="1742" w:name="_Toc498704717"/>
      <w:bookmarkStart w:id="1743" w:name="_Toc499020472"/>
      <w:bookmarkStart w:id="1744" w:name="_Toc499030406"/>
      <w:bookmarkStart w:id="1745" w:name="_Toc499044948"/>
      <w:bookmarkStart w:id="1746" w:name="_Toc499051364"/>
      <w:bookmarkStart w:id="1747" w:name="_Toc499133320"/>
      <w:bookmarkStart w:id="1748" w:name="_Toc499142890"/>
      <w:bookmarkStart w:id="1749" w:name="_Toc510952886"/>
      <w:r>
        <w:rPr>
          <w:rFonts w:ascii="Times New Roman" w:eastAsia="Times New Roman" w:hAnsi="Times New Roman" w:cs="Times New Roman"/>
          <w:b/>
          <w:smallCaps/>
          <w:noProof/>
          <w:sz w:val="24"/>
          <w:szCs w:val="20"/>
        </w:rPr>
        <w:t>How will actual impacts be monitored and evaluated?</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szCs w:val="24"/>
          <w:lang w:eastAsia="en-GB"/>
        </w:rPr>
        <w:t xml:space="preserve">The proposal should contain a commitment for the Commission to submit a </w:t>
      </w:r>
      <w:r>
        <w:rPr>
          <w:rFonts w:ascii="Times New Roman" w:hAnsi="Times New Roman" w:cs="Times New Roman"/>
          <w:b/>
          <w:noProof/>
          <w:sz w:val="24"/>
          <w:szCs w:val="24"/>
          <w:lang w:eastAsia="en-GB"/>
        </w:rPr>
        <w:t>report</w:t>
      </w:r>
      <w:r>
        <w:rPr>
          <w:rFonts w:ascii="Times New Roman" w:hAnsi="Times New Roman" w:cs="Times New Roman"/>
          <w:noProof/>
          <w:sz w:val="24"/>
          <w:szCs w:val="24"/>
          <w:lang w:eastAsia="en-GB"/>
        </w:rPr>
        <w:t xml:space="preserve"> to the </w:t>
      </w:r>
      <w:r>
        <w:rPr>
          <w:rFonts w:ascii="Times New Roman" w:hAnsi="Times New Roman" w:cs="Times New Roman"/>
          <w:b/>
          <w:noProof/>
          <w:sz w:val="24"/>
          <w:szCs w:val="24"/>
          <w:lang w:eastAsia="en-GB"/>
        </w:rPr>
        <w:t>European Parliament and to the Council</w:t>
      </w:r>
      <w:r>
        <w:rPr>
          <w:rFonts w:ascii="Times New Roman" w:hAnsi="Times New Roman" w:cs="Times New Roman"/>
          <w:noProof/>
          <w:sz w:val="24"/>
          <w:szCs w:val="24"/>
          <w:lang w:eastAsia="en-GB"/>
        </w:rPr>
        <w:t xml:space="preserve"> assessing the situation </w:t>
      </w:r>
      <w:r>
        <w:rPr>
          <w:rFonts w:ascii="Times New Roman" w:hAnsi="Times New Roman" w:cs="Times New Roman"/>
          <w:b/>
          <w:noProof/>
          <w:sz w:val="24"/>
          <w:szCs w:val="24"/>
          <w:lang w:eastAsia="en-GB"/>
        </w:rPr>
        <w:t>2 years</w:t>
      </w:r>
      <w:r>
        <w:rPr>
          <w:rFonts w:ascii="Times New Roman" w:hAnsi="Times New Roman" w:cs="Times New Roman"/>
          <w:noProof/>
          <w:sz w:val="24"/>
          <w:szCs w:val="24"/>
          <w:lang w:eastAsia="en-GB"/>
        </w:rPr>
        <w:t xml:space="preserve"> after the deadline for transposition, and</w:t>
      </w:r>
      <w:r>
        <w:rPr>
          <w:rFonts w:ascii="Times New Roman" w:hAnsi="Times New Roman" w:cs="Times New Roman"/>
          <w:noProof/>
          <w:sz w:val="24"/>
          <w:szCs w:val="24"/>
        </w:rPr>
        <w:t xml:space="preserve"> to </w:t>
      </w:r>
      <w:r>
        <w:rPr>
          <w:rFonts w:ascii="Times New Roman" w:hAnsi="Times New Roman" w:cs="Times New Roman"/>
          <w:noProof/>
          <w:sz w:val="24"/>
          <w:szCs w:val="24"/>
          <w:lang w:eastAsia="en-GB"/>
        </w:rPr>
        <w:t xml:space="preserve">evaluate the </w:t>
      </w:r>
      <w:r>
        <w:rPr>
          <w:rFonts w:ascii="Times New Roman" w:hAnsi="Times New Roman" w:cs="Times New Roman"/>
          <w:noProof/>
          <w:sz w:val="24"/>
          <w:szCs w:val="24"/>
        </w:rPr>
        <w:t>effectiveness, efficiency, relevance, coh</w:t>
      </w:r>
      <w:r>
        <w:rPr>
          <w:rFonts w:ascii="Times New Roman" w:hAnsi="Times New Roman" w:cs="Times New Roman"/>
          <w:noProof/>
          <w:sz w:val="24"/>
          <w:szCs w:val="24"/>
        </w:rPr>
        <w:t>erence and EU added value</w:t>
      </w:r>
      <w:r>
        <w:rPr>
          <w:rFonts w:ascii="Times New Roman" w:hAnsi="Times New Roman" w:cs="Times New Roman"/>
          <w:noProof/>
          <w:sz w:val="24"/>
          <w:szCs w:val="24"/>
          <w:lang w:eastAsia="en-GB"/>
        </w:rPr>
        <w:t xml:space="preserve"> </w:t>
      </w:r>
      <w:r>
        <w:rPr>
          <w:rFonts w:ascii="Times New Roman" w:hAnsi="Times New Roman" w:cs="Times New Roman"/>
          <w:b/>
          <w:noProof/>
          <w:sz w:val="24"/>
          <w:szCs w:val="24"/>
          <w:lang w:eastAsia="en-GB"/>
        </w:rPr>
        <w:t>5 years</w:t>
      </w:r>
      <w:r>
        <w:rPr>
          <w:rFonts w:ascii="Times New Roman" w:hAnsi="Times New Roman" w:cs="Times New Roman"/>
          <w:noProof/>
          <w:sz w:val="24"/>
          <w:szCs w:val="24"/>
          <w:lang w:eastAsia="en-GB"/>
        </w:rPr>
        <w:t xml:space="preserve"> after the deadline to ensure that there is a sufficiently long period to evaluate after full implementation in all Member States. It will </w:t>
      </w:r>
      <w:r>
        <w:rPr>
          <w:rFonts w:ascii="Times New Roman" w:hAnsi="Times New Roman" w:cs="Times New Roman"/>
          <w:noProof/>
          <w:sz w:val="24"/>
          <w:szCs w:val="24"/>
        </w:rPr>
        <w:t xml:space="preserve">include a public consultation and possibly a survey of stakeholders to review the effect of the potential legislative act on the different categories of stakeholders. </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szCs w:val="24"/>
        </w:rPr>
        <w:t>To limit the additional administrative burden on Member States or the private sector due</w:t>
      </w:r>
      <w:r>
        <w:rPr>
          <w:rFonts w:ascii="Times New Roman" w:hAnsi="Times New Roman" w:cs="Times New Roman"/>
          <w:noProof/>
          <w:sz w:val="24"/>
          <w:szCs w:val="24"/>
        </w:rPr>
        <w:t xml:space="preserve"> to the collection of information used for monitoring, the proposed indicators on the table below rely on </w:t>
      </w:r>
      <w:r>
        <w:rPr>
          <w:rFonts w:ascii="Times New Roman" w:hAnsi="Times New Roman" w:cs="Times New Roman"/>
          <w:b/>
          <w:noProof/>
          <w:sz w:val="24"/>
          <w:szCs w:val="24"/>
        </w:rPr>
        <w:t>existing data sources</w:t>
      </w:r>
      <w:r>
        <w:rPr>
          <w:rFonts w:ascii="Times New Roman" w:hAnsi="Times New Roman" w:cs="Times New Roman"/>
          <w:noProof/>
          <w:sz w:val="24"/>
          <w:szCs w:val="24"/>
        </w:rPr>
        <w:t xml:space="preserve"> (e.g. transparency reports) whenever possible. Where no data exists, the preferred option contains a requirement for Member Stat</w:t>
      </w:r>
      <w:r>
        <w:rPr>
          <w:rFonts w:ascii="Times New Roman" w:hAnsi="Times New Roman" w:cs="Times New Roman"/>
          <w:noProof/>
          <w:sz w:val="24"/>
          <w:szCs w:val="24"/>
        </w:rPr>
        <w:t xml:space="preserve">es to </w:t>
      </w:r>
      <w:r>
        <w:rPr>
          <w:rFonts w:ascii="Times New Roman" w:hAnsi="Times New Roman" w:cs="Times New Roman"/>
          <w:b/>
          <w:noProof/>
          <w:sz w:val="24"/>
          <w:szCs w:val="24"/>
        </w:rPr>
        <w:t xml:space="preserve">systematically </w:t>
      </w:r>
      <w:r>
        <w:rPr>
          <w:rFonts w:ascii="Times New Roman" w:hAnsi="Times New Roman" w:cs="Times New Roman"/>
          <w:noProof/>
          <w:sz w:val="24"/>
          <w:szCs w:val="24"/>
        </w:rPr>
        <w:t xml:space="preserve">collect data on the time from demand to access, the percentage of requests fulfilled and other data related to the implementation of the </w:t>
      </w:r>
      <w:r>
        <w:rPr>
          <w:rFonts w:ascii="Times New Roman" w:hAnsi="Times New Roman" w:cs="Times New Roman"/>
          <w:noProof/>
          <w:sz w:val="24"/>
        </w:rPr>
        <w:t>European Production Order</w:t>
      </w:r>
      <w:r>
        <w:rPr>
          <w:rFonts w:ascii="Times New Roman" w:hAnsi="Times New Roman" w:cs="Times New Roman"/>
          <w:noProof/>
          <w:sz w:val="24"/>
          <w:szCs w:val="24"/>
        </w:rPr>
        <w:t xml:space="preserve">. The </w:t>
      </w:r>
      <w:r>
        <w:rPr>
          <w:rFonts w:ascii="Times New Roman" w:hAnsi="Times New Roman" w:cs="Times New Roman"/>
          <w:b/>
          <w:noProof/>
          <w:sz w:val="24"/>
          <w:szCs w:val="24"/>
        </w:rPr>
        <w:t>costs</w:t>
      </w:r>
      <w:r>
        <w:rPr>
          <w:rFonts w:ascii="Times New Roman" w:hAnsi="Times New Roman" w:cs="Times New Roman"/>
          <w:noProof/>
          <w:sz w:val="24"/>
          <w:szCs w:val="24"/>
        </w:rPr>
        <w:t xml:space="preserve"> of this data collection were included in the analysis of the </w:t>
      </w:r>
      <w:r>
        <w:rPr>
          <w:rFonts w:ascii="Times New Roman" w:hAnsi="Times New Roman" w:cs="Times New Roman"/>
          <w:noProof/>
          <w:sz w:val="24"/>
          <w:szCs w:val="24"/>
        </w:rPr>
        <w:t>options.</w:t>
      </w:r>
    </w:p>
    <w:p w:rsidR="001B65FF" w:rsidRDefault="003E4EF4">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will conduct </w:t>
      </w:r>
      <w:r>
        <w:rPr>
          <w:rFonts w:ascii="Times New Roman" w:hAnsi="Times New Roman" w:cs="Times New Roman"/>
          <w:b/>
          <w:noProof/>
          <w:sz w:val="24"/>
          <w:szCs w:val="24"/>
        </w:rPr>
        <w:t>targeted surveys</w:t>
      </w:r>
      <w:r>
        <w:rPr>
          <w:rFonts w:ascii="Times New Roman" w:hAnsi="Times New Roman" w:cs="Times New Roman"/>
          <w:noProof/>
          <w:sz w:val="24"/>
          <w:szCs w:val="24"/>
        </w:rPr>
        <w:t xml:space="preserve"> as indicated in the table below, assisted by Europol and Eurojust as needed. The costs of these surveys should be borne by DGs HOME and JUST within their operational expenditure (e.g. as support expendi</w:t>
      </w:r>
      <w:r>
        <w:rPr>
          <w:rFonts w:ascii="Times New Roman" w:hAnsi="Times New Roman" w:cs="Times New Roman"/>
          <w:noProof/>
          <w:sz w:val="24"/>
          <w:szCs w:val="24"/>
        </w:rPr>
        <w:t xml:space="preserve">ture for operations of the Cybercrime policy area). The surveys will be conducted at least twice, coinciding, if applicable, with the reporting requirements for the Commission on the transposition and implementation. </w:t>
      </w:r>
    </w:p>
    <w:p w:rsidR="001B65FF" w:rsidRDefault="003E4EF4">
      <w:pPr>
        <w:spacing w:after="0"/>
        <w:jc w:val="both"/>
        <w:rPr>
          <w:rFonts w:ascii="Times New Roman" w:hAnsi="Times New Roman" w:cs="Times New Roman"/>
          <w:noProof/>
          <w:sz w:val="24"/>
          <w:szCs w:val="24"/>
        </w:rPr>
      </w:pPr>
      <w:r>
        <w:rPr>
          <w:rFonts w:ascii="Times New Roman" w:hAnsi="Times New Roman" w:cs="Times New Roman"/>
          <w:noProof/>
          <w:sz w:val="24"/>
          <w:szCs w:val="24"/>
        </w:rPr>
        <w:t>In addition, the Commission will remai</w:t>
      </w:r>
      <w:r>
        <w:rPr>
          <w:rFonts w:ascii="Times New Roman" w:hAnsi="Times New Roman" w:cs="Times New Roman"/>
          <w:noProof/>
          <w:sz w:val="24"/>
          <w:szCs w:val="24"/>
        </w:rPr>
        <w:t xml:space="preserve">n in close contact with the Member States and with the relevant stakeholders (in particular service providers) to monitor the effects of the possible legislative act. The following </w:t>
      </w:r>
      <w:r>
        <w:rPr>
          <w:rFonts w:ascii="Times New Roman" w:hAnsi="Times New Roman" w:cs="Times New Roman"/>
          <w:b/>
          <w:noProof/>
          <w:sz w:val="24"/>
          <w:szCs w:val="24"/>
        </w:rPr>
        <w:t xml:space="preserve">fora </w:t>
      </w:r>
      <w:r>
        <w:rPr>
          <w:rFonts w:ascii="Times New Roman" w:hAnsi="Times New Roman" w:cs="Times New Roman"/>
          <w:noProof/>
          <w:sz w:val="24"/>
          <w:szCs w:val="24"/>
        </w:rPr>
        <w:t>will be particularly relevant to gather qualitative evidence on concre</w:t>
      </w:r>
      <w:r>
        <w:rPr>
          <w:rFonts w:ascii="Times New Roman" w:hAnsi="Times New Roman" w:cs="Times New Roman"/>
          <w:noProof/>
          <w:sz w:val="24"/>
          <w:szCs w:val="24"/>
        </w:rPr>
        <w:t>te cases:</w:t>
      </w:r>
    </w:p>
    <w:p w:rsidR="001B65FF" w:rsidRDefault="003E4EF4">
      <w:pPr>
        <w:numPr>
          <w:ilvl w:val="0"/>
          <w:numId w:val="141"/>
        </w:numPr>
        <w:autoSpaceDE w:val="0"/>
        <w:autoSpaceDN w:val="0"/>
        <w:adjustRightInd w:val="0"/>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Eurojust, and in particular the </w:t>
      </w:r>
      <w:r>
        <w:rPr>
          <w:rFonts w:ascii="Times New Roman" w:hAnsi="Times New Roman" w:cs="Times New Roman"/>
          <w:b/>
          <w:noProof/>
          <w:sz w:val="24"/>
          <w:szCs w:val="24"/>
        </w:rPr>
        <w:t>European Judicial Cybercrime Network</w:t>
      </w:r>
      <w:r>
        <w:rPr>
          <w:rFonts w:ascii="Times New Roman" w:hAnsi="Times New Roman" w:cs="Times New Roman"/>
          <w:noProof/>
          <w:sz w:val="24"/>
          <w:szCs w:val="24"/>
          <w:vertAlign w:val="superscript"/>
        </w:rPr>
        <w:footnoteReference w:id="119"/>
      </w:r>
      <w:r>
        <w:rPr>
          <w:rFonts w:ascii="Times New Roman" w:hAnsi="Times New Roman" w:cs="Times New Roman"/>
          <w:noProof/>
          <w:sz w:val="24"/>
          <w:szCs w:val="24"/>
        </w:rPr>
        <w:t xml:space="preserve">, to exchange information with </w:t>
      </w:r>
      <w:r>
        <w:rPr>
          <w:rFonts w:ascii="Times New Roman" w:hAnsi="Times New Roman" w:cs="Times New Roman"/>
          <w:b/>
          <w:noProof/>
          <w:sz w:val="24"/>
          <w:szCs w:val="24"/>
        </w:rPr>
        <w:t>judicial authorities</w:t>
      </w:r>
      <w:r>
        <w:rPr>
          <w:rFonts w:ascii="Times New Roman" w:hAnsi="Times New Roman" w:cs="Times New Roman"/>
          <w:noProof/>
          <w:sz w:val="24"/>
          <w:szCs w:val="24"/>
        </w:rPr>
        <w:t>;</w:t>
      </w:r>
    </w:p>
    <w:p w:rsidR="001B65FF" w:rsidRDefault="003E4EF4">
      <w:pPr>
        <w:numPr>
          <w:ilvl w:val="0"/>
          <w:numId w:val="141"/>
        </w:numPr>
        <w:autoSpaceDE w:val="0"/>
        <w:autoSpaceDN w:val="0"/>
        <w:adjustRightInd w:val="0"/>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European multidisciplinary platform against criminal threats (</w:t>
      </w:r>
      <w:r>
        <w:rPr>
          <w:rFonts w:ascii="Times New Roman" w:hAnsi="Times New Roman" w:cs="Times New Roman"/>
          <w:b/>
          <w:noProof/>
          <w:sz w:val="24"/>
          <w:szCs w:val="24"/>
        </w:rPr>
        <w:t>EMPACT</w:t>
      </w:r>
      <w:r>
        <w:rPr>
          <w:rFonts w:ascii="Times New Roman" w:hAnsi="Times New Roman" w:cs="Times New Roman"/>
          <w:noProof/>
          <w:sz w:val="24"/>
          <w:szCs w:val="24"/>
        </w:rPr>
        <w:t>), part of the EU Policy Cycle, to exchange informat</w:t>
      </w:r>
      <w:r>
        <w:rPr>
          <w:rFonts w:ascii="Times New Roman" w:hAnsi="Times New Roman" w:cs="Times New Roman"/>
          <w:noProof/>
          <w:sz w:val="24"/>
          <w:szCs w:val="24"/>
        </w:rPr>
        <w:t xml:space="preserve">ion with </w:t>
      </w:r>
      <w:r>
        <w:rPr>
          <w:rFonts w:ascii="Times New Roman" w:hAnsi="Times New Roman" w:cs="Times New Roman"/>
          <w:b/>
          <w:noProof/>
          <w:sz w:val="24"/>
          <w:szCs w:val="24"/>
        </w:rPr>
        <w:t>law enforcement</w:t>
      </w:r>
      <w:r>
        <w:rPr>
          <w:rFonts w:ascii="Times New Roman" w:hAnsi="Times New Roman" w:cs="Times New Roman"/>
          <w:noProof/>
          <w:sz w:val="24"/>
          <w:szCs w:val="24"/>
        </w:rPr>
        <w:t>;</w:t>
      </w:r>
    </w:p>
    <w:p w:rsidR="001B65FF" w:rsidRDefault="003E4EF4">
      <w:pPr>
        <w:pStyle w:val="ListParagraph"/>
        <w:rPr>
          <w:rFonts w:cs="Times New Roman"/>
          <w:noProof/>
          <w:szCs w:val="24"/>
        </w:rPr>
        <w:sectPr w:rsidR="001B65FF">
          <w:headerReference w:type="even" r:id="rId51"/>
          <w:headerReference w:type="default" r:id="rId52"/>
          <w:footerReference w:type="even" r:id="rId53"/>
          <w:footerReference w:type="default" r:id="rId54"/>
          <w:headerReference w:type="first" r:id="rId55"/>
          <w:footerReference w:type="first" r:id="rId56"/>
          <w:pgSz w:w="11906" w:h="16838"/>
          <w:pgMar w:top="1417" w:right="1416" w:bottom="1417" w:left="1350" w:header="708" w:footer="708" w:gutter="0"/>
          <w:cols w:space="720"/>
          <w:docGrid w:linePitch="360"/>
        </w:sectPr>
      </w:pPr>
      <w:r>
        <w:rPr>
          <w:rFonts w:ascii="Times New Roman" w:hAnsi="Times New Roman"/>
          <w:noProof/>
          <w:sz w:val="24"/>
        </w:rPr>
        <w:t xml:space="preserve">the </w:t>
      </w:r>
      <w:r>
        <w:rPr>
          <w:rFonts w:ascii="Times New Roman" w:hAnsi="Times New Roman"/>
          <w:b/>
          <w:noProof/>
          <w:sz w:val="24"/>
        </w:rPr>
        <w:t>EU Internet Forum</w:t>
      </w:r>
      <w:r>
        <w:rPr>
          <w:rFonts w:cs="Times New Roman"/>
          <w:noProof/>
          <w:szCs w:val="24"/>
          <w:vertAlign w:val="superscript"/>
        </w:rPr>
        <w:footnoteReference w:id="120"/>
      </w:r>
      <w:r>
        <w:rPr>
          <w:rFonts w:ascii="Times New Roman" w:hAnsi="Times New Roman"/>
          <w:noProof/>
          <w:sz w:val="24"/>
        </w:rPr>
        <w:t xml:space="preserve">, to exchange information with </w:t>
      </w:r>
      <w:r>
        <w:rPr>
          <w:rFonts w:ascii="Times New Roman" w:hAnsi="Times New Roman"/>
          <w:b/>
          <w:noProof/>
          <w:sz w:val="24"/>
        </w:rPr>
        <w:t xml:space="preserve">service providers and public authorities in Member States </w:t>
      </w:r>
      <w:r>
        <w:rPr>
          <w:rFonts w:ascii="Times New Roman" w:hAnsi="Times New Roman"/>
          <w:noProof/>
          <w:sz w:val="24"/>
        </w:rPr>
        <w:t>(Home Affairs Ministries).</w:t>
      </w:r>
    </w:p>
    <w:p w:rsidR="001B65FF" w:rsidRDefault="003E4EF4">
      <w:pPr>
        <w:spacing w:after="40"/>
        <w:jc w:val="center"/>
        <w:rPr>
          <w:rFonts w:ascii="Times New Roman" w:hAnsi="Times New Roman" w:cs="Times New Roman"/>
          <w:i/>
          <w:noProof/>
          <w:sz w:val="24"/>
          <w:szCs w:val="24"/>
        </w:rPr>
      </w:pPr>
      <w:r>
        <w:rPr>
          <w:rFonts w:ascii="Times New Roman" w:hAnsi="Times New Roman" w:cs="Times New Roman"/>
          <w:i/>
          <w:noProof/>
          <w:sz w:val="24"/>
          <w:szCs w:val="24"/>
        </w:rPr>
        <w:t xml:space="preserve">Table 13: monitoring of general, specific </w:t>
      </w:r>
      <w:r>
        <w:rPr>
          <w:rFonts w:ascii="Times New Roman" w:hAnsi="Times New Roman" w:cs="Times New Roman"/>
          <w:i/>
          <w:noProof/>
          <w:sz w:val="24"/>
          <w:szCs w:val="24"/>
        </w:rPr>
        <w:t>and operational objectives</w:t>
      </w:r>
    </w:p>
    <w:tbl>
      <w:tblPr>
        <w:tblStyle w:val="TableGrid"/>
        <w:tblW w:w="13608" w:type="dxa"/>
        <w:tblLook w:val="04A0" w:firstRow="1" w:lastRow="0" w:firstColumn="1" w:lastColumn="0" w:noHBand="0" w:noVBand="1"/>
      </w:tblPr>
      <w:tblGrid>
        <w:gridCol w:w="1099"/>
        <w:gridCol w:w="2375"/>
        <w:gridCol w:w="3153"/>
        <w:gridCol w:w="2121"/>
        <w:gridCol w:w="1431"/>
        <w:gridCol w:w="1736"/>
        <w:gridCol w:w="1693"/>
      </w:tblGrid>
      <w:tr w:rsidR="001B65FF">
        <w:tc>
          <w:tcPr>
            <w:tcW w:w="1099" w:type="dxa"/>
          </w:tcPr>
          <w:p w:rsidR="001B65FF" w:rsidRDefault="003E4EF4">
            <w:pPr>
              <w:jc w:val="both"/>
              <w:rPr>
                <w:b/>
                <w:noProof/>
                <w:sz w:val="18"/>
                <w:szCs w:val="19"/>
              </w:rPr>
            </w:pPr>
            <w:r>
              <w:rPr>
                <w:noProof/>
                <w:sz w:val="18"/>
                <w:szCs w:val="19"/>
              </w:rPr>
              <w:t xml:space="preserve"> </w:t>
            </w:r>
          </w:p>
        </w:tc>
        <w:tc>
          <w:tcPr>
            <w:tcW w:w="2375" w:type="dxa"/>
            <w:vAlign w:val="center"/>
          </w:tcPr>
          <w:p w:rsidR="001B65FF" w:rsidRDefault="003E4EF4">
            <w:pPr>
              <w:jc w:val="center"/>
              <w:rPr>
                <w:b/>
                <w:noProof/>
                <w:sz w:val="18"/>
                <w:szCs w:val="19"/>
              </w:rPr>
            </w:pPr>
            <w:r>
              <w:rPr>
                <w:b/>
                <w:noProof/>
                <w:sz w:val="18"/>
                <w:szCs w:val="19"/>
              </w:rPr>
              <w:t>Objectives</w:t>
            </w:r>
          </w:p>
        </w:tc>
        <w:tc>
          <w:tcPr>
            <w:tcW w:w="3153" w:type="dxa"/>
            <w:vAlign w:val="center"/>
          </w:tcPr>
          <w:p w:rsidR="001B65FF" w:rsidRDefault="003E4EF4">
            <w:pPr>
              <w:jc w:val="center"/>
              <w:rPr>
                <w:b/>
                <w:noProof/>
                <w:sz w:val="18"/>
                <w:szCs w:val="19"/>
              </w:rPr>
            </w:pPr>
            <w:r>
              <w:rPr>
                <w:b/>
                <w:noProof/>
                <w:sz w:val="18"/>
                <w:szCs w:val="19"/>
              </w:rPr>
              <w:t>Monitoring indicators</w:t>
            </w:r>
          </w:p>
        </w:tc>
        <w:tc>
          <w:tcPr>
            <w:tcW w:w="2121" w:type="dxa"/>
            <w:vAlign w:val="center"/>
          </w:tcPr>
          <w:p w:rsidR="001B65FF" w:rsidRDefault="003E4EF4">
            <w:pPr>
              <w:jc w:val="center"/>
              <w:rPr>
                <w:b/>
                <w:noProof/>
                <w:sz w:val="18"/>
                <w:szCs w:val="19"/>
              </w:rPr>
            </w:pPr>
            <w:r>
              <w:rPr>
                <w:b/>
                <w:noProof/>
                <w:sz w:val="18"/>
                <w:szCs w:val="19"/>
              </w:rPr>
              <w:t>Sources of data and/or collection methods</w:t>
            </w:r>
          </w:p>
        </w:tc>
        <w:tc>
          <w:tcPr>
            <w:tcW w:w="1431" w:type="dxa"/>
            <w:vAlign w:val="center"/>
          </w:tcPr>
          <w:p w:rsidR="001B65FF" w:rsidRDefault="003E4EF4">
            <w:pPr>
              <w:jc w:val="center"/>
              <w:rPr>
                <w:b/>
                <w:noProof/>
                <w:sz w:val="18"/>
                <w:szCs w:val="19"/>
              </w:rPr>
            </w:pPr>
            <w:r>
              <w:rPr>
                <w:b/>
                <w:noProof/>
                <w:sz w:val="18"/>
                <w:szCs w:val="19"/>
              </w:rPr>
              <w:t>Data collected already?</w:t>
            </w:r>
          </w:p>
        </w:tc>
        <w:tc>
          <w:tcPr>
            <w:tcW w:w="1736" w:type="dxa"/>
            <w:vAlign w:val="center"/>
          </w:tcPr>
          <w:p w:rsidR="001B65FF" w:rsidRDefault="003E4EF4">
            <w:pPr>
              <w:jc w:val="center"/>
              <w:rPr>
                <w:b/>
                <w:noProof/>
                <w:sz w:val="18"/>
                <w:szCs w:val="19"/>
              </w:rPr>
            </w:pPr>
            <w:r>
              <w:rPr>
                <w:b/>
                <w:noProof/>
                <w:sz w:val="18"/>
                <w:szCs w:val="19"/>
              </w:rPr>
              <w:t>Actors responsible for data collection</w:t>
            </w:r>
          </w:p>
        </w:tc>
        <w:tc>
          <w:tcPr>
            <w:tcW w:w="1693" w:type="dxa"/>
            <w:vAlign w:val="center"/>
          </w:tcPr>
          <w:p w:rsidR="001B65FF" w:rsidRDefault="003E4EF4">
            <w:pPr>
              <w:jc w:val="center"/>
              <w:rPr>
                <w:b/>
                <w:noProof/>
                <w:sz w:val="18"/>
                <w:szCs w:val="19"/>
              </w:rPr>
            </w:pPr>
            <w:r>
              <w:rPr>
                <w:b/>
                <w:noProof/>
                <w:sz w:val="18"/>
                <w:szCs w:val="19"/>
              </w:rPr>
              <w:t>Target</w:t>
            </w:r>
          </w:p>
        </w:tc>
      </w:tr>
      <w:tr w:rsidR="001B65FF">
        <w:trPr>
          <w:trHeight w:val="1502"/>
        </w:trPr>
        <w:tc>
          <w:tcPr>
            <w:tcW w:w="1099" w:type="dxa"/>
          </w:tcPr>
          <w:p w:rsidR="001B65FF" w:rsidRDefault="003E4EF4">
            <w:pPr>
              <w:rPr>
                <w:noProof/>
                <w:sz w:val="18"/>
                <w:szCs w:val="19"/>
              </w:rPr>
            </w:pPr>
            <w:r>
              <w:rPr>
                <w:noProof/>
                <w:sz w:val="18"/>
                <w:szCs w:val="19"/>
              </w:rPr>
              <w:t>General</w:t>
            </w:r>
          </w:p>
        </w:tc>
        <w:tc>
          <w:tcPr>
            <w:tcW w:w="2375" w:type="dxa"/>
          </w:tcPr>
          <w:p w:rsidR="001B65FF" w:rsidRDefault="003E4EF4">
            <w:pPr>
              <w:rPr>
                <w:b/>
                <w:noProof/>
                <w:sz w:val="18"/>
                <w:szCs w:val="19"/>
              </w:rPr>
            </w:pPr>
            <w:r>
              <w:rPr>
                <w:noProof/>
                <w:sz w:val="18"/>
                <w:szCs w:val="19"/>
              </w:rPr>
              <w:t xml:space="preserve">Ensure effective investigation and  prosecution of crimes in the EU by </w:t>
            </w:r>
            <w:r>
              <w:rPr>
                <w:b/>
                <w:noProof/>
                <w:sz w:val="18"/>
                <w:szCs w:val="19"/>
              </w:rPr>
              <w:t>improving cross-border access to e-evidence</w:t>
            </w:r>
          </w:p>
          <w:p w:rsidR="001B65FF" w:rsidRDefault="003E4EF4">
            <w:pPr>
              <w:rPr>
                <w:noProof/>
                <w:sz w:val="18"/>
                <w:szCs w:val="19"/>
              </w:rPr>
            </w:pPr>
            <w:r>
              <w:rPr>
                <w:noProof/>
                <w:sz w:val="18"/>
                <w:szCs w:val="19"/>
              </w:rPr>
              <w:t xml:space="preserve">through </w:t>
            </w:r>
            <w:r>
              <w:rPr>
                <w:b/>
                <w:noProof/>
                <w:sz w:val="18"/>
                <w:szCs w:val="19"/>
              </w:rPr>
              <w:t>enhanced judicial cooperation</w:t>
            </w:r>
            <w:r>
              <w:rPr>
                <w:noProof/>
                <w:sz w:val="18"/>
                <w:szCs w:val="19"/>
              </w:rPr>
              <w:t xml:space="preserve"> in criminal matters and an </w:t>
            </w:r>
            <w:r>
              <w:rPr>
                <w:b/>
                <w:noProof/>
                <w:sz w:val="18"/>
                <w:szCs w:val="19"/>
              </w:rPr>
              <w:t>approximation</w:t>
            </w:r>
            <w:r>
              <w:rPr>
                <w:noProof/>
                <w:sz w:val="18"/>
                <w:szCs w:val="19"/>
              </w:rPr>
              <w:t xml:space="preserve"> of rules and procedures</w:t>
            </w:r>
          </w:p>
        </w:tc>
        <w:tc>
          <w:tcPr>
            <w:tcW w:w="3153" w:type="dxa"/>
          </w:tcPr>
          <w:p w:rsidR="001B65FF" w:rsidRDefault="003E4EF4">
            <w:pPr>
              <w:rPr>
                <w:noProof/>
                <w:sz w:val="18"/>
                <w:szCs w:val="19"/>
              </w:rPr>
            </w:pPr>
            <w:r>
              <w:rPr>
                <w:b/>
                <w:noProof/>
                <w:sz w:val="18"/>
                <w:szCs w:val="19"/>
              </w:rPr>
              <w:t>Percentage</w:t>
            </w:r>
            <w:r>
              <w:rPr>
                <w:noProof/>
                <w:sz w:val="18"/>
                <w:szCs w:val="19"/>
              </w:rPr>
              <w:t xml:space="preserve"> of crimes that </w:t>
            </w:r>
            <w:r>
              <w:rPr>
                <w:b/>
                <w:noProof/>
                <w:sz w:val="18"/>
                <w:szCs w:val="19"/>
              </w:rPr>
              <w:t xml:space="preserve">cannot </w:t>
            </w:r>
            <w:r>
              <w:rPr>
                <w:noProof/>
                <w:sz w:val="18"/>
                <w:szCs w:val="19"/>
              </w:rPr>
              <w:t>be effectively investigated and prosecuted in the EU due to challenges in ac</w:t>
            </w:r>
            <w:r>
              <w:rPr>
                <w:noProof/>
                <w:sz w:val="18"/>
                <w:szCs w:val="19"/>
              </w:rPr>
              <w:t xml:space="preserve">cessing e-evidence across borders  </w:t>
            </w:r>
          </w:p>
        </w:tc>
        <w:tc>
          <w:tcPr>
            <w:tcW w:w="2121" w:type="dxa"/>
          </w:tcPr>
          <w:p w:rsidR="001B65FF" w:rsidRDefault="003E4EF4">
            <w:pPr>
              <w:rPr>
                <w:noProof/>
                <w:sz w:val="18"/>
                <w:szCs w:val="19"/>
              </w:rPr>
            </w:pPr>
            <w:r>
              <w:rPr>
                <w:b/>
                <w:noProof/>
                <w:sz w:val="18"/>
                <w:szCs w:val="19"/>
              </w:rPr>
              <w:t>Biannual survey</w:t>
            </w:r>
            <w:r>
              <w:rPr>
                <w:noProof/>
                <w:sz w:val="18"/>
                <w:szCs w:val="19"/>
              </w:rPr>
              <w:t xml:space="preserve"> of public authorities in Member States</w:t>
            </w:r>
          </w:p>
        </w:tc>
        <w:tc>
          <w:tcPr>
            <w:tcW w:w="1431" w:type="dxa"/>
          </w:tcPr>
          <w:p w:rsidR="001B65FF" w:rsidRDefault="003E4EF4">
            <w:pPr>
              <w:rPr>
                <w:noProof/>
                <w:sz w:val="18"/>
                <w:szCs w:val="19"/>
              </w:rPr>
            </w:pPr>
            <w:r>
              <w:rPr>
                <w:noProof/>
                <w:sz w:val="18"/>
                <w:szCs w:val="19"/>
              </w:rPr>
              <w:t xml:space="preserve">Yes (see section 2). </w:t>
            </w:r>
          </w:p>
          <w:p w:rsidR="001B65FF" w:rsidRDefault="003E4EF4">
            <w:pPr>
              <w:rPr>
                <w:noProof/>
                <w:sz w:val="18"/>
                <w:szCs w:val="19"/>
              </w:rPr>
            </w:pPr>
            <w:r>
              <w:rPr>
                <w:noProof/>
                <w:sz w:val="18"/>
                <w:szCs w:val="19"/>
              </w:rPr>
              <w:t>To be collected systematically</w:t>
            </w:r>
          </w:p>
        </w:tc>
        <w:tc>
          <w:tcPr>
            <w:tcW w:w="1736" w:type="dxa"/>
          </w:tcPr>
          <w:p w:rsidR="001B65FF" w:rsidRDefault="003E4EF4">
            <w:pPr>
              <w:rPr>
                <w:noProof/>
                <w:sz w:val="18"/>
                <w:szCs w:val="19"/>
              </w:rPr>
            </w:pPr>
            <w:r>
              <w:rPr>
                <w:noProof/>
                <w:sz w:val="18"/>
                <w:szCs w:val="19"/>
              </w:rPr>
              <w:t>European Commission, with the collaboration of Member States</w:t>
            </w:r>
          </w:p>
        </w:tc>
        <w:tc>
          <w:tcPr>
            <w:tcW w:w="1693" w:type="dxa"/>
          </w:tcPr>
          <w:p w:rsidR="001B65FF" w:rsidRDefault="003E4EF4">
            <w:pPr>
              <w:jc w:val="center"/>
              <w:rPr>
                <w:b/>
                <w:noProof/>
                <w:sz w:val="18"/>
                <w:szCs w:val="19"/>
              </w:rPr>
            </w:pPr>
            <w:r>
              <w:rPr>
                <w:b/>
                <w:noProof/>
                <w:sz w:val="18"/>
                <w:szCs w:val="19"/>
              </w:rPr>
              <w:t>&lt;10%</w:t>
            </w:r>
          </w:p>
        </w:tc>
      </w:tr>
      <w:tr w:rsidR="001B65FF">
        <w:trPr>
          <w:trHeight w:val="800"/>
        </w:trPr>
        <w:tc>
          <w:tcPr>
            <w:tcW w:w="1099" w:type="dxa"/>
            <w:vMerge w:val="restart"/>
          </w:tcPr>
          <w:p w:rsidR="001B65FF" w:rsidRDefault="003E4EF4">
            <w:pPr>
              <w:rPr>
                <w:noProof/>
                <w:sz w:val="18"/>
                <w:szCs w:val="19"/>
              </w:rPr>
            </w:pPr>
            <w:r>
              <w:rPr>
                <w:noProof/>
                <w:sz w:val="18"/>
                <w:szCs w:val="19"/>
              </w:rPr>
              <w:t>Specific</w:t>
            </w:r>
          </w:p>
        </w:tc>
        <w:tc>
          <w:tcPr>
            <w:tcW w:w="2375" w:type="dxa"/>
          </w:tcPr>
          <w:p w:rsidR="001B65FF" w:rsidRDefault="003E4EF4">
            <w:pPr>
              <w:rPr>
                <w:noProof/>
                <w:sz w:val="18"/>
                <w:szCs w:val="19"/>
              </w:rPr>
            </w:pPr>
            <w:r>
              <w:rPr>
                <w:b/>
                <w:noProof/>
                <w:sz w:val="18"/>
                <w:szCs w:val="19"/>
              </w:rPr>
              <w:t>Reduce delays</w:t>
            </w:r>
            <w:r>
              <w:rPr>
                <w:noProof/>
                <w:sz w:val="18"/>
                <w:szCs w:val="19"/>
              </w:rPr>
              <w:t xml:space="preserve"> in cross-border access to electronic evidence </w:t>
            </w:r>
          </w:p>
          <w:p w:rsidR="001B65FF" w:rsidRDefault="001B65FF">
            <w:pPr>
              <w:rPr>
                <w:noProof/>
                <w:sz w:val="18"/>
                <w:szCs w:val="19"/>
              </w:rPr>
            </w:pPr>
          </w:p>
        </w:tc>
        <w:tc>
          <w:tcPr>
            <w:tcW w:w="3153" w:type="dxa"/>
          </w:tcPr>
          <w:p w:rsidR="001B65FF" w:rsidRDefault="003E4EF4">
            <w:pPr>
              <w:ind w:left="-7"/>
              <w:jc w:val="both"/>
              <w:rPr>
                <w:noProof/>
                <w:sz w:val="18"/>
                <w:szCs w:val="19"/>
              </w:rPr>
            </w:pPr>
            <w:r>
              <w:rPr>
                <w:b/>
                <w:noProof/>
                <w:sz w:val="18"/>
                <w:szCs w:val="19"/>
              </w:rPr>
              <w:t>Time</w:t>
            </w:r>
            <w:r>
              <w:rPr>
                <w:noProof/>
                <w:sz w:val="18"/>
                <w:szCs w:val="19"/>
              </w:rPr>
              <w:t xml:space="preserve"> from </w:t>
            </w:r>
            <w:r>
              <w:rPr>
                <w:b/>
                <w:noProof/>
                <w:sz w:val="18"/>
                <w:szCs w:val="19"/>
              </w:rPr>
              <w:t>demand to access</w:t>
            </w:r>
            <w:r>
              <w:rPr>
                <w:noProof/>
                <w:sz w:val="18"/>
                <w:szCs w:val="19"/>
              </w:rPr>
              <w:t xml:space="preserve"> (i.e. time required to access e-evidence from the moment the request to access it is issued), by type of:</w:t>
            </w:r>
          </w:p>
          <w:p w:rsidR="001B65FF" w:rsidRDefault="003E4EF4">
            <w:pPr>
              <w:pStyle w:val="ListParagraph"/>
              <w:numPr>
                <w:ilvl w:val="0"/>
                <w:numId w:val="138"/>
              </w:numPr>
              <w:ind w:left="162" w:hanging="162"/>
              <w:jc w:val="both"/>
              <w:rPr>
                <w:noProof/>
                <w:sz w:val="18"/>
                <w:szCs w:val="19"/>
              </w:rPr>
            </w:pPr>
            <w:r>
              <w:rPr>
                <w:noProof/>
                <w:sz w:val="18"/>
                <w:szCs w:val="19"/>
              </w:rPr>
              <w:t>channel (formal/direct cooperation),</w:t>
            </w:r>
          </w:p>
          <w:p w:rsidR="001B65FF" w:rsidRDefault="003E4EF4">
            <w:pPr>
              <w:pStyle w:val="ListParagraph"/>
              <w:numPr>
                <w:ilvl w:val="0"/>
                <w:numId w:val="138"/>
              </w:numPr>
              <w:ind w:left="162" w:hanging="162"/>
              <w:jc w:val="both"/>
              <w:rPr>
                <w:noProof/>
                <w:sz w:val="18"/>
                <w:szCs w:val="19"/>
              </w:rPr>
            </w:pPr>
            <w:r>
              <w:rPr>
                <w:noProof/>
                <w:sz w:val="18"/>
                <w:szCs w:val="19"/>
              </w:rPr>
              <w:t>data (content/non-content)</w:t>
            </w:r>
          </w:p>
          <w:p w:rsidR="001B65FF" w:rsidRDefault="003E4EF4">
            <w:pPr>
              <w:pStyle w:val="ListParagraph"/>
              <w:numPr>
                <w:ilvl w:val="0"/>
                <w:numId w:val="138"/>
              </w:numPr>
              <w:ind w:left="162" w:hanging="162"/>
              <w:jc w:val="both"/>
              <w:rPr>
                <w:noProof/>
                <w:sz w:val="18"/>
                <w:szCs w:val="19"/>
              </w:rPr>
            </w:pPr>
            <w:r>
              <w:rPr>
                <w:noProof/>
                <w:sz w:val="18"/>
                <w:szCs w:val="19"/>
              </w:rPr>
              <w:t xml:space="preserve">situation </w:t>
            </w:r>
            <w:r>
              <w:rPr>
                <w:noProof/>
                <w:sz w:val="18"/>
                <w:szCs w:val="19"/>
              </w:rPr>
              <w:t>(emergency/non-emergency)</w:t>
            </w:r>
          </w:p>
        </w:tc>
        <w:tc>
          <w:tcPr>
            <w:tcW w:w="2121" w:type="dxa"/>
          </w:tcPr>
          <w:p w:rsidR="001B65FF" w:rsidRDefault="003E4EF4">
            <w:pPr>
              <w:rPr>
                <w:noProof/>
                <w:sz w:val="18"/>
                <w:szCs w:val="19"/>
              </w:rPr>
            </w:pPr>
            <w:r>
              <w:rPr>
                <w:b/>
                <w:noProof/>
                <w:sz w:val="18"/>
                <w:szCs w:val="19"/>
              </w:rPr>
              <w:t>Systematic references</w:t>
            </w:r>
            <w:r>
              <w:rPr>
                <w:noProof/>
                <w:sz w:val="18"/>
                <w:szCs w:val="19"/>
              </w:rPr>
              <w:t xml:space="preserve"> in </w:t>
            </w:r>
            <w:r>
              <w:rPr>
                <w:b/>
                <w:noProof/>
                <w:sz w:val="18"/>
                <w:szCs w:val="19"/>
              </w:rPr>
              <w:t>investigative file</w:t>
            </w:r>
            <w:r>
              <w:rPr>
                <w:noProof/>
                <w:sz w:val="18"/>
                <w:szCs w:val="19"/>
              </w:rPr>
              <w:t xml:space="preserve"> to the point in time when the request is issued and when the answer is received systematic </w:t>
            </w:r>
          </w:p>
        </w:tc>
        <w:tc>
          <w:tcPr>
            <w:tcW w:w="1431" w:type="dxa"/>
          </w:tcPr>
          <w:p w:rsidR="001B65FF" w:rsidRDefault="003E4EF4">
            <w:pPr>
              <w:rPr>
                <w:noProof/>
                <w:sz w:val="18"/>
                <w:szCs w:val="19"/>
              </w:rPr>
            </w:pPr>
            <w:r>
              <w:rPr>
                <w:noProof/>
                <w:sz w:val="18"/>
                <w:szCs w:val="19"/>
              </w:rPr>
              <w:t>No</w:t>
            </w:r>
          </w:p>
        </w:tc>
        <w:tc>
          <w:tcPr>
            <w:tcW w:w="1736" w:type="dxa"/>
            <w:vMerge w:val="restart"/>
          </w:tcPr>
          <w:p w:rsidR="001B65FF" w:rsidRDefault="003E4EF4">
            <w:pPr>
              <w:pStyle w:val="ListParagraph"/>
              <w:numPr>
                <w:ilvl w:val="0"/>
                <w:numId w:val="140"/>
              </w:numPr>
              <w:ind w:left="162" w:hanging="162"/>
              <w:rPr>
                <w:noProof/>
                <w:sz w:val="18"/>
                <w:szCs w:val="19"/>
              </w:rPr>
            </w:pPr>
            <w:r>
              <w:rPr>
                <w:noProof/>
                <w:sz w:val="18"/>
                <w:szCs w:val="19"/>
              </w:rPr>
              <w:t>Member States’ judicial authorities, and law enforcement (collection);</w:t>
            </w:r>
          </w:p>
          <w:p w:rsidR="001B65FF" w:rsidRDefault="003E4EF4">
            <w:pPr>
              <w:pStyle w:val="ListParagraph"/>
              <w:numPr>
                <w:ilvl w:val="0"/>
                <w:numId w:val="140"/>
              </w:numPr>
              <w:ind w:left="162" w:hanging="162"/>
              <w:rPr>
                <w:noProof/>
                <w:sz w:val="18"/>
                <w:szCs w:val="19"/>
              </w:rPr>
            </w:pPr>
            <w:r>
              <w:rPr>
                <w:noProof/>
                <w:sz w:val="18"/>
                <w:szCs w:val="19"/>
              </w:rPr>
              <w:t xml:space="preserve">European Commission </w:t>
            </w:r>
            <w:r>
              <w:rPr>
                <w:noProof/>
                <w:sz w:val="18"/>
                <w:szCs w:val="19"/>
              </w:rPr>
              <w:t>(consolidation)</w:t>
            </w:r>
          </w:p>
          <w:p w:rsidR="001B65FF" w:rsidRDefault="001B65FF">
            <w:pPr>
              <w:rPr>
                <w:noProof/>
                <w:sz w:val="18"/>
                <w:szCs w:val="19"/>
              </w:rPr>
            </w:pPr>
          </w:p>
        </w:tc>
        <w:tc>
          <w:tcPr>
            <w:tcW w:w="1693" w:type="dxa"/>
          </w:tcPr>
          <w:p w:rsidR="001B65FF" w:rsidRDefault="003E4EF4">
            <w:pPr>
              <w:pStyle w:val="ListParagraph"/>
              <w:numPr>
                <w:ilvl w:val="0"/>
                <w:numId w:val="140"/>
              </w:numPr>
              <w:ind w:left="265" w:hanging="265"/>
              <w:rPr>
                <w:noProof/>
                <w:sz w:val="18"/>
                <w:szCs w:val="19"/>
              </w:rPr>
            </w:pPr>
            <w:r>
              <w:rPr>
                <w:noProof/>
                <w:sz w:val="18"/>
                <w:szCs w:val="19"/>
              </w:rPr>
              <w:t xml:space="preserve">Emergency: </w:t>
            </w:r>
            <w:r>
              <w:rPr>
                <w:b/>
                <w:noProof/>
                <w:sz w:val="18"/>
                <w:szCs w:val="19"/>
              </w:rPr>
              <w:t>&lt;24h</w:t>
            </w:r>
          </w:p>
          <w:p w:rsidR="001B65FF" w:rsidRDefault="003E4EF4">
            <w:pPr>
              <w:pStyle w:val="ListParagraph"/>
              <w:numPr>
                <w:ilvl w:val="0"/>
                <w:numId w:val="140"/>
              </w:numPr>
              <w:ind w:left="265" w:hanging="265"/>
              <w:rPr>
                <w:noProof/>
                <w:sz w:val="18"/>
                <w:szCs w:val="19"/>
              </w:rPr>
            </w:pPr>
            <w:r>
              <w:rPr>
                <w:noProof/>
                <w:sz w:val="18"/>
                <w:szCs w:val="19"/>
              </w:rPr>
              <w:t xml:space="preserve">Non-emergency: </w:t>
            </w:r>
            <w:r>
              <w:rPr>
                <w:b/>
                <w:noProof/>
                <w:sz w:val="18"/>
                <w:szCs w:val="19"/>
              </w:rPr>
              <w:t>&lt;1 week</w:t>
            </w:r>
            <w:r>
              <w:rPr>
                <w:noProof/>
                <w:sz w:val="18"/>
                <w:szCs w:val="19"/>
              </w:rPr>
              <w:t>,</w:t>
            </w:r>
          </w:p>
          <w:p w:rsidR="001B65FF" w:rsidRDefault="003E4EF4">
            <w:pPr>
              <w:rPr>
                <w:noProof/>
                <w:sz w:val="18"/>
                <w:szCs w:val="19"/>
              </w:rPr>
            </w:pPr>
            <w:r>
              <w:rPr>
                <w:noProof/>
                <w:sz w:val="18"/>
                <w:szCs w:val="19"/>
              </w:rPr>
              <w:t>for both judicial and direct cooperation, and any type of data</w:t>
            </w:r>
          </w:p>
        </w:tc>
      </w:tr>
      <w:tr w:rsidR="001B65FF">
        <w:trPr>
          <w:trHeight w:val="744"/>
        </w:trPr>
        <w:tc>
          <w:tcPr>
            <w:tcW w:w="1099" w:type="dxa"/>
            <w:vMerge/>
          </w:tcPr>
          <w:p w:rsidR="001B65FF" w:rsidRDefault="001B65FF">
            <w:pPr>
              <w:pStyle w:val="ListParagraph"/>
              <w:numPr>
                <w:ilvl w:val="0"/>
                <w:numId w:val="58"/>
              </w:numPr>
              <w:contextualSpacing w:val="0"/>
              <w:rPr>
                <w:noProof/>
                <w:sz w:val="18"/>
                <w:szCs w:val="19"/>
              </w:rPr>
            </w:pPr>
          </w:p>
        </w:tc>
        <w:tc>
          <w:tcPr>
            <w:tcW w:w="2375" w:type="dxa"/>
          </w:tcPr>
          <w:p w:rsidR="001B65FF" w:rsidRDefault="003E4EF4">
            <w:pPr>
              <w:rPr>
                <w:noProof/>
                <w:sz w:val="18"/>
                <w:szCs w:val="19"/>
              </w:rPr>
            </w:pPr>
            <w:r>
              <w:rPr>
                <w:b/>
                <w:noProof/>
                <w:sz w:val="18"/>
                <w:szCs w:val="19"/>
              </w:rPr>
              <w:t>Ensure</w:t>
            </w:r>
            <w:r>
              <w:rPr>
                <w:noProof/>
                <w:sz w:val="18"/>
                <w:szCs w:val="19"/>
              </w:rPr>
              <w:t xml:space="preserve"> cross-border </w:t>
            </w:r>
            <w:r>
              <w:rPr>
                <w:b/>
                <w:noProof/>
                <w:sz w:val="18"/>
                <w:szCs w:val="19"/>
              </w:rPr>
              <w:t>access</w:t>
            </w:r>
            <w:r>
              <w:rPr>
                <w:noProof/>
                <w:sz w:val="18"/>
                <w:szCs w:val="19"/>
              </w:rPr>
              <w:t xml:space="preserve"> to electronic evidence where it is</w:t>
            </w:r>
            <w:r>
              <w:rPr>
                <w:b/>
                <w:noProof/>
                <w:sz w:val="18"/>
                <w:szCs w:val="19"/>
              </w:rPr>
              <w:t xml:space="preserve"> currently missing</w:t>
            </w:r>
          </w:p>
        </w:tc>
        <w:tc>
          <w:tcPr>
            <w:tcW w:w="3153" w:type="dxa"/>
          </w:tcPr>
          <w:p w:rsidR="001B65FF" w:rsidRDefault="003E4EF4">
            <w:pPr>
              <w:ind w:left="-7"/>
              <w:jc w:val="both"/>
              <w:rPr>
                <w:noProof/>
                <w:sz w:val="18"/>
                <w:szCs w:val="19"/>
              </w:rPr>
            </w:pPr>
            <w:r>
              <w:rPr>
                <w:b/>
                <w:noProof/>
                <w:sz w:val="18"/>
                <w:szCs w:val="19"/>
              </w:rPr>
              <w:t>Percentage</w:t>
            </w:r>
            <w:r>
              <w:rPr>
                <w:noProof/>
                <w:sz w:val="18"/>
                <w:szCs w:val="19"/>
              </w:rPr>
              <w:t xml:space="preserve"> </w:t>
            </w:r>
            <w:r>
              <w:rPr>
                <w:b/>
                <w:noProof/>
                <w:sz w:val="18"/>
                <w:szCs w:val="19"/>
              </w:rPr>
              <w:t>of requests</w:t>
            </w:r>
            <w:r>
              <w:rPr>
                <w:noProof/>
                <w:sz w:val="18"/>
                <w:szCs w:val="19"/>
              </w:rPr>
              <w:t xml:space="preserve"> to cross-border access to e-evi</w:t>
            </w:r>
            <w:r>
              <w:rPr>
                <w:noProof/>
                <w:sz w:val="18"/>
                <w:szCs w:val="19"/>
              </w:rPr>
              <w:t xml:space="preserve">dence that are </w:t>
            </w:r>
            <w:r>
              <w:rPr>
                <w:b/>
                <w:noProof/>
                <w:sz w:val="18"/>
                <w:szCs w:val="19"/>
              </w:rPr>
              <w:t>not fulfilled</w:t>
            </w:r>
          </w:p>
        </w:tc>
        <w:tc>
          <w:tcPr>
            <w:tcW w:w="2121" w:type="dxa"/>
          </w:tcPr>
          <w:p w:rsidR="001B65FF" w:rsidRDefault="003E4EF4">
            <w:pPr>
              <w:pStyle w:val="ListParagraph"/>
              <w:numPr>
                <w:ilvl w:val="0"/>
                <w:numId w:val="139"/>
              </w:numPr>
              <w:ind w:left="162" w:hanging="162"/>
              <w:rPr>
                <w:noProof/>
                <w:sz w:val="18"/>
                <w:szCs w:val="19"/>
              </w:rPr>
            </w:pPr>
            <w:r>
              <w:rPr>
                <w:b/>
                <w:noProof/>
                <w:sz w:val="18"/>
                <w:szCs w:val="19"/>
              </w:rPr>
              <w:t>Systematic references</w:t>
            </w:r>
            <w:r>
              <w:rPr>
                <w:noProof/>
                <w:sz w:val="18"/>
                <w:szCs w:val="19"/>
              </w:rPr>
              <w:t xml:space="preserve"> in </w:t>
            </w:r>
            <w:r>
              <w:rPr>
                <w:b/>
                <w:noProof/>
                <w:sz w:val="18"/>
                <w:szCs w:val="19"/>
              </w:rPr>
              <w:t>investigative</w:t>
            </w:r>
            <w:r>
              <w:rPr>
                <w:noProof/>
                <w:sz w:val="18"/>
                <w:szCs w:val="19"/>
              </w:rPr>
              <w:t xml:space="preserve"> file if the request to access was denied</w:t>
            </w:r>
          </w:p>
          <w:p w:rsidR="001B65FF" w:rsidRDefault="003E4EF4">
            <w:pPr>
              <w:pStyle w:val="ListParagraph"/>
              <w:numPr>
                <w:ilvl w:val="0"/>
                <w:numId w:val="139"/>
              </w:numPr>
              <w:ind w:left="162" w:hanging="162"/>
              <w:rPr>
                <w:noProof/>
                <w:sz w:val="18"/>
                <w:szCs w:val="19"/>
              </w:rPr>
            </w:pPr>
            <w:r>
              <w:rPr>
                <w:noProof/>
                <w:sz w:val="18"/>
                <w:szCs w:val="19"/>
              </w:rPr>
              <w:t xml:space="preserve">Transparency reports </w:t>
            </w:r>
          </w:p>
        </w:tc>
        <w:tc>
          <w:tcPr>
            <w:tcW w:w="1431" w:type="dxa"/>
            <w:vMerge w:val="restart"/>
          </w:tcPr>
          <w:p w:rsidR="001B65FF" w:rsidRDefault="003E4EF4">
            <w:pPr>
              <w:rPr>
                <w:noProof/>
                <w:sz w:val="18"/>
                <w:szCs w:val="19"/>
              </w:rPr>
            </w:pPr>
            <w:r>
              <w:rPr>
                <w:noProof/>
                <w:sz w:val="18"/>
                <w:szCs w:val="19"/>
              </w:rPr>
              <w:t xml:space="preserve">Yes (see section 2). </w:t>
            </w:r>
          </w:p>
          <w:p w:rsidR="001B65FF" w:rsidRDefault="003E4EF4">
            <w:pPr>
              <w:rPr>
                <w:noProof/>
                <w:sz w:val="18"/>
                <w:szCs w:val="19"/>
              </w:rPr>
            </w:pPr>
            <w:r>
              <w:rPr>
                <w:noProof/>
                <w:sz w:val="18"/>
                <w:szCs w:val="19"/>
              </w:rPr>
              <w:t>To be collected systematically</w:t>
            </w:r>
          </w:p>
          <w:p w:rsidR="001B65FF" w:rsidRDefault="001B65FF">
            <w:pPr>
              <w:rPr>
                <w:noProof/>
                <w:sz w:val="18"/>
                <w:szCs w:val="19"/>
              </w:rPr>
            </w:pPr>
          </w:p>
        </w:tc>
        <w:tc>
          <w:tcPr>
            <w:tcW w:w="1736" w:type="dxa"/>
            <w:vMerge/>
          </w:tcPr>
          <w:p w:rsidR="001B65FF" w:rsidRDefault="001B65FF">
            <w:pPr>
              <w:pStyle w:val="ListParagraph"/>
              <w:numPr>
                <w:ilvl w:val="0"/>
                <w:numId w:val="140"/>
              </w:numPr>
              <w:ind w:left="162" w:hanging="162"/>
              <w:rPr>
                <w:noProof/>
                <w:sz w:val="18"/>
                <w:szCs w:val="19"/>
              </w:rPr>
            </w:pPr>
          </w:p>
        </w:tc>
        <w:tc>
          <w:tcPr>
            <w:tcW w:w="1693" w:type="dxa"/>
          </w:tcPr>
          <w:p w:rsidR="001B65FF" w:rsidRDefault="003E4EF4">
            <w:pPr>
              <w:jc w:val="center"/>
              <w:rPr>
                <w:noProof/>
                <w:sz w:val="18"/>
                <w:szCs w:val="19"/>
              </w:rPr>
            </w:pPr>
            <w:r>
              <w:rPr>
                <w:b/>
                <w:noProof/>
                <w:sz w:val="18"/>
                <w:szCs w:val="19"/>
              </w:rPr>
              <w:t>&lt;10%</w:t>
            </w:r>
          </w:p>
        </w:tc>
      </w:tr>
      <w:tr w:rsidR="001B65FF">
        <w:trPr>
          <w:trHeight w:val="502"/>
        </w:trPr>
        <w:tc>
          <w:tcPr>
            <w:tcW w:w="1099" w:type="dxa"/>
            <w:vMerge/>
          </w:tcPr>
          <w:p w:rsidR="001B65FF" w:rsidRDefault="001B65FF">
            <w:pPr>
              <w:pStyle w:val="ListParagraph"/>
              <w:numPr>
                <w:ilvl w:val="0"/>
                <w:numId w:val="58"/>
              </w:numPr>
              <w:contextualSpacing w:val="0"/>
              <w:rPr>
                <w:noProof/>
                <w:sz w:val="18"/>
                <w:szCs w:val="19"/>
              </w:rPr>
            </w:pPr>
          </w:p>
        </w:tc>
        <w:tc>
          <w:tcPr>
            <w:tcW w:w="2375" w:type="dxa"/>
          </w:tcPr>
          <w:p w:rsidR="001B65FF" w:rsidRDefault="003E4EF4">
            <w:pPr>
              <w:rPr>
                <w:noProof/>
                <w:sz w:val="18"/>
                <w:szCs w:val="19"/>
              </w:rPr>
            </w:pPr>
            <w:r>
              <w:rPr>
                <w:noProof/>
                <w:sz w:val="18"/>
                <w:szCs w:val="19"/>
              </w:rPr>
              <w:t xml:space="preserve">Improve </w:t>
            </w:r>
            <w:r>
              <w:rPr>
                <w:b/>
                <w:noProof/>
                <w:sz w:val="18"/>
                <w:szCs w:val="19"/>
              </w:rPr>
              <w:t>legal certainty, transparency and accountability</w:t>
            </w:r>
          </w:p>
        </w:tc>
        <w:tc>
          <w:tcPr>
            <w:tcW w:w="3153" w:type="dxa"/>
          </w:tcPr>
          <w:p w:rsidR="001B65FF" w:rsidRDefault="003E4EF4">
            <w:pPr>
              <w:ind w:left="-42"/>
              <w:jc w:val="both"/>
              <w:rPr>
                <w:noProof/>
                <w:sz w:val="18"/>
                <w:szCs w:val="19"/>
              </w:rPr>
            </w:pPr>
            <w:r>
              <w:rPr>
                <w:b/>
                <w:noProof/>
                <w:sz w:val="18"/>
                <w:szCs w:val="19"/>
              </w:rPr>
              <w:t>Percentage of respondents</w:t>
            </w:r>
            <w:r>
              <w:rPr>
                <w:noProof/>
                <w:sz w:val="18"/>
                <w:szCs w:val="19"/>
              </w:rPr>
              <w:t xml:space="preserve"> (public authorities and service providers) that consider </w:t>
            </w:r>
            <w:r>
              <w:rPr>
                <w:b/>
                <w:noProof/>
                <w:sz w:val="18"/>
                <w:szCs w:val="19"/>
              </w:rPr>
              <w:t>these issues</w:t>
            </w:r>
            <w:r>
              <w:rPr>
                <w:noProof/>
                <w:sz w:val="18"/>
                <w:szCs w:val="19"/>
              </w:rPr>
              <w:t xml:space="preserve"> as </w:t>
            </w:r>
            <w:r>
              <w:rPr>
                <w:b/>
                <w:noProof/>
                <w:sz w:val="18"/>
                <w:szCs w:val="19"/>
              </w:rPr>
              <w:t>obstacles</w:t>
            </w:r>
            <w:r>
              <w:rPr>
                <w:noProof/>
                <w:sz w:val="18"/>
                <w:szCs w:val="19"/>
              </w:rPr>
              <w:t xml:space="preserve"> for cross-border access to e-evidence</w:t>
            </w:r>
          </w:p>
        </w:tc>
        <w:tc>
          <w:tcPr>
            <w:tcW w:w="2121" w:type="dxa"/>
          </w:tcPr>
          <w:p w:rsidR="001B65FF" w:rsidRDefault="003E4EF4">
            <w:pPr>
              <w:rPr>
                <w:noProof/>
                <w:sz w:val="18"/>
                <w:szCs w:val="19"/>
              </w:rPr>
            </w:pPr>
            <w:r>
              <w:rPr>
                <w:b/>
                <w:noProof/>
                <w:sz w:val="18"/>
                <w:szCs w:val="19"/>
              </w:rPr>
              <w:t>Survey</w:t>
            </w:r>
            <w:r>
              <w:rPr>
                <w:noProof/>
                <w:sz w:val="18"/>
                <w:szCs w:val="19"/>
              </w:rPr>
              <w:t xml:space="preserve"> of public authorities in Member States  and service providers targeting EU</w:t>
            </w:r>
          </w:p>
        </w:tc>
        <w:tc>
          <w:tcPr>
            <w:tcW w:w="1431" w:type="dxa"/>
            <w:vMerge/>
          </w:tcPr>
          <w:p w:rsidR="001B65FF" w:rsidRDefault="001B65FF">
            <w:pPr>
              <w:rPr>
                <w:noProof/>
                <w:sz w:val="18"/>
                <w:szCs w:val="19"/>
              </w:rPr>
            </w:pPr>
          </w:p>
        </w:tc>
        <w:tc>
          <w:tcPr>
            <w:tcW w:w="1736" w:type="dxa"/>
            <w:vMerge w:val="restart"/>
          </w:tcPr>
          <w:p w:rsidR="001B65FF" w:rsidRDefault="003E4EF4">
            <w:pPr>
              <w:rPr>
                <w:noProof/>
                <w:sz w:val="18"/>
                <w:szCs w:val="19"/>
              </w:rPr>
            </w:pPr>
            <w:r>
              <w:rPr>
                <w:noProof/>
                <w:sz w:val="18"/>
                <w:szCs w:val="19"/>
              </w:rPr>
              <w:t xml:space="preserve">European Commission, with </w:t>
            </w:r>
            <w:r>
              <w:rPr>
                <w:noProof/>
                <w:sz w:val="18"/>
                <w:szCs w:val="19"/>
              </w:rPr>
              <w:t>the collaboration of Member States</w:t>
            </w:r>
          </w:p>
          <w:p w:rsidR="001B65FF" w:rsidRDefault="001B65FF">
            <w:pPr>
              <w:rPr>
                <w:noProof/>
                <w:sz w:val="18"/>
                <w:szCs w:val="19"/>
              </w:rPr>
            </w:pPr>
          </w:p>
        </w:tc>
        <w:tc>
          <w:tcPr>
            <w:tcW w:w="1693" w:type="dxa"/>
          </w:tcPr>
          <w:p w:rsidR="001B65FF" w:rsidRDefault="003E4EF4">
            <w:pPr>
              <w:jc w:val="center"/>
              <w:rPr>
                <w:noProof/>
                <w:sz w:val="18"/>
                <w:szCs w:val="19"/>
              </w:rPr>
            </w:pPr>
            <w:r>
              <w:rPr>
                <w:b/>
                <w:noProof/>
                <w:sz w:val="18"/>
                <w:szCs w:val="19"/>
              </w:rPr>
              <w:t>&lt;10%</w:t>
            </w:r>
          </w:p>
        </w:tc>
      </w:tr>
      <w:tr w:rsidR="001B65FF">
        <w:tc>
          <w:tcPr>
            <w:tcW w:w="1099" w:type="dxa"/>
            <w:vMerge w:val="restart"/>
          </w:tcPr>
          <w:p w:rsidR="001B65FF" w:rsidRDefault="003E4EF4">
            <w:pPr>
              <w:rPr>
                <w:noProof/>
                <w:sz w:val="18"/>
                <w:szCs w:val="19"/>
              </w:rPr>
            </w:pPr>
            <w:r>
              <w:rPr>
                <w:noProof/>
                <w:sz w:val="18"/>
                <w:szCs w:val="19"/>
              </w:rPr>
              <w:t>Operational</w:t>
            </w:r>
          </w:p>
        </w:tc>
        <w:tc>
          <w:tcPr>
            <w:tcW w:w="2375" w:type="dxa"/>
            <w:vMerge w:val="restart"/>
          </w:tcPr>
          <w:p w:rsidR="001B65FF" w:rsidRDefault="003E4EF4">
            <w:pPr>
              <w:rPr>
                <w:noProof/>
                <w:sz w:val="18"/>
                <w:szCs w:val="19"/>
              </w:rPr>
            </w:pPr>
            <w:r>
              <w:rPr>
                <w:noProof/>
                <w:sz w:val="18"/>
                <w:szCs w:val="19"/>
              </w:rPr>
              <w:t xml:space="preserve">Enhance </w:t>
            </w:r>
            <w:r>
              <w:rPr>
                <w:b/>
                <w:noProof/>
                <w:sz w:val="18"/>
                <w:szCs w:val="19"/>
              </w:rPr>
              <w:t xml:space="preserve">operational </w:t>
            </w:r>
            <w:r>
              <w:rPr>
                <w:noProof/>
                <w:sz w:val="18"/>
                <w:szCs w:val="19"/>
              </w:rPr>
              <w:t>aspects of cross-border access to criminal evidence in criminal matters</w:t>
            </w:r>
            <w:r>
              <w:rPr>
                <w:b/>
                <w:noProof/>
                <w:sz w:val="18"/>
                <w:szCs w:val="19"/>
              </w:rPr>
              <w:t xml:space="preserve"> </w:t>
            </w:r>
          </w:p>
        </w:tc>
        <w:tc>
          <w:tcPr>
            <w:tcW w:w="3153" w:type="dxa"/>
          </w:tcPr>
          <w:p w:rsidR="001B65FF" w:rsidRDefault="003E4EF4">
            <w:pPr>
              <w:ind w:left="-42"/>
              <w:jc w:val="both"/>
              <w:rPr>
                <w:noProof/>
                <w:sz w:val="18"/>
                <w:szCs w:val="19"/>
              </w:rPr>
            </w:pPr>
            <w:r>
              <w:rPr>
                <w:b/>
                <w:noProof/>
                <w:sz w:val="18"/>
                <w:szCs w:val="19"/>
              </w:rPr>
              <w:t>Number</w:t>
            </w:r>
            <w:r>
              <w:rPr>
                <w:noProof/>
                <w:sz w:val="18"/>
                <w:szCs w:val="19"/>
              </w:rPr>
              <w:t xml:space="preserve"> of Member States with </w:t>
            </w:r>
            <w:r>
              <w:rPr>
                <w:b/>
                <w:noProof/>
                <w:sz w:val="18"/>
                <w:szCs w:val="19"/>
              </w:rPr>
              <w:t>SPOC</w:t>
            </w:r>
            <w:r>
              <w:rPr>
                <w:noProof/>
                <w:sz w:val="18"/>
                <w:szCs w:val="19"/>
              </w:rPr>
              <w:t xml:space="preserve"> on both the public authorities and (main) service providers side</w:t>
            </w:r>
          </w:p>
        </w:tc>
        <w:tc>
          <w:tcPr>
            <w:tcW w:w="2121" w:type="dxa"/>
            <w:vMerge w:val="restart"/>
          </w:tcPr>
          <w:p w:rsidR="001B65FF" w:rsidRDefault="003E4EF4">
            <w:pPr>
              <w:rPr>
                <w:noProof/>
                <w:sz w:val="18"/>
                <w:szCs w:val="19"/>
              </w:rPr>
            </w:pPr>
            <w:r>
              <w:rPr>
                <w:b/>
                <w:noProof/>
                <w:sz w:val="18"/>
                <w:szCs w:val="19"/>
              </w:rPr>
              <w:t>Survey</w:t>
            </w:r>
            <w:r>
              <w:rPr>
                <w:noProof/>
                <w:sz w:val="18"/>
                <w:szCs w:val="19"/>
              </w:rPr>
              <w:t xml:space="preserve"> of </w:t>
            </w:r>
            <w:r>
              <w:rPr>
                <w:noProof/>
                <w:sz w:val="18"/>
                <w:szCs w:val="19"/>
              </w:rPr>
              <w:t>public authorities in Member States</w:t>
            </w:r>
          </w:p>
        </w:tc>
        <w:tc>
          <w:tcPr>
            <w:tcW w:w="1431" w:type="dxa"/>
          </w:tcPr>
          <w:p w:rsidR="001B65FF" w:rsidRDefault="003E4EF4">
            <w:pPr>
              <w:rPr>
                <w:noProof/>
                <w:sz w:val="18"/>
                <w:szCs w:val="19"/>
              </w:rPr>
            </w:pPr>
            <w:r>
              <w:rPr>
                <w:noProof/>
                <w:sz w:val="18"/>
                <w:szCs w:val="19"/>
              </w:rPr>
              <w:t xml:space="preserve">Yes (see section 5). </w:t>
            </w:r>
          </w:p>
          <w:p w:rsidR="001B65FF" w:rsidRDefault="003E4EF4">
            <w:pPr>
              <w:rPr>
                <w:noProof/>
                <w:sz w:val="18"/>
                <w:szCs w:val="19"/>
              </w:rPr>
            </w:pPr>
            <w:r>
              <w:rPr>
                <w:noProof/>
                <w:sz w:val="18"/>
                <w:szCs w:val="19"/>
              </w:rPr>
              <w:t>To be collected systematically</w:t>
            </w:r>
          </w:p>
        </w:tc>
        <w:tc>
          <w:tcPr>
            <w:tcW w:w="1736" w:type="dxa"/>
            <w:vMerge/>
          </w:tcPr>
          <w:p w:rsidR="001B65FF" w:rsidRDefault="001B65FF">
            <w:pPr>
              <w:pStyle w:val="ListParagraph"/>
              <w:numPr>
                <w:ilvl w:val="0"/>
                <w:numId w:val="140"/>
              </w:numPr>
              <w:ind w:left="162" w:hanging="162"/>
              <w:rPr>
                <w:noProof/>
                <w:sz w:val="18"/>
                <w:szCs w:val="19"/>
              </w:rPr>
            </w:pPr>
          </w:p>
        </w:tc>
        <w:tc>
          <w:tcPr>
            <w:tcW w:w="1693" w:type="dxa"/>
          </w:tcPr>
          <w:p w:rsidR="001B65FF" w:rsidRDefault="003E4EF4">
            <w:pPr>
              <w:jc w:val="center"/>
              <w:rPr>
                <w:noProof/>
                <w:sz w:val="18"/>
                <w:szCs w:val="19"/>
              </w:rPr>
            </w:pPr>
            <w:r>
              <w:rPr>
                <w:b/>
                <w:noProof/>
                <w:sz w:val="18"/>
                <w:szCs w:val="19"/>
              </w:rPr>
              <w:t>All</w:t>
            </w:r>
            <w:r>
              <w:rPr>
                <w:noProof/>
                <w:sz w:val="18"/>
                <w:szCs w:val="19"/>
              </w:rPr>
              <w:t xml:space="preserve"> Member States</w:t>
            </w:r>
          </w:p>
        </w:tc>
      </w:tr>
      <w:tr w:rsidR="001B65FF">
        <w:tc>
          <w:tcPr>
            <w:tcW w:w="1099" w:type="dxa"/>
            <w:vMerge/>
          </w:tcPr>
          <w:p w:rsidR="001B65FF" w:rsidRDefault="001B65FF">
            <w:pPr>
              <w:rPr>
                <w:noProof/>
                <w:sz w:val="18"/>
                <w:szCs w:val="19"/>
              </w:rPr>
            </w:pPr>
          </w:p>
        </w:tc>
        <w:tc>
          <w:tcPr>
            <w:tcW w:w="2375" w:type="dxa"/>
            <w:vMerge/>
            <w:vAlign w:val="center"/>
          </w:tcPr>
          <w:p w:rsidR="001B65FF" w:rsidRDefault="001B65FF">
            <w:pPr>
              <w:rPr>
                <w:noProof/>
                <w:sz w:val="18"/>
                <w:szCs w:val="19"/>
              </w:rPr>
            </w:pPr>
          </w:p>
        </w:tc>
        <w:tc>
          <w:tcPr>
            <w:tcW w:w="3153" w:type="dxa"/>
          </w:tcPr>
          <w:p w:rsidR="001B65FF" w:rsidRDefault="003E4EF4">
            <w:pPr>
              <w:ind w:left="-42"/>
              <w:jc w:val="both"/>
              <w:rPr>
                <w:noProof/>
                <w:sz w:val="18"/>
                <w:szCs w:val="19"/>
              </w:rPr>
            </w:pPr>
            <w:r>
              <w:rPr>
                <w:b/>
                <w:noProof/>
                <w:sz w:val="18"/>
                <w:szCs w:val="19"/>
              </w:rPr>
              <w:t>Percentage</w:t>
            </w:r>
            <w:r>
              <w:rPr>
                <w:noProof/>
                <w:sz w:val="18"/>
                <w:szCs w:val="19"/>
              </w:rPr>
              <w:t xml:space="preserve"> of providers targeting the EU with their services with a </w:t>
            </w:r>
            <w:r>
              <w:rPr>
                <w:b/>
                <w:noProof/>
                <w:sz w:val="18"/>
                <w:szCs w:val="19"/>
              </w:rPr>
              <w:t>legal representative</w:t>
            </w:r>
            <w:r>
              <w:rPr>
                <w:noProof/>
                <w:sz w:val="18"/>
                <w:szCs w:val="19"/>
              </w:rPr>
              <w:t xml:space="preserve"> appointed </w:t>
            </w:r>
          </w:p>
        </w:tc>
        <w:tc>
          <w:tcPr>
            <w:tcW w:w="2121" w:type="dxa"/>
            <w:vMerge/>
          </w:tcPr>
          <w:p w:rsidR="001B65FF" w:rsidRDefault="001B65FF">
            <w:pPr>
              <w:rPr>
                <w:noProof/>
                <w:sz w:val="18"/>
                <w:szCs w:val="19"/>
              </w:rPr>
            </w:pPr>
          </w:p>
        </w:tc>
        <w:tc>
          <w:tcPr>
            <w:tcW w:w="1431" w:type="dxa"/>
            <w:vMerge w:val="restart"/>
          </w:tcPr>
          <w:p w:rsidR="001B65FF" w:rsidRDefault="003E4EF4">
            <w:pPr>
              <w:rPr>
                <w:noProof/>
                <w:sz w:val="18"/>
                <w:szCs w:val="19"/>
              </w:rPr>
            </w:pPr>
            <w:r>
              <w:rPr>
                <w:noProof/>
                <w:sz w:val="18"/>
                <w:szCs w:val="19"/>
              </w:rPr>
              <w:t>No (EPO does not exist yet)</w:t>
            </w:r>
          </w:p>
        </w:tc>
        <w:tc>
          <w:tcPr>
            <w:tcW w:w="1736" w:type="dxa"/>
            <w:vMerge w:val="restart"/>
          </w:tcPr>
          <w:p w:rsidR="001B65FF" w:rsidRDefault="003E4EF4">
            <w:pPr>
              <w:pStyle w:val="ListParagraph"/>
              <w:numPr>
                <w:ilvl w:val="0"/>
                <w:numId w:val="140"/>
              </w:numPr>
              <w:ind w:left="162" w:hanging="162"/>
              <w:rPr>
                <w:noProof/>
                <w:sz w:val="18"/>
                <w:szCs w:val="19"/>
              </w:rPr>
            </w:pPr>
            <w:r>
              <w:rPr>
                <w:noProof/>
                <w:sz w:val="18"/>
                <w:szCs w:val="19"/>
              </w:rPr>
              <w:t xml:space="preserve">Member States’ </w:t>
            </w:r>
            <w:r>
              <w:rPr>
                <w:noProof/>
                <w:sz w:val="18"/>
                <w:szCs w:val="19"/>
              </w:rPr>
              <w:t>judicial authorities, and law enforcement (collection);</w:t>
            </w:r>
          </w:p>
          <w:p w:rsidR="001B65FF" w:rsidRDefault="003E4EF4">
            <w:pPr>
              <w:pStyle w:val="ListParagraph"/>
              <w:numPr>
                <w:ilvl w:val="0"/>
                <w:numId w:val="140"/>
              </w:numPr>
              <w:ind w:left="162" w:hanging="180"/>
              <w:rPr>
                <w:noProof/>
                <w:sz w:val="18"/>
                <w:szCs w:val="19"/>
              </w:rPr>
            </w:pPr>
            <w:r>
              <w:rPr>
                <w:noProof/>
                <w:sz w:val="18"/>
                <w:szCs w:val="19"/>
              </w:rPr>
              <w:t>European Commission (consolidation)</w:t>
            </w:r>
          </w:p>
        </w:tc>
        <w:tc>
          <w:tcPr>
            <w:tcW w:w="1693" w:type="dxa"/>
          </w:tcPr>
          <w:p w:rsidR="001B65FF" w:rsidRDefault="003E4EF4">
            <w:pPr>
              <w:jc w:val="center"/>
              <w:rPr>
                <w:b/>
                <w:noProof/>
                <w:sz w:val="18"/>
                <w:szCs w:val="19"/>
              </w:rPr>
            </w:pPr>
            <w:r>
              <w:rPr>
                <w:b/>
                <w:noProof/>
                <w:sz w:val="18"/>
                <w:szCs w:val="19"/>
              </w:rPr>
              <w:t>&gt;80%</w:t>
            </w:r>
          </w:p>
        </w:tc>
      </w:tr>
      <w:tr w:rsidR="001B65FF">
        <w:trPr>
          <w:trHeight w:val="306"/>
        </w:trPr>
        <w:tc>
          <w:tcPr>
            <w:tcW w:w="1099" w:type="dxa"/>
            <w:vMerge/>
          </w:tcPr>
          <w:p w:rsidR="001B65FF" w:rsidRDefault="001B65FF">
            <w:pPr>
              <w:rPr>
                <w:noProof/>
                <w:sz w:val="18"/>
                <w:szCs w:val="19"/>
              </w:rPr>
            </w:pPr>
          </w:p>
        </w:tc>
        <w:tc>
          <w:tcPr>
            <w:tcW w:w="2375" w:type="dxa"/>
            <w:vMerge/>
            <w:vAlign w:val="center"/>
          </w:tcPr>
          <w:p w:rsidR="001B65FF" w:rsidRDefault="001B65FF">
            <w:pPr>
              <w:rPr>
                <w:noProof/>
                <w:sz w:val="18"/>
                <w:szCs w:val="19"/>
              </w:rPr>
            </w:pPr>
          </w:p>
        </w:tc>
        <w:tc>
          <w:tcPr>
            <w:tcW w:w="3153" w:type="dxa"/>
          </w:tcPr>
          <w:p w:rsidR="001B65FF" w:rsidRDefault="003E4EF4">
            <w:pPr>
              <w:ind w:left="-42"/>
              <w:jc w:val="both"/>
              <w:rPr>
                <w:noProof/>
                <w:sz w:val="18"/>
                <w:szCs w:val="19"/>
              </w:rPr>
            </w:pPr>
            <w:r>
              <w:rPr>
                <w:b/>
                <w:noProof/>
                <w:sz w:val="18"/>
                <w:szCs w:val="19"/>
              </w:rPr>
              <w:t xml:space="preserve">Number </w:t>
            </w:r>
            <w:r>
              <w:rPr>
                <w:noProof/>
                <w:sz w:val="18"/>
                <w:szCs w:val="19"/>
              </w:rPr>
              <w:t xml:space="preserve">of </w:t>
            </w:r>
            <w:r>
              <w:rPr>
                <w:b/>
                <w:noProof/>
                <w:sz w:val="18"/>
                <w:szCs w:val="19"/>
              </w:rPr>
              <w:t>EPOs issued</w:t>
            </w:r>
          </w:p>
        </w:tc>
        <w:tc>
          <w:tcPr>
            <w:tcW w:w="2121" w:type="dxa"/>
            <w:vMerge/>
          </w:tcPr>
          <w:p w:rsidR="001B65FF" w:rsidRDefault="001B65FF">
            <w:pPr>
              <w:rPr>
                <w:noProof/>
                <w:sz w:val="18"/>
                <w:szCs w:val="19"/>
              </w:rPr>
            </w:pPr>
          </w:p>
        </w:tc>
        <w:tc>
          <w:tcPr>
            <w:tcW w:w="1431" w:type="dxa"/>
            <w:vMerge/>
          </w:tcPr>
          <w:p w:rsidR="001B65FF" w:rsidRDefault="001B65FF">
            <w:pPr>
              <w:rPr>
                <w:noProof/>
                <w:sz w:val="18"/>
                <w:szCs w:val="19"/>
              </w:rPr>
            </w:pPr>
          </w:p>
        </w:tc>
        <w:tc>
          <w:tcPr>
            <w:tcW w:w="1736" w:type="dxa"/>
            <w:vMerge/>
          </w:tcPr>
          <w:p w:rsidR="001B65FF" w:rsidRDefault="001B65FF">
            <w:pPr>
              <w:rPr>
                <w:noProof/>
                <w:sz w:val="18"/>
                <w:szCs w:val="19"/>
              </w:rPr>
            </w:pPr>
          </w:p>
        </w:tc>
        <w:tc>
          <w:tcPr>
            <w:tcW w:w="1693" w:type="dxa"/>
          </w:tcPr>
          <w:p w:rsidR="001B65FF" w:rsidRDefault="003E4EF4">
            <w:pPr>
              <w:rPr>
                <w:noProof/>
                <w:sz w:val="18"/>
                <w:szCs w:val="19"/>
              </w:rPr>
            </w:pPr>
            <w:r>
              <w:rPr>
                <w:b/>
                <w:noProof/>
                <w:sz w:val="18"/>
                <w:szCs w:val="19"/>
              </w:rPr>
              <w:t xml:space="preserve">Main tool </w:t>
            </w:r>
            <w:r>
              <w:rPr>
                <w:noProof/>
                <w:sz w:val="18"/>
                <w:szCs w:val="19"/>
              </w:rPr>
              <w:t xml:space="preserve">to access e-evidence across borders by </w:t>
            </w:r>
            <w:r>
              <w:rPr>
                <w:b/>
                <w:noProof/>
                <w:sz w:val="18"/>
                <w:szCs w:val="19"/>
              </w:rPr>
              <w:t>2020</w:t>
            </w:r>
          </w:p>
        </w:tc>
      </w:tr>
      <w:tr w:rsidR="001B65FF">
        <w:tc>
          <w:tcPr>
            <w:tcW w:w="1099" w:type="dxa"/>
            <w:vMerge/>
          </w:tcPr>
          <w:p w:rsidR="001B65FF" w:rsidRDefault="001B65FF">
            <w:pPr>
              <w:rPr>
                <w:noProof/>
                <w:sz w:val="18"/>
                <w:szCs w:val="19"/>
              </w:rPr>
            </w:pPr>
          </w:p>
        </w:tc>
        <w:tc>
          <w:tcPr>
            <w:tcW w:w="2375" w:type="dxa"/>
            <w:vMerge/>
            <w:vAlign w:val="center"/>
          </w:tcPr>
          <w:p w:rsidR="001B65FF" w:rsidRDefault="001B65FF">
            <w:pPr>
              <w:rPr>
                <w:noProof/>
                <w:sz w:val="18"/>
                <w:szCs w:val="19"/>
              </w:rPr>
            </w:pPr>
          </w:p>
        </w:tc>
        <w:tc>
          <w:tcPr>
            <w:tcW w:w="3153" w:type="dxa"/>
          </w:tcPr>
          <w:p w:rsidR="001B65FF" w:rsidRDefault="003E4EF4">
            <w:pPr>
              <w:ind w:left="-42"/>
              <w:jc w:val="both"/>
              <w:rPr>
                <w:b/>
                <w:noProof/>
                <w:sz w:val="18"/>
                <w:szCs w:val="19"/>
              </w:rPr>
            </w:pPr>
            <w:r>
              <w:rPr>
                <w:b/>
                <w:noProof/>
                <w:sz w:val="18"/>
                <w:szCs w:val="19"/>
              </w:rPr>
              <w:t xml:space="preserve">Percentage </w:t>
            </w:r>
            <w:r>
              <w:rPr>
                <w:noProof/>
                <w:sz w:val="18"/>
                <w:szCs w:val="19"/>
              </w:rPr>
              <w:t xml:space="preserve">of </w:t>
            </w:r>
            <w:r>
              <w:rPr>
                <w:b/>
                <w:noProof/>
                <w:sz w:val="18"/>
                <w:szCs w:val="19"/>
              </w:rPr>
              <w:t>EPO compliance</w:t>
            </w:r>
          </w:p>
        </w:tc>
        <w:tc>
          <w:tcPr>
            <w:tcW w:w="2121" w:type="dxa"/>
            <w:vMerge/>
          </w:tcPr>
          <w:p w:rsidR="001B65FF" w:rsidRDefault="001B65FF">
            <w:pPr>
              <w:rPr>
                <w:noProof/>
                <w:sz w:val="18"/>
                <w:szCs w:val="19"/>
              </w:rPr>
            </w:pPr>
          </w:p>
        </w:tc>
        <w:tc>
          <w:tcPr>
            <w:tcW w:w="1431" w:type="dxa"/>
            <w:vMerge/>
          </w:tcPr>
          <w:p w:rsidR="001B65FF" w:rsidRDefault="001B65FF">
            <w:pPr>
              <w:rPr>
                <w:noProof/>
                <w:sz w:val="18"/>
                <w:szCs w:val="19"/>
              </w:rPr>
            </w:pPr>
          </w:p>
        </w:tc>
        <w:tc>
          <w:tcPr>
            <w:tcW w:w="1736" w:type="dxa"/>
            <w:vMerge/>
          </w:tcPr>
          <w:p w:rsidR="001B65FF" w:rsidRDefault="001B65FF">
            <w:pPr>
              <w:rPr>
                <w:noProof/>
                <w:sz w:val="18"/>
                <w:szCs w:val="19"/>
              </w:rPr>
            </w:pPr>
          </w:p>
        </w:tc>
        <w:tc>
          <w:tcPr>
            <w:tcW w:w="1693" w:type="dxa"/>
          </w:tcPr>
          <w:p w:rsidR="001B65FF" w:rsidRDefault="003E4EF4">
            <w:pPr>
              <w:jc w:val="center"/>
              <w:rPr>
                <w:b/>
                <w:noProof/>
                <w:sz w:val="18"/>
                <w:szCs w:val="19"/>
              </w:rPr>
            </w:pPr>
            <w:r>
              <w:rPr>
                <w:b/>
                <w:noProof/>
                <w:sz w:val="18"/>
                <w:szCs w:val="19"/>
              </w:rPr>
              <w:t>&gt;80%</w:t>
            </w:r>
          </w:p>
        </w:tc>
      </w:tr>
      <w:tr w:rsidR="001B65FF">
        <w:tc>
          <w:tcPr>
            <w:tcW w:w="1099" w:type="dxa"/>
            <w:vMerge/>
          </w:tcPr>
          <w:p w:rsidR="001B65FF" w:rsidRDefault="001B65FF">
            <w:pPr>
              <w:rPr>
                <w:noProof/>
                <w:sz w:val="18"/>
                <w:szCs w:val="19"/>
              </w:rPr>
            </w:pPr>
          </w:p>
        </w:tc>
        <w:tc>
          <w:tcPr>
            <w:tcW w:w="2375" w:type="dxa"/>
            <w:vMerge/>
            <w:vAlign w:val="center"/>
          </w:tcPr>
          <w:p w:rsidR="001B65FF" w:rsidRDefault="001B65FF">
            <w:pPr>
              <w:rPr>
                <w:noProof/>
                <w:sz w:val="18"/>
                <w:szCs w:val="19"/>
              </w:rPr>
            </w:pPr>
          </w:p>
        </w:tc>
        <w:tc>
          <w:tcPr>
            <w:tcW w:w="3153" w:type="dxa"/>
          </w:tcPr>
          <w:p w:rsidR="001B65FF" w:rsidRDefault="003E4EF4">
            <w:pPr>
              <w:ind w:left="-42"/>
              <w:jc w:val="both"/>
              <w:rPr>
                <w:noProof/>
                <w:sz w:val="18"/>
                <w:szCs w:val="19"/>
              </w:rPr>
            </w:pPr>
            <w:r>
              <w:rPr>
                <w:b/>
                <w:noProof/>
                <w:sz w:val="18"/>
                <w:szCs w:val="19"/>
              </w:rPr>
              <w:t xml:space="preserve">Percentage of EPOs leading to </w:t>
            </w:r>
            <w:r>
              <w:rPr>
                <w:b/>
                <w:noProof/>
                <w:sz w:val="18"/>
                <w:szCs w:val="19"/>
              </w:rPr>
              <w:t>sanctions</w:t>
            </w:r>
          </w:p>
        </w:tc>
        <w:tc>
          <w:tcPr>
            <w:tcW w:w="2121" w:type="dxa"/>
            <w:vMerge/>
          </w:tcPr>
          <w:p w:rsidR="001B65FF" w:rsidRDefault="001B65FF">
            <w:pPr>
              <w:rPr>
                <w:noProof/>
                <w:sz w:val="18"/>
                <w:szCs w:val="19"/>
              </w:rPr>
            </w:pPr>
          </w:p>
        </w:tc>
        <w:tc>
          <w:tcPr>
            <w:tcW w:w="1431" w:type="dxa"/>
            <w:vMerge/>
          </w:tcPr>
          <w:p w:rsidR="001B65FF" w:rsidRDefault="001B65FF">
            <w:pPr>
              <w:rPr>
                <w:noProof/>
                <w:sz w:val="18"/>
                <w:szCs w:val="19"/>
              </w:rPr>
            </w:pPr>
          </w:p>
        </w:tc>
        <w:tc>
          <w:tcPr>
            <w:tcW w:w="1736" w:type="dxa"/>
            <w:vMerge/>
          </w:tcPr>
          <w:p w:rsidR="001B65FF" w:rsidRDefault="001B65FF">
            <w:pPr>
              <w:rPr>
                <w:noProof/>
                <w:sz w:val="18"/>
                <w:szCs w:val="19"/>
              </w:rPr>
            </w:pPr>
          </w:p>
        </w:tc>
        <w:tc>
          <w:tcPr>
            <w:tcW w:w="1693" w:type="dxa"/>
          </w:tcPr>
          <w:p w:rsidR="001B65FF" w:rsidRDefault="003E4EF4">
            <w:pPr>
              <w:jc w:val="center"/>
              <w:rPr>
                <w:b/>
                <w:noProof/>
                <w:sz w:val="18"/>
                <w:szCs w:val="19"/>
              </w:rPr>
            </w:pPr>
            <w:r>
              <w:rPr>
                <w:b/>
                <w:noProof/>
                <w:sz w:val="18"/>
                <w:szCs w:val="19"/>
              </w:rPr>
              <w:t>&lt;10%</w:t>
            </w:r>
          </w:p>
        </w:tc>
      </w:tr>
      <w:tr w:rsidR="001B65FF">
        <w:tc>
          <w:tcPr>
            <w:tcW w:w="1099" w:type="dxa"/>
            <w:vMerge/>
          </w:tcPr>
          <w:p w:rsidR="001B65FF" w:rsidRDefault="001B65FF">
            <w:pPr>
              <w:rPr>
                <w:noProof/>
                <w:sz w:val="18"/>
                <w:szCs w:val="19"/>
              </w:rPr>
            </w:pPr>
          </w:p>
        </w:tc>
        <w:tc>
          <w:tcPr>
            <w:tcW w:w="2375" w:type="dxa"/>
            <w:vMerge/>
            <w:vAlign w:val="center"/>
          </w:tcPr>
          <w:p w:rsidR="001B65FF" w:rsidRDefault="001B65FF">
            <w:pPr>
              <w:rPr>
                <w:noProof/>
                <w:sz w:val="18"/>
                <w:szCs w:val="19"/>
              </w:rPr>
            </w:pPr>
          </w:p>
        </w:tc>
        <w:tc>
          <w:tcPr>
            <w:tcW w:w="3153" w:type="dxa"/>
          </w:tcPr>
          <w:p w:rsidR="001B65FF" w:rsidRDefault="003E4EF4">
            <w:pPr>
              <w:ind w:left="-42"/>
              <w:jc w:val="both"/>
              <w:rPr>
                <w:b/>
                <w:noProof/>
                <w:sz w:val="18"/>
                <w:szCs w:val="19"/>
              </w:rPr>
            </w:pPr>
            <w:r>
              <w:rPr>
                <w:b/>
                <w:noProof/>
                <w:sz w:val="18"/>
                <w:szCs w:val="19"/>
              </w:rPr>
              <w:t xml:space="preserve">Percentage </w:t>
            </w:r>
            <w:r>
              <w:rPr>
                <w:noProof/>
                <w:sz w:val="18"/>
                <w:szCs w:val="19"/>
              </w:rPr>
              <w:t xml:space="preserve">of </w:t>
            </w:r>
            <w:r>
              <w:rPr>
                <w:b/>
                <w:noProof/>
                <w:sz w:val="18"/>
                <w:szCs w:val="19"/>
              </w:rPr>
              <w:t>EPOs challenged in court</w:t>
            </w:r>
          </w:p>
        </w:tc>
        <w:tc>
          <w:tcPr>
            <w:tcW w:w="2121" w:type="dxa"/>
            <w:vMerge/>
          </w:tcPr>
          <w:p w:rsidR="001B65FF" w:rsidRDefault="001B65FF">
            <w:pPr>
              <w:rPr>
                <w:noProof/>
                <w:sz w:val="18"/>
                <w:szCs w:val="19"/>
              </w:rPr>
            </w:pPr>
          </w:p>
        </w:tc>
        <w:tc>
          <w:tcPr>
            <w:tcW w:w="1431" w:type="dxa"/>
            <w:vMerge/>
          </w:tcPr>
          <w:p w:rsidR="001B65FF" w:rsidRDefault="001B65FF">
            <w:pPr>
              <w:rPr>
                <w:noProof/>
                <w:sz w:val="18"/>
                <w:szCs w:val="19"/>
              </w:rPr>
            </w:pPr>
          </w:p>
        </w:tc>
        <w:tc>
          <w:tcPr>
            <w:tcW w:w="1736" w:type="dxa"/>
            <w:vMerge/>
          </w:tcPr>
          <w:p w:rsidR="001B65FF" w:rsidRDefault="001B65FF">
            <w:pPr>
              <w:rPr>
                <w:noProof/>
                <w:sz w:val="18"/>
                <w:szCs w:val="19"/>
              </w:rPr>
            </w:pPr>
          </w:p>
        </w:tc>
        <w:tc>
          <w:tcPr>
            <w:tcW w:w="1693" w:type="dxa"/>
          </w:tcPr>
          <w:p w:rsidR="001B65FF" w:rsidRDefault="003E4EF4">
            <w:pPr>
              <w:jc w:val="center"/>
              <w:rPr>
                <w:b/>
                <w:noProof/>
                <w:sz w:val="18"/>
                <w:szCs w:val="19"/>
              </w:rPr>
            </w:pPr>
            <w:r>
              <w:rPr>
                <w:b/>
                <w:noProof/>
                <w:sz w:val="18"/>
                <w:szCs w:val="19"/>
              </w:rPr>
              <w:t>&lt;10%</w:t>
            </w:r>
          </w:p>
        </w:tc>
      </w:tr>
    </w:tbl>
    <w:p w:rsidR="001B65FF" w:rsidRDefault="001B65FF">
      <w:pPr>
        <w:jc w:val="both"/>
        <w:rPr>
          <w:rFonts w:ascii="Times New Roman" w:hAnsi="Times New Roman" w:cs="Times New Roman"/>
          <w:noProof/>
          <w:sz w:val="20"/>
          <w:szCs w:val="24"/>
        </w:rPr>
        <w:sectPr w:rsidR="001B65FF">
          <w:headerReference w:type="even" r:id="rId57"/>
          <w:headerReference w:type="default" r:id="rId58"/>
          <w:footerReference w:type="even" r:id="rId59"/>
          <w:footerReference w:type="default" r:id="rId60"/>
          <w:headerReference w:type="first" r:id="rId61"/>
          <w:footerReference w:type="first" r:id="rId62"/>
          <w:pgSz w:w="16838" w:h="11906" w:orient="landscape"/>
          <w:pgMar w:top="993" w:right="1417" w:bottom="1350" w:left="1417" w:header="708" w:footer="708" w:gutter="0"/>
          <w:cols w:space="720"/>
          <w:docGrid w:linePitch="360"/>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1750" w:name="_Toc481484483"/>
      <w:bookmarkStart w:id="1751" w:name="_Toc497927300"/>
      <w:bookmarkStart w:id="1752" w:name="_Toc497927916"/>
      <w:bookmarkStart w:id="1753" w:name="_Toc497928182"/>
      <w:bookmarkStart w:id="1754" w:name="_Toc498509771"/>
      <w:bookmarkStart w:id="1755" w:name="_Toc498521319"/>
      <w:bookmarkStart w:id="1756" w:name="_Toc498701986"/>
      <w:bookmarkStart w:id="1757" w:name="_Toc498704718"/>
      <w:bookmarkStart w:id="1758" w:name="_Toc499020473"/>
      <w:bookmarkStart w:id="1759" w:name="_Toc499030407"/>
      <w:bookmarkStart w:id="1760" w:name="_Toc499044949"/>
      <w:bookmarkStart w:id="1761" w:name="_Toc499051365"/>
      <w:bookmarkStart w:id="1762" w:name="_Toc499133321"/>
      <w:bookmarkStart w:id="1763" w:name="_Toc499142891"/>
      <w:bookmarkStart w:id="1764" w:name="_Toc510952887"/>
      <w:r>
        <w:rPr>
          <w:rFonts w:ascii="Times New Roman" w:eastAsia="Times New Roman" w:hAnsi="Times New Roman" w:cs="Times New Roman"/>
          <w:b/>
          <w:smallCaps/>
          <w:noProof/>
          <w:sz w:val="24"/>
          <w:szCs w:val="20"/>
        </w:rPr>
        <w:t>Annex 1: Procedural information</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rsidR="001B65FF" w:rsidRDefault="003E4EF4">
      <w:pPr>
        <w:pStyle w:val="Heading2"/>
        <w:numPr>
          <w:ilvl w:val="1"/>
          <w:numId w:val="4"/>
        </w:numPr>
        <w:tabs>
          <w:tab w:val="clear" w:pos="1200"/>
          <w:tab w:val="num" w:pos="851"/>
        </w:tabs>
        <w:ind w:left="567" w:hanging="567"/>
        <w:rPr>
          <w:rFonts w:ascii="Times New Roman" w:hAnsi="Times New Roman" w:cs="Times New Roman"/>
          <w:noProof/>
        </w:rPr>
      </w:pPr>
      <w:bookmarkStart w:id="1765" w:name="_Toc471997754"/>
      <w:bookmarkStart w:id="1766" w:name="_Toc481484484"/>
      <w:bookmarkStart w:id="1767" w:name="_Toc497927301"/>
      <w:bookmarkStart w:id="1768" w:name="_Toc497927917"/>
      <w:bookmarkStart w:id="1769" w:name="_Toc497928183"/>
      <w:bookmarkStart w:id="1770" w:name="_Toc498509772"/>
      <w:bookmarkStart w:id="1771" w:name="_Toc498521320"/>
      <w:bookmarkStart w:id="1772" w:name="_Toc498701987"/>
      <w:bookmarkStart w:id="1773" w:name="_Toc498704719"/>
      <w:bookmarkStart w:id="1774" w:name="_Toc499020474"/>
      <w:bookmarkStart w:id="1775" w:name="_Toc499030408"/>
      <w:bookmarkStart w:id="1776" w:name="_Toc499044950"/>
      <w:bookmarkStart w:id="1777" w:name="_Toc499051366"/>
      <w:bookmarkStart w:id="1778" w:name="_Toc499130043"/>
      <w:bookmarkStart w:id="1779" w:name="_Toc499133322"/>
      <w:bookmarkStart w:id="1780" w:name="_Toc499142892"/>
      <w:bookmarkStart w:id="1781" w:name="_Toc499143337"/>
      <w:bookmarkStart w:id="1782" w:name="_Toc510952888"/>
      <w:r>
        <w:rPr>
          <w:rFonts w:ascii="Times New Roman" w:hAnsi="Times New Roman" w:cs="Times New Roman"/>
          <w:noProof/>
        </w:rPr>
        <w:t>Lead DG, D</w:t>
      </w:r>
      <w:r>
        <w:rPr>
          <w:rFonts w:ascii="Times New Roman" w:hAnsi="Times New Roman" w:cs="Times New Roman"/>
          <w:i/>
          <w:smallCaps/>
          <w:noProof/>
        </w:rPr>
        <w:t>e</w:t>
      </w:r>
      <w:r>
        <w:rPr>
          <w:rFonts w:ascii="Times New Roman" w:hAnsi="Times New Roman" w:cs="Times New Roman"/>
          <w:noProof/>
        </w:rPr>
        <w:t>cide Planning/CWP references</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rsidR="001B65FF" w:rsidRDefault="003E4EF4">
      <w:pPr>
        <w:pStyle w:val="ListParagraph"/>
        <w:numPr>
          <w:ilvl w:val="0"/>
          <w:numId w:val="123"/>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Lead DG: the Directorates-General for Migration and Home Affairs (HOME) and for Justice and Consumers (JUST) are the joint DGs for the preparation of this initiative. </w:t>
      </w:r>
    </w:p>
    <w:p w:rsidR="001B65FF" w:rsidRDefault="003E4EF4">
      <w:pPr>
        <w:pStyle w:val="ListParagraph"/>
        <w:numPr>
          <w:ilvl w:val="0"/>
          <w:numId w:val="123"/>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Decide reference:</w:t>
      </w:r>
      <w:r>
        <w:rPr>
          <w:rFonts w:ascii="Times New Roman" w:eastAsia="Times New Roman" w:hAnsi="Times New Roman" w:cs="Times New Roman"/>
          <w:noProof/>
          <w:sz w:val="24"/>
        </w:rPr>
        <w:t xml:space="preserve"> PLAN/2017/1416</w:t>
      </w:r>
      <w:r>
        <w:rPr>
          <w:rFonts w:ascii="Times New Roman" w:eastAsia="Times New Roman" w:hAnsi="Times New Roman" w:cs="Times New Roman"/>
          <w:noProof/>
          <w:sz w:val="24"/>
          <w:szCs w:val="20"/>
        </w:rPr>
        <w:t xml:space="preserve">. </w:t>
      </w:r>
    </w:p>
    <w:p w:rsidR="001B65FF" w:rsidRDefault="003E4EF4">
      <w:pPr>
        <w:pStyle w:val="ListParagraph"/>
        <w:numPr>
          <w:ilvl w:val="0"/>
          <w:numId w:val="123"/>
        </w:numPr>
        <w:spacing w:before="120"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CWP reference: this initiative appears in CWP 2018 un</w:t>
      </w:r>
      <w:r>
        <w:rPr>
          <w:rFonts w:ascii="Times New Roman" w:eastAsia="Times New Roman" w:hAnsi="Times New Roman" w:cs="Times New Roman"/>
          <w:noProof/>
          <w:sz w:val="24"/>
          <w:szCs w:val="20"/>
        </w:rPr>
        <w:t xml:space="preserve">der action 16 'Completing the Security Union': </w:t>
      </w:r>
      <w:r>
        <w:rPr>
          <w:rFonts w:ascii="Times New Roman" w:eastAsia="Times New Roman" w:hAnsi="Times New Roman" w:cs="Times New Roman"/>
          <w:noProof/>
          <w:sz w:val="24"/>
        </w:rPr>
        <w:t xml:space="preserve">a proposal to improve cross-border access of law enforcement authorities to electronic evidence (legislative, incl. impact assessment, Art. </w:t>
      </w:r>
      <w:r>
        <w:rPr>
          <w:rFonts w:ascii="Times New Roman" w:eastAsia="Times New Roman" w:hAnsi="Times New Roman" w:cs="Times New Roman"/>
          <w:noProof/>
          <w:sz w:val="24"/>
          <w:szCs w:val="20"/>
        </w:rPr>
        <w:t>82 TFEU, Q1 2018).</w:t>
      </w:r>
    </w:p>
    <w:p w:rsidR="001B65FF" w:rsidRDefault="001B65FF">
      <w:pPr>
        <w:rPr>
          <w:rFonts w:ascii="Times New Roman" w:hAnsi="Times New Roman" w:cs="Times New Roman"/>
          <w:noProof/>
        </w:rPr>
      </w:pPr>
    </w:p>
    <w:p w:rsidR="001B65FF" w:rsidRDefault="003E4EF4">
      <w:pPr>
        <w:pStyle w:val="Heading2"/>
        <w:numPr>
          <w:ilvl w:val="1"/>
          <w:numId w:val="4"/>
        </w:numPr>
        <w:tabs>
          <w:tab w:val="clear" w:pos="1200"/>
          <w:tab w:val="num" w:pos="851"/>
        </w:tabs>
        <w:ind w:left="567" w:hanging="567"/>
        <w:rPr>
          <w:rFonts w:ascii="Times New Roman" w:hAnsi="Times New Roman" w:cs="Times New Roman"/>
          <w:noProof/>
        </w:rPr>
      </w:pPr>
      <w:bookmarkStart w:id="1783" w:name="_Toc471997755"/>
      <w:bookmarkStart w:id="1784" w:name="_Toc481484485"/>
      <w:bookmarkStart w:id="1785" w:name="_Toc497927302"/>
      <w:bookmarkStart w:id="1786" w:name="_Toc497927918"/>
      <w:bookmarkStart w:id="1787" w:name="_Toc497928184"/>
      <w:bookmarkStart w:id="1788" w:name="_Toc498509773"/>
      <w:bookmarkStart w:id="1789" w:name="_Toc498521321"/>
      <w:bookmarkStart w:id="1790" w:name="_Toc498701988"/>
      <w:bookmarkStart w:id="1791" w:name="_Toc498704720"/>
      <w:bookmarkStart w:id="1792" w:name="_Toc499020475"/>
      <w:bookmarkStart w:id="1793" w:name="_Toc499030409"/>
      <w:bookmarkStart w:id="1794" w:name="_Toc499044951"/>
      <w:bookmarkStart w:id="1795" w:name="_Toc499051367"/>
      <w:bookmarkStart w:id="1796" w:name="_Toc499130044"/>
      <w:bookmarkStart w:id="1797" w:name="_Toc499133323"/>
      <w:bookmarkStart w:id="1798" w:name="_Toc499142893"/>
      <w:bookmarkStart w:id="1799" w:name="_Toc499143338"/>
      <w:bookmarkStart w:id="1800" w:name="_Toc510952889"/>
      <w:r>
        <w:rPr>
          <w:rFonts w:ascii="Times New Roman" w:hAnsi="Times New Roman" w:cs="Times New Roman"/>
          <w:noProof/>
        </w:rPr>
        <w:t>Organisation and timing</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rsidR="001B65FF" w:rsidRDefault="003E4EF4">
      <w:pPr>
        <w:spacing w:before="120" w:after="120"/>
        <w:jc w:val="both"/>
        <w:rPr>
          <w:rFonts w:ascii="Times New Roman" w:eastAsia="Times New Roman" w:hAnsi="Times New Roman" w:cs="Times New Roman"/>
          <w:noProof/>
          <w:sz w:val="24"/>
          <w:szCs w:val="20"/>
          <w:u w:val="single"/>
        </w:rPr>
      </w:pPr>
      <w:r>
        <w:rPr>
          <w:rFonts w:ascii="Times New Roman" w:eastAsia="Times New Roman" w:hAnsi="Times New Roman" w:cs="Times New Roman"/>
          <w:noProof/>
          <w:sz w:val="24"/>
          <w:szCs w:val="20"/>
          <w:u w:val="single"/>
        </w:rPr>
        <w:t>Chronology of the IA:</w:t>
      </w:r>
    </w:p>
    <w:p w:rsidR="001B65FF" w:rsidRDefault="003E4EF4">
      <w:pPr>
        <w:numPr>
          <w:ilvl w:val="0"/>
          <w:numId w:val="124"/>
        </w:numPr>
        <w:spacing w:before="120" w:after="120"/>
        <w:ind w:left="36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w:t>
      </w:r>
      <w:r>
        <w:rPr>
          <w:rFonts w:ascii="Times New Roman" w:eastAsia="Times New Roman" w:hAnsi="Times New Roman" w:cs="Times New Roman"/>
          <w:noProof/>
          <w:sz w:val="24"/>
          <w:szCs w:val="20"/>
        </w:rPr>
        <w:t xml:space="preserve"> consultation activities that inform the impact assessment started with informal consultations in April 2016 and continued with formal consultations until November 2017.</w:t>
      </w:r>
    </w:p>
    <w:p w:rsidR="001B65FF" w:rsidRDefault="003E4EF4">
      <w:pPr>
        <w:numPr>
          <w:ilvl w:val="0"/>
          <w:numId w:val="124"/>
        </w:numPr>
        <w:shd w:val="clear" w:color="auto" w:fill="FFFFFF"/>
        <w:spacing w:before="240" w:after="0"/>
        <w:ind w:left="360"/>
        <w:contextualSpacing/>
        <w:jc w:val="both"/>
        <w:rPr>
          <w:rFonts w:ascii="Times New Roman" w:hAnsi="Times New Roman" w:cs="Times New Roman"/>
          <w:noProof/>
          <w:sz w:val="24"/>
          <w:szCs w:val="24"/>
        </w:rPr>
      </w:pPr>
      <w:r>
        <w:rPr>
          <w:rFonts w:ascii="Times New Roman" w:hAnsi="Times New Roman" w:cs="Times New Roman"/>
          <w:noProof/>
          <w:sz w:val="24"/>
          <w:szCs w:val="24"/>
        </w:rPr>
        <w:t>In its June 2016 Conclusions on improving criminal justice in cyberspace</w:t>
      </w:r>
      <w:r>
        <w:rPr>
          <w:rFonts w:ascii="Times New Roman" w:hAnsi="Times New Roman" w:cs="Times New Roman"/>
          <w:noProof/>
          <w:vertAlign w:val="superscript"/>
        </w:rPr>
        <w:footnoteReference w:id="121"/>
      </w:r>
      <w:r>
        <w:rPr>
          <w:rFonts w:ascii="Times New Roman" w:hAnsi="Times New Roman" w:cs="Times New Roman"/>
          <w:noProof/>
          <w:sz w:val="24"/>
          <w:szCs w:val="24"/>
        </w:rPr>
        <w:t>, the Council</w:t>
      </w:r>
      <w:r>
        <w:rPr>
          <w:rFonts w:ascii="Times New Roman" w:hAnsi="Times New Roman" w:cs="Times New Roman"/>
          <w:noProof/>
          <w:sz w:val="24"/>
          <w:szCs w:val="24"/>
        </w:rPr>
        <w:t xml:space="preserve"> asked the Commission to explore possible solutions, including legislative options, to improving cross-border access to electronic evidence. Specifically, the Council called on the Commission to take concrete actions based on a common EU approach to make m</w:t>
      </w:r>
      <w:r>
        <w:rPr>
          <w:rFonts w:ascii="Times New Roman" w:hAnsi="Times New Roman" w:cs="Times New Roman"/>
          <w:noProof/>
          <w:sz w:val="24"/>
          <w:szCs w:val="24"/>
        </w:rPr>
        <w:t>utual legal assistance more efficient, to improve cooperation between Member States’ authorities and service providers based in non-EU countries, and to propose solutions to the problems of determining and enforcing jurisdiction</w:t>
      </w:r>
      <w:r>
        <w:rPr>
          <w:rFonts w:ascii="Times New Roman" w:hAnsi="Times New Roman" w:cs="Times New Roman"/>
          <w:noProof/>
          <w:vertAlign w:val="superscript"/>
        </w:rPr>
        <w:footnoteReference w:id="122"/>
      </w:r>
      <w:r>
        <w:rPr>
          <w:rFonts w:ascii="Times New Roman" w:hAnsi="Times New Roman" w:cs="Times New Roman"/>
          <w:noProof/>
          <w:sz w:val="24"/>
          <w:szCs w:val="24"/>
        </w:rPr>
        <w:t xml:space="preserve"> in cyberspace.</w:t>
      </w:r>
      <w:r>
        <w:rPr>
          <w:rFonts w:ascii="Times New Roman" w:eastAsia="Times New Roman" w:hAnsi="Times New Roman" w:cs="Times New Roman"/>
          <w:noProof/>
          <w:sz w:val="24"/>
          <w:lang w:eastAsia="en-GB"/>
        </w:rPr>
        <w:t xml:space="preserve"> The Council</w:t>
      </w:r>
      <w:r>
        <w:rPr>
          <w:rFonts w:ascii="Times New Roman" w:eastAsia="Times New Roman" w:hAnsi="Times New Roman" w:cs="Times New Roman"/>
          <w:noProof/>
          <w:sz w:val="24"/>
          <w:lang w:eastAsia="en-GB"/>
        </w:rPr>
        <w:t xml:space="preserve"> requested the Commission to report on intermediate results by December 2016 and to present deliverables by June 2017.</w:t>
      </w:r>
    </w:p>
    <w:p w:rsidR="001B65FF" w:rsidRDefault="003E4EF4">
      <w:pPr>
        <w:numPr>
          <w:ilvl w:val="0"/>
          <w:numId w:val="124"/>
        </w:numPr>
        <w:shd w:val="clear" w:color="auto" w:fill="FFFFFF"/>
        <w:spacing w:before="240" w:after="0"/>
        <w:ind w:left="360"/>
        <w:contextualSpacing/>
        <w:jc w:val="both"/>
        <w:rPr>
          <w:rFonts w:ascii="Times New Roman" w:eastAsia="Times New Roman" w:hAnsi="Times New Roman" w:cs="Times New Roman"/>
          <w:noProof/>
          <w:sz w:val="24"/>
          <w:lang w:eastAsia="en-GB"/>
        </w:rPr>
      </w:pPr>
      <w:r>
        <w:rPr>
          <w:rFonts w:ascii="Times New Roman" w:hAnsi="Times New Roman" w:cs="Times New Roman"/>
          <w:noProof/>
          <w:sz w:val="24"/>
          <w:szCs w:val="24"/>
        </w:rPr>
        <w:t>The Commission subsequently announced an initiative on access to electronic evidence in its 2017 Work Programme</w:t>
      </w:r>
      <w:r>
        <w:rPr>
          <w:rFonts w:ascii="Times New Roman" w:hAnsi="Times New Roman" w:cs="Times New Roman"/>
          <w:noProof/>
          <w:vertAlign w:val="superscript"/>
        </w:rPr>
        <w:footnoteReference w:id="123"/>
      </w:r>
      <w:r>
        <w:rPr>
          <w:rFonts w:ascii="Times New Roman" w:hAnsi="Times New Roman" w:cs="Times New Roman"/>
          <w:noProof/>
          <w:sz w:val="24"/>
          <w:szCs w:val="24"/>
        </w:rPr>
        <w:t xml:space="preserve"> and launched an </w:t>
      </w:r>
      <w:r>
        <w:rPr>
          <w:rFonts w:ascii="Times New Roman" w:hAnsi="Times New Roman" w:cs="Times New Roman"/>
          <w:b/>
          <w:noProof/>
          <w:sz w:val="24"/>
          <w:szCs w:val="24"/>
        </w:rPr>
        <w:t xml:space="preserve">expert </w:t>
      </w:r>
      <w:r>
        <w:rPr>
          <w:rFonts w:ascii="Times New Roman" w:hAnsi="Times New Roman" w:cs="Times New Roman"/>
          <w:b/>
          <w:noProof/>
          <w:sz w:val="24"/>
          <w:szCs w:val="24"/>
        </w:rPr>
        <w:t>consultation process</w:t>
      </w:r>
      <w:r>
        <w:rPr>
          <w:rFonts w:ascii="Times New Roman" w:hAnsi="Times New Roman" w:cs="Times New Roman"/>
          <w:noProof/>
          <w:sz w:val="24"/>
          <w:szCs w:val="24"/>
        </w:rPr>
        <w:t xml:space="preserve"> </w:t>
      </w:r>
      <w:r>
        <w:rPr>
          <w:rFonts w:ascii="Times New Roman" w:eastAsia="Times New Roman" w:hAnsi="Times New Roman" w:cs="Times New Roman"/>
          <w:noProof/>
          <w:sz w:val="24"/>
          <w:lang w:eastAsia="en-GB"/>
        </w:rPr>
        <w:t xml:space="preserve">in July 2016 to </w:t>
      </w:r>
      <w:r>
        <w:rPr>
          <w:rFonts w:ascii="Times New Roman" w:eastAsia="Times New Roman" w:hAnsi="Times New Roman"/>
          <w:b/>
          <w:noProof/>
          <w:sz w:val="24"/>
          <w:lang w:eastAsia="en-GB"/>
        </w:rPr>
        <w:t>define the problem, set objectives and explore possible solutions</w:t>
      </w:r>
      <w:r>
        <w:rPr>
          <w:rFonts w:ascii="Times New Roman" w:eastAsia="Times New Roman" w:hAnsi="Times New Roman" w:cs="Times New Roman"/>
          <w:noProof/>
          <w:sz w:val="24"/>
          <w:lang w:eastAsia="en-GB"/>
        </w:rPr>
        <w:t>. This process involved relevant stakeholders, including Member States' experts, representatives of non-EU countries, representatives of industry associat</w:t>
      </w:r>
      <w:r>
        <w:rPr>
          <w:rFonts w:ascii="Times New Roman" w:eastAsia="Times New Roman" w:hAnsi="Times New Roman" w:cs="Times New Roman"/>
          <w:noProof/>
          <w:sz w:val="24"/>
          <w:lang w:eastAsia="en-GB"/>
        </w:rPr>
        <w:t xml:space="preserve">ions, service providers, civil society organisations, practitioners and academics. The process started with bilateral meetings and small groups and progressively expanded, as options were developed and tested. </w:t>
      </w:r>
    </w:p>
    <w:p w:rsidR="001B65FF" w:rsidRDefault="003E4EF4">
      <w:pPr>
        <w:numPr>
          <w:ilvl w:val="0"/>
          <w:numId w:val="124"/>
        </w:numPr>
        <w:shd w:val="clear" w:color="auto" w:fill="FFFFFF"/>
        <w:spacing w:after="0"/>
        <w:ind w:left="360"/>
        <w:contextualSpacing/>
        <w:jc w:val="both"/>
        <w:rPr>
          <w:rFonts w:ascii="Times New Roman" w:eastAsia="Times New Roman" w:hAnsi="Times New Roman" w:cs="Times New Roman"/>
          <w:noProof/>
          <w:sz w:val="24"/>
          <w:lang w:eastAsia="en-GB"/>
        </w:rPr>
      </w:pPr>
      <w:r>
        <w:rPr>
          <w:rFonts w:ascii="Times New Roman" w:eastAsia="Times New Roman" w:hAnsi="Times New Roman" w:cs="Times New Roman"/>
          <w:noProof/>
          <w:sz w:val="24"/>
          <w:lang w:eastAsia="en-GB"/>
        </w:rPr>
        <w:t xml:space="preserve">The Commission presented a </w:t>
      </w:r>
      <w:hyperlink r:id="rId63" w:tgtFrame="_blank" w:history="1">
        <w:r>
          <w:rPr>
            <w:rFonts w:ascii="Times New Roman" w:eastAsia="Times New Roman" w:hAnsi="Times New Roman" w:cs="Times New Roman"/>
            <w:noProof/>
            <w:sz w:val="24"/>
            <w:szCs w:val="24"/>
            <w:lang w:eastAsia="en-GB"/>
          </w:rPr>
          <w:t>first progress report</w:t>
        </w:r>
      </w:hyperlink>
      <w:r>
        <w:rPr>
          <w:rFonts w:ascii="Times New Roman" w:eastAsia="Times New Roman" w:hAnsi="Times New Roman" w:cs="Times New Roman"/>
          <w:noProof/>
          <w:sz w:val="24"/>
          <w:szCs w:val="24"/>
          <w:lang w:eastAsia="en-GB"/>
        </w:rPr>
        <w:t xml:space="preserve"> on this process</w:t>
      </w:r>
      <w:r>
        <w:rPr>
          <w:rFonts w:ascii="Times New Roman" w:hAnsi="Times New Roman" w:cs="Times New Roman"/>
          <w:noProof/>
          <w:szCs w:val="24"/>
          <w:vertAlign w:val="superscript"/>
          <w:lang w:eastAsia="en-GB"/>
        </w:rPr>
        <w:footnoteReference w:id="124"/>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lang w:eastAsia="en-GB"/>
        </w:rPr>
        <w:t xml:space="preserve">at the 8 December 2016 Justice and Home Affairs (JHA) Council meeting, and </w:t>
      </w:r>
      <w:r>
        <w:rPr>
          <w:rFonts w:ascii="Times New Roman" w:eastAsia="Times New Roman" w:hAnsi="Times New Roman" w:cs="Times New Roman"/>
          <w:noProof/>
          <w:sz w:val="24"/>
          <w:szCs w:val="24"/>
          <w:lang w:eastAsia="en-GB"/>
        </w:rPr>
        <w:t xml:space="preserve">a non-paper </w:t>
      </w:r>
      <w:r>
        <w:rPr>
          <w:rFonts w:ascii="Times New Roman" w:eastAsia="Times New Roman" w:hAnsi="Times New Roman" w:cs="Times New Roman"/>
          <w:noProof/>
          <w:sz w:val="24"/>
          <w:lang w:eastAsia="en-GB"/>
        </w:rPr>
        <w:t>on the results of the expert consultation proces</w:t>
      </w:r>
      <w:r>
        <w:rPr>
          <w:rFonts w:ascii="Times New Roman" w:eastAsia="Times New Roman" w:hAnsi="Times New Roman" w:cs="Times New Roman"/>
          <w:noProof/>
          <w:sz w:val="24"/>
          <w:lang w:eastAsia="en-GB"/>
        </w:rPr>
        <w:t>s</w:t>
      </w:r>
      <w:r>
        <w:rPr>
          <w:rFonts w:ascii="Times New Roman" w:hAnsi="Times New Roman" w:cs="Times New Roman"/>
          <w:noProof/>
          <w:vertAlign w:val="superscript"/>
          <w:lang w:eastAsia="en-GB"/>
        </w:rPr>
        <w:footnoteReference w:id="125"/>
      </w:r>
      <w:r>
        <w:rPr>
          <w:rFonts w:ascii="Times New Roman" w:eastAsia="Times New Roman" w:hAnsi="Times New Roman" w:cs="Times New Roman"/>
          <w:noProof/>
          <w:sz w:val="24"/>
          <w:lang w:eastAsia="en-GB"/>
        </w:rPr>
        <w:t xml:space="preserve"> was presented at the 8 June 2017 JHA Council meeting, together with a </w:t>
      </w:r>
      <w:r>
        <w:rPr>
          <w:rFonts w:ascii="Times New Roman" w:eastAsia="Times New Roman" w:hAnsi="Times New Roman" w:cs="Times New Roman"/>
          <w:noProof/>
          <w:sz w:val="24"/>
          <w:szCs w:val="24"/>
          <w:lang w:eastAsia="en-GB"/>
        </w:rPr>
        <w:t>more detailed technical paper</w:t>
      </w:r>
      <w:r>
        <w:rPr>
          <w:rFonts w:ascii="Times New Roman" w:hAnsi="Times New Roman" w:cs="Times New Roman"/>
          <w:noProof/>
          <w:szCs w:val="24"/>
          <w:vertAlign w:val="superscript"/>
          <w:lang w:eastAsia="en-GB"/>
        </w:rPr>
        <w:footnoteReference w:id="126"/>
      </w:r>
      <w:r>
        <w:rPr>
          <w:rFonts w:ascii="Times New Roman" w:eastAsia="Times New Roman" w:hAnsi="Times New Roman" w:cs="Times New Roman"/>
          <w:noProof/>
          <w:sz w:val="24"/>
          <w:szCs w:val="24"/>
          <w:lang w:eastAsia="en-GB"/>
        </w:rPr>
        <w:t>. The papers presented the conclusions from the expert process, setting out a detailed problem definition and proposing a combination of practical and le</w:t>
      </w:r>
      <w:r>
        <w:rPr>
          <w:rFonts w:ascii="Times New Roman" w:eastAsia="Times New Roman" w:hAnsi="Times New Roman" w:cs="Times New Roman"/>
          <w:noProof/>
          <w:sz w:val="24"/>
          <w:szCs w:val="24"/>
          <w:lang w:eastAsia="en-GB"/>
        </w:rPr>
        <w:t>gislative measures to respond to the problems identified.</w:t>
      </w:r>
    </w:p>
    <w:p w:rsidR="001B65FF" w:rsidRDefault="003E4EF4">
      <w:pPr>
        <w:numPr>
          <w:ilvl w:val="0"/>
          <w:numId w:val="124"/>
        </w:numPr>
        <w:shd w:val="clear" w:color="auto" w:fill="FFFFFF"/>
        <w:spacing w:before="240" w:after="0"/>
        <w:ind w:left="360"/>
        <w:contextualSpacing/>
        <w:jc w:val="both"/>
        <w:rPr>
          <w:rFonts w:ascii="Times New Roman" w:eastAsia="Times New Roman" w:hAnsi="Times New Roman" w:cs="Times New Roman"/>
          <w:noProof/>
          <w:sz w:val="24"/>
          <w:lang w:eastAsia="en-GB"/>
        </w:rPr>
      </w:pPr>
      <w:r>
        <w:rPr>
          <w:rFonts w:ascii="Times New Roman" w:eastAsia="Times New Roman" w:hAnsi="Times New Roman" w:cs="Times New Roman"/>
          <w:noProof/>
          <w:sz w:val="24"/>
          <w:lang w:eastAsia="en-GB"/>
        </w:rPr>
        <w:t>At the 8 June 2017 JHA Council meeting, Ministers asked the Commission to proceed with the implementation of the complete set of practical measures presented and to come forward with concrete legisl</w:t>
      </w:r>
      <w:r>
        <w:rPr>
          <w:rFonts w:ascii="Times New Roman" w:eastAsia="Times New Roman" w:hAnsi="Times New Roman" w:cs="Times New Roman"/>
          <w:noProof/>
          <w:sz w:val="24"/>
          <w:lang w:eastAsia="en-GB"/>
        </w:rPr>
        <w:t xml:space="preserve">ative proposals both on direct cooperation with service providers and on direct access, on the basis of the considerations set out in the papers. In response, Commissioner </w:t>
      </w:r>
      <w:r>
        <w:rPr>
          <w:rFonts w:ascii="Times New Roman" w:eastAsia="Times New Roman" w:hAnsi="Times New Roman" w:cs="Times New Roman"/>
          <w:noProof/>
          <w:sz w:val="24"/>
          <w:szCs w:val="24"/>
          <w:lang w:eastAsia="en-GB"/>
        </w:rPr>
        <w:t xml:space="preserve">Jourová announced that the Commission would propose legislative measures </w:t>
      </w:r>
      <w:r>
        <w:rPr>
          <w:rFonts w:ascii="Times New Roman" w:eastAsia="Times New Roman" w:hAnsi="Times New Roman" w:cs="Times New Roman"/>
          <w:noProof/>
          <w:sz w:val="24"/>
          <w:lang w:eastAsia="en-GB"/>
        </w:rPr>
        <w:t>in early 20</w:t>
      </w:r>
      <w:r>
        <w:rPr>
          <w:rFonts w:ascii="Times New Roman" w:eastAsia="Times New Roman" w:hAnsi="Times New Roman" w:cs="Times New Roman"/>
          <w:noProof/>
          <w:sz w:val="24"/>
          <w:lang w:eastAsia="en-GB"/>
        </w:rPr>
        <w:t>18</w:t>
      </w:r>
      <w:r>
        <w:rPr>
          <w:rFonts w:ascii="Times New Roman" w:hAnsi="Times New Roman" w:cs="Times New Roman"/>
          <w:noProof/>
          <w:szCs w:val="24"/>
          <w:vertAlign w:val="superscript"/>
          <w:lang w:eastAsia="en-GB"/>
        </w:rPr>
        <w:footnoteReference w:id="127"/>
      </w:r>
      <w:r>
        <w:rPr>
          <w:rFonts w:ascii="Times New Roman" w:eastAsia="Times New Roman" w:hAnsi="Times New Roman" w:cs="Times New Roman"/>
          <w:noProof/>
          <w:sz w:val="24"/>
          <w:lang w:eastAsia="en-GB"/>
        </w:rPr>
        <w:t xml:space="preserve">. </w:t>
      </w:r>
    </w:p>
    <w:p w:rsidR="001B65FF" w:rsidRDefault="003E4EF4">
      <w:pPr>
        <w:numPr>
          <w:ilvl w:val="0"/>
          <w:numId w:val="124"/>
        </w:numPr>
        <w:shd w:val="clear" w:color="auto" w:fill="FFFFFF"/>
        <w:spacing w:before="240" w:after="0"/>
        <w:ind w:left="360"/>
        <w:contextualSpacing/>
        <w:jc w:val="both"/>
        <w:rPr>
          <w:rFonts w:ascii="Times New Roman" w:eastAsia="Times New Roman" w:hAnsi="Times New Roman" w:cs="Times New Roman"/>
          <w:noProof/>
          <w:sz w:val="24"/>
          <w:lang w:eastAsia="en-GB"/>
        </w:rPr>
      </w:pPr>
      <w:r>
        <w:rPr>
          <w:rFonts w:ascii="Times New Roman" w:eastAsia="Times New Roman" w:hAnsi="Times New Roman" w:cs="Times New Roman"/>
          <w:noProof/>
          <w:sz w:val="24"/>
          <w:lang w:eastAsia="en-GB"/>
        </w:rPr>
        <w:t xml:space="preserve">The Commission published an </w:t>
      </w:r>
      <w:r>
        <w:rPr>
          <w:rFonts w:ascii="Times New Roman" w:eastAsia="Times New Roman" w:hAnsi="Times New Roman" w:cs="Times New Roman"/>
          <w:noProof/>
          <w:sz w:val="24"/>
          <w:szCs w:val="24"/>
          <w:lang w:eastAsia="en-GB"/>
        </w:rPr>
        <w:t>Inception Impact Assessment</w:t>
      </w:r>
      <w:r>
        <w:rPr>
          <w:rFonts w:ascii="Times New Roman" w:hAnsi="Times New Roman" w:cs="Times New Roman"/>
          <w:noProof/>
          <w:vertAlign w:val="superscript"/>
          <w:lang w:eastAsia="en-GB"/>
        </w:rPr>
        <w:footnoteReference w:id="128"/>
      </w:r>
      <w:r>
        <w:rPr>
          <w:rFonts w:ascii="Times New Roman" w:eastAsia="Times New Roman" w:hAnsi="Times New Roman" w:cs="Times New Roman"/>
          <w:noProof/>
          <w:sz w:val="24"/>
          <w:lang w:eastAsia="en-GB"/>
        </w:rPr>
        <w:t xml:space="preserve"> on 3 August 2017. A public consultation was launched at the same time and stakeholders and citizens had the opportunity to express their views in an open public consultation through an online q</w:t>
      </w:r>
      <w:r>
        <w:rPr>
          <w:rFonts w:ascii="Times New Roman" w:eastAsia="Times New Roman" w:hAnsi="Times New Roman" w:cs="Times New Roman"/>
          <w:noProof/>
          <w:sz w:val="24"/>
          <w:lang w:eastAsia="en-GB"/>
        </w:rPr>
        <w:t>uestionnaire that was accessible for 12 weeks, until 27 October 2017.</w:t>
      </w:r>
    </w:p>
    <w:p w:rsidR="001B65FF" w:rsidRDefault="003E4EF4">
      <w:pPr>
        <w:numPr>
          <w:ilvl w:val="0"/>
          <w:numId w:val="124"/>
        </w:numPr>
        <w:shd w:val="clear" w:color="auto" w:fill="FFFFFF"/>
        <w:spacing w:before="240" w:after="0"/>
        <w:ind w:left="360"/>
        <w:contextualSpacing/>
        <w:jc w:val="both"/>
        <w:rPr>
          <w:rFonts w:ascii="Times New Roman" w:eastAsia="Times New Roman" w:hAnsi="Times New Roman" w:cs="Times New Roman"/>
          <w:noProof/>
          <w:sz w:val="24"/>
          <w:lang w:eastAsia="en-GB"/>
        </w:rPr>
      </w:pPr>
      <w:r>
        <w:rPr>
          <w:rFonts w:ascii="Times New Roman" w:eastAsia="Times New Roman" w:hAnsi="Times New Roman" w:cs="Times New Roman"/>
          <w:noProof/>
          <w:sz w:val="24"/>
          <w:lang w:eastAsia="en-GB"/>
        </w:rPr>
        <w:t>The feedback from the expert process and its output, summarised in the above documents, were used as the base to build the impact assessment. Therefore, the problem definition, the polic</w:t>
      </w:r>
      <w:r>
        <w:rPr>
          <w:rFonts w:ascii="Times New Roman" w:eastAsia="Times New Roman" w:hAnsi="Times New Roman" w:cs="Times New Roman"/>
          <w:noProof/>
          <w:sz w:val="24"/>
          <w:lang w:eastAsia="en-GB"/>
        </w:rPr>
        <w:t>y options and the impacts reflect the views of the relevant stakeholders that participated in the expert process as well as in the other consultation activities detailed in Annex 2.</w:t>
      </w:r>
    </w:p>
    <w:p w:rsidR="001B65FF" w:rsidRDefault="003E4EF4">
      <w:pPr>
        <w:numPr>
          <w:ilvl w:val="0"/>
          <w:numId w:val="124"/>
        </w:numPr>
        <w:spacing w:before="120" w:after="120"/>
        <w:ind w:left="36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drafting of the impact assessment started in September 2017 and </w:t>
      </w:r>
      <w:r>
        <w:rPr>
          <w:rFonts w:ascii="Times New Roman" w:eastAsia="Times New Roman" w:hAnsi="Times New Roman" w:cs="Times New Roman"/>
          <w:noProof/>
          <w:sz w:val="24"/>
          <w:szCs w:val="20"/>
        </w:rPr>
        <w:t>continued until December 2017, after incorporating the feedback from the RSB.</w:t>
      </w:r>
    </w:p>
    <w:p w:rsidR="001B65FF" w:rsidRDefault="001B65FF">
      <w:pPr>
        <w:shd w:val="clear" w:color="auto" w:fill="FFFFFF"/>
        <w:spacing w:before="240" w:after="0"/>
        <w:ind w:left="720"/>
        <w:contextualSpacing/>
        <w:jc w:val="both"/>
        <w:rPr>
          <w:rFonts w:ascii="Times New Roman" w:eastAsia="Times New Roman" w:hAnsi="Times New Roman" w:cs="Times New Roman"/>
          <w:noProof/>
          <w:sz w:val="24"/>
          <w:lang w:eastAsia="en-GB"/>
        </w:rPr>
      </w:pPr>
    </w:p>
    <w:p w:rsidR="001B65FF" w:rsidRDefault="003E4EF4">
      <w:pPr>
        <w:spacing w:before="120" w:after="120"/>
        <w:jc w:val="both"/>
        <w:rPr>
          <w:rFonts w:ascii="Times New Roman" w:eastAsia="Times New Roman" w:hAnsi="Times New Roman" w:cs="Times New Roman"/>
          <w:noProof/>
          <w:sz w:val="24"/>
          <w:szCs w:val="20"/>
          <w:u w:val="single"/>
        </w:rPr>
      </w:pPr>
      <w:r>
        <w:rPr>
          <w:rFonts w:ascii="Times New Roman" w:eastAsia="Times New Roman" w:hAnsi="Times New Roman" w:cs="Times New Roman"/>
          <w:noProof/>
          <w:sz w:val="24"/>
          <w:szCs w:val="20"/>
          <w:u w:val="single"/>
        </w:rPr>
        <w:t xml:space="preserve">Joint HOME/JUST task force on e-evidence </w:t>
      </w:r>
    </w:p>
    <w:p w:rsidR="001B65FF" w:rsidRDefault="003E4EF4">
      <w:pPr>
        <w:numPr>
          <w:ilvl w:val="0"/>
          <w:numId w:val="126"/>
        </w:numPr>
        <w:spacing w:before="120" w:after="120"/>
        <w:ind w:left="36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 joint task force HOME/JUST was set up at the end of 2015 to work on this initiative.</w:t>
      </w:r>
    </w:p>
    <w:p w:rsidR="001B65FF" w:rsidRDefault="003E4EF4">
      <w:pPr>
        <w:numPr>
          <w:ilvl w:val="0"/>
          <w:numId w:val="126"/>
        </w:numPr>
        <w:spacing w:before="120" w:after="0"/>
        <w:ind w:left="36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It included members from the HOME Cybercrime </w:t>
      </w:r>
      <w:r>
        <w:rPr>
          <w:rFonts w:ascii="Times New Roman" w:eastAsia="Times New Roman" w:hAnsi="Times New Roman" w:cs="Times New Roman"/>
          <w:noProof/>
          <w:sz w:val="24"/>
          <w:szCs w:val="20"/>
        </w:rPr>
        <w:t>unit and DG JUST's units responsible for procedural criminal law, fundamental rights policy, data protection and international data flows and protection.</w:t>
      </w:r>
    </w:p>
    <w:p w:rsidR="001B65FF" w:rsidRDefault="001B65FF">
      <w:pPr>
        <w:spacing w:before="120" w:after="0"/>
        <w:ind w:left="720"/>
        <w:contextualSpacing/>
        <w:jc w:val="both"/>
        <w:rPr>
          <w:rFonts w:ascii="Times New Roman" w:eastAsia="Times New Roman" w:hAnsi="Times New Roman" w:cs="Times New Roman"/>
          <w:noProof/>
          <w:sz w:val="24"/>
          <w:szCs w:val="20"/>
        </w:rPr>
      </w:pPr>
    </w:p>
    <w:p w:rsidR="001B65FF" w:rsidRDefault="003E4EF4">
      <w:pPr>
        <w:spacing w:before="120" w:after="120"/>
        <w:jc w:val="both"/>
        <w:rPr>
          <w:rFonts w:ascii="Times New Roman" w:eastAsia="Times New Roman" w:hAnsi="Times New Roman" w:cs="Times New Roman"/>
          <w:noProof/>
          <w:sz w:val="24"/>
          <w:szCs w:val="20"/>
          <w:u w:val="single"/>
        </w:rPr>
      </w:pPr>
      <w:r>
        <w:rPr>
          <w:rFonts w:ascii="Times New Roman" w:eastAsia="Times New Roman" w:hAnsi="Times New Roman" w:cs="Times New Roman"/>
          <w:noProof/>
          <w:sz w:val="24"/>
          <w:szCs w:val="20"/>
          <w:u w:val="single"/>
        </w:rPr>
        <w:t>Inter-service group (ISG)</w:t>
      </w:r>
    </w:p>
    <w:p w:rsidR="001B65FF" w:rsidRDefault="003E4EF4">
      <w:pPr>
        <w:numPr>
          <w:ilvl w:val="0"/>
          <w:numId w:val="125"/>
        </w:numPr>
        <w:spacing w:before="120" w:after="120"/>
        <w:ind w:left="36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An ISG chaired by HOME and JUST, was set up in June 2017.</w:t>
      </w:r>
    </w:p>
    <w:p w:rsidR="001B65FF" w:rsidRDefault="003E4EF4">
      <w:pPr>
        <w:numPr>
          <w:ilvl w:val="0"/>
          <w:numId w:val="125"/>
        </w:numPr>
        <w:spacing w:before="120" w:after="120"/>
        <w:ind w:left="36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following DGs</w:t>
      </w:r>
      <w:r>
        <w:rPr>
          <w:rFonts w:ascii="Times New Roman" w:eastAsia="Times New Roman" w:hAnsi="Times New Roman" w:cs="Times New Roman"/>
          <w:noProof/>
          <w:sz w:val="24"/>
          <w:szCs w:val="20"/>
        </w:rPr>
        <w:t xml:space="preserve"> participated in the ISG: the Secretariat-General (SG); DG Informatics (DIGIT); DG Communications Networks, Content and Technology (CNECT); Legal Service (SJ); and DG </w:t>
      </w:r>
      <w:r>
        <w:rPr>
          <w:rFonts w:ascii="Times New Roman" w:eastAsia="Times New Roman" w:hAnsi="Times New Roman" w:cs="Times New Roman"/>
          <w:bCs/>
          <w:noProof/>
          <w:sz w:val="24"/>
          <w:szCs w:val="20"/>
        </w:rPr>
        <w:t xml:space="preserve">TRADE. DG GROW, DG COMP and EEAS were invited but did not attend. </w:t>
      </w:r>
    </w:p>
    <w:p w:rsidR="001B65FF" w:rsidRDefault="003E4EF4">
      <w:pPr>
        <w:numPr>
          <w:ilvl w:val="0"/>
          <w:numId w:val="125"/>
        </w:numPr>
        <w:spacing w:before="120" w:after="120"/>
        <w:ind w:left="36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ISG met five times</w:t>
      </w:r>
      <w:r>
        <w:rPr>
          <w:rFonts w:ascii="Times New Roman" w:eastAsia="Times New Roman" w:hAnsi="Times New Roman" w:cs="Times New Roman"/>
          <w:noProof/>
          <w:sz w:val="24"/>
          <w:szCs w:val="20"/>
        </w:rPr>
        <w:t xml:space="preserve"> between June and November 2017. Discussion included the inception impact assessment, the questionnaire for the public consultation and the various drafts of the impact assessment.</w:t>
      </w:r>
    </w:p>
    <w:p w:rsidR="001B65FF" w:rsidRDefault="001B65FF">
      <w:pPr>
        <w:spacing w:after="0"/>
        <w:rPr>
          <w:rFonts w:ascii="Times New Roman" w:hAnsi="Times New Roman" w:cs="Times New Roman"/>
          <w:noProof/>
        </w:rPr>
      </w:pPr>
    </w:p>
    <w:p w:rsidR="001B65FF" w:rsidRDefault="003E4EF4">
      <w:pPr>
        <w:pStyle w:val="Heading2"/>
        <w:numPr>
          <w:ilvl w:val="1"/>
          <w:numId w:val="4"/>
        </w:numPr>
        <w:tabs>
          <w:tab w:val="clear" w:pos="1200"/>
          <w:tab w:val="num" w:pos="851"/>
        </w:tabs>
        <w:ind w:left="567" w:hanging="567"/>
        <w:rPr>
          <w:rFonts w:ascii="Times New Roman" w:hAnsi="Times New Roman" w:cs="Times New Roman"/>
          <w:noProof/>
        </w:rPr>
      </w:pPr>
      <w:bookmarkStart w:id="1801" w:name="_Toc471997757"/>
      <w:bookmarkStart w:id="1802" w:name="_Toc481484487"/>
      <w:bookmarkStart w:id="1803" w:name="_Toc497927303"/>
      <w:bookmarkStart w:id="1804" w:name="_Toc497927919"/>
      <w:bookmarkStart w:id="1805" w:name="_Toc497928185"/>
      <w:bookmarkStart w:id="1806" w:name="_Toc498509774"/>
      <w:bookmarkStart w:id="1807" w:name="_Toc498521322"/>
      <w:bookmarkStart w:id="1808" w:name="_Toc498701989"/>
      <w:bookmarkStart w:id="1809" w:name="_Toc498704721"/>
      <w:bookmarkStart w:id="1810" w:name="_Toc499020476"/>
      <w:bookmarkStart w:id="1811" w:name="_Toc499030410"/>
      <w:bookmarkStart w:id="1812" w:name="_Toc499044952"/>
      <w:bookmarkStart w:id="1813" w:name="_Toc499051368"/>
      <w:bookmarkStart w:id="1814" w:name="_Toc499130045"/>
      <w:bookmarkStart w:id="1815" w:name="_Toc499133324"/>
      <w:bookmarkStart w:id="1816" w:name="_Toc499142894"/>
      <w:bookmarkStart w:id="1817" w:name="_Toc499143339"/>
      <w:bookmarkStart w:id="1818" w:name="_Toc510952890"/>
      <w:r>
        <w:rPr>
          <w:rFonts w:ascii="Times New Roman" w:hAnsi="Times New Roman" w:cs="Times New Roman"/>
          <w:noProof/>
        </w:rPr>
        <w:t>Consultation of the RSB</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Regulatory Scrutiny Board received the draft v</w:t>
      </w:r>
      <w:r>
        <w:rPr>
          <w:rFonts w:ascii="Times New Roman" w:eastAsia="Times New Roman" w:hAnsi="Times New Roman" w:cs="Times New Roman"/>
          <w:noProof/>
          <w:sz w:val="24"/>
          <w:szCs w:val="20"/>
        </w:rPr>
        <w:t xml:space="preserve">ersion of the present impact assessment report on 22 November 2017. It issued an impact assessment quality checklist on 8 December 2017 with a number of very helpful comments. A detailed response to the RSB quality checklist was sent in advance to the RSB </w:t>
      </w:r>
      <w:r>
        <w:rPr>
          <w:rFonts w:ascii="Times New Roman" w:eastAsia="Times New Roman" w:hAnsi="Times New Roman" w:cs="Times New Roman"/>
          <w:noProof/>
          <w:sz w:val="24"/>
          <w:szCs w:val="20"/>
        </w:rPr>
        <w:t xml:space="preserve">meeting on 13 December 2017, which specified how each of the RSB comments would be incorporated to the final version of the impact assessment. </w:t>
      </w:r>
    </w:p>
    <w:p w:rsidR="001B65FF" w:rsidRDefault="003E4EF4">
      <w:pPr>
        <w:spacing w:before="120"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RSB issued a positive opinion on 15 December 2017, with a number of recommendations that completed the previ</w:t>
      </w:r>
      <w:r>
        <w:rPr>
          <w:rFonts w:ascii="Times New Roman" w:eastAsia="Times New Roman" w:hAnsi="Times New Roman" w:cs="Times New Roman"/>
          <w:noProof/>
          <w:sz w:val="24"/>
          <w:szCs w:val="20"/>
        </w:rPr>
        <w:t>ously issued quality checklist. All of the RSB comments were incorporated into the final version of this document. The recommendations described in the RSB opinion were incorporated as follows:</w:t>
      </w:r>
    </w:p>
    <w:p w:rsidR="001B65FF" w:rsidRDefault="001B65FF">
      <w:pPr>
        <w:spacing w:before="120" w:after="0"/>
        <w:jc w:val="both"/>
        <w:rPr>
          <w:rFonts w:ascii="Times New Roman" w:eastAsia="Times New Roman" w:hAnsi="Times New Roman" w:cs="Times New Roman"/>
          <w:noProof/>
          <w:sz w:val="24"/>
          <w:szCs w:val="20"/>
        </w:rPr>
      </w:pPr>
    </w:p>
    <w:tbl>
      <w:tblPr>
        <w:tblStyle w:val="TableGrid"/>
        <w:tblW w:w="0" w:type="auto"/>
        <w:tblInd w:w="108" w:type="dxa"/>
        <w:tblLook w:val="04A0" w:firstRow="1" w:lastRow="0" w:firstColumn="1" w:lastColumn="0" w:noHBand="0" w:noVBand="1"/>
      </w:tblPr>
      <w:tblGrid>
        <w:gridCol w:w="4536"/>
        <w:gridCol w:w="4644"/>
      </w:tblGrid>
      <w:tr w:rsidR="001B65FF">
        <w:tc>
          <w:tcPr>
            <w:tcW w:w="4536" w:type="dxa"/>
          </w:tcPr>
          <w:p w:rsidR="001B65FF" w:rsidRDefault="003E4EF4">
            <w:pPr>
              <w:spacing w:before="120" w:after="120"/>
              <w:jc w:val="center"/>
              <w:rPr>
                <w:b/>
                <w:noProof/>
                <w:sz w:val="24"/>
              </w:rPr>
            </w:pPr>
            <w:r>
              <w:rPr>
                <w:b/>
                <w:noProof/>
                <w:sz w:val="24"/>
              </w:rPr>
              <w:t>RSB comment</w:t>
            </w:r>
          </w:p>
        </w:tc>
        <w:tc>
          <w:tcPr>
            <w:tcW w:w="4644" w:type="dxa"/>
          </w:tcPr>
          <w:p w:rsidR="001B65FF" w:rsidRDefault="003E4EF4">
            <w:pPr>
              <w:spacing w:before="120" w:after="120"/>
              <w:jc w:val="center"/>
              <w:rPr>
                <w:b/>
                <w:noProof/>
                <w:sz w:val="24"/>
              </w:rPr>
            </w:pPr>
            <w:r>
              <w:rPr>
                <w:b/>
                <w:noProof/>
                <w:sz w:val="24"/>
              </w:rPr>
              <w:t>How it was incorporated in the IA</w:t>
            </w:r>
          </w:p>
        </w:tc>
      </w:tr>
      <w:tr w:rsidR="001B65FF">
        <w:tc>
          <w:tcPr>
            <w:tcW w:w="4536" w:type="dxa"/>
          </w:tcPr>
          <w:p w:rsidR="001B65FF" w:rsidRDefault="003E4EF4">
            <w:pPr>
              <w:spacing w:before="120" w:after="120"/>
              <w:jc w:val="both"/>
              <w:rPr>
                <w:b/>
                <w:noProof/>
                <w:sz w:val="24"/>
                <w:szCs w:val="24"/>
              </w:rPr>
            </w:pPr>
            <w:r>
              <w:rPr>
                <w:b/>
                <w:noProof/>
                <w:sz w:val="24"/>
                <w:szCs w:val="24"/>
              </w:rPr>
              <w:t xml:space="preserve">(1) Context </w:t>
            </w:r>
            <w:r>
              <w:rPr>
                <w:b/>
                <w:noProof/>
                <w:sz w:val="24"/>
                <w:szCs w:val="24"/>
              </w:rPr>
              <w:t>and complementarity with other instruments</w:t>
            </w:r>
          </w:p>
          <w:p w:rsidR="001B65FF" w:rsidRDefault="003E4EF4">
            <w:pPr>
              <w:spacing w:before="120" w:after="120"/>
              <w:jc w:val="both"/>
              <w:rPr>
                <w:noProof/>
                <w:sz w:val="24"/>
              </w:rPr>
            </w:pPr>
            <w:r>
              <w:rPr>
                <w:noProof/>
                <w:sz w:val="24"/>
                <w:szCs w:val="24"/>
              </w:rPr>
              <w:t>The policy context could include additional references to relevant elements that triggered and contributed to shaping this initiative. It could fur</w:t>
            </w:r>
            <w:r>
              <w:rPr>
                <w:noProof/>
                <w:sz w:val="24"/>
              </w:rPr>
              <w:t>ther describe how and to what extent discussions in different fora</w:t>
            </w:r>
            <w:r>
              <w:rPr>
                <w:noProof/>
                <w:sz w:val="24"/>
              </w:rPr>
              <w:t xml:space="preserve"> have helped to scope this initiative. In particular, it should refer upfront to the measures for improving cooperation among judicial authorities and with service providers, identified as a result of the Commission’s expert process and supported by the JH</w:t>
            </w:r>
            <w:r>
              <w:rPr>
                <w:noProof/>
                <w:sz w:val="24"/>
              </w:rPr>
              <w:t>A Council of 8-9 June 2017.</w:t>
            </w:r>
          </w:p>
          <w:p w:rsidR="001B65FF" w:rsidRDefault="001B65FF">
            <w:pPr>
              <w:spacing w:before="120" w:after="120"/>
              <w:jc w:val="both"/>
              <w:rPr>
                <w:noProof/>
                <w:sz w:val="24"/>
              </w:rPr>
            </w:pPr>
          </w:p>
          <w:p w:rsidR="001B65FF" w:rsidRDefault="003E4EF4">
            <w:pPr>
              <w:spacing w:before="120" w:after="120"/>
              <w:jc w:val="both"/>
              <w:rPr>
                <w:noProof/>
                <w:sz w:val="24"/>
                <w:szCs w:val="24"/>
              </w:rPr>
            </w:pPr>
            <w:r>
              <w:rPr>
                <w:noProof/>
                <w:sz w:val="24"/>
              </w:rPr>
              <w:t>The report should further explain how and to what extent the proposed measures complement others, such as the EIO, the negotiations of an additional protocol to the Budapest Convention or the revised EU-US MLA Agreement. Such c</w:t>
            </w:r>
            <w:r>
              <w:rPr>
                <w:noProof/>
                <w:sz w:val="24"/>
              </w:rPr>
              <w:t>larifications could address questions of timing, scope and depth of these different instruments. The baseline scenario should reflect relevant developments that are likely to occur independently of the adoption of the proposed measures, including changes t</w:t>
            </w:r>
            <w:r>
              <w:rPr>
                <w:noProof/>
                <w:sz w:val="24"/>
              </w:rPr>
              <w:t xml:space="preserve">o the Budapest convention.   </w:t>
            </w:r>
          </w:p>
        </w:tc>
        <w:tc>
          <w:tcPr>
            <w:tcW w:w="4644" w:type="dxa"/>
          </w:tcPr>
          <w:p w:rsidR="001B65FF" w:rsidRDefault="001B65FF">
            <w:pPr>
              <w:spacing w:before="120" w:after="120"/>
              <w:jc w:val="both"/>
              <w:rPr>
                <w:noProof/>
                <w:sz w:val="24"/>
              </w:rPr>
            </w:pPr>
          </w:p>
          <w:p w:rsidR="001B65FF" w:rsidRDefault="001B65FF">
            <w:pPr>
              <w:spacing w:before="120"/>
              <w:jc w:val="both"/>
              <w:rPr>
                <w:noProof/>
                <w:sz w:val="24"/>
              </w:rPr>
            </w:pPr>
          </w:p>
          <w:p w:rsidR="001B65FF" w:rsidRDefault="003E4EF4">
            <w:pPr>
              <w:spacing w:after="120"/>
              <w:jc w:val="both"/>
              <w:rPr>
                <w:noProof/>
                <w:sz w:val="24"/>
              </w:rPr>
            </w:pPr>
            <w:r>
              <w:rPr>
                <w:noProof/>
                <w:sz w:val="24"/>
              </w:rPr>
              <w:t>References to relevant elements were expanded in the introduction, in sections 3.2 and 3.3 (Why should the EU act?).</w:t>
            </w:r>
          </w:p>
          <w:p w:rsidR="001B65FF" w:rsidRDefault="001B65FF">
            <w:pPr>
              <w:spacing w:before="120" w:after="120"/>
              <w:jc w:val="both"/>
              <w:rPr>
                <w:noProof/>
                <w:sz w:val="24"/>
              </w:rPr>
            </w:pPr>
          </w:p>
          <w:p w:rsidR="001B65FF" w:rsidRDefault="001B65FF">
            <w:pPr>
              <w:spacing w:before="120" w:after="120"/>
              <w:jc w:val="both"/>
              <w:rPr>
                <w:noProof/>
                <w:sz w:val="24"/>
              </w:rPr>
            </w:pPr>
          </w:p>
          <w:p w:rsidR="001B65FF" w:rsidRDefault="001B65FF">
            <w:pPr>
              <w:spacing w:before="120" w:after="120"/>
              <w:jc w:val="both"/>
              <w:rPr>
                <w:noProof/>
                <w:sz w:val="24"/>
              </w:rPr>
            </w:pPr>
          </w:p>
          <w:p w:rsidR="001B65FF" w:rsidRDefault="001B65FF">
            <w:pPr>
              <w:spacing w:before="120" w:after="120"/>
              <w:jc w:val="both"/>
              <w:rPr>
                <w:noProof/>
                <w:sz w:val="24"/>
              </w:rPr>
            </w:pPr>
          </w:p>
          <w:p w:rsidR="001B65FF" w:rsidRDefault="001B65FF">
            <w:pPr>
              <w:spacing w:before="120" w:after="120"/>
              <w:jc w:val="both"/>
              <w:rPr>
                <w:noProof/>
                <w:sz w:val="24"/>
              </w:rPr>
            </w:pPr>
          </w:p>
          <w:p w:rsidR="001B65FF" w:rsidRDefault="001B65FF">
            <w:pPr>
              <w:spacing w:before="120" w:after="120"/>
              <w:jc w:val="both"/>
              <w:rPr>
                <w:noProof/>
                <w:sz w:val="24"/>
              </w:rPr>
            </w:pPr>
          </w:p>
          <w:p w:rsidR="001B65FF" w:rsidRDefault="001B65FF">
            <w:pPr>
              <w:spacing w:before="120" w:after="120"/>
              <w:jc w:val="both"/>
              <w:rPr>
                <w:noProof/>
                <w:sz w:val="24"/>
              </w:rPr>
            </w:pPr>
          </w:p>
          <w:p w:rsidR="001B65FF" w:rsidRDefault="003E4EF4">
            <w:pPr>
              <w:spacing w:before="240" w:after="120"/>
              <w:jc w:val="both"/>
              <w:rPr>
                <w:noProof/>
                <w:sz w:val="24"/>
              </w:rPr>
            </w:pPr>
            <w:r>
              <w:rPr>
                <w:noProof/>
                <w:sz w:val="24"/>
              </w:rPr>
              <w:t xml:space="preserve">The complementarity between different measures (in particular EIO Directive, negotiations of an </w:t>
            </w:r>
            <w:r>
              <w:rPr>
                <w:noProof/>
                <w:sz w:val="24"/>
              </w:rPr>
              <w:t>additional protocol to the Budapest Convention) was clarified in sections 2.2.1 and 5.4.4, Annex 4 section 1 and Annex 5 section 1 (for the EIO), additional explanations on how the 2016 EU-US MLA Review relates to the current initiative were added in secti</w:t>
            </w:r>
            <w:r>
              <w:rPr>
                <w:noProof/>
                <w:sz w:val="24"/>
              </w:rPr>
              <w:t>on 2.3 and the baseline scenario was revised to better reflect likely developments regarding the Budapest Convention in the absence of EU legislative action.</w:t>
            </w:r>
          </w:p>
        </w:tc>
      </w:tr>
      <w:tr w:rsidR="001B65FF">
        <w:tc>
          <w:tcPr>
            <w:tcW w:w="4536" w:type="dxa"/>
          </w:tcPr>
          <w:p w:rsidR="001B65FF" w:rsidRDefault="003E4EF4">
            <w:pPr>
              <w:spacing w:before="120" w:after="120"/>
              <w:jc w:val="both"/>
              <w:rPr>
                <w:b/>
                <w:noProof/>
                <w:sz w:val="24"/>
                <w:szCs w:val="24"/>
              </w:rPr>
            </w:pPr>
            <w:r>
              <w:rPr>
                <w:b/>
                <w:noProof/>
                <w:sz w:val="24"/>
                <w:szCs w:val="24"/>
              </w:rPr>
              <w:t>(2) Fundamental rights</w:t>
            </w:r>
          </w:p>
          <w:p w:rsidR="001B65FF" w:rsidRDefault="003E4EF4">
            <w:pPr>
              <w:spacing w:before="120" w:after="120"/>
              <w:jc w:val="both"/>
              <w:rPr>
                <w:noProof/>
                <w:sz w:val="24"/>
                <w:szCs w:val="24"/>
              </w:rPr>
            </w:pPr>
            <w:r>
              <w:rPr>
                <w:noProof/>
                <w:sz w:val="24"/>
                <w:szCs w:val="24"/>
              </w:rPr>
              <w:t>The report should provide a more complete discussion of fundamental rights</w:t>
            </w:r>
            <w:r>
              <w:rPr>
                <w:noProof/>
                <w:sz w:val="24"/>
                <w:szCs w:val="24"/>
              </w:rPr>
              <w:t xml:space="preserve"> issues surrounding the proposed measures, and appropriate safeguards. </w:t>
            </w:r>
          </w:p>
          <w:p w:rsidR="001B65FF" w:rsidRDefault="003E4EF4">
            <w:pPr>
              <w:spacing w:before="120" w:after="120"/>
              <w:jc w:val="both"/>
              <w:rPr>
                <w:noProof/>
                <w:sz w:val="24"/>
                <w:szCs w:val="24"/>
              </w:rPr>
            </w:pPr>
            <w:r>
              <w:rPr>
                <w:noProof/>
                <w:sz w:val="24"/>
                <w:szCs w:val="24"/>
              </w:rPr>
              <w:t>The report should clarify interlinkages between the 7 measures of the preferred option. The report should further clarify the impact of delaying new legislation on the safeguards on di</w:t>
            </w:r>
            <w:r>
              <w:rPr>
                <w:noProof/>
                <w:sz w:val="24"/>
                <w:szCs w:val="24"/>
              </w:rPr>
              <w:t>rect access related to serious crimes in comparison to the EPO that covers all types of crimes. It should also explain any risks of not including in the package the intended legislation with conditions and safeguards for direct access. The report should di</w:t>
            </w:r>
            <w:r>
              <w:rPr>
                <w:noProof/>
                <w:sz w:val="24"/>
                <w:szCs w:val="24"/>
              </w:rPr>
              <w:t>scuss how this would affect, for example, the effectiveness, proportionality and balance of the initiative.</w:t>
            </w:r>
          </w:p>
        </w:tc>
        <w:tc>
          <w:tcPr>
            <w:tcW w:w="4644" w:type="dxa"/>
          </w:tcPr>
          <w:p w:rsidR="001B65FF" w:rsidRDefault="001B65FF">
            <w:pPr>
              <w:spacing w:before="120" w:after="120"/>
              <w:jc w:val="both"/>
              <w:rPr>
                <w:noProof/>
                <w:sz w:val="24"/>
                <w:szCs w:val="24"/>
              </w:rPr>
            </w:pPr>
          </w:p>
          <w:p w:rsidR="001B65FF" w:rsidRDefault="003E4EF4">
            <w:pPr>
              <w:spacing w:before="120" w:after="120"/>
              <w:jc w:val="both"/>
              <w:rPr>
                <w:noProof/>
                <w:sz w:val="24"/>
                <w:szCs w:val="24"/>
              </w:rPr>
            </w:pPr>
            <w:r>
              <w:rPr>
                <w:noProof/>
                <w:sz w:val="24"/>
                <w:szCs w:val="24"/>
              </w:rPr>
              <w:t>The discussion of fundamental rights issues in the report was complemented in various places (sections 5.2.2, 6.1.3 and 7.1, Annex 4 sections 1 and</w:t>
            </w:r>
            <w:r>
              <w:rPr>
                <w:noProof/>
                <w:sz w:val="24"/>
                <w:szCs w:val="24"/>
              </w:rPr>
              <w:t xml:space="preserve"> 2); in particular, the interlinkage between the 7 measures of the preferred option was clarified, and in the discussion of option C, considerations were added concerning the consequences of not covering or delaying a measure on direct access for fundament</w:t>
            </w:r>
            <w:r>
              <w:rPr>
                <w:noProof/>
                <w:sz w:val="24"/>
                <w:szCs w:val="24"/>
              </w:rPr>
              <w:t>al rights. Because the initiative on direct cooperation will also be limited to certain forms of crime, it was not discussed specifically the impact of delaying legislation on the safeguards on direct access related to serious crimes in comparison to a mea</w:t>
            </w:r>
            <w:r>
              <w:rPr>
                <w:noProof/>
                <w:sz w:val="24"/>
                <w:szCs w:val="24"/>
              </w:rPr>
              <w:t>sure on direct cooperation that would cover all crimes.</w:t>
            </w:r>
          </w:p>
        </w:tc>
      </w:tr>
      <w:tr w:rsidR="001B65FF">
        <w:tc>
          <w:tcPr>
            <w:tcW w:w="4536" w:type="dxa"/>
          </w:tcPr>
          <w:p w:rsidR="001B65FF" w:rsidRDefault="003E4EF4">
            <w:pPr>
              <w:spacing w:before="120" w:after="120"/>
              <w:jc w:val="both"/>
              <w:rPr>
                <w:b/>
                <w:noProof/>
                <w:sz w:val="24"/>
                <w:szCs w:val="24"/>
              </w:rPr>
            </w:pPr>
            <w:r>
              <w:rPr>
                <w:b/>
                <w:noProof/>
                <w:sz w:val="24"/>
                <w:szCs w:val="24"/>
              </w:rPr>
              <w:t>(3) Stakeholder views</w:t>
            </w:r>
          </w:p>
          <w:p w:rsidR="001B65FF" w:rsidRDefault="003E4EF4">
            <w:pPr>
              <w:spacing w:before="120" w:after="120"/>
              <w:jc w:val="both"/>
              <w:rPr>
                <w:noProof/>
                <w:sz w:val="24"/>
                <w:szCs w:val="24"/>
              </w:rPr>
            </w:pPr>
            <w:r>
              <w:rPr>
                <w:noProof/>
                <w:sz w:val="24"/>
                <w:szCs w:val="24"/>
              </w:rPr>
              <w:t>The report should more systematically attribute the evidence and views expressed to the stakeholders that provided them. Clearer links between the feedback from stakeholders and</w:t>
            </w:r>
            <w:r>
              <w:rPr>
                <w:noProof/>
                <w:sz w:val="24"/>
                <w:szCs w:val="24"/>
              </w:rPr>
              <w:t xml:space="preserve"> the analysis would inform the reader about the degree of consensus surrounding the options and their likely impacts. This is especially relevant for businesses for which the analysis projects major savings in spite of increased data requests that they are</w:t>
            </w:r>
            <w:r>
              <w:rPr>
                <w:noProof/>
                <w:sz w:val="24"/>
                <w:szCs w:val="24"/>
              </w:rPr>
              <w:t xml:space="preserve"> likely to have to process as a result of the expected shift from legal assistance to direct cooperation with service providers.   </w:t>
            </w:r>
          </w:p>
        </w:tc>
        <w:tc>
          <w:tcPr>
            <w:tcW w:w="4644" w:type="dxa"/>
          </w:tcPr>
          <w:p w:rsidR="001B65FF" w:rsidRDefault="001B65FF">
            <w:pPr>
              <w:spacing w:before="120" w:after="120"/>
              <w:jc w:val="both"/>
              <w:rPr>
                <w:noProof/>
                <w:sz w:val="24"/>
              </w:rPr>
            </w:pPr>
          </w:p>
          <w:p w:rsidR="001B65FF" w:rsidRDefault="003E4EF4">
            <w:pPr>
              <w:spacing w:before="120" w:after="120"/>
              <w:jc w:val="both"/>
              <w:rPr>
                <w:noProof/>
                <w:sz w:val="24"/>
              </w:rPr>
            </w:pPr>
            <w:r>
              <w:rPr>
                <w:noProof/>
                <w:sz w:val="24"/>
              </w:rPr>
              <w:t>A more detailed attribution of the views to the different types of stakeholder was added to Annex 2, including the views of</w:t>
            </w:r>
            <w:r>
              <w:rPr>
                <w:noProof/>
                <w:sz w:val="24"/>
              </w:rPr>
              <w:t xml:space="preserve"> service providers concerning the potential benefits.</w:t>
            </w:r>
          </w:p>
          <w:p w:rsidR="001B65FF" w:rsidRDefault="003E4EF4">
            <w:pPr>
              <w:spacing w:before="120" w:after="120"/>
              <w:jc w:val="both"/>
              <w:rPr>
                <w:noProof/>
                <w:sz w:val="24"/>
                <w:highlight w:val="yellow"/>
              </w:rPr>
            </w:pPr>
            <w:r>
              <w:rPr>
                <w:noProof/>
                <w:sz w:val="24"/>
              </w:rPr>
              <w:t xml:space="preserve">Additional references to how the views of the stakehodlers were taken into account were added to Annex 1. </w:t>
            </w:r>
          </w:p>
        </w:tc>
      </w:tr>
      <w:tr w:rsidR="001B65FF">
        <w:tc>
          <w:tcPr>
            <w:tcW w:w="4536" w:type="dxa"/>
          </w:tcPr>
          <w:p w:rsidR="001B65FF" w:rsidRDefault="003E4EF4">
            <w:pPr>
              <w:spacing w:before="120" w:after="120"/>
              <w:jc w:val="both"/>
              <w:rPr>
                <w:b/>
                <w:noProof/>
                <w:sz w:val="24"/>
                <w:szCs w:val="24"/>
              </w:rPr>
            </w:pPr>
            <w:r>
              <w:rPr>
                <w:b/>
                <w:noProof/>
                <w:sz w:val="24"/>
                <w:szCs w:val="24"/>
              </w:rPr>
              <w:t>(4) Flowcharts</w:t>
            </w:r>
          </w:p>
          <w:p w:rsidR="001B65FF" w:rsidRDefault="003E4EF4">
            <w:pPr>
              <w:spacing w:before="120" w:after="120"/>
              <w:jc w:val="both"/>
              <w:rPr>
                <w:noProof/>
                <w:sz w:val="24"/>
              </w:rPr>
            </w:pPr>
            <w:r>
              <w:rPr>
                <w:noProof/>
                <w:sz w:val="24"/>
                <w:szCs w:val="24"/>
              </w:rPr>
              <w:t>The report could usefully provide additional non-technical information on the p</w:t>
            </w:r>
            <w:r>
              <w:rPr>
                <w:noProof/>
                <w:sz w:val="24"/>
                <w:szCs w:val="24"/>
              </w:rPr>
              <w:t>roposed workflows for data sharing, highlighting the key differences that the measures would introduce. Such visual representat</w:t>
            </w:r>
            <w:r>
              <w:rPr>
                <w:noProof/>
                <w:sz w:val="24"/>
              </w:rPr>
              <w:t xml:space="preserve">ions could cover the main distinctions between different types of data sharing such as content vs non-content </w:t>
            </w:r>
            <w:r>
              <w:rPr>
                <w:noProof/>
                <w:sz w:val="24"/>
                <w:szCs w:val="24"/>
              </w:rPr>
              <w:t>or intra vs extra E</w:t>
            </w:r>
            <w:r>
              <w:rPr>
                <w:noProof/>
                <w:sz w:val="24"/>
                <w:szCs w:val="24"/>
              </w:rPr>
              <w:t>U exchanges.</w:t>
            </w:r>
            <w:r>
              <w:rPr>
                <w:noProof/>
                <w:sz w:val="24"/>
              </w:rPr>
              <w:t xml:space="preserve"> It should differentiate measures in the final package according to whether they grant access to new evidence or faster access to evidence that can already be accessed with existing procedures.</w:t>
            </w:r>
          </w:p>
        </w:tc>
        <w:tc>
          <w:tcPr>
            <w:tcW w:w="4644" w:type="dxa"/>
          </w:tcPr>
          <w:p w:rsidR="001B65FF" w:rsidRDefault="001B65FF">
            <w:pPr>
              <w:spacing w:before="120" w:after="120"/>
              <w:jc w:val="both"/>
              <w:rPr>
                <w:noProof/>
                <w:sz w:val="24"/>
              </w:rPr>
            </w:pPr>
          </w:p>
          <w:p w:rsidR="001B65FF" w:rsidRDefault="003E4EF4">
            <w:pPr>
              <w:spacing w:before="120" w:after="120"/>
              <w:jc w:val="both"/>
              <w:rPr>
                <w:noProof/>
                <w:sz w:val="24"/>
              </w:rPr>
            </w:pPr>
            <w:r>
              <w:rPr>
                <w:noProof/>
                <w:sz w:val="24"/>
              </w:rPr>
              <w:t>Flowcharts were added in section 5.2.2 and in Ann</w:t>
            </w:r>
            <w:r>
              <w:rPr>
                <w:noProof/>
                <w:sz w:val="24"/>
              </w:rPr>
              <w:t>ex 4, Measure 5 to compare the current procedures and new measures and to illustrate how access to different data categories might function, as well as delivery of the order. All measures set out here grant access to evidence that could in theory also be o</w:t>
            </w:r>
            <w:r>
              <w:rPr>
                <w:noProof/>
                <w:sz w:val="24"/>
              </w:rPr>
              <w:t>btained through other procedures which however are deemed to be not appropriate in view of requirements. The initiative proposes not to differentiate according to data storage location intra or extra-EU.</w:t>
            </w:r>
          </w:p>
        </w:tc>
      </w:tr>
    </w:tbl>
    <w:p w:rsidR="001B65FF" w:rsidRDefault="001B65FF">
      <w:pPr>
        <w:spacing w:before="120" w:after="0"/>
        <w:jc w:val="both"/>
        <w:rPr>
          <w:rFonts w:ascii="Times New Roman" w:eastAsia="Times New Roman" w:hAnsi="Times New Roman" w:cs="Times New Roman"/>
          <w:noProof/>
          <w:sz w:val="24"/>
          <w:szCs w:val="20"/>
        </w:rPr>
      </w:pPr>
    </w:p>
    <w:p w:rsidR="001B65FF" w:rsidRDefault="003E4EF4">
      <w:pPr>
        <w:spacing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impact assessment for this initiative was discussed briefly in a bilateral meeting between Matthias Ruete (Director General at DG HOME) and the RSB on 29 September 2017. A draft intervention logic was shared in advance of the meeting. During the meetin</w:t>
      </w:r>
      <w:r>
        <w:rPr>
          <w:rFonts w:ascii="Times New Roman" w:eastAsia="Times New Roman" w:hAnsi="Times New Roman" w:cs="Times New Roman"/>
          <w:noProof/>
          <w:sz w:val="24"/>
          <w:szCs w:val="20"/>
        </w:rPr>
        <w:t xml:space="preserve">g, the RSB underlined the importance of: </w:t>
      </w:r>
    </w:p>
    <w:p w:rsidR="001B65FF" w:rsidRDefault="003E4EF4">
      <w:pPr>
        <w:pStyle w:val="ListParagraph"/>
        <w:numPr>
          <w:ilvl w:val="0"/>
          <w:numId w:val="42"/>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Providing an overview of what the costs might be that allows the College to understand the trade-offs and implications of choosing a particular option</w:t>
      </w:r>
    </w:p>
    <w:p w:rsidR="001B65FF" w:rsidRDefault="003E4EF4">
      <w:pPr>
        <w:pStyle w:val="ListParagraph"/>
        <w:numPr>
          <w:ilvl w:val="0"/>
          <w:numId w:val="42"/>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Subsidiarity: ensure that there is a real value added in EU int</w:t>
      </w:r>
      <w:r>
        <w:rPr>
          <w:rFonts w:ascii="Times New Roman" w:eastAsia="Times New Roman" w:hAnsi="Times New Roman" w:cs="Times New Roman"/>
          <w:noProof/>
          <w:sz w:val="24"/>
          <w:szCs w:val="20"/>
        </w:rPr>
        <w:t>ervention that does not duplicate existing efforts in the Member States (in particular with regard to practical measures).</w:t>
      </w:r>
    </w:p>
    <w:p w:rsidR="001B65FF" w:rsidRDefault="003E4EF4">
      <w:pPr>
        <w:pStyle w:val="ListParagraph"/>
        <w:numPr>
          <w:ilvl w:val="0"/>
          <w:numId w:val="42"/>
        </w:numPr>
        <w:spacing w:before="120"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Proportionality: ensure that EU intervention is limited to the objectives set and that these are in coherence with the legal basis.</w:t>
      </w:r>
    </w:p>
    <w:p w:rsidR="001B65FF" w:rsidRDefault="001B65FF">
      <w:pPr>
        <w:spacing w:after="0"/>
        <w:ind w:left="360"/>
        <w:jc w:val="both"/>
        <w:rPr>
          <w:rFonts w:ascii="Times New Roman" w:hAnsi="Times New Roman" w:cs="Times New Roman"/>
          <w:noProof/>
        </w:rPr>
      </w:pPr>
    </w:p>
    <w:p w:rsidR="001B65FF" w:rsidRDefault="003E4EF4">
      <w:pPr>
        <w:pStyle w:val="Heading2"/>
        <w:numPr>
          <w:ilvl w:val="1"/>
          <w:numId w:val="4"/>
        </w:numPr>
        <w:tabs>
          <w:tab w:val="clear" w:pos="1200"/>
          <w:tab w:val="num" w:pos="851"/>
        </w:tabs>
        <w:ind w:left="567" w:hanging="567"/>
        <w:rPr>
          <w:rFonts w:ascii="Times New Roman" w:hAnsi="Times New Roman" w:cs="Times New Roman"/>
          <w:noProof/>
        </w:rPr>
      </w:pPr>
      <w:bookmarkStart w:id="1819" w:name="_Toc471997758"/>
      <w:bookmarkStart w:id="1820" w:name="_Toc481484488"/>
      <w:bookmarkStart w:id="1821" w:name="_Toc497927304"/>
      <w:bookmarkStart w:id="1822" w:name="_Toc497927920"/>
      <w:bookmarkStart w:id="1823" w:name="_Toc497928186"/>
      <w:bookmarkStart w:id="1824" w:name="_Toc498509775"/>
      <w:bookmarkStart w:id="1825" w:name="_Toc498521323"/>
      <w:bookmarkStart w:id="1826" w:name="_Toc498701990"/>
      <w:bookmarkStart w:id="1827" w:name="_Toc498704722"/>
      <w:bookmarkStart w:id="1828" w:name="_Toc499020477"/>
      <w:bookmarkStart w:id="1829" w:name="_Toc499030411"/>
      <w:bookmarkStart w:id="1830" w:name="_Toc499044953"/>
      <w:bookmarkStart w:id="1831" w:name="_Toc499051369"/>
      <w:bookmarkStart w:id="1832" w:name="_Toc499130046"/>
      <w:bookmarkStart w:id="1833" w:name="_Toc499133325"/>
      <w:bookmarkStart w:id="1834" w:name="_Toc499142895"/>
      <w:bookmarkStart w:id="1835" w:name="_Toc499143340"/>
      <w:bookmarkStart w:id="1836" w:name="_Toc510952891"/>
      <w:r>
        <w:rPr>
          <w:rFonts w:ascii="Times New Roman" w:hAnsi="Times New Roman" w:cs="Times New Roman"/>
          <w:noProof/>
        </w:rPr>
        <w:t>Evidence, sources and quality</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As mentioned above, the expert consultation process that ran from July 2016 to October 2017 was one of the main </w:t>
      </w:r>
      <w:r>
        <w:rPr>
          <w:rFonts w:ascii="Times New Roman" w:eastAsia="Times New Roman" w:hAnsi="Times New Roman" w:cs="Times New Roman"/>
          <w:b/>
          <w:noProof/>
          <w:sz w:val="24"/>
          <w:szCs w:val="20"/>
        </w:rPr>
        <w:t>sources of evidence</w:t>
      </w:r>
      <w:r>
        <w:rPr>
          <w:rFonts w:ascii="Times New Roman" w:eastAsia="Times New Roman" w:hAnsi="Times New Roman" w:cs="Times New Roman"/>
          <w:noProof/>
          <w:sz w:val="24"/>
          <w:szCs w:val="20"/>
        </w:rPr>
        <w:t xml:space="preserve"> used in the impact assessment.  </w:t>
      </w:r>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Other sources of evidence included:</w:t>
      </w:r>
    </w:p>
    <w:p w:rsidR="001B65FF" w:rsidRDefault="003E4EF4">
      <w:pPr>
        <w:pStyle w:val="ListParagraph"/>
        <w:numPr>
          <w:ilvl w:val="0"/>
          <w:numId w:val="127"/>
        </w:numPr>
        <w:spacing w:before="120" w:after="120"/>
        <w:jc w:val="both"/>
        <w:rPr>
          <w:rFonts w:ascii="Times New Roman" w:eastAsia="Times New Roman" w:hAnsi="Times New Roman"/>
          <w:noProof/>
          <w:sz w:val="24"/>
        </w:rPr>
      </w:pPr>
      <w:r>
        <w:rPr>
          <w:rFonts w:ascii="Times New Roman" w:eastAsia="Times New Roman" w:hAnsi="Times New Roman"/>
          <w:noProof/>
          <w:sz w:val="24"/>
        </w:rPr>
        <w:t xml:space="preserve">the other consultation </w:t>
      </w:r>
      <w:r>
        <w:rPr>
          <w:rFonts w:ascii="Times New Roman" w:eastAsia="Times New Roman" w:hAnsi="Times New Roman"/>
          <w:noProof/>
          <w:sz w:val="24"/>
        </w:rPr>
        <w:t>activities (surveys, other meetings and conferences) described in detail in Annex 2. Whereas the various surveys were an important source of data, given the limited number of responses in some of them and to ensure their validity and representativeness, th</w:t>
      </w:r>
      <w:r>
        <w:rPr>
          <w:rFonts w:ascii="Times New Roman" w:eastAsia="Times New Roman" w:hAnsi="Times New Roman"/>
          <w:noProof/>
          <w:sz w:val="24"/>
        </w:rPr>
        <w:t>e surveys were complemented with other sources of information, such as meetings (e.g. expert meetings, bilateral meetings) and conferences.</w:t>
      </w:r>
    </w:p>
    <w:p w:rsidR="001B65FF" w:rsidRDefault="003E4EF4">
      <w:pPr>
        <w:pStyle w:val="ListParagraph"/>
        <w:numPr>
          <w:ilvl w:val="0"/>
          <w:numId w:val="127"/>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transparency reports of major service providers, used to complement the analysis of the size of the problem (see</w:t>
      </w:r>
      <w:r>
        <w:rPr>
          <w:rFonts w:ascii="Times New Roman" w:eastAsia="Times New Roman" w:hAnsi="Times New Roman" w:cs="Times New Roman"/>
          <w:noProof/>
          <w:sz w:val="24"/>
          <w:szCs w:val="20"/>
        </w:rPr>
        <w:t xml:space="preserve"> Annex 11);</w:t>
      </w:r>
    </w:p>
    <w:p w:rsidR="001B65FF" w:rsidRDefault="003E4EF4">
      <w:pPr>
        <w:pStyle w:val="ListParagraph"/>
        <w:numPr>
          <w:ilvl w:val="0"/>
          <w:numId w:val="127"/>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 large number of studies have been conducted on the problem of access to evidence across borders, including the recently concluded and EU-funded EVIDENCE project</w:t>
      </w:r>
      <w:r>
        <w:rPr>
          <w:rStyle w:val="FootnoteReference"/>
          <w:rFonts w:ascii="Times New Roman" w:eastAsia="Times New Roman" w:hAnsi="Times New Roman" w:cs="Times New Roman"/>
          <w:noProof/>
          <w:sz w:val="24"/>
          <w:szCs w:val="20"/>
        </w:rPr>
        <w:footnoteReference w:id="129"/>
      </w:r>
      <w:r>
        <w:rPr>
          <w:rFonts w:ascii="Times New Roman" w:eastAsia="Times New Roman" w:hAnsi="Times New Roman" w:cs="Times New Roman"/>
          <w:noProof/>
          <w:sz w:val="24"/>
          <w:szCs w:val="20"/>
        </w:rPr>
        <w:t>.</w:t>
      </w:r>
    </w:p>
    <w:p w:rsidR="001B65FF" w:rsidRDefault="003E4EF4">
      <w:pPr>
        <w:pStyle w:val="ListParagraph"/>
        <w:numPr>
          <w:ilvl w:val="0"/>
          <w:numId w:val="127"/>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 number of other actors have also made finding solutions to these and related </w:t>
      </w:r>
      <w:r>
        <w:rPr>
          <w:rFonts w:ascii="Times New Roman" w:eastAsia="Times New Roman" w:hAnsi="Times New Roman" w:cs="Times New Roman"/>
          <w:noProof/>
          <w:sz w:val="24"/>
          <w:szCs w:val="20"/>
        </w:rPr>
        <w:t>problems a key priority and are actively working on them in parallel processes. This enabled the Commission services to build on input and previous reflections from a variety of sources, including the Council of Europe (Cloud Evidence Group), Interpol, bil</w:t>
      </w:r>
      <w:r>
        <w:rPr>
          <w:rFonts w:ascii="Times New Roman" w:eastAsia="Times New Roman" w:hAnsi="Times New Roman" w:cs="Times New Roman"/>
          <w:noProof/>
          <w:sz w:val="24"/>
          <w:szCs w:val="20"/>
        </w:rPr>
        <w:t>ateral and unilateral efforts at Member States' and non-EU countries' level, academic research and many conferences. The Commission services have sought to ensure close coordination of their work with efforts under way elsewhere and have also benefited fro</w:t>
      </w:r>
      <w:r>
        <w:rPr>
          <w:rFonts w:ascii="Times New Roman" w:eastAsia="Times New Roman" w:hAnsi="Times New Roman" w:cs="Times New Roman"/>
          <w:noProof/>
          <w:sz w:val="24"/>
          <w:szCs w:val="20"/>
        </w:rPr>
        <w:t>m the expertise of Europol and Eurojust.</w:t>
      </w:r>
    </w:p>
    <w:p w:rsidR="001B65FF" w:rsidRDefault="003E4EF4">
      <w:pPr>
        <w:pStyle w:val="ListParagraph"/>
        <w:numPr>
          <w:ilvl w:val="0"/>
          <w:numId w:val="127"/>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impact assessment also drew on results of previous work in the EU, notably on the March 2016 Amsterdam conference on Crossing Borders: Jurisdiction in Cyberspace organised by the Netherlands Presidency of the Co</w:t>
      </w:r>
      <w:r>
        <w:rPr>
          <w:rFonts w:ascii="Times New Roman" w:eastAsia="Times New Roman" w:hAnsi="Times New Roman" w:cs="Times New Roman"/>
          <w:noProof/>
          <w:sz w:val="24"/>
          <w:szCs w:val="20"/>
        </w:rPr>
        <w:t>uncil of the EU, and on the first results of the Council of the European Union Working Party on General Matters including Evaluation (GENVAL) 7th Round of Mutual Evaluations on Cybercrime.</w:t>
      </w:r>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above evidence supports the quantitative and the qualitative as</w:t>
      </w:r>
      <w:r>
        <w:rPr>
          <w:rFonts w:ascii="Times New Roman" w:eastAsia="Times New Roman" w:hAnsi="Times New Roman" w:cs="Times New Roman"/>
          <w:noProof/>
          <w:sz w:val="24"/>
          <w:szCs w:val="20"/>
        </w:rPr>
        <w:t>sessment of impacts in the report. In particular, the stakeholder consultation focused on establishing the precise nature of the existing challenges before turning to possible ways to address these challenges. The possible options were checked and re-check</w:t>
      </w:r>
      <w:r>
        <w:rPr>
          <w:rFonts w:ascii="Times New Roman" w:eastAsia="Times New Roman" w:hAnsi="Times New Roman" w:cs="Times New Roman"/>
          <w:noProof/>
          <w:sz w:val="24"/>
          <w:szCs w:val="20"/>
        </w:rPr>
        <w:t xml:space="preserve">ed with stakeholders at each step of the process (for example, a first problem definition was </w:t>
      </w:r>
      <w:hyperlink r:id="rId64" w:history="1">
        <w:r>
          <w:rPr>
            <w:rStyle w:val="Hyperlink"/>
            <w:rFonts w:ascii="Times New Roman" w:eastAsia="Times New Roman" w:hAnsi="Times New Roman" w:cs="Times New Roman"/>
            <w:noProof/>
            <w:sz w:val="24"/>
            <w:szCs w:val="20"/>
          </w:rPr>
          <w:t>published</w:t>
        </w:r>
      </w:hyperlink>
      <w:r>
        <w:rPr>
          <w:rFonts w:ascii="Times New Roman" w:eastAsia="Times New Roman" w:hAnsi="Times New Roman" w:cs="Times New Roman"/>
          <w:noProof/>
          <w:sz w:val="24"/>
          <w:szCs w:val="20"/>
        </w:rPr>
        <w:t xml:space="preserve"> in December 2016 and refined b</w:t>
      </w:r>
      <w:r>
        <w:rPr>
          <w:rFonts w:ascii="Times New Roman" w:eastAsia="Times New Roman" w:hAnsi="Times New Roman" w:cs="Times New Roman"/>
          <w:noProof/>
          <w:sz w:val="24"/>
          <w:szCs w:val="20"/>
        </w:rPr>
        <w:t>ased on input from all stakeholders). Throughout the consultation, close coordination was sought with other actors currently working on the same or similar issues from different perspectives, such as the Council of Europe Budapest Convention Secretariat, t</w:t>
      </w:r>
      <w:r>
        <w:rPr>
          <w:rFonts w:ascii="Times New Roman" w:eastAsia="Times New Roman" w:hAnsi="Times New Roman" w:cs="Times New Roman"/>
          <w:noProof/>
          <w:sz w:val="24"/>
          <w:szCs w:val="20"/>
        </w:rPr>
        <w:t>he U.S. Department of Justice, the Internet &amp; Jurisdiction project and a number of academics, to ensure coherence and compatibility of solutions put forward.</w:t>
      </w:r>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impact assessment made an effort to properly reference all the sources, review their </w:t>
      </w:r>
      <w:r>
        <w:rPr>
          <w:rFonts w:ascii="Times New Roman" w:eastAsia="Times New Roman" w:hAnsi="Times New Roman" w:cs="Times New Roman"/>
          <w:b/>
          <w:noProof/>
          <w:sz w:val="24"/>
          <w:szCs w:val="20"/>
        </w:rPr>
        <w:t>quality</w:t>
      </w:r>
      <w:r>
        <w:rPr>
          <w:rFonts w:ascii="Times New Roman" w:eastAsia="Times New Roman" w:hAnsi="Times New Roman" w:cs="Times New Roman"/>
          <w:noProof/>
          <w:sz w:val="24"/>
          <w:szCs w:val="20"/>
        </w:rPr>
        <w:t xml:space="preserve"> a</w:t>
      </w:r>
      <w:r>
        <w:rPr>
          <w:rFonts w:ascii="Times New Roman" w:eastAsia="Times New Roman" w:hAnsi="Times New Roman" w:cs="Times New Roman"/>
          <w:noProof/>
          <w:sz w:val="24"/>
          <w:szCs w:val="20"/>
        </w:rPr>
        <w:t xml:space="preserve">nd include hyperlinks whenever possible. </w:t>
      </w:r>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calculations of costs and benefits were limited by the lack of data. The Commission made significant efforts to collect data, or at least estimates, from public authorities and service providers through targete</w:t>
      </w:r>
      <w:r>
        <w:rPr>
          <w:rFonts w:ascii="Times New Roman" w:eastAsia="Times New Roman" w:hAnsi="Times New Roman" w:cs="Times New Roman"/>
          <w:noProof/>
          <w:sz w:val="24"/>
          <w:szCs w:val="20"/>
        </w:rPr>
        <w:t>d surveys. Where this information was not available, assumptions were made in the model to calculate costs, which were validated with external experts from Member States and service providers.</w:t>
      </w:r>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External expertise</w:t>
      </w:r>
      <w:r>
        <w:rPr>
          <w:rFonts w:ascii="Times New Roman" w:eastAsia="Times New Roman" w:hAnsi="Times New Roman" w:cs="Times New Roman"/>
          <w:noProof/>
          <w:sz w:val="24"/>
          <w:szCs w:val="20"/>
        </w:rPr>
        <w:t xml:space="preserve"> was gathered through the stakeholder consult</w:t>
      </w:r>
      <w:r>
        <w:rPr>
          <w:rFonts w:ascii="Times New Roman" w:eastAsia="Times New Roman" w:hAnsi="Times New Roman" w:cs="Times New Roman"/>
          <w:noProof/>
          <w:sz w:val="24"/>
          <w:szCs w:val="20"/>
        </w:rPr>
        <w:t xml:space="preserve">ation as explained in detail in Annex 2. Also, a contractor was engaged to help gather data on costs and benefits from public authorities in Member States and service providers, which was used in the model to estimate the costs of the various options (see </w:t>
      </w:r>
      <w:r>
        <w:rPr>
          <w:rFonts w:ascii="Times New Roman" w:eastAsia="Times New Roman" w:hAnsi="Times New Roman" w:cs="Times New Roman"/>
          <w:noProof/>
          <w:sz w:val="24"/>
          <w:szCs w:val="20"/>
        </w:rPr>
        <w:t>annexes 3 and 4).</w:t>
      </w:r>
    </w:p>
    <w:p w:rsidR="001B65FF" w:rsidRDefault="001B65FF">
      <w:pPr>
        <w:rPr>
          <w:rFonts w:ascii="Times New Roman" w:hAnsi="Times New Roman" w:cs="Times New Roman"/>
          <w:noProof/>
        </w:rPr>
      </w:pPr>
    </w:p>
    <w:p w:rsidR="001B65FF" w:rsidRDefault="001B65FF">
      <w:pPr>
        <w:pStyle w:val="Text1"/>
        <w:rPr>
          <w:noProof/>
        </w:rPr>
      </w:pPr>
    </w:p>
    <w:p w:rsidR="001B65FF" w:rsidRDefault="003E4EF4">
      <w:pPr>
        <w:rPr>
          <w:rFonts w:ascii="Times New Roman" w:eastAsia="Times New Roman" w:hAnsi="Times New Roman" w:cs="Times New Roman"/>
          <w:noProof/>
          <w:sz w:val="24"/>
          <w:szCs w:val="20"/>
        </w:rPr>
      </w:pPr>
      <w:r>
        <w:rPr>
          <w:rFonts w:ascii="Times New Roman" w:hAnsi="Times New Roman" w:cs="Times New Roman"/>
          <w:noProof/>
        </w:rPr>
        <w:br w:type="page"/>
      </w: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1837" w:name="_Toc481484489"/>
      <w:bookmarkStart w:id="1838" w:name="_Toc497927305"/>
      <w:bookmarkStart w:id="1839" w:name="_Toc497927921"/>
      <w:bookmarkStart w:id="1840" w:name="_Toc497928187"/>
      <w:bookmarkStart w:id="1841" w:name="_Toc498509776"/>
      <w:bookmarkStart w:id="1842" w:name="_Toc498521324"/>
      <w:bookmarkStart w:id="1843" w:name="_Toc498701991"/>
      <w:bookmarkStart w:id="1844" w:name="_Toc498704723"/>
      <w:bookmarkStart w:id="1845" w:name="_Toc499020478"/>
      <w:bookmarkStart w:id="1846" w:name="_Toc499030412"/>
      <w:bookmarkStart w:id="1847" w:name="_Toc499044954"/>
      <w:bookmarkStart w:id="1848" w:name="_Toc499051370"/>
      <w:bookmarkStart w:id="1849" w:name="_Toc499133326"/>
      <w:bookmarkStart w:id="1850" w:name="_Toc499142896"/>
      <w:bookmarkStart w:id="1851" w:name="_Toc510952892"/>
      <w:r>
        <w:rPr>
          <w:rFonts w:ascii="Times New Roman" w:eastAsia="Times New Roman" w:hAnsi="Times New Roman" w:cs="Times New Roman"/>
          <w:b/>
          <w:smallCaps/>
          <w:noProof/>
          <w:sz w:val="24"/>
          <w:szCs w:val="20"/>
        </w:rPr>
        <w:t>Annex 2: Stakeholder consultation</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r>
        <w:rPr>
          <w:rFonts w:ascii="Times New Roman" w:eastAsia="Times New Roman" w:hAnsi="Times New Roman" w:cs="Times New Roman"/>
          <w:b/>
          <w:smallCaps/>
          <w:noProof/>
          <w:sz w:val="24"/>
          <w:szCs w:val="20"/>
        </w:rPr>
        <w:t xml:space="preserve"> </w:t>
      </w:r>
    </w:p>
    <w:p w:rsidR="001B65FF" w:rsidRDefault="003E4EF4">
      <w:pPr>
        <w:jc w:val="both"/>
        <w:rPr>
          <w:rFonts w:ascii="Times New Roman" w:hAnsi="Times New Roman" w:cs="Times New Roman"/>
          <w:bCs/>
          <w:noProof/>
          <w:sz w:val="24"/>
        </w:rPr>
      </w:pPr>
      <w:bookmarkStart w:id="1852" w:name="_Toc481484490"/>
      <w:bookmarkStart w:id="1853" w:name="_Toc497927306"/>
      <w:bookmarkStart w:id="1854" w:name="_Toc497927922"/>
      <w:bookmarkStart w:id="1855" w:name="_Toc497928188"/>
      <w:r>
        <w:rPr>
          <w:rFonts w:ascii="Times New Roman" w:hAnsi="Times New Roman" w:cs="Times New Roman"/>
          <w:bCs/>
          <w:noProof/>
          <w:sz w:val="24"/>
        </w:rPr>
        <w:t xml:space="preserve">This annex is the synopsis report of all stakeholder consultation activities undertaken in the context of this impact assessment. It has 3 sections: </w:t>
      </w:r>
    </w:p>
    <w:p w:rsidR="001B65FF" w:rsidRDefault="003E4EF4">
      <w:pPr>
        <w:numPr>
          <w:ilvl w:val="0"/>
          <w:numId w:val="113"/>
        </w:numPr>
        <w:contextualSpacing/>
        <w:jc w:val="both"/>
        <w:rPr>
          <w:rFonts w:ascii="Times New Roman" w:hAnsi="Times New Roman" w:cs="Times New Roman"/>
          <w:bCs/>
          <w:noProof/>
          <w:sz w:val="24"/>
        </w:rPr>
      </w:pPr>
      <w:r>
        <w:rPr>
          <w:rFonts w:ascii="Times New Roman" w:hAnsi="Times New Roman" w:cs="Times New Roman"/>
          <w:bCs/>
          <w:noProof/>
          <w:sz w:val="24"/>
        </w:rPr>
        <w:t>Consultation strategy.</w:t>
      </w:r>
    </w:p>
    <w:p w:rsidR="001B65FF" w:rsidRDefault="003E4EF4">
      <w:pPr>
        <w:numPr>
          <w:ilvl w:val="0"/>
          <w:numId w:val="113"/>
        </w:numPr>
        <w:contextualSpacing/>
        <w:jc w:val="both"/>
        <w:rPr>
          <w:rFonts w:ascii="Times New Roman" w:hAnsi="Times New Roman" w:cs="Times New Roman"/>
          <w:bCs/>
          <w:noProof/>
          <w:sz w:val="24"/>
        </w:rPr>
      </w:pPr>
      <w:r>
        <w:rPr>
          <w:rFonts w:ascii="Times New Roman" w:hAnsi="Times New Roman" w:cs="Times New Roman"/>
          <w:bCs/>
          <w:noProof/>
          <w:sz w:val="24"/>
        </w:rPr>
        <w:t xml:space="preserve">Results of the </w:t>
      </w:r>
      <w:r>
        <w:rPr>
          <w:rFonts w:ascii="Times New Roman" w:hAnsi="Times New Roman" w:cs="Times New Roman"/>
          <w:bCs/>
          <w:noProof/>
          <w:sz w:val="24"/>
        </w:rPr>
        <w:t>consultation.</w:t>
      </w:r>
    </w:p>
    <w:p w:rsidR="001B65FF" w:rsidRDefault="003E4EF4">
      <w:pPr>
        <w:numPr>
          <w:ilvl w:val="0"/>
          <w:numId w:val="113"/>
        </w:numPr>
        <w:contextualSpacing/>
        <w:jc w:val="both"/>
        <w:rPr>
          <w:rFonts w:ascii="Times New Roman" w:hAnsi="Times New Roman" w:cs="Times New Roman"/>
          <w:bCs/>
          <w:noProof/>
          <w:sz w:val="24"/>
        </w:rPr>
      </w:pPr>
      <w:r>
        <w:rPr>
          <w:rFonts w:ascii="Times New Roman" w:hAnsi="Times New Roman" w:cs="Times New Roman"/>
          <w:bCs/>
          <w:noProof/>
          <w:sz w:val="24"/>
        </w:rPr>
        <w:t>How the results have been taken into account.</w:t>
      </w:r>
    </w:p>
    <w:p w:rsidR="001B65FF" w:rsidRDefault="001B65FF">
      <w:pPr>
        <w:ind w:left="720"/>
        <w:contextualSpacing/>
        <w:jc w:val="both"/>
        <w:rPr>
          <w:rFonts w:ascii="Times New Roman" w:hAnsi="Times New Roman" w:cs="Times New Roman"/>
          <w:bCs/>
          <w:noProof/>
          <w:sz w:val="24"/>
        </w:rPr>
      </w:pPr>
    </w:p>
    <w:p w:rsidR="001B65FF" w:rsidRDefault="003E4EF4">
      <w:pPr>
        <w:numPr>
          <w:ilvl w:val="0"/>
          <w:numId w:val="114"/>
        </w:numPr>
        <w:contextualSpacing/>
        <w:jc w:val="both"/>
        <w:rPr>
          <w:rFonts w:ascii="Times New Roman" w:hAnsi="Times New Roman" w:cs="Times New Roman"/>
          <w:b/>
          <w:bCs/>
          <w:noProof/>
          <w:sz w:val="24"/>
        </w:rPr>
      </w:pPr>
      <w:r>
        <w:rPr>
          <w:rFonts w:ascii="Times New Roman" w:hAnsi="Times New Roman" w:cs="Times New Roman"/>
          <w:b/>
          <w:bCs/>
          <w:noProof/>
          <w:sz w:val="24"/>
        </w:rPr>
        <w:t>Consultation strategy</w:t>
      </w:r>
    </w:p>
    <w:p w:rsidR="001B65FF" w:rsidRDefault="003E4EF4">
      <w:pPr>
        <w:autoSpaceDE w:val="0"/>
        <w:autoSpaceDN w:val="0"/>
        <w:adjustRightInd w:val="0"/>
        <w:spacing w:after="0" w:line="240" w:lineRule="auto"/>
        <w:jc w:val="both"/>
        <w:rPr>
          <w:rFonts w:ascii="Times New Roman" w:hAnsi="Times New Roman" w:cs="Times New Roman"/>
          <w:b/>
          <w:bCs/>
          <w:noProof/>
          <w:color w:val="000000"/>
          <w:sz w:val="24"/>
          <w:szCs w:val="24"/>
        </w:rPr>
      </w:pPr>
      <w:r>
        <w:rPr>
          <w:rFonts w:ascii="Times New Roman" w:hAnsi="Times New Roman" w:cs="Times New Roman"/>
          <w:bCs/>
          <w:noProof/>
          <w:color w:val="000000"/>
          <w:sz w:val="24"/>
          <w:szCs w:val="24"/>
        </w:rPr>
        <w:t xml:space="preserve">The consultation had four main </w:t>
      </w:r>
      <w:r>
        <w:rPr>
          <w:rFonts w:ascii="Times New Roman" w:hAnsi="Times New Roman" w:cs="Times New Roman"/>
          <w:b/>
          <w:bCs/>
          <w:noProof/>
          <w:color w:val="000000"/>
          <w:sz w:val="24"/>
          <w:szCs w:val="24"/>
        </w:rPr>
        <w:t>objectives:</w:t>
      </w:r>
    </w:p>
    <w:p w:rsidR="001B65FF" w:rsidRDefault="003E4EF4">
      <w:pPr>
        <w:numPr>
          <w:ilvl w:val="0"/>
          <w:numId w:val="115"/>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to identify current best practice, as well as challenges and gaps, and the relevant needs of all stakeholders;</w:t>
      </w:r>
    </w:p>
    <w:p w:rsidR="001B65FF" w:rsidRDefault="003E4EF4">
      <w:pPr>
        <w:numPr>
          <w:ilvl w:val="0"/>
          <w:numId w:val="115"/>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to identify ways </w:t>
      </w:r>
      <w:r>
        <w:rPr>
          <w:rFonts w:ascii="Times New Roman" w:hAnsi="Times New Roman" w:cs="Times New Roman"/>
          <w:noProof/>
          <w:color w:val="000000"/>
          <w:sz w:val="24"/>
          <w:szCs w:val="24"/>
        </w:rPr>
        <w:t>forward with the help of stakeholders that would best address those needs;</w:t>
      </w:r>
    </w:p>
    <w:p w:rsidR="001B65FF" w:rsidRDefault="003E4EF4">
      <w:pPr>
        <w:numPr>
          <w:ilvl w:val="0"/>
          <w:numId w:val="115"/>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bCs/>
          <w:noProof/>
          <w:color w:val="000000"/>
          <w:sz w:val="24"/>
          <w:szCs w:val="24"/>
        </w:rPr>
        <w:t>t</w:t>
      </w:r>
      <w:r>
        <w:rPr>
          <w:rFonts w:ascii="Times New Roman" w:hAnsi="Times New Roman" w:cs="Times New Roman"/>
          <w:noProof/>
          <w:color w:val="000000"/>
          <w:sz w:val="24"/>
          <w:szCs w:val="24"/>
        </w:rPr>
        <w:t>o ensure that stakeholders (including citizens and those who would be directly affected by this initiative), can provide their views and input on the possible options for the way f</w:t>
      </w:r>
      <w:r>
        <w:rPr>
          <w:rFonts w:ascii="Times New Roman" w:hAnsi="Times New Roman" w:cs="Times New Roman"/>
          <w:noProof/>
          <w:color w:val="000000"/>
          <w:sz w:val="24"/>
          <w:szCs w:val="24"/>
        </w:rPr>
        <w:t>orward; and</w:t>
      </w:r>
    </w:p>
    <w:p w:rsidR="001B65FF" w:rsidRDefault="003E4EF4">
      <w:pPr>
        <w:numPr>
          <w:ilvl w:val="0"/>
          <w:numId w:val="115"/>
        </w:num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to improve the overall evidence base underpinning the initiative. </w:t>
      </w:r>
    </w:p>
    <w:p w:rsidR="001B65FF" w:rsidRDefault="003E4EF4">
      <w:pPr>
        <w:spacing w:before="240" w:after="0"/>
        <w:jc w:val="both"/>
        <w:rPr>
          <w:rFonts w:ascii="Times New Roman" w:hAnsi="Times New Roman" w:cs="Times New Roman"/>
          <w:bCs/>
          <w:noProof/>
          <w:sz w:val="24"/>
        </w:rPr>
      </w:pPr>
      <w:r>
        <w:rPr>
          <w:rFonts w:ascii="Times New Roman" w:hAnsi="Times New Roman" w:cs="Times New Roman"/>
          <w:bCs/>
          <w:noProof/>
          <w:sz w:val="24"/>
        </w:rPr>
        <w:t xml:space="preserve">The consultation was structured as follows: </w:t>
      </w:r>
    </w:p>
    <w:p w:rsidR="001B65FF" w:rsidRDefault="003E4EF4">
      <w:pPr>
        <w:numPr>
          <w:ilvl w:val="0"/>
          <w:numId w:val="116"/>
        </w:numPr>
        <w:contextualSpacing/>
        <w:jc w:val="both"/>
        <w:rPr>
          <w:rFonts w:ascii="Times New Roman" w:hAnsi="Times New Roman" w:cs="Times New Roman"/>
          <w:bCs/>
          <w:noProof/>
          <w:sz w:val="24"/>
        </w:rPr>
      </w:pPr>
      <w:r>
        <w:rPr>
          <w:rFonts w:ascii="Times New Roman" w:hAnsi="Times New Roman" w:cs="Times New Roman"/>
          <w:b/>
          <w:bCs/>
          <w:noProof/>
          <w:sz w:val="24"/>
        </w:rPr>
        <w:t>Who</w:t>
      </w:r>
      <w:r>
        <w:rPr>
          <w:rFonts w:ascii="Times New Roman" w:hAnsi="Times New Roman" w:cs="Times New Roman"/>
          <w:bCs/>
          <w:noProof/>
          <w:sz w:val="24"/>
        </w:rPr>
        <w:t xml:space="preserve"> – </w:t>
      </w:r>
      <w:r>
        <w:rPr>
          <w:rFonts w:ascii="Times New Roman" w:hAnsi="Times New Roman" w:cs="Times New Roman"/>
          <w:b/>
          <w:bCs/>
          <w:noProof/>
          <w:sz w:val="24"/>
        </w:rPr>
        <w:t>stakeholders</w:t>
      </w:r>
      <w:r>
        <w:rPr>
          <w:rFonts w:ascii="Times New Roman" w:hAnsi="Times New Roman" w:cs="Times New Roman"/>
          <w:bCs/>
          <w:noProof/>
          <w:sz w:val="24"/>
        </w:rPr>
        <w:t xml:space="preserve"> consulted:</w:t>
      </w:r>
    </w:p>
    <w:p w:rsidR="001B65FF" w:rsidRDefault="003E4EF4">
      <w:pPr>
        <w:numPr>
          <w:ilvl w:val="1"/>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citizens;</w:t>
      </w:r>
    </w:p>
    <w:p w:rsidR="001B65FF" w:rsidRDefault="003E4EF4">
      <w:pPr>
        <w:numPr>
          <w:ilvl w:val="1"/>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service providers:</w:t>
      </w:r>
    </w:p>
    <w:p w:rsidR="001B65FF" w:rsidRDefault="003E4EF4">
      <w:pPr>
        <w:numPr>
          <w:ilvl w:val="2"/>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individual companies;</w:t>
      </w:r>
    </w:p>
    <w:p w:rsidR="001B65FF" w:rsidRDefault="003E4EF4">
      <w:pPr>
        <w:numPr>
          <w:ilvl w:val="2"/>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professional and business associations;</w:t>
      </w:r>
    </w:p>
    <w:p w:rsidR="001B65FF" w:rsidRDefault="003E4EF4">
      <w:pPr>
        <w:numPr>
          <w:ilvl w:val="1"/>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 xml:space="preserve">public </w:t>
      </w:r>
      <w:r>
        <w:rPr>
          <w:rFonts w:ascii="Times New Roman" w:hAnsi="Times New Roman" w:cs="Times New Roman"/>
          <w:bCs/>
          <w:noProof/>
          <w:sz w:val="24"/>
        </w:rPr>
        <w:t>authorities from Member States and relevant non-EU countries:</w:t>
      </w:r>
    </w:p>
    <w:p w:rsidR="001B65FF" w:rsidRDefault="003E4EF4">
      <w:pPr>
        <w:numPr>
          <w:ilvl w:val="2"/>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Ministry of Justice officials;</w:t>
      </w:r>
    </w:p>
    <w:p w:rsidR="001B65FF" w:rsidRDefault="003E4EF4">
      <w:pPr>
        <w:numPr>
          <w:ilvl w:val="2"/>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Ministry of Interior officials;</w:t>
      </w:r>
    </w:p>
    <w:p w:rsidR="001B65FF" w:rsidRDefault="003E4EF4">
      <w:pPr>
        <w:numPr>
          <w:ilvl w:val="2"/>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law enforcement representatives;</w:t>
      </w:r>
    </w:p>
    <w:p w:rsidR="001B65FF" w:rsidRDefault="003E4EF4">
      <w:pPr>
        <w:numPr>
          <w:ilvl w:val="1"/>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legal practitioners (lawyers, prosecutors, judges);</w:t>
      </w:r>
    </w:p>
    <w:p w:rsidR="001B65FF" w:rsidRDefault="003E4EF4">
      <w:pPr>
        <w:numPr>
          <w:ilvl w:val="1"/>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 xml:space="preserve">non-governmental organisations (NGOs); </w:t>
      </w:r>
    </w:p>
    <w:p w:rsidR="001B65FF" w:rsidRDefault="003E4EF4">
      <w:pPr>
        <w:numPr>
          <w:ilvl w:val="1"/>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inter-</w:t>
      </w:r>
      <w:r>
        <w:rPr>
          <w:rFonts w:ascii="Times New Roman" w:hAnsi="Times New Roman" w:cs="Times New Roman"/>
          <w:bCs/>
          <w:noProof/>
          <w:sz w:val="24"/>
        </w:rPr>
        <w:t>governmental organisations (IGOs);</w:t>
      </w:r>
    </w:p>
    <w:p w:rsidR="001B65FF" w:rsidRDefault="003E4EF4">
      <w:pPr>
        <w:numPr>
          <w:ilvl w:val="1"/>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EU institutions and agencies; and</w:t>
      </w:r>
    </w:p>
    <w:p w:rsidR="001B65FF" w:rsidRDefault="003E4EF4">
      <w:pPr>
        <w:numPr>
          <w:ilvl w:val="1"/>
          <w:numId w:val="120"/>
        </w:numPr>
        <w:spacing w:before="240"/>
        <w:contextualSpacing/>
        <w:jc w:val="both"/>
        <w:rPr>
          <w:rFonts w:ascii="Times New Roman" w:hAnsi="Times New Roman" w:cs="Times New Roman"/>
          <w:bCs/>
          <w:noProof/>
          <w:sz w:val="24"/>
        </w:rPr>
      </w:pPr>
      <w:r>
        <w:rPr>
          <w:rFonts w:ascii="Times New Roman" w:hAnsi="Times New Roman" w:cs="Times New Roman"/>
          <w:bCs/>
          <w:noProof/>
          <w:sz w:val="24"/>
        </w:rPr>
        <w:t>academia.</w:t>
      </w:r>
    </w:p>
    <w:p w:rsidR="001B65FF" w:rsidRDefault="001B65FF">
      <w:pPr>
        <w:spacing w:before="240"/>
        <w:ind w:left="1440"/>
        <w:contextualSpacing/>
        <w:jc w:val="both"/>
        <w:rPr>
          <w:rFonts w:ascii="Times New Roman" w:hAnsi="Times New Roman" w:cs="Times New Roman"/>
          <w:bCs/>
          <w:noProof/>
          <w:sz w:val="24"/>
        </w:rPr>
      </w:pPr>
    </w:p>
    <w:p w:rsidR="001B65FF" w:rsidRDefault="003E4EF4">
      <w:pPr>
        <w:numPr>
          <w:ilvl w:val="0"/>
          <w:numId w:val="116"/>
        </w:numPr>
        <w:spacing w:before="240"/>
        <w:contextualSpacing/>
        <w:jc w:val="both"/>
        <w:rPr>
          <w:rFonts w:ascii="Times New Roman" w:hAnsi="Times New Roman" w:cs="Times New Roman"/>
          <w:b/>
          <w:bCs/>
          <w:noProof/>
          <w:sz w:val="24"/>
        </w:rPr>
      </w:pPr>
      <w:r>
        <w:rPr>
          <w:rFonts w:ascii="Times New Roman" w:hAnsi="Times New Roman" w:cs="Times New Roman"/>
          <w:b/>
          <w:bCs/>
          <w:noProof/>
          <w:sz w:val="24"/>
        </w:rPr>
        <w:t>How</w:t>
      </w:r>
      <w:r>
        <w:rPr>
          <w:rFonts w:ascii="Times New Roman" w:hAnsi="Times New Roman" w:cs="Times New Roman"/>
          <w:bCs/>
          <w:noProof/>
          <w:sz w:val="24"/>
        </w:rPr>
        <w:t xml:space="preserve"> – </w:t>
      </w:r>
      <w:r>
        <w:rPr>
          <w:rFonts w:ascii="Times New Roman" w:hAnsi="Times New Roman" w:cs="Times New Roman"/>
          <w:b/>
          <w:bCs/>
          <w:noProof/>
          <w:sz w:val="24"/>
        </w:rPr>
        <w:t xml:space="preserve">methods and tools </w:t>
      </w:r>
      <w:r>
        <w:rPr>
          <w:rFonts w:ascii="Times New Roman" w:hAnsi="Times New Roman" w:cs="Times New Roman"/>
          <w:bCs/>
          <w:noProof/>
          <w:sz w:val="24"/>
        </w:rPr>
        <w:t>used:</w:t>
      </w:r>
    </w:p>
    <w:p w:rsidR="001B65FF" w:rsidRDefault="003E4EF4">
      <w:pPr>
        <w:numPr>
          <w:ilvl w:val="1"/>
          <w:numId w:val="116"/>
        </w:numPr>
        <w:spacing w:before="240"/>
        <w:contextualSpacing/>
        <w:jc w:val="both"/>
        <w:rPr>
          <w:rFonts w:ascii="Times New Roman" w:hAnsi="Times New Roman" w:cs="Times New Roman"/>
          <w:bCs/>
          <w:noProof/>
          <w:sz w:val="24"/>
        </w:rPr>
      </w:pPr>
      <w:r>
        <w:rPr>
          <w:rFonts w:ascii="Times New Roman" w:hAnsi="Times New Roman" w:cs="Times New Roman"/>
          <w:b/>
          <w:bCs/>
          <w:noProof/>
          <w:sz w:val="24"/>
        </w:rPr>
        <w:t>Surveys</w:t>
      </w:r>
      <w:r>
        <w:rPr>
          <w:rFonts w:ascii="Times New Roman" w:hAnsi="Times New Roman" w:cs="Times New Roman"/>
          <w:bCs/>
          <w:noProof/>
          <w:sz w:val="24"/>
        </w:rPr>
        <w:t>:</w:t>
      </w:r>
    </w:p>
    <w:p w:rsidR="001B65FF" w:rsidRDefault="003E4EF4">
      <w:pPr>
        <w:numPr>
          <w:ilvl w:val="2"/>
          <w:numId w:val="116"/>
        </w:numPr>
        <w:spacing w:before="240"/>
        <w:contextualSpacing/>
        <w:jc w:val="both"/>
        <w:rPr>
          <w:rFonts w:ascii="Times New Roman" w:hAnsi="Times New Roman" w:cs="Times New Roman"/>
          <w:bCs/>
          <w:noProof/>
          <w:sz w:val="24"/>
        </w:rPr>
      </w:pPr>
      <w:r>
        <w:rPr>
          <w:rFonts w:ascii="Times New Roman" w:hAnsi="Times New Roman" w:cs="Times New Roman"/>
          <w:b/>
          <w:bCs/>
          <w:noProof/>
          <w:sz w:val="24"/>
        </w:rPr>
        <w:t>Open public consultation</w:t>
      </w:r>
      <w:r>
        <w:rPr>
          <w:rFonts w:ascii="Times New Roman" w:hAnsi="Times New Roman" w:cs="Times New Roman"/>
          <w:bCs/>
          <w:noProof/>
          <w:sz w:val="24"/>
        </w:rPr>
        <w:t>:</w:t>
      </w:r>
    </w:p>
    <w:p w:rsidR="001B65FF" w:rsidRDefault="003E4EF4">
      <w:pPr>
        <w:numPr>
          <w:ilvl w:val="1"/>
          <w:numId w:val="117"/>
        </w:numPr>
        <w:spacing w:before="240"/>
        <w:ind w:left="1701" w:hanging="283"/>
        <w:contextualSpacing/>
        <w:jc w:val="both"/>
        <w:rPr>
          <w:rFonts w:ascii="Times New Roman" w:hAnsi="Times New Roman" w:cs="Times New Roman"/>
          <w:bCs/>
          <w:noProof/>
          <w:sz w:val="24"/>
        </w:rPr>
      </w:pPr>
      <w:r>
        <w:rPr>
          <w:rFonts w:ascii="Times New Roman" w:hAnsi="Times New Roman" w:cs="Times New Roman"/>
          <w:bCs/>
          <w:noProof/>
          <w:sz w:val="24"/>
        </w:rPr>
        <w:t xml:space="preserve">Survey open to feedback from </w:t>
      </w:r>
      <w:r>
        <w:rPr>
          <w:rFonts w:ascii="Times New Roman" w:hAnsi="Times New Roman" w:cs="Times New Roman"/>
          <w:b/>
          <w:bCs/>
          <w:noProof/>
          <w:sz w:val="24"/>
        </w:rPr>
        <w:t>any interested party</w:t>
      </w:r>
      <w:r>
        <w:rPr>
          <w:rFonts w:ascii="Times New Roman" w:hAnsi="Times New Roman" w:cs="Times New Roman"/>
          <w:bCs/>
          <w:noProof/>
          <w:sz w:val="24"/>
        </w:rPr>
        <w:t>.</w:t>
      </w:r>
    </w:p>
    <w:p w:rsidR="001B65FF" w:rsidRDefault="003E4EF4">
      <w:pPr>
        <w:numPr>
          <w:ilvl w:val="1"/>
          <w:numId w:val="117"/>
        </w:numPr>
        <w:spacing w:before="240"/>
        <w:ind w:left="1701" w:hanging="283"/>
        <w:contextualSpacing/>
        <w:jc w:val="both"/>
        <w:rPr>
          <w:rFonts w:ascii="Times New Roman" w:hAnsi="Times New Roman" w:cs="Times New Roman"/>
          <w:bCs/>
          <w:noProof/>
          <w:sz w:val="24"/>
        </w:rPr>
      </w:pPr>
      <w:r>
        <w:rPr>
          <w:rFonts w:ascii="Times New Roman" w:hAnsi="Times New Roman" w:cs="Times New Roman"/>
          <w:bCs/>
          <w:noProof/>
          <w:sz w:val="24"/>
        </w:rPr>
        <w:t xml:space="preserve">Open for </w:t>
      </w:r>
      <w:r>
        <w:rPr>
          <w:rFonts w:ascii="Times New Roman" w:hAnsi="Times New Roman" w:cs="Times New Roman"/>
          <w:b/>
          <w:bCs/>
          <w:noProof/>
          <w:sz w:val="24"/>
        </w:rPr>
        <w:t>12 weeks</w:t>
      </w:r>
      <w:r>
        <w:rPr>
          <w:rFonts w:ascii="Times New Roman" w:hAnsi="Times New Roman" w:cs="Times New Roman"/>
          <w:bCs/>
          <w:noProof/>
          <w:sz w:val="24"/>
        </w:rPr>
        <w:t xml:space="preserve">, from </w:t>
      </w:r>
      <w:r>
        <w:rPr>
          <w:rFonts w:ascii="Times New Roman" w:hAnsi="Times New Roman" w:cs="Times New Roman"/>
          <w:noProof/>
          <w:sz w:val="24"/>
        </w:rPr>
        <w:t>4 August 2017 to 27 October 2017.</w:t>
      </w:r>
    </w:p>
    <w:p w:rsidR="001B65FF" w:rsidRDefault="003E4EF4">
      <w:pPr>
        <w:numPr>
          <w:ilvl w:val="1"/>
          <w:numId w:val="117"/>
        </w:numPr>
        <w:spacing w:before="240"/>
        <w:ind w:left="1701" w:hanging="283"/>
        <w:contextualSpacing/>
        <w:jc w:val="both"/>
        <w:rPr>
          <w:rFonts w:ascii="Times New Roman" w:hAnsi="Times New Roman" w:cs="Times New Roman"/>
          <w:bCs/>
          <w:noProof/>
          <w:sz w:val="24"/>
        </w:rPr>
      </w:pPr>
      <w:r>
        <w:rPr>
          <w:rFonts w:ascii="Times New Roman" w:hAnsi="Times New Roman" w:cs="Times New Roman"/>
          <w:bCs/>
          <w:noProof/>
          <w:sz w:val="24"/>
        </w:rPr>
        <w:t>It</w:t>
      </w:r>
      <w:r>
        <w:rPr>
          <w:rFonts w:ascii="Times New Roman" w:hAnsi="Times New Roman" w:cs="Times New Roman"/>
          <w:bCs/>
          <w:noProof/>
          <w:sz w:val="24"/>
        </w:rPr>
        <w:t xml:space="preserve"> included a link to the Commission website on cross border access to e-evidence</w:t>
      </w:r>
      <w:r>
        <w:rPr>
          <w:rFonts w:ascii="Times New Roman" w:hAnsi="Times New Roman" w:cs="Times New Roman"/>
          <w:bCs/>
          <w:noProof/>
          <w:sz w:val="24"/>
          <w:vertAlign w:val="superscript"/>
        </w:rPr>
        <w:footnoteReference w:id="130"/>
      </w:r>
      <w:r>
        <w:rPr>
          <w:rFonts w:ascii="Times New Roman" w:hAnsi="Times New Roman" w:cs="Times New Roman"/>
          <w:bCs/>
          <w:noProof/>
          <w:sz w:val="24"/>
        </w:rPr>
        <w:t>, which provided further information.</w:t>
      </w:r>
    </w:p>
    <w:p w:rsidR="001B65FF" w:rsidRDefault="003E4EF4">
      <w:pPr>
        <w:numPr>
          <w:ilvl w:val="1"/>
          <w:numId w:val="117"/>
        </w:numPr>
        <w:spacing w:before="240"/>
        <w:ind w:left="1701"/>
        <w:contextualSpacing/>
        <w:jc w:val="both"/>
        <w:rPr>
          <w:rFonts w:ascii="Times New Roman" w:hAnsi="Times New Roman" w:cs="Times New Roman"/>
          <w:bCs/>
          <w:noProof/>
          <w:sz w:val="24"/>
        </w:rPr>
      </w:pPr>
      <w:r>
        <w:rPr>
          <w:rFonts w:ascii="Times New Roman" w:hAnsi="Times New Roman" w:cs="Times New Roman"/>
          <w:bCs/>
          <w:noProof/>
          <w:sz w:val="24"/>
        </w:rPr>
        <w:t xml:space="preserve">The </w:t>
      </w:r>
      <w:r>
        <w:rPr>
          <w:rFonts w:ascii="Times New Roman" w:hAnsi="Times New Roman" w:cs="Times New Roman"/>
          <w:b/>
          <w:bCs/>
          <w:noProof/>
          <w:sz w:val="24"/>
        </w:rPr>
        <w:t xml:space="preserve">consultation on </w:t>
      </w:r>
      <w:r>
        <w:rPr>
          <w:rFonts w:ascii="Times New Roman" w:hAnsi="Times New Roman" w:cs="Times New Roman"/>
          <w:b/>
          <w:noProof/>
          <w:sz w:val="24"/>
        </w:rPr>
        <w:t xml:space="preserve">the </w:t>
      </w:r>
      <w:r>
        <w:rPr>
          <w:rFonts w:ascii="Times New Roman" w:hAnsi="Times New Roman" w:cs="Times New Roman"/>
          <w:b/>
          <w:bCs/>
          <w:noProof/>
          <w:sz w:val="24"/>
        </w:rPr>
        <w:t>Inception Impact Assessment</w:t>
      </w:r>
      <w:r>
        <w:rPr>
          <w:rFonts w:ascii="Times New Roman" w:hAnsi="Times New Roman" w:cs="Times New Roman"/>
          <w:b/>
          <w:bCs/>
          <w:noProof/>
          <w:sz w:val="24"/>
          <w:vertAlign w:val="superscript"/>
        </w:rPr>
        <w:footnoteReference w:id="131"/>
      </w:r>
      <w:r>
        <w:rPr>
          <w:rFonts w:ascii="Times New Roman" w:hAnsi="Times New Roman" w:cs="Times New Roman"/>
          <w:b/>
          <w:noProof/>
          <w:sz w:val="24"/>
        </w:rPr>
        <w:t xml:space="preserve"> </w:t>
      </w:r>
      <w:r>
        <w:rPr>
          <w:rFonts w:ascii="Times New Roman" w:hAnsi="Times New Roman" w:cs="Times New Roman"/>
          <w:bCs/>
          <w:noProof/>
          <w:sz w:val="24"/>
        </w:rPr>
        <w:t>was launched at the same time as the open public consultation. Any interested party c</w:t>
      </w:r>
      <w:r>
        <w:rPr>
          <w:rFonts w:ascii="Times New Roman" w:hAnsi="Times New Roman" w:cs="Times New Roman"/>
          <w:bCs/>
          <w:noProof/>
          <w:sz w:val="24"/>
        </w:rPr>
        <w:t>ould provide feedback on the Inception Impact Assessment from 4 August 2017 to 31 August 2017.</w:t>
      </w:r>
    </w:p>
    <w:p w:rsidR="001B65FF" w:rsidRDefault="003E4EF4">
      <w:pPr>
        <w:numPr>
          <w:ilvl w:val="2"/>
          <w:numId w:val="116"/>
        </w:numPr>
        <w:spacing w:before="240"/>
        <w:contextualSpacing/>
        <w:jc w:val="both"/>
        <w:rPr>
          <w:rFonts w:ascii="Times New Roman" w:hAnsi="Times New Roman" w:cs="Times New Roman"/>
          <w:bCs/>
          <w:noProof/>
          <w:sz w:val="24"/>
        </w:rPr>
      </w:pPr>
      <w:r>
        <w:rPr>
          <w:rFonts w:ascii="Times New Roman" w:hAnsi="Times New Roman" w:cs="Times New Roman"/>
          <w:b/>
          <w:bCs/>
          <w:noProof/>
          <w:sz w:val="24"/>
        </w:rPr>
        <w:t>Targeted</w:t>
      </w:r>
      <w:r>
        <w:rPr>
          <w:rFonts w:ascii="Times New Roman" w:hAnsi="Times New Roman" w:cs="Times New Roman"/>
          <w:bCs/>
          <w:noProof/>
          <w:sz w:val="24"/>
        </w:rPr>
        <w:t xml:space="preserve"> surveys:</w:t>
      </w:r>
    </w:p>
    <w:p w:rsidR="001B65FF" w:rsidRDefault="003E4EF4">
      <w:pPr>
        <w:numPr>
          <w:ilvl w:val="3"/>
          <w:numId w:val="116"/>
        </w:numPr>
        <w:spacing w:before="240"/>
        <w:ind w:hanging="310"/>
        <w:contextualSpacing/>
        <w:jc w:val="both"/>
        <w:rPr>
          <w:rFonts w:ascii="Times New Roman" w:hAnsi="Times New Roman" w:cs="Times New Roman"/>
          <w:bCs/>
          <w:noProof/>
          <w:sz w:val="24"/>
        </w:rPr>
      </w:pPr>
      <w:r>
        <w:rPr>
          <w:rFonts w:ascii="Times New Roman" w:hAnsi="Times New Roman" w:cs="Times New Roman"/>
          <w:bCs/>
          <w:noProof/>
          <w:sz w:val="24"/>
        </w:rPr>
        <w:t xml:space="preserve">Survey of </w:t>
      </w:r>
      <w:r>
        <w:rPr>
          <w:rFonts w:ascii="Times New Roman" w:hAnsi="Times New Roman" w:cs="Times New Roman"/>
          <w:b/>
          <w:bCs/>
          <w:noProof/>
          <w:sz w:val="24"/>
        </w:rPr>
        <w:t>public authorities</w:t>
      </w:r>
      <w:r>
        <w:rPr>
          <w:rFonts w:ascii="Times New Roman" w:hAnsi="Times New Roman" w:cs="Times New Roman"/>
          <w:bCs/>
          <w:noProof/>
          <w:sz w:val="24"/>
        </w:rPr>
        <w:t xml:space="preserve"> in Member States on </w:t>
      </w:r>
      <w:r>
        <w:rPr>
          <w:rFonts w:ascii="Times New Roman" w:hAnsi="Times New Roman" w:cs="Times New Roman"/>
          <w:b/>
          <w:noProof/>
          <w:sz w:val="24"/>
        </w:rPr>
        <w:t>current practices</w:t>
      </w:r>
      <w:r>
        <w:rPr>
          <w:rFonts w:ascii="Times New Roman" w:hAnsi="Times New Roman" w:cs="Times New Roman"/>
          <w:noProof/>
          <w:sz w:val="24"/>
        </w:rPr>
        <w:t xml:space="preserve"> concerning the different channels to cross-border access to e-evidence, carr</w:t>
      </w:r>
      <w:r>
        <w:rPr>
          <w:rFonts w:ascii="Times New Roman" w:hAnsi="Times New Roman" w:cs="Times New Roman"/>
          <w:noProof/>
          <w:sz w:val="24"/>
        </w:rPr>
        <w:t>ied out between 26 July 2016 and 16 September 2016; the last responses from Member States were received on 28 February 2017.</w:t>
      </w:r>
    </w:p>
    <w:p w:rsidR="001B65FF" w:rsidRDefault="003E4EF4">
      <w:pPr>
        <w:numPr>
          <w:ilvl w:val="3"/>
          <w:numId w:val="116"/>
        </w:numPr>
        <w:spacing w:before="240"/>
        <w:ind w:hanging="310"/>
        <w:contextualSpacing/>
        <w:jc w:val="both"/>
        <w:rPr>
          <w:rFonts w:ascii="Times New Roman" w:hAnsi="Times New Roman" w:cs="Times New Roman"/>
          <w:bCs/>
          <w:noProof/>
          <w:sz w:val="24"/>
        </w:rPr>
      </w:pPr>
      <w:r>
        <w:rPr>
          <w:rFonts w:ascii="Times New Roman" w:hAnsi="Times New Roman" w:cs="Times New Roman"/>
          <w:bCs/>
          <w:noProof/>
          <w:sz w:val="24"/>
        </w:rPr>
        <w:t xml:space="preserve">Survey of </w:t>
      </w:r>
      <w:r>
        <w:rPr>
          <w:rFonts w:ascii="Times New Roman" w:hAnsi="Times New Roman" w:cs="Times New Roman"/>
          <w:b/>
          <w:bCs/>
          <w:noProof/>
          <w:sz w:val="24"/>
        </w:rPr>
        <w:t>public authorities</w:t>
      </w:r>
      <w:r>
        <w:rPr>
          <w:rFonts w:ascii="Times New Roman" w:hAnsi="Times New Roman" w:cs="Times New Roman"/>
          <w:bCs/>
          <w:noProof/>
          <w:sz w:val="24"/>
        </w:rPr>
        <w:t xml:space="preserve"> in Member States on the </w:t>
      </w:r>
      <w:r>
        <w:rPr>
          <w:rFonts w:ascii="Times New Roman" w:hAnsi="Times New Roman" w:cs="Times New Roman"/>
          <w:b/>
          <w:bCs/>
          <w:noProof/>
          <w:sz w:val="24"/>
        </w:rPr>
        <w:t>size of the problem</w:t>
      </w:r>
      <w:r>
        <w:rPr>
          <w:rFonts w:ascii="Times New Roman" w:hAnsi="Times New Roman" w:cs="Times New Roman"/>
          <w:bCs/>
          <w:noProof/>
          <w:sz w:val="24"/>
        </w:rPr>
        <w:t>,</w:t>
      </w:r>
      <w:r>
        <w:rPr>
          <w:rFonts w:ascii="Times New Roman" w:hAnsi="Times New Roman" w:cs="Times New Roman"/>
          <w:b/>
          <w:bCs/>
          <w:noProof/>
          <w:sz w:val="24"/>
        </w:rPr>
        <w:t xml:space="preserve"> </w:t>
      </w:r>
      <w:r>
        <w:rPr>
          <w:rFonts w:ascii="Times New Roman" w:hAnsi="Times New Roman" w:cs="Times New Roman"/>
          <w:bCs/>
          <w:noProof/>
          <w:sz w:val="24"/>
        </w:rPr>
        <w:t xml:space="preserve">carried out between 6 October 2017 and 23 October 2017.  </w:t>
      </w:r>
    </w:p>
    <w:p w:rsidR="001B65FF" w:rsidRDefault="003E4EF4">
      <w:pPr>
        <w:numPr>
          <w:ilvl w:val="3"/>
          <w:numId w:val="116"/>
        </w:numPr>
        <w:spacing w:before="240"/>
        <w:ind w:hanging="310"/>
        <w:contextualSpacing/>
        <w:jc w:val="both"/>
        <w:rPr>
          <w:rFonts w:ascii="Times New Roman" w:hAnsi="Times New Roman" w:cs="Times New Roman"/>
          <w:bCs/>
          <w:noProof/>
          <w:sz w:val="24"/>
        </w:rPr>
      </w:pPr>
      <w:r>
        <w:rPr>
          <w:rFonts w:ascii="Times New Roman" w:hAnsi="Times New Roman" w:cs="Times New Roman"/>
          <w:bCs/>
          <w:noProof/>
          <w:sz w:val="24"/>
        </w:rPr>
        <w:t xml:space="preserve">Survey of </w:t>
      </w:r>
      <w:r>
        <w:rPr>
          <w:rFonts w:ascii="Times New Roman" w:hAnsi="Times New Roman" w:cs="Times New Roman"/>
          <w:b/>
          <w:bCs/>
          <w:noProof/>
          <w:sz w:val="24"/>
        </w:rPr>
        <w:t>public authorities</w:t>
      </w:r>
      <w:r>
        <w:rPr>
          <w:rFonts w:ascii="Times New Roman" w:hAnsi="Times New Roman" w:cs="Times New Roman"/>
          <w:bCs/>
          <w:noProof/>
          <w:sz w:val="24"/>
        </w:rPr>
        <w:t xml:space="preserve"> in Member States on </w:t>
      </w:r>
      <w:r>
        <w:rPr>
          <w:rFonts w:ascii="Times New Roman" w:hAnsi="Times New Roman" w:cs="Times New Roman"/>
          <w:b/>
          <w:bCs/>
          <w:noProof/>
          <w:sz w:val="24"/>
        </w:rPr>
        <w:t>costs and benefits</w:t>
      </w:r>
      <w:r>
        <w:rPr>
          <w:rFonts w:ascii="Times New Roman" w:hAnsi="Times New Roman" w:cs="Times New Roman"/>
          <w:bCs/>
          <w:noProof/>
          <w:sz w:val="24"/>
        </w:rPr>
        <w:t xml:space="preserve"> associated with the different options, carried out between 25 October 2017 and 8 November 2017. </w:t>
      </w:r>
    </w:p>
    <w:p w:rsidR="001B65FF" w:rsidRDefault="003E4EF4">
      <w:pPr>
        <w:numPr>
          <w:ilvl w:val="3"/>
          <w:numId w:val="116"/>
        </w:numPr>
        <w:spacing w:before="240"/>
        <w:ind w:hanging="310"/>
        <w:contextualSpacing/>
        <w:jc w:val="both"/>
        <w:rPr>
          <w:rFonts w:ascii="Times New Roman" w:hAnsi="Times New Roman" w:cs="Times New Roman"/>
          <w:bCs/>
          <w:noProof/>
          <w:sz w:val="24"/>
        </w:rPr>
      </w:pPr>
      <w:r>
        <w:rPr>
          <w:rFonts w:ascii="Times New Roman" w:hAnsi="Times New Roman" w:cs="Times New Roman"/>
          <w:bCs/>
          <w:noProof/>
          <w:sz w:val="24"/>
        </w:rPr>
        <w:t xml:space="preserve">Survey of </w:t>
      </w:r>
      <w:r>
        <w:rPr>
          <w:rFonts w:ascii="Times New Roman" w:hAnsi="Times New Roman" w:cs="Times New Roman"/>
          <w:b/>
          <w:bCs/>
          <w:noProof/>
          <w:sz w:val="24"/>
        </w:rPr>
        <w:t>service providers</w:t>
      </w:r>
      <w:r>
        <w:rPr>
          <w:rFonts w:ascii="Times New Roman" w:hAnsi="Times New Roman" w:cs="Times New Roman"/>
          <w:bCs/>
          <w:noProof/>
          <w:sz w:val="24"/>
        </w:rPr>
        <w:t xml:space="preserve"> on </w:t>
      </w:r>
      <w:r>
        <w:rPr>
          <w:rFonts w:ascii="Times New Roman" w:hAnsi="Times New Roman" w:cs="Times New Roman"/>
          <w:b/>
          <w:bCs/>
          <w:noProof/>
          <w:sz w:val="24"/>
        </w:rPr>
        <w:t xml:space="preserve">costs and benefits </w:t>
      </w:r>
      <w:r>
        <w:rPr>
          <w:rFonts w:ascii="Times New Roman" w:hAnsi="Times New Roman" w:cs="Times New Roman"/>
          <w:bCs/>
          <w:noProof/>
          <w:sz w:val="24"/>
        </w:rPr>
        <w:t>associated with the different options, c</w:t>
      </w:r>
      <w:r>
        <w:rPr>
          <w:rFonts w:ascii="Times New Roman" w:hAnsi="Times New Roman" w:cs="Times New Roman"/>
          <w:bCs/>
          <w:noProof/>
          <w:sz w:val="24"/>
        </w:rPr>
        <w:t xml:space="preserve">arried out between 25 October 2017 and 8 November 2017. </w:t>
      </w:r>
    </w:p>
    <w:p w:rsidR="001B65FF" w:rsidRDefault="003E4EF4">
      <w:pPr>
        <w:numPr>
          <w:ilvl w:val="1"/>
          <w:numId w:val="116"/>
        </w:numPr>
        <w:spacing w:before="240"/>
        <w:contextualSpacing/>
        <w:jc w:val="both"/>
        <w:rPr>
          <w:rFonts w:ascii="Times New Roman" w:hAnsi="Times New Roman" w:cs="Times New Roman"/>
          <w:bCs/>
          <w:noProof/>
          <w:sz w:val="24"/>
        </w:rPr>
      </w:pPr>
      <w:r>
        <w:rPr>
          <w:rFonts w:ascii="Times New Roman" w:hAnsi="Times New Roman" w:cs="Times New Roman"/>
          <w:b/>
          <w:bCs/>
          <w:noProof/>
          <w:sz w:val="24"/>
        </w:rPr>
        <w:t>Meetings</w:t>
      </w:r>
      <w:r>
        <w:rPr>
          <w:rFonts w:ascii="Times New Roman" w:hAnsi="Times New Roman" w:cs="Times New Roman"/>
          <w:bCs/>
          <w:noProof/>
          <w:sz w:val="24"/>
        </w:rPr>
        <w:t>:</w:t>
      </w:r>
    </w:p>
    <w:p w:rsidR="001B65FF" w:rsidRDefault="003E4EF4">
      <w:pPr>
        <w:numPr>
          <w:ilvl w:val="2"/>
          <w:numId w:val="116"/>
        </w:numPr>
        <w:spacing w:before="240"/>
        <w:contextualSpacing/>
        <w:jc w:val="both"/>
        <w:rPr>
          <w:rFonts w:ascii="Times New Roman" w:hAnsi="Times New Roman" w:cs="Times New Roman"/>
          <w:bCs/>
          <w:noProof/>
          <w:sz w:val="24"/>
        </w:rPr>
      </w:pPr>
      <w:r>
        <w:rPr>
          <w:rFonts w:ascii="Times New Roman" w:hAnsi="Times New Roman" w:cs="Times New Roman"/>
          <w:b/>
          <w:bCs/>
          <w:noProof/>
          <w:sz w:val="24"/>
        </w:rPr>
        <w:t xml:space="preserve">Group </w:t>
      </w:r>
      <w:r>
        <w:rPr>
          <w:rFonts w:ascii="Times New Roman" w:hAnsi="Times New Roman" w:cs="Times New Roman"/>
          <w:bCs/>
          <w:noProof/>
          <w:sz w:val="24"/>
        </w:rPr>
        <w:t>expert meetings:</w:t>
      </w:r>
    </w:p>
    <w:p w:rsidR="001B65FF" w:rsidRDefault="003E4EF4">
      <w:pPr>
        <w:numPr>
          <w:ilvl w:val="3"/>
          <w:numId w:val="118"/>
        </w:numPr>
        <w:spacing w:before="240"/>
        <w:ind w:left="1701" w:hanging="283"/>
        <w:contextualSpacing/>
        <w:jc w:val="both"/>
        <w:rPr>
          <w:rFonts w:ascii="Times New Roman" w:hAnsi="Times New Roman" w:cs="Times New Roman"/>
          <w:bCs/>
          <w:noProof/>
          <w:sz w:val="24"/>
        </w:rPr>
      </w:pPr>
      <w:r>
        <w:rPr>
          <w:rFonts w:ascii="Times New Roman" w:hAnsi="Times New Roman" w:cs="Times New Roman"/>
          <w:bCs/>
          <w:noProof/>
          <w:sz w:val="24"/>
        </w:rPr>
        <w:t>Expert meetings organised by the Commission in a process that gradually included a wider range of stakeholders (public authorities from member States, service provide</w:t>
      </w:r>
      <w:r>
        <w:rPr>
          <w:rFonts w:ascii="Times New Roman" w:hAnsi="Times New Roman" w:cs="Times New Roman"/>
          <w:bCs/>
          <w:noProof/>
          <w:sz w:val="24"/>
        </w:rPr>
        <w:t xml:space="preserve">rs, civil society, academia, etc.).. </w:t>
      </w:r>
    </w:p>
    <w:p w:rsidR="001B65FF" w:rsidRDefault="003E4EF4">
      <w:pPr>
        <w:numPr>
          <w:ilvl w:val="3"/>
          <w:numId w:val="118"/>
        </w:numPr>
        <w:spacing w:before="240"/>
        <w:ind w:left="1701" w:hanging="283"/>
        <w:contextualSpacing/>
        <w:jc w:val="both"/>
        <w:rPr>
          <w:rFonts w:ascii="Times New Roman" w:hAnsi="Times New Roman" w:cs="Times New Roman"/>
          <w:bCs/>
          <w:noProof/>
          <w:sz w:val="24"/>
        </w:rPr>
      </w:pPr>
      <w:r>
        <w:rPr>
          <w:rFonts w:ascii="Times New Roman" w:hAnsi="Times New Roman" w:cs="Times New Roman"/>
          <w:bCs/>
          <w:noProof/>
          <w:sz w:val="24"/>
        </w:rPr>
        <w:t>Expert meetings organised by other entities, including the Council of Europe, the European Judicial Cybercrime Network and the European Union Chiefs of Cybercrime Units (EUCTF).</w:t>
      </w:r>
    </w:p>
    <w:p w:rsidR="001B65FF" w:rsidRDefault="003E4EF4">
      <w:pPr>
        <w:numPr>
          <w:ilvl w:val="2"/>
          <w:numId w:val="116"/>
        </w:numPr>
        <w:spacing w:before="240"/>
        <w:contextualSpacing/>
        <w:jc w:val="both"/>
        <w:rPr>
          <w:rFonts w:ascii="Times New Roman" w:hAnsi="Times New Roman" w:cs="Times New Roman"/>
          <w:b/>
          <w:bCs/>
          <w:noProof/>
          <w:sz w:val="24"/>
        </w:rPr>
      </w:pPr>
      <w:r>
        <w:rPr>
          <w:rFonts w:ascii="Times New Roman" w:hAnsi="Times New Roman" w:cs="Times New Roman"/>
          <w:b/>
          <w:bCs/>
          <w:noProof/>
          <w:sz w:val="24"/>
        </w:rPr>
        <w:t>Bilateral meetings:</w:t>
      </w:r>
    </w:p>
    <w:p w:rsidR="001B65FF" w:rsidRDefault="003E4EF4">
      <w:pPr>
        <w:numPr>
          <w:ilvl w:val="3"/>
          <w:numId w:val="118"/>
        </w:numPr>
        <w:spacing w:before="240"/>
        <w:ind w:left="1701" w:hanging="283"/>
        <w:contextualSpacing/>
        <w:jc w:val="both"/>
        <w:rPr>
          <w:rFonts w:ascii="Times New Roman" w:hAnsi="Times New Roman" w:cs="Times New Roman"/>
          <w:bCs/>
          <w:noProof/>
          <w:sz w:val="24"/>
        </w:rPr>
      </w:pPr>
      <w:r>
        <w:rPr>
          <w:rFonts w:ascii="Times New Roman" w:hAnsi="Times New Roman" w:cs="Times New Roman"/>
          <w:bCs/>
          <w:noProof/>
          <w:sz w:val="24"/>
        </w:rPr>
        <w:t>Meetings with a wide</w:t>
      </w:r>
      <w:r>
        <w:rPr>
          <w:rFonts w:ascii="Times New Roman" w:hAnsi="Times New Roman" w:cs="Times New Roman"/>
          <w:bCs/>
          <w:noProof/>
          <w:sz w:val="24"/>
        </w:rPr>
        <w:t xml:space="preserve"> range of stakeholders organised at the initiative of the Commission or the stakeholders.</w:t>
      </w:r>
    </w:p>
    <w:p w:rsidR="001B65FF" w:rsidRDefault="003E4EF4">
      <w:pPr>
        <w:numPr>
          <w:ilvl w:val="3"/>
          <w:numId w:val="118"/>
        </w:numPr>
        <w:spacing w:before="240"/>
        <w:ind w:left="1701" w:hanging="283"/>
        <w:contextualSpacing/>
        <w:jc w:val="both"/>
        <w:rPr>
          <w:rFonts w:ascii="Times New Roman" w:hAnsi="Times New Roman" w:cs="Times New Roman"/>
          <w:bCs/>
          <w:noProof/>
          <w:sz w:val="24"/>
        </w:rPr>
      </w:pPr>
      <w:r>
        <w:rPr>
          <w:rFonts w:ascii="Times New Roman" w:hAnsi="Times New Roman" w:cs="Times New Roman"/>
          <w:bCs/>
          <w:noProof/>
          <w:sz w:val="24"/>
        </w:rPr>
        <w:t xml:space="preserve">Meetings with non-EU countries potentially affected by EU legislation in this area, with a focus on the US as the key country in this context. </w:t>
      </w:r>
    </w:p>
    <w:p w:rsidR="001B65FF" w:rsidRDefault="003E4EF4">
      <w:pPr>
        <w:spacing w:before="240"/>
        <w:ind w:left="720"/>
        <w:contextualSpacing/>
        <w:jc w:val="both"/>
        <w:rPr>
          <w:rFonts w:ascii="Times New Roman" w:hAnsi="Times New Roman" w:cs="Times New Roman"/>
          <w:bCs/>
          <w:noProof/>
          <w:sz w:val="24"/>
        </w:rPr>
      </w:pPr>
      <w:r>
        <w:rPr>
          <w:rFonts w:ascii="Times New Roman" w:hAnsi="Times New Roman" w:cs="Times New Roman"/>
          <w:bCs/>
          <w:noProof/>
          <w:sz w:val="24"/>
        </w:rPr>
        <w:t>These meetings are col</w:t>
      </w:r>
      <w:r>
        <w:rPr>
          <w:rFonts w:ascii="Times New Roman" w:hAnsi="Times New Roman" w:cs="Times New Roman"/>
          <w:bCs/>
          <w:noProof/>
          <w:sz w:val="24"/>
        </w:rPr>
        <w:t>lectively referred to in the impact assessment as the “expert process”.</w:t>
      </w:r>
    </w:p>
    <w:p w:rsidR="001B65FF" w:rsidRDefault="003E4EF4">
      <w:pPr>
        <w:numPr>
          <w:ilvl w:val="1"/>
          <w:numId w:val="116"/>
        </w:numPr>
        <w:spacing w:before="240"/>
        <w:contextualSpacing/>
        <w:jc w:val="both"/>
        <w:rPr>
          <w:rFonts w:ascii="Times New Roman" w:hAnsi="Times New Roman" w:cs="Times New Roman"/>
          <w:bCs/>
          <w:noProof/>
          <w:sz w:val="24"/>
        </w:rPr>
      </w:pPr>
      <w:r>
        <w:rPr>
          <w:rFonts w:ascii="Times New Roman" w:hAnsi="Times New Roman" w:cs="Times New Roman"/>
          <w:b/>
          <w:bCs/>
          <w:noProof/>
          <w:sz w:val="24"/>
        </w:rPr>
        <w:t>Conferences</w:t>
      </w:r>
      <w:r>
        <w:rPr>
          <w:rFonts w:ascii="Times New Roman" w:hAnsi="Times New Roman" w:cs="Times New Roman"/>
          <w:bCs/>
          <w:noProof/>
          <w:sz w:val="24"/>
        </w:rPr>
        <w:t>:</w:t>
      </w:r>
    </w:p>
    <w:p w:rsidR="001B65FF" w:rsidRDefault="003E4EF4">
      <w:pPr>
        <w:numPr>
          <w:ilvl w:val="2"/>
          <w:numId w:val="116"/>
        </w:numPr>
        <w:spacing w:before="240"/>
        <w:contextualSpacing/>
        <w:jc w:val="both"/>
        <w:rPr>
          <w:rFonts w:ascii="Times New Roman" w:hAnsi="Times New Roman"/>
          <w:noProof/>
          <w:sz w:val="24"/>
        </w:rPr>
      </w:pPr>
      <w:r>
        <w:rPr>
          <w:rFonts w:ascii="Times New Roman" w:hAnsi="Times New Roman"/>
          <w:noProof/>
          <w:sz w:val="24"/>
        </w:rPr>
        <w:t xml:space="preserve">The Commission participated in a number of conferences that included discussions on cross-border access to electronic evidence. The Commission presented its work in this </w:t>
      </w:r>
      <w:r>
        <w:rPr>
          <w:rFonts w:ascii="Times New Roman" w:hAnsi="Times New Roman"/>
          <w:noProof/>
          <w:sz w:val="24"/>
        </w:rPr>
        <w:t>area, gathered feedback on the initiative from other conference participants and invited additional participation in the expert process and the public consultations.</w:t>
      </w:r>
    </w:p>
    <w:p w:rsidR="001B65FF" w:rsidRDefault="003E4EF4">
      <w:pPr>
        <w:pBdr>
          <w:top w:val="single" w:sz="4" w:space="1" w:color="auto"/>
          <w:left w:val="single" w:sz="4" w:space="4" w:color="auto"/>
          <w:bottom w:val="single" w:sz="4" w:space="1" w:color="auto"/>
          <w:right w:val="single" w:sz="4" w:space="4" w:color="auto"/>
        </w:pBdr>
        <w:spacing w:before="240"/>
        <w:ind w:left="720"/>
        <w:jc w:val="both"/>
        <w:rPr>
          <w:rFonts w:ascii="Times New Roman" w:hAnsi="Times New Roman" w:cs="Times New Roman"/>
          <w:bCs/>
          <w:noProof/>
          <w:sz w:val="24"/>
        </w:rPr>
      </w:pPr>
      <w:r>
        <w:rPr>
          <w:rFonts w:ascii="Times New Roman" w:hAnsi="Times New Roman" w:cs="Times New Roman"/>
          <w:bCs/>
          <w:noProof/>
          <w:sz w:val="24"/>
        </w:rPr>
        <w:t xml:space="preserve">In total, the </w:t>
      </w:r>
      <w:r>
        <w:rPr>
          <w:rFonts w:ascii="Times New Roman" w:hAnsi="Times New Roman" w:cs="Times New Roman"/>
          <w:b/>
          <w:bCs/>
          <w:noProof/>
          <w:sz w:val="24"/>
        </w:rPr>
        <w:t xml:space="preserve">consultation activities </w:t>
      </w:r>
      <w:r>
        <w:rPr>
          <w:rFonts w:ascii="Times New Roman" w:hAnsi="Times New Roman" w:cs="Times New Roman"/>
          <w:bCs/>
          <w:noProof/>
          <w:sz w:val="24"/>
        </w:rPr>
        <w:t xml:space="preserve">lasted more than </w:t>
      </w:r>
      <w:r>
        <w:rPr>
          <w:rFonts w:ascii="Times New Roman" w:hAnsi="Times New Roman" w:cs="Times New Roman"/>
          <w:b/>
          <w:bCs/>
          <w:noProof/>
          <w:sz w:val="24"/>
        </w:rPr>
        <w:t>1.5 years</w:t>
      </w:r>
      <w:r>
        <w:rPr>
          <w:rFonts w:ascii="Times New Roman" w:hAnsi="Times New Roman" w:cs="Times New Roman"/>
          <w:bCs/>
          <w:noProof/>
          <w:sz w:val="24"/>
        </w:rPr>
        <w:t xml:space="preserve">, from </w:t>
      </w:r>
      <w:r>
        <w:rPr>
          <w:rFonts w:ascii="Times New Roman" w:hAnsi="Times New Roman" w:cs="Times New Roman"/>
          <w:b/>
          <w:bCs/>
          <w:noProof/>
          <w:sz w:val="24"/>
        </w:rPr>
        <w:t>April 2016 to Novem</w:t>
      </w:r>
      <w:r>
        <w:rPr>
          <w:rFonts w:ascii="Times New Roman" w:hAnsi="Times New Roman" w:cs="Times New Roman"/>
          <w:b/>
          <w:bCs/>
          <w:noProof/>
          <w:sz w:val="24"/>
        </w:rPr>
        <w:t>ber 2017</w:t>
      </w:r>
      <w:r>
        <w:rPr>
          <w:rFonts w:ascii="Times New Roman" w:hAnsi="Times New Roman" w:cs="Times New Roman"/>
          <w:bCs/>
          <w:noProof/>
          <w:sz w:val="24"/>
        </w:rPr>
        <w:t xml:space="preserve">. </w:t>
      </w:r>
    </w:p>
    <w:p w:rsidR="001B65FF" w:rsidRDefault="003E4EF4">
      <w:pPr>
        <w:spacing w:before="240"/>
        <w:ind w:left="720"/>
        <w:jc w:val="both"/>
        <w:rPr>
          <w:rFonts w:ascii="Times New Roman" w:hAnsi="Times New Roman" w:cs="Times New Roman"/>
          <w:bCs/>
          <w:noProof/>
          <w:sz w:val="24"/>
        </w:rPr>
      </w:pPr>
      <w:r>
        <w:rPr>
          <w:rFonts w:ascii="Times New Roman" w:hAnsi="Times New Roman" w:cs="Times New Roman"/>
          <w:bCs/>
          <w:noProof/>
          <w:sz w:val="24"/>
        </w:rPr>
        <w:t xml:space="preserve">The consultation was designed to follow the same logical sequence of the impact assessment, starting with the problem definition and allowing for a </w:t>
      </w:r>
      <w:r>
        <w:rPr>
          <w:rFonts w:ascii="Times New Roman" w:hAnsi="Times New Roman" w:cs="Times New Roman"/>
          <w:b/>
          <w:bCs/>
          <w:noProof/>
          <w:sz w:val="24"/>
        </w:rPr>
        <w:t>gradual development</w:t>
      </w:r>
      <w:r>
        <w:rPr>
          <w:rFonts w:ascii="Times New Roman" w:hAnsi="Times New Roman" w:cs="Times New Roman"/>
          <w:bCs/>
          <w:noProof/>
          <w:sz w:val="24"/>
        </w:rPr>
        <w:t xml:space="preserve"> of the possible options and scenarios and their impacts, gradually increasing</w:t>
      </w:r>
      <w:r>
        <w:rPr>
          <w:rFonts w:ascii="Times New Roman" w:hAnsi="Times New Roman" w:cs="Times New Roman"/>
          <w:bCs/>
          <w:noProof/>
          <w:sz w:val="24"/>
        </w:rPr>
        <w:t xml:space="preserve"> the number of stakeholders involved. </w:t>
      </w:r>
    </w:p>
    <w:p w:rsidR="001B65FF" w:rsidRDefault="003E4EF4">
      <w:pPr>
        <w:pStyle w:val="ListParagraph"/>
        <w:numPr>
          <w:ilvl w:val="0"/>
          <w:numId w:val="224"/>
        </w:numPr>
        <w:jc w:val="both"/>
        <w:rPr>
          <w:rFonts w:ascii="Times New Roman" w:hAnsi="Times New Roman" w:cs="Times New Roman"/>
          <w:b/>
          <w:bCs/>
          <w:noProof/>
          <w:sz w:val="24"/>
        </w:rPr>
      </w:pPr>
      <w:r>
        <w:rPr>
          <w:rFonts w:ascii="Times New Roman" w:hAnsi="Times New Roman" w:cs="Times New Roman"/>
          <w:b/>
          <w:bCs/>
          <w:noProof/>
          <w:sz w:val="24"/>
        </w:rPr>
        <w:t xml:space="preserve">What – </w:t>
      </w:r>
      <w:r>
        <w:rPr>
          <w:rFonts w:ascii="Times New Roman" w:hAnsi="Times New Roman" w:cs="Times New Roman"/>
          <w:bCs/>
          <w:noProof/>
          <w:sz w:val="24"/>
        </w:rPr>
        <w:t xml:space="preserve">the consultation gathered feedback on the </w:t>
      </w:r>
      <w:r>
        <w:rPr>
          <w:rFonts w:ascii="Times New Roman" w:hAnsi="Times New Roman" w:cs="Times New Roman"/>
          <w:b/>
          <w:bCs/>
          <w:noProof/>
          <w:sz w:val="24"/>
        </w:rPr>
        <w:t>problem definition, options and impacts</w:t>
      </w:r>
      <w:r>
        <w:rPr>
          <w:rFonts w:ascii="Times New Roman" w:hAnsi="Times New Roman" w:cs="Times New Roman"/>
          <w:bCs/>
          <w:noProof/>
          <w:sz w:val="24"/>
        </w:rPr>
        <w:t xml:space="preserve"> of these options, based on the three channels to access e-evidence across borders: </w:t>
      </w:r>
      <w:r>
        <w:rPr>
          <w:rFonts w:ascii="Times New Roman" w:hAnsi="Times New Roman" w:cs="Times New Roman"/>
          <w:b/>
          <w:bCs/>
          <w:noProof/>
          <w:sz w:val="24"/>
        </w:rPr>
        <w:t xml:space="preserve">judicial cooperation, direct cooperation and </w:t>
      </w:r>
      <w:r>
        <w:rPr>
          <w:rFonts w:ascii="Times New Roman" w:hAnsi="Times New Roman" w:cs="Times New Roman"/>
          <w:b/>
          <w:bCs/>
          <w:noProof/>
          <w:sz w:val="24"/>
        </w:rPr>
        <w:t>direct access</w:t>
      </w:r>
      <w:r>
        <w:rPr>
          <w:rFonts w:ascii="Times New Roman" w:hAnsi="Times New Roman" w:cs="Times New Roman"/>
          <w:bCs/>
          <w:noProof/>
          <w:sz w:val="24"/>
        </w:rPr>
        <w:t xml:space="preserve">. </w:t>
      </w:r>
    </w:p>
    <w:p w:rsidR="001B65FF" w:rsidRDefault="003E4EF4">
      <w:pPr>
        <w:spacing w:before="240"/>
        <w:jc w:val="both"/>
        <w:rPr>
          <w:rFonts w:ascii="Times New Roman" w:hAnsi="Times New Roman" w:cs="Times New Roman"/>
          <w:bCs/>
          <w:noProof/>
          <w:sz w:val="24"/>
        </w:rPr>
      </w:pPr>
      <w:r>
        <w:rPr>
          <w:rFonts w:ascii="Times New Roman" w:hAnsi="Times New Roman" w:cs="Times New Roman"/>
          <w:bCs/>
          <w:noProof/>
          <w:sz w:val="24"/>
        </w:rPr>
        <w:t>The table below summarises the structure of the consultation:</w:t>
      </w:r>
    </w:p>
    <w:p w:rsidR="001B65FF" w:rsidRDefault="001B65FF">
      <w:pPr>
        <w:spacing w:before="240"/>
        <w:jc w:val="both"/>
        <w:rPr>
          <w:rFonts w:ascii="Times New Roman" w:hAnsi="Times New Roman" w:cs="Times New Roman"/>
          <w:bCs/>
          <w:noProof/>
          <w:sz w:val="24"/>
        </w:rPr>
        <w:sectPr w:rsidR="001B65FF">
          <w:headerReference w:type="even" r:id="rId65"/>
          <w:headerReference w:type="default" r:id="rId66"/>
          <w:footerReference w:type="even" r:id="rId67"/>
          <w:footerReference w:type="default" r:id="rId68"/>
          <w:headerReference w:type="first" r:id="rId69"/>
          <w:footerReference w:type="first" r:id="rId70"/>
          <w:pgSz w:w="11906" w:h="16838"/>
          <w:pgMar w:top="1417" w:right="1417" w:bottom="1417" w:left="1417" w:header="708" w:footer="708" w:gutter="0"/>
          <w:cols w:space="708"/>
          <w:docGrid w:linePitch="360"/>
        </w:sectPr>
      </w:pPr>
    </w:p>
    <w:p w:rsidR="001B65FF" w:rsidRDefault="003E4EF4">
      <w:pPr>
        <w:spacing w:before="240"/>
        <w:jc w:val="center"/>
        <w:rPr>
          <w:rFonts w:ascii="Times New Roman" w:hAnsi="Times New Roman" w:cs="Times New Roman"/>
          <w:bCs/>
          <w:i/>
          <w:noProof/>
          <w:sz w:val="24"/>
        </w:rPr>
      </w:pPr>
      <w:r>
        <w:rPr>
          <w:rFonts w:ascii="Times New Roman" w:hAnsi="Times New Roman" w:cs="Times New Roman"/>
          <w:bCs/>
          <w:i/>
          <w:noProof/>
          <w:sz w:val="24"/>
        </w:rPr>
        <w:t>Table 1: consultation strategy for improving cross-border access to electronic evidence</w:t>
      </w:r>
    </w:p>
    <w:tbl>
      <w:tblPr>
        <w:tblStyle w:val="TableGrid2"/>
        <w:tblW w:w="0" w:type="auto"/>
        <w:tblLayout w:type="fixed"/>
        <w:tblLook w:val="04A0" w:firstRow="1" w:lastRow="0" w:firstColumn="1" w:lastColumn="0" w:noHBand="0" w:noVBand="1"/>
      </w:tblPr>
      <w:tblGrid>
        <w:gridCol w:w="1021"/>
        <w:gridCol w:w="1787"/>
        <w:gridCol w:w="1440"/>
        <w:gridCol w:w="1350"/>
        <w:gridCol w:w="1260"/>
        <w:gridCol w:w="1080"/>
        <w:gridCol w:w="1080"/>
        <w:gridCol w:w="1800"/>
        <w:gridCol w:w="1710"/>
        <w:gridCol w:w="1692"/>
      </w:tblGrid>
      <w:tr w:rsidR="001B65FF">
        <w:tc>
          <w:tcPr>
            <w:tcW w:w="2808" w:type="dxa"/>
            <w:gridSpan w:val="2"/>
            <w:vMerge w:val="restart"/>
            <w:vAlign w:val="center"/>
          </w:tcPr>
          <w:p w:rsidR="001B65FF" w:rsidRDefault="001B65FF">
            <w:pPr>
              <w:spacing w:before="240"/>
              <w:rPr>
                <w:rFonts w:ascii="Times New Roman" w:hAnsi="Times New Roman" w:cs="Times New Roman"/>
                <w:bCs/>
                <w:noProof/>
                <w:sz w:val="20"/>
                <w:szCs w:val="20"/>
              </w:rPr>
            </w:pPr>
          </w:p>
        </w:tc>
        <w:tc>
          <w:tcPr>
            <w:tcW w:w="11412" w:type="dxa"/>
            <w:gridSpan w:val="8"/>
          </w:tcPr>
          <w:p w:rsidR="001B65FF" w:rsidRDefault="003E4EF4">
            <w:pPr>
              <w:spacing w:before="240"/>
              <w:jc w:val="center"/>
              <w:rPr>
                <w:rFonts w:ascii="Times New Roman" w:hAnsi="Times New Roman" w:cs="Times New Roman"/>
                <w:b/>
                <w:bCs/>
                <w:noProof/>
                <w:sz w:val="20"/>
                <w:szCs w:val="20"/>
              </w:rPr>
            </w:pPr>
            <w:r>
              <w:rPr>
                <w:rFonts w:ascii="Times New Roman" w:hAnsi="Times New Roman" w:cs="Times New Roman"/>
                <w:b/>
                <w:bCs/>
                <w:noProof/>
                <w:sz w:val="20"/>
                <w:szCs w:val="20"/>
              </w:rPr>
              <w:t>HOW</w:t>
            </w:r>
          </w:p>
        </w:tc>
      </w:tr>
      <w:tr w:rsidR="001B65FF">
        <w:trPr>
          <w:trHeight w:val="337"/>
        </w:trPr>
        <w:tc>
          <w:tcPr>
            <w:tcW w:w="2808" w:type="dxa"/>
            <w:gridSpan w:val="2"/>
            <w:vMerge/>
            <w:vAlign w:val="center"/>
          </w:tcPr>
          <w:p w:rsidR="001B65FF" w:rsidRDefault="001B65FF">
            <w:pPr>
              <w:spacing w:before="240"/>
              <w:rPr>
                <w:rFonts w:ascii="Times New Roman" w:hAnsi="Times New Roman" w:cs="Times New Roman"/>
                <w:bCs/>
                <w:noProof/>
                <w:sz w:val="20"/>
                <w:szCs w:val="20"/>
              </w:rPr>
            </w:pPr>
          </w:p>
        </w:tc>
        <w:tc>
          <w:tcPr>
            <w:tcW w:w="6210" w:type="dxa"/>
            <w:gridSpan w:val="5"/>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Surveys</w:t>
            </w:r>
          </w:p>
        </w:tc>
        <w:tc>
          <w:tcPr>
            <w:tcW w:w="3510" w:type="dxa"/>
            <w:gridSpan w:val="2"/>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Meetings</w:t>
            </w:r>
          </w:p>
        </w:tc>
        <w:tc>
          <w:tcPr>
            <w:tcW w:w="1692" w:type="dxa"/>
            <w:vMerge w:val="restart"/>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Conferences</w:t>
            </w:r>
          </w:p>
        </w:tc>
      </w:tr>
      <w:tr w:rsidR="001B65FF">
        <w:trPr>
          <w:trHeight w:val="895"/>
        </w:trPr>
        <w:tc>
          <w:tcPr>
            <w:tcW w:w="2808" w:type="dxa"/>
            <w:gridSpan w:val="2"/>
            <w:vMerge/>
            <w:vAlign w:val="center"/>
          </w:tcPr>
          <w:p w:rsidR="001B65FF" w:rsidRDefault="001B65FF">
            <w:pPr>
              <w:spacing w:before="240"/>
              <w:rPr>
                <w:rFonts w:ascii="Times New Roman" w:hAnsi="Times New Roman" w:cs="Times New Roman"/>
                <w:bCs/>
                <w:noProof/>
                <w:sz w:val="20"/>
                <w:szCs w:val="20"/>
              </w:rPr>
            </w:pPr>
          </w:p>
        </w:tc>
        <w:tc>
          <w:tcPr>
            <w:tcW w:w="144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Open public consultation</w:t>
            </w:r>
          </w:p>
        </w:tc>
        <w:tc>
          <w:tcPr>
            <w:tcW w:w="135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Targeted survey 1</w:t>
            </w:r>
          </w:p>
        </w:tc>
        <w:tc>
          <w:tcPr>
            <w:tcW w:w="126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Targeted survey 2</w:t>
            </w:r>
          </w:p>
        </w:tc>
        <w:tc>
          <w:tcPr>
            <w:tcW w:w="108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 xml:space="preserve">Targeted survey 3 </w:t>
            </w:r>
          </w:p>
        </w:tc>
        <w:tc>
          <w:tcPr>
            <w:tcW w:w="108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Targeted survey 4</w:t>
            </w:r>
          </w:p>
        </w:tc>
        <w:tc>
          <w:tcPr>
            <w:tcW w:w="180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Group</w:t>
            </w:r>
          </w:p>
        </w:tc>
        <w:tc>
          <w:tcPr>
            <w:tcW w:w="171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Bilateral</w:t>
            </w:r>
          </w:p>
        </w:tc>
        <w:tc>
          <w:tcPr>
            <w:tcW w:w="1692" w:type="dxa"/>
            <w:vMerge/>
          </w:tcPr>
          <w:p w:rsidR="001B65FF" w:rsidRDefault="001B65FF">
            <w:pPr>
              <w:spacing w:before="240"/>
              <w:jc w:val="center"/>
              <w:rPr>
                <w:rFonts w:ascii="Times New Roman" w:hAnsi="Times New Roman" w:cs="Times New Roman"/>
                <w:bCs/>
                <w:noProof/>
                <w:sz w:val="20"/>
                <w:szCs w:val="20"/>
              </w:rPr>
            </w:pPr>
          </w:p>
        </w:tc>
      </w:tr>
      <w:tr w:rsidR="001B65FF">
        <w:tc>
          <w:tcPr>
            <w:tcW w:w="1021" w:type="dxa"/>
            <w:vMerge w:val="restart"/>
            <w:vAlign w:val="center"/>
          </w:tcPr>
          <w:p w:rsidR="001B65FF" w:rsidRDefault="003E4EF4">
            <w:pPr>
              <w:spacing w:before="240"/>
              <w:jc w:val="center"/>
              <w:rPr>
                <w:rFonts w:ascii="Times New Roman" w:hAnsi="Times New Roman" w:cs="Times New Roman"/>
                <w:b/>
                <w:bCs/>
                <w:noProof/>
                <w:sz w:val="20"/>
                <w:szCs w:val="20"/>
              </w:rPr>
            </w:pPr>
            <w:r>
              <w:rPr>
                <w:rFonts w:ascii="Times New Roman" w:hAnsi="Times New Roman" w:cs="Times New Roman"/>
                <w:b/>
                <w:bCs/>
                <w:noProof/>
                <w:sz w:val="20"/>
                <w:szCs w:val="20"/>
              </w:rPr>
              <w:t>WHO</w:t>
            </w:r>
          </w:p>
        </w:tc>
        <w:tc>
          <w:tcPr>
            <w:tcW w:w="1787" w:type="dxa"/>
          </w:tcPr>
          <w:p w:rsidR="001B65FF" w:rsidRDefault="003E4EF4">
            <w:pPr>
              <w:spacing w:before="240"/>
              <w:rPr>
                <w:rFonts w:ascii="Times New Roman" w:hAnsi="Times New Roman" w:cs="Times New Roman"/>
                <w:bCs/>
                <w:noProof/>
                <w:sz w:val="20"/>
                <w:szCs w:val="20"/>
              </w:rPr>
            </w:pPr>
            <w:r>
              <w:rPr>
                <w:rFonts w:ascii="Times New Roman" w:hAnsi="Times New Roman" w:cs="Times New Roman"/>
                <w:bCs/>
                <w:noProof/>
                <w:sz w:val="20"/>
                <w:szCs w:val="20"/>
              </w:rPr>
              <w:t>Citizens</w:t>
            </w:r>
          </w:p>
        </w:tc>
        <w:tc>
          <w:tcPr>
            <w:tcW w:w="144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350" w:type="dxa"/>
          </w:tcPr>
          <w:p w:rsidR="001B65FF" w:rsidRDefault="001B65FF">
            <w:pPr>
              <w:spacing w:before="240"/>
              <w:jc w:val="center"/>
              <w:rPr>
                <w:rFonts w:ascii="Times New Roman" w:hAnsi="Times New Roman" w:cs="Times New Roman"/>
                <w:b/>
                <w:bCs/>
                <w:noProof/>
                <w:sz w:val="28"/>
                <w:szCs w:val="28"/>
              </w:rPr>
            </w:pPr>
          </w:p>
        </w:tc>
        <w:tc>
          <w:tcPr>
            <w:tcW w:w="126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800" w:type="dxa"/>
          </w:tcPr>
          <w:p w:rsidR="001B65FF" w:rsidRDefault="001B65FF">
            <w:pPr>
              <w:spacing w:before="240"/>
              <w:jc w:val="center"/>
              <w:rPr>
                <w:rFonts w:ascii="Times New Roman" w:hAnsi="Times New Roman" w:cs="Times New Roman"/>
                <w:b/>
                <w:bCs/>
                <w:noProof/>
                <w:sz w:val="28"/>
                <w:szCs w:val="28"/>
              </w:rPr>
            </w:pPr>
          </w:p>
        </w:tc>
        <w:tc>
          <w:tcPr>
            <w:tcW w:w="1710" w:type="dxa"/>
          </w:tcPr>
          <w:p w:rsidR="001B65FF" w:rsidRDefault="001B65FF">
            <w:pPr>
              <w:spacing w:before="240"/>
              <w:jc w:val="center"/>
              <w:rPr>
                <w:rFonts w:ascii="Times New Roman" w:hAnsi="Times New Roman" w:cs="Times New Roman"/>
                <w:b/>
                <w:bCs/>
                <w:noProof/>
                <w:sz w:val="28"/>
                <w:szCs w:val="28"/>
              </w:rPr>
            </w:pPr>
          </w:p>
        </w:tc>
        <w:tc>
          <w:tcPr>
            <w:tcW w:w="1692"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r>
      <w:tr w:rsidR="001B65FF">
        <w:tc>
          <w:tcPr>
            <w:tcW w:w="1021" w:type="dxa"/>
            <w:vMerge/>
          </w:tcPr>
          <w:p w:rsidR="001B65FF" w:rsidRDefault="001B65FF">
            <w:pPr>
              <w:spacing w:before="240"/>
              <w:rPr>
                <w:rFonts w:ascii="Times New Roman" w:hAnsi="Times New Roman" w:cs="Times New Roman"/>
                <w:bCs/>
                <w:noProof/>
                <w:sz w:val="20"/>
                <w:szCs w:val="20"/>
              </w:rPr>
            </w:pPr>
          </w:p>
        </w:tc>
        <w:tc>
          <w:tcPr>
            <w:tcW w:w="1787" w:type="dxa"/>
          </w:tcPr>
          <w:p w:rsidR="001B65FF" w:rsidRDefault="003E4EF4">
            <w:pPr>
              <w:spacing w:before="240"/>
              <w:rPr>
                <w:rFonts w:ascii="Times New Roman" w:hAnsi="Times New Roman" w:cs="Times New Roman"/>
                <w:bCs/>
                <w:noProof/>
                <w:sz w:val="20"/>
                <w:szCs w:val="20"/>
              </w:rPr>
            </w:pPr>
            <w:r>
              <w:rPr>
                <w:rFonts w:ascii="Times New Roman" w:hAnsi="Times New Roman" w:cs="Times New Roman"/>
                <w:bCs/>
                <w:noProof/>
                <w:sz w:val="20"/>
                <w:szCs w:val="20"/>
              </w:rPr>
              <w:t>Service providers</w:t>
            </w:r>
          </w:p>
        </w:tc>
        <w:tc>
          <w:tcPr>
            <w:tcW w:w="144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350" w:type="dxa"/>
          </w:tcPr>
          <w:p w:rsidR="001B65FF" w:rsidRDefault="001B65FF">
            <w:pPr>
              <w:spacing w:before="240"/>
              <w:jc w:val="center"/>
              <w:rPr>
                <w:rFonts w:ascii="Times New Roman" w:hAnsi="Times New Roman" w:cs="Times New Roman"/>
                <w:b/>
                <w:bCs/>
                <w:noProof/>
                <w:sz w:val="28"/>
                <w:szCs w:val="28"/>
              </w:rPr>
            </w:pPr>
          </w:p>
        </w:tc>
        <w:tc>
          <w:tcPr>
            <w:tcW w:w="126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80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71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692"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r>
      <w:tr w:rsidR="001B65FF">
        <w:tc>
          <w:tcPr>
            <w:tcW w:w="1021" w:type="dxa"/>
            <w:vMerge/>
          </w:tcPr>
          <w:p w:rsidR="001B65FF" w:rsidRDefault="001B65FF">
            <w:pPr>
              <w:spacing w:before="240"/>
              <w:rPr>
                <w:rFonts w:ascii="Times New Roman" w:hAnsi="Times New Roman" w:cs="Times New Roman"/>
                <w:bCs/>
                <w:noProof/>
                <w:sz w:val="20"/>
                <w:szCs w:val="20"/>
              </w:rPr>
            </w:pPr>
          </w:p>
        </w:tc>
        <w:tc>
          <w:tcPr>
            <w:tcW w:w="1787" w:type="dxa"/>
          </w:tcPr>
          <w:p w:rsidR="001B65FF" w:rsidRDefault="003E4EF4">
            <w:pPr>
              <w:spacing w:before="240"/>
              <w:rPr>
                <w:rFonts w:ascii="Times New Roman" w:hAnsi="Times New Roman" w:cs="Times New Roman"/>
                <w:bCs/>
                <w:noProof/>
                <w:sz w:val="20"/>
                <w:szCs w:val="20"/>
              </w:rPr>
            </w:pPr>
            <w:r>
              <w:rPr>
                <w:rFonts w:ascii="Times New Roman" w:hAnsi="Times New Roman" w:cs="Times New Roman"/>
                <w:bCs/>
                <w:noProof/>
                <w:sz w:val="20"/>
                <w:szCs w:val="20"/>
              </w:rPr>
              <w:t>Public authorities</w:t>
            </w:r>
          </w:p>
        </w:tc>
        <w:tc>
          <w:tcPr>
            <w:tcW w:w="144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35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26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08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080" w:type="dxa"/>
          </w:tcPr>
          <w:p w:rsidR="001B65FF" w:rsidRDefault="001B65FF">
            <w:pPr>
              <w:spacing w:before="240"/>
              <w:jc w:val="center"/>
              <w:rPr>
                <w:rFonts w:ascii="Times New Roman" w:hAnsi="Times New Roman" w:cs="Times New Roman"/>
                <w:b/>
                <w:bCs/>
                <w:noProof/>
                <w:sz w:val="28"/>
                <w:szCs w:val="28"/>
              </w:rPr>
            </w:pPr>
          </w:p>
        </w:tc>
        <w:tc>
          <w:tcPr>
            <w:tcW w:w="180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71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692"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r>
      <w:tr w:rsidR="001B65FF">
        <w:tc>
          <w:tcPr>
            <w:tcW w:w="1021" w:type="dxa"/>
            <w:vMerge/>
          </w:tcPr>
          <w:p w:rsidR="001B65FF" w:rsidRDefault="001B65FF">
            <w:pPr>
              <w:spacing w:before="240"/>
              <w:rPr>
                <w:rFonts w:ascii="Times New Roman" w:hAnsi="Times New Roman" w:cs="Times New Roman"/>
                <w:bCs/>
                <w:noProof/>
                <w:sz w:val="20"/>
                <w:szCs w:val="20"/>
              </w:rPr>
            </w:pPr>
          </w:p>
        </w:tc>
        <w:tc>
          <w:tcPr>
            <w:tcW w:w="1787" w:type="dxa"/>
          </w:tcPr>
          <w:p w:rsidR="001B65FF" w:rsidRDefault="003E4EF4">
            <w:pPr>
              <w:spacing w:before="240"/>
              <w:rPr>
                <w:rFonts w:ascii="Times New Roman" w:hAnsi="Times New Roman" w:cs="Times New Roman"/>
                <w:bCs/>
                <w:noProof/>
                <w:sz w:val="20"/>
                <w:szCs w:val="20"/>
              </w:rPr>
            </w:pPr>
            <w:r>
              <w:rPr>
                <w:rFonts w:ascii="Times New Roman" w:hAnsi="Times New Roman" w:cs="Times New Roman"/>
                <w:bCs/>
                <w:noProof/>
                <w:sz w:val="20"/>
                <w:szCs w:val="20"/>
              </w:rPr>
              <w:t>Practitioners</w:t>
            </w:r>
          </w:p>
        </w:tc>
        <w:tc>
          <w:tcPr>
            <w:tcW w:w="144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350" w:type="dxa"/>
          </w:tcPr>
          <w:p w:rsidR="001B65FF" w:rsidRDefault="001B65FF">
            <w:pPr>
              <w:spacing w:before="240"/>
              <w:jc w:val="center"/>
              <w:rPr>
                <w:rFonts w:ascii="Times New Roman" w:hAnsi="Times New Roman" w:cs="Times New Roman"/>
                <w:b/>
                <w:bCs/>
                <w:noProof/>
                <w:sz w:val="28"/>
                <w:szCs w:val="28"/>
              </w:rPr>
            </w:pPr>
          </w:p>
        </w:tc>
        <w:tc>
          <w:tcPr>
            <w:tcW w:w="126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80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71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692"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r>
      <w:tr w:rsidR="001B65FF">
        <w:tc>
          <w:tcPr>
            <w:tcW w:w="1021" w:type="dxa"/>
            <w:vMerge/>
          </w:tcPr>
          <w:p w:rsidR="001B65FF" w:rsidRDefault="001B65FF">
            <w:pPr>
              <w:spacing w:before="240"/>
              <w:rPr>
                <w:rFonts w:ascii="Times New Roman" w:hAnsi="Times New Roman" w:cs="Times New Roman"/>
                <w:bCs/>
                <w:noProof/>
                <w:sz w:val="20"/>
                <w:szCs w:val="20"/>
              </w:rPr>
            </w:pPr>
          </w:p>
        </w:tc>
        <w:tc>
          <w:tcPr>
            <w:tcW w:w="1787" w:type="dxa"/>
          </w:tcPr>
          <w:p w:rsidR="001B65FF" w:rsidRDefault="003E4EF4">
            <w:pPr>
              <w:spacing w:before="240"/>
              <w:rPr>
                <w:rFonts w:ascii="Times New Roman" w:hAnsi="Times New Roman" w:cs="Times New Roman"/>
                <w:bCs/>
                <w:noProof/>
                <w:sz w:val="20"/>
                <w:szCs w:val="20"/>
              </w:rPr>
            </w:pPr>
            <w:r>
              <w:rPr>
                <w:rFonts w:ascii="Times New Roman" w:hAnsi="Times New Roman" w:cs="Times New Roman"/>
                <w:bCs/>
                <w:noProof/>
                <w:sz w:val="20"/>
                <w:szCs w:val="20"/>
              </w:rPr>
              <w:t>NGOs</w:t>
            </w:r>
          </w:p>
        </w:tc>
        <w:tc>
          <w:tcPr>
            <w:tcW w:w="144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350" w:type="dxa"/>
          </w:tcPr>
          <w:p w:rsidR="001B65FF" w:rsidRDefault="001B65FF">
            <w:pPr>
              <w:spacing w:before="240"/>
              <w:jc w:val="center"/>
              <w:rPr>
                <w:rFonts w:ascii="Times New Roman" w:hAnsi="Times New Roman" w:cs="Times New Roman"/>
                <w:b/>
                <w:bCs/>
                <w:noProof/>
                <w:sz w:val="28"/>
                <w:szCs w:val="28"/>
              </w:rPr>
            </w:pPr>
          </w:p>
        </w:tc>
        <w:tc>
          <w:tcPr>
            <w:tcW w:w="126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80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71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692"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r>
      <w:tr w:rsidR="001B65FF">
        <w:tc>
          <w:tcPr>
            <w:tcW w:w="1021" w:type="dxa"/>
            <w:vMerge/>
          </w:tcPr>
          <w:p w:rsidR="001B65FF" w:rsidRDefault="001B65FF">
            <w:pPr>
              <w:spacing w:before="240"/>
              <w:rPr>
                <w:rFonts w:ascii="Times New Roman" w:hAnsi="Times New Roman" w:cs="Times New Roman"/>
                <w:bCs/>
                <w:noProof/>
                <w:sz w:val="20"/>
                <w:szCs w:val="20"/>
              </w:rPr>
            </w:pPr>
          </w:p>
        </w:tc>
        <w:tc>
          <w:tcPr>
            <w:tcW w:w="1787" w:type="dxa"/>
          </w:tcPr>
          <w:p w:rsidR="001B65FF" w:rsidRDefault="003E4EF4">
            <w:pPr>
              <w:spacing w:before="240"/>
              <w:rPr>
                <w:rFonts w:ascii="Times New Roman" w:hAnsi="Times New Roman" w:cs="Times New Roman"/>
                <w:bCs/>
                <w:noProof/>
                <w:sz w:val="20"/>
                <w:szCs w:val="20"/>
              </w:rPr>
            </w:pPr>
            <w:r>
              <w:rPr>
                <w:rFonts w:ascii="Times New Roman" w:hAnsi="Times New Roman" w:cs="Times New Roman"/>
                <w:bCs/>
                <w:noProof/>
                <w:sz w:val="20"/>
                <w:szCs w:val="20"/>
              </w:rPr>
              <w:t>IGOs</w:t>
            </w:r>
          </w:p>
        </w:tc>
        <w:tc>
          <w:tcPr>
            <w:tcW w:w="144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350" w:type="dxa"/>
          </w:tcPr>
          <w:p w:rsidR="001B65FF" w:rsidRDefault="001B65FF">
            <w:pPr>
              <w:spacing w:before="240"/>
              <w:jc w:val="center"/>
              <w:rPr>
                <w:rFonts w:ascii="Times New Roman" w:hAnsi="Times New Roman" w:cs="Times New Roman"/>
                <w:b/>
                <w:bCs/>
                <w:noProof/>
                <w:sz w:val="28"/>
                <w:szCs w:val="28"/>
              </w:rPr>
            </w:pPr>
          </w:p>
        </w:tc>
        <w:tc>
          <w:tcPr>
            <w:tcW w:w="126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80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71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692"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r>
      <w:tr w:rsidR="001B65FF">
        <w:tc>
          <w:tcPr>
            <w:tcW w:w="1021" w:type="dxa"/>
            <w:vMerge/>
          </w:tcPr>
          <w:p w:rsidR="001B65FF" w:rsidRDefault="001B65FF">
            <w:pPr>
              <w:spacing w:before="240"/>
              <w:rPr>
                <w:rFonts w:ascii="Times New Roman" w:hAnsi="Times New Roman" w:cs="Times New Roman"/>
                <w:bCs/>
                <w:noProof/>
                <w:sz w:val="20"/>
                <w:szCs w:val="20"/>
              </w:rPr>
            </w:pPr>
          </w:p>
        </w:tc>
        <w:tc>
          <w:tcPr>
            <w:tcW w:w="1787" w:type="dxa"/>
          </w:tcPr>
          <w:p w:rsidR="001B65FF" w:rsidRDefault="003E4EF4">
            <w:pPr>
              <w:spacing w:before="240"/>
              <w:rPr>
                <w:rFonts w:ascii="Times New Roman" w:hAnsi="Times New Roman" w:cs="Times New Roman"/>
                <w:bCs/>
                <w:noProof/>
                <w:sz w:val="20"/>
                <w:szCs w:val="20"/>
              </w:rPr>
            </w:pPr>
            <w:r>
              <w:rPr>
                <w:rFonts w:ascii="Times New Roman" w:hAnsi="Times New Roman" w:cs="Times New Roman"/>
                <w:bCs/>
                <w:noProof/>
                <w:sz w:val="20"/>
                <w:szCs w:val="20"/>
              </w:rPr>
              <w:t>EU institutions and agencies</w:t>
            </w:r>
          </w:p>
        </w:tc>
        <w:tc>
          <w:tcPr>
            <w:tcW w:w="144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350" w:type="dxa"/>
          </w:tcPr>
          <w:p w:rsidR="001B65FF" w:rsidRDefault="001B65FF">
            <w:pPr>
              <w:spacing w:before="240"/>
              <w:jc w:val="center"/>
              <w:rPr>
                <w:rFonts w:ascii="Times New Roman" w:hAnsi="Times New Roman" w:cs="Times New Roman"/>
                <w:b/>
                <w:bCs/>
                <w:noProof/>
                <w:sz w:val="28"/>
                <w:szCs w:val="28"/>
              </w:rPr>
            </w:pPr>
          </w:p>
        </w:tc>
        <w:tc>
          <w:tcPr>
            <w:tcW w:w="126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80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71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692"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r>
      <w:tr w:rsidR="001B65FF">
        <w:tc>
          <w:tcPr>
            <w:tcW w:w="1021" w:type="dxa"/>
            <w:vMerge/>
          </w:tcPr>
          <w:p w:rsidR="001B65FF" w:rsidRDefault="001B65FF">
            <w:pPr>
              <w:spacing w:before="240"/>
              <w:rPr>
                <w:rFonts w:ascii="Times New Roman" w:hAnsi="Times New Roman" w:cs="Times New Roman"/>
                <w:bCs/>
                <w:noProof/>
                <w:sz w:val="20"/>
                <w:szCs w:val="20"/>
              </w:rPr>
            </w:pPr>
          </w:p>
        </w:tc>
        <w:tc>
          <w:tcPr>
            <w:tcW w:w="1787" w:type="dxa"/>
          </w:tcPr>
          <w:p w:rsidR="001B65FF" w:rsidRDefault="003E4EF4">
            <w:pPr>
              <w:spacing w:before="240"/>
              <w:rPr>
                <w:rFonts w:ascii="Times New Roman" w:hAnsi="Times New Roman" w:cs="Times New Roman"/>
                <w:bCs/>
                <w:noProof/>
                <w:sz w:val="20"/>
                <w:szCs w:val="20"/>
              </w:rPr>
            </w:pPr>
            <w:r>
              <w:rPr>
                <w:rFonts w:ascii="Times New Roman" w:hAnsi="Times New Roman" w:cs="Times New Roman"/>
                <w:bCs/>
                <w:noProof/>
                <w:sz w:val="20"/>
                <w:szCs w:val="20"/>
              </w:rPr>
              <w:t>Academia</w:t>
            </w:r>
          </w:p>
        </w:tc>
        <w:tc>
          <w:tcPr>
            <w:tcW w:w="144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350" w:type="dxa"/>
          </w:tcPr>
          <w:p w:rsidR="001B65FF" w:rsidRDefault="001B65FF">
            <w:pPr>
              <w:spacing w:before="240"/>
              <w:jc w:val="center"/>
              <w:rPr>
                <w:rFonts w:ascii="Times New Roman" w:hAnsi="Times New Roman" w:cs="Times New Roman"/>
                <w:b/>
                <w:bCs/>
                <w:noProof/>
                <w:sz w:val="28"/>
                <w:szCs w:val="28"/>
              </w:rPr>
            </w:pPr>
          </w:p>
        </w:tc>
        <w:tc>
          <w:tcPr>
            <w:tcW w:w="126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080" w:type="dxa"/>
          </w:tcPr>
          <w:p w:rsidR="001B65FF" w:rsidRDefault="001B65FF">
            <w:pPr>
              <w:spacing w:before="240"/>
              <w:jc w:val="center"/>
              <w:rPr>
                <w:rFonts w:ascii="Times New Roman" w:hAnsi="Times New Roman" w:cs="Times New Roman"/>
                <w:b/>
                <w:bCs/>
                <w:noProof/>
                <w:sz w:val="28"/>
                <w:szCs w:val="28"/>
              </w:rPr>
            </w:pPr>
          </w:p>
        </w:tc>
        <w:tc>
          <w:tcPr>
            <w:tcW w:w="180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710"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c>
          <w:tcPr>
            <w:tcW w:w="1692" w:type="dxa"/>
          </w:tcPr>
          <w:p w:rsidR="001B65FF" w:rsidRDefault="003E4EF4">
            <w:pPr>
              <w:spacing w:before="240"/>
              <w:jc w:val="center"/>
              <w:rPr>
                <w:rFonts w:ascii="Times New Roman" w:hAnsi="Times New Roman" w:cs="Times New Roman"/>
                <w:b/>
                <w:bCs/>
                <w:noProof/>
                <w:sz w:val="28"/>
                <w:szCs w:val="28"/>
              </w:rPr>
            </w:pPr>
            <w:r>
              <w:rPr>
                <w:rFonts w:ascii="Times New Roman" w:hAnsi="Times New Roman" w:cs="Times New Roman"/>
                <w:b/>
                <w:bCs/>
                <w:noProof/>
                <w:sz w:val="28"/>
                <w:szCs w:val="28"/>
              </w:rPr>
              <w:sym w:font="Wingdings" w:char="F0FC"/>
            </w:r>
          </w:p>
        </w:tc>
      </w:tr>
      <w:tr w:rsidR="001B65FF">
        <w:trPr>
          <w:trHeight w:val="868"/>
        </w:trPr>
        <w:tc>
          <w:tcPr>
            <w:tcW w:w="2808" w:type="dxa"/>
            <w:gridSpan w:val="2"/>
            <w:vMerge w:val="restart"/>
          </w:tcPr>
          <w:p w:rsidR="001B65FF" w:rsidRDefault="001B65FF">
            <w:pPr>
              <w:spacing w:before="240"/>
              <w:rPr>
                <w:rFonts w:ascii="Times New Roman" w:hAnsi="Times New Roman" w:cs="Times New Roman"/>
                <w:bCs/>
                <w:noProof/>
                <w:sz w:val="20"/>
                <w:szCs w:val="20"/>
              </w:rPr>
            </w:pPr>
          </w:p>
        </w:tc>
        <w:tc>
          <w:tcPr>
            <w:tcW w:w="144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 xml:space="preserve">Problem definition and options </w:t>
            </w:r>
          </w:p>
        </w:tc>
        <w:tc>
          <w:tcPr>
            <w:tcW w:w="135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Problem definition and options</w:t>
            </w:r>
          </w:p>
        </w:tc>
        <w:tc>
          <w:tcPr>
            <w:tcW w:w="126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Size of the problem</w:t>
            </w:r>
          </w:p>
        </w:tc>
        <w:tc>
          <w:tcPr>
            <w:tcW w:w="108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Costs and benefits</w:t>
            </w:r>
          </w:p>
        </w:tc>
        <w:tc>
          <w:tcPr>
            <w:tcW w:w="108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Costs and benefits</w:t>
            </w:r>
          </w:p>
        </w:tc>
        <w:tc>
          <w:tcPr>
            <w:tcW w:w="180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Problem definition, options and impacts</w:t>
            </w:r>
          </w:p>
        </w:tc>
        <w:tc>
          <w:tcPr>
            <w:tcW w:w="1710"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 xml:space="preserve">Problem </w:t>
            </w:r>
            <w:r>
              <w:rPr>
                <w:rFonts w:ascii="Times New Roman" w:hAnsi="Times New Roman" w:cs="Times New Roman"/>
                <w:bCs/>
                <w:noProof/>
                <w:sz w:val="20"/>
                <w:szCs w:val="20"/>
              </w:rPr>
              <w:t>definition, options and impacts</w:t>
            </w:r>
          </w:p>
        </w:tc>
        <w:tc>
          <w:tcPr>
            <w:tcW w:w="1692" w:type="dxa"/>
          </w:tcPr>
          <w:p w:rsidR="001B65FF" w:rsidRDefault="003E4EF4">
            <w:pPr>
              <w:spacing w:before="240"/>
              <w:jc w:val="center"/>
              <w:rPr>
                <w:rFonts w:ascii="Times New Roman" w:hAnsi="Times New Roman" w:cs="Times New Roman"/>
                <w:bCs/>
                <w:noProof/>
                <w:sz w:val="20"/>
                <w:szCs w:val="20"/>
              </w:rPr>
            </w:pPr>
            <w:r>
              <w:rPr>
                <w:rFonts w:ascii="Times New Roman" w:hAnsi="Times New Roman" w:cs="Times New Roman"/>
                <w:bCs/>
                <w:noProof/>
                <w:sz w:val="20"/>
                <w:szCs w:val="20"/>
              </w:rPr>
              <w:t>Problem definition, options and impacts</w:t>
            </w:r>
          </w:p>
        </w:tc>
      </w:tr>
      <w:tr w:rsidR="001B65FF">
        <w:trPr>
          <w:trHeight w:val="364"/>
        </w:trPr>
        <w:tc>
          <w:tcPr>
            <w:tcW w:w="2808" w:type="dxa"/>
            <w:gridSpan w:val="2"/>
            <w:vMerge/>
          </w:tcPr>
          <w:p w:rsidR="001B65FF" w:rsidRDefault="001B65FF">
            <w:pPr>
              <w:spacing w:before="240"/>
              <w:rPr>
                <w:rFonts w:ascii="Times New Roman" w:hAnsi="Times New Roman" w:cs="Times New Roman"/>
                <w:bCs/>
                <w:noProof/>
                <w:sz w:val="20"/>
                <w:szCs w:val="20"/>
              </w:rPr>
            </w:pPr>
          </w:p>
        </w:tc>
        <w:tc>
          <w:tcPr>
            <w:tcW w:w="11412" w:type="dxa"/>
            <w:gridSpan w:val="8"/>
          </w:tcPr>
          <w:p w:rsidR="001B65FF" w:rsidRDefault="003E4EF4">
            <w:pPr>
              <w:spacing w:before="240"/>
              <w:jc w:val="center"/>
              <w:rPr>
                <w:rFonts w:ascii="Times New Roman" w:hAnsi="Times New Roman" w:cs="Times New Roman"/>
                <w:b/>
                <w:bCs/>
                <w:noProof/>
                <w:sz w:val="20"/>
                <w:szCs w:val="20"/>
              </w:rPr>
            </w:pPr>
            <w:r>
              <w:rPr>
                <w:rFonts w:ascii="Times New Roman" w:hAnsi="Times New Roman" w:cs="Times New Roman"/>
                <w:b/>
                <w:bCs/>
                <w:noProof/>
                <w:sz w:val="20"/>
                <w:szCs w:val="20"/>
              </w:rPr>
              <w:t>WHAT</w:t>
            </w:r>
          </w:p>
        </w:tc>
      </w:tr>
    </w:tbl>
    <w:p w:rsidR="001B65FF" w:rsidRDefault="001B65FF">
      <w:pPr>
        <w:spacing w:before="240"/>
        <w:jc w:val="both"/>
        <w:rPr>
          <w:rFonts w:ascii="Times New Roman" w:hAnsi="Times New Roman" w:cs="Times New Roman"/>
          <w:bCs/>
          <w:noProof/>
          <w:sz w:val="24"/>
        </w:rPr>
      </w:pPr>
    </w:p>
    <w:p w:rsidR="001B65FF" w:rsidRDefault="001B65FF">
      <w:pPr>
        <w:jc w:val="both"/>
        <w:rPr>
          <w:rFonts w:ascii="Times New Roman" w:hAnsi="Times New Roman" w:cs="Times New Roman"/>
          <w:bCs/>
          <w:noProof/>
          <w:sz w:val="24"/>
        </w:rPr>
        <w:sectPr w:rsidR="001B65FF">
          <w:headerReference w:type="even" r:id="rId71"/>
          <w:headerReference w:type="default" r:id="rId72"/>
          <w:footerReference w:type="even" r:id="rId73"/>
          <w:footerReference w:type="default" r:id="rId74"/>
          <w:headerReference w:type="first" r:id="rId75"/>
          <w:footerReference w:type="first" r:id="rId76"/>
          <w:pgSz w:w="16838" w:h="11906" w:orient="landscape"/>
          <w:pgMar w:top="1417" w:right="1417" w:bottom="1260" w:left="1417" w:header="708" w:footer="708" w:gutter="0"/>
          <w:cols w:space="708"/>
          <w:docGrid w:linePitch="360"/>
        </w:sectPr>
      </w:pPr>
    </w:p>
    <w:p w:rsidR="001B65FF" w:rsidRDefault="003E4EF4">
      <w:pPr>
        <w:numPr>
          <w:ilvl w:val="0"/>
          <w:numId w:val="114"/>
        </w:numPr>
        <w:contextualSpacing/>
        <w:jc w:val="both"/>
        <w:rPr>
          <w:rFonts w:ascii="Times New Roman" w:hAnsi="Times New Roman" w:cs="Times New Roman"/>
          <w:b/>
          <w:bCs/>
          <w:noProof/>
          <w:sz w:val="24"/>
        </w:rPr>
      </w:pPr>
      <w:r>
        <w:rPr>
          <w:rFonts w:ascii="Times New Roman" w:hAnsi="Times New Roman" w:cs="Times New Roman"/>
          <w:b/>
          <w:bCs/>
          <w:noProof/>
          <w:sz w:val="24"/>
        </w:rPr>
        <w:t>Results of the consultation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following sections present a summary of the main results of the consultation activities. </w:t>
      </w:r>
    </w:p>
    <w:p w:rsidR="001B65FF" w:rsidRDefault="003E4EF4">
      <w:pPr>
        <w:jc w:val="both"/>
        <w:rPr>
          <w:rFonts w:ascii="Times New Roman" w:hAnsi="Times New Roman" w:cs="Times New Roman"/>
          <w:noProof/>
          <w:sz w:val="24"/>
          <w:u w:val="single"/>
        </w:rPr>
      </w:pPr>
      <w:r>
        <w:rPr>
          <w:rFonts w:ascii="Times New Roman" w:hAnsi="Times New Roman" w:cs="Times New Roman"/>
          <w:noProof/>
          <w:sz w:val="24"/>
          <w:u w:val="single"/>
        </w:rPr>
        <w:t>Open public consultation</w:t>
      </w:r>
    </w:p>
    <w:p w:rsidR="001B65FF" w:rsidRDefault="003E4EF4">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increasing use of information society services are perceived as a challenge to the work of law enforcement and judicial authorities by </w:t>
      </w:r>
      <w:r>
        <w:rPr>
          <w:rFonts w:ascii="Times New Roman" w:hAnsi="Times New Roman"/>
          <w:b/>
          <w:noProof/>
          <w:sz w:val="24"/>
          <w:lang w:eastAsia="en-GB"/>
        </w:rPr>
        <w:t>nearly half</w:t>
      </w:r>
      <w:r>
        <w:rPr>
          <w:rFonts w:ascii="Times New Roman" w:hAnsi="Times New Roman" w:cs="Times New Roman"/>
          <w:noProof/>
          <w:sz w:val="24"/>
          <w:szCs w:val="24"/>
          <w:lang w:eastAsia="en-GB"/>
        </w:rPr>
        <w:t xml:space="preserve"> of the public survey respondents</w:t>
      </w:r>
      <w:r>
        <w:rPr>
          <w:rStyle w:val="FootnoteReference"/>
          <w:rFonts w:ascii="Times New Roman" w:hAnsi="Times New Roman" w:cs="Times New Roman"/>
          <w:noProof/>
          <w:sz w:val="24"/>
          <w:szCs w:val="24"/>
          <w:lang w:eastAsia="en-GB"/>
        </w:rPr>
        <w:footnoteReference w:id="132"/>
      </w:r>
      <w:r>
        <w:rPr>
          <w:rFonts w:ascii="Times New Roman" w:hAnsi="Times New Roman" w:cs="Times New Roman"/>
          <w:noProof/>
          <w:sz w:val="24"/>
          <w:szCs w:val="24"/>
          <w:lang w:eastAsia="en-GB"/>
        </w:rPr>
        <w:t>. In their comments, respondents repeatedly ide</w:t>
      </w:r>
      <w:r>
        <w:rPr>
          <w:rFonts w:ascii="Times New Roman" w:hAnsi="Times New Roman" w:cs="Times New Roman"/>
          <w:noProof/>
          <w:sz w:val="24"/>
          <w:szCs w:val="24"/>
          <w:lang w:eastAsia="en-GB"/>
        </w:rPr>
        <w:t>ntified following aspects relevant to criminal investigation:</w:t>
      </w:r>
    </w:p>
    <w:p w:rsidR="001B65FF" w:rsidRDefault="003E4EF4">
      <w:pPr>
        <w:pStyle w:val="ListParagraph"/>
        <w:numPr>
          <w:ilvl w:val="0"/>
          <w:numId w:val="134"/>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borderless nature of the internet;</w:t>
      </w:r>
    </w:p>
    <w:p w:rsidR="001B65FF" w:rsidRDefault="003E4EF4">
      <w:pPr>
        <w:pStyle w:val="ListParagraph"/>
        <w:numPr>
          <w:ilvl w:val="0"/>
          <w:numId w:val="134"/>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use of encryption;</w:t>
      </w:r>
    </w:p>
    <w:p w:rsidR="001B65FF" w:rsidRDefault="003E4EF4">
      <w:pPr>
        <w:pStyle w:val="ListParagraph"/>
        <w:numPr>
          <w:ilvl w:val="0"/>
          <w:numId w:val="134"/>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anonymity;</w:t>
      </w:r>
    </w:p>
    <w:p w:rsidR="001B65FF" w:rsidRDefault="003E4EF4">
      <w:pPr>
        <w:pStyle w:val="ListParagraph"/>
        <w:numPr>
          <w:ilvl w:val="0"/>
          <w:numId w:val="134"/>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ongoing technological development; and</w:t>
      </w:r>
    </w:p>
    <w:p w:rsidR="001B65FF" w:rsidRDefault="003E4EF4">
      <w:pPr>
        <w:pStyle w:val="ListParagraph"/>
        <w:numPr>
          <w:ilvl w:val="0"/>
          <w:numId w:val="134"/>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insufficient technological equipment of law enforcement authorities.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When accessin</w:t>
      </w:r>
      <w:r>
        <w:rPr>
          <w:rFonts w:ascii="Times New Roman" w:hAnsi="Times New Roman" w:cs="Times New Roman"/>
          <w:noProof/>
          <w:sz w:val="24"/>
        </w:rPr>
        <w:t xml:space="preserve">g cross-border e-evidence, law enforcement and judicial authorities face various obstacles. The </w:t>
      </w:r>
      <w:r>
        <w:rPr>
          <w:rFonts w:ascii="Times New Roman" w:hAnsi="Times New Roman"/>
          <w:b/>
          <w:noProof/>
          <w:sz w:val="24"/>
        </w:rPr>
        <w:t>lengthy process</w:t>
      </w:r>
      <w:r>
        <w:rPr>
          <w:rFonts w:ascii="Times New Roman" w:hAnsi="Times New Roman" w:cs="Times New Roman"/>
          <w:noProof/>
          <w:sz w:val="24"/>
        </w:rPr>
        <w:t xml:space="preserve"> to finally receive or access the evidence through judicial cooperation was marked as the most common complication</w:t>
      </w:r>
      <w:r>
        <w:rPr>
          <w:rStyle w:val="FootnoteReference"/>
          <w:rFonts w:ascii="Times New Roman" w:hAnsi="Times New Roman" w:cs="Times New Roman"/>
          <w:noProof/>
          <w:sz w:val="24"/>
        </w:rPr>
        <w:footnoteReference w:id="133"/>
      </w:r>
      <w:r>
        <w:rPr>
          <w:rFonts w:ascii="Times New Roman" w:hAnsi="Times New Roman" w:cs="Times New Roman"/>
          <w:noProof/>
          <w:sz w:val="24"/>
        </w:rPr>
        <w:t xml:space="preserve"> by practitioners from law enf</w:t>
      </w:r>
      <w:r>
        <w:rPr>
          <w:rFonts w:ascii="Times New Roman" w:hAnsi="Times New Roman" w:cs="Times New Roman"/>
          <w:noProof/>
          <w:sz w:val="24"/>
        </w:rPr>
        <w:t>orcement and judicial authorities. The respondents have also identified difficulties to determine where data is stored</w:t>
      </w:r>
      <w:r>
        <w:rPr>
          <w:rStyle w:val="FootnoteReference"/>
          <w:rFonts w:ascii="Times New Roman" w:hAnsi="Times New Roman" w:cs="Times New Roman"/>
          <w:noProof/>
          <w:sz w:val="24"/>
        </w:rPr>
        <w:footnoteReference w:id="134"/>
      </w:r>
      <w:r>
        <w:rPr>
          <w:rFonts w:ascii="Times New Roman" w:hAnsi="Times New Roman" w:cs="Times New Roman"/>
          <w:noProof/>
          <w:sz w:val="24"/>
        </w:rPr>
        <w:t>, difficulties to obtain electronic evidence when the service provider in question has outsourced its computing resources</w:t>
      </w:r>
      <w:r>
        <w:rPr>
          <w:rStyle w:val="FootnoteReference"/>
          <w:rFonts w:ascii="Times New Roman" w:hAnsi="Times New Roman" w:cs="Times New Roman"/>
          <w:noProof/>
          <w:sz w:val="24"/>
        </w:rPr>
        <w:footnoteReference w:id="135"/>
      </w:r>
      <w:r>
        <w:rPr>
          <w:rFonts w:ascii="Times New Roman" w:hAnsi="Times New Roman" w:cs="Times New Roman"/>
          <w:noProof/>
          <w:sz w:val="24"/>
        </w:rPr>
        <w:t>, and unpredict</w:t>
      </w:r>
      <w:r>
        <w:rPr>
          <w:rFonts w:ascii="Times New Roman" w:hAnsi="Times New Roman" w:cs="Times New Roman"/>
          <w:noProof/>
          <w:sz w:val="24"/>
        </w:rPr>
        <w:t>ability of responses by the service provider when the request in not mandatory</w:t>
      </w:r>
      <w:r>
        <w:rPr>
          <w:rStyle w:val="FootnoteReference"/>
          <w:rFonts w:ascii="Times New Roman" w:hAnsi="Times New Roman" w:cs="Times New Roman"/>
          <w:noProof/>
          <w:sz w:val="24"/>
        </w:rPr>
        <w:footnoteReference w:id="136"/>
      </w:r>
      <w:r>
        <w:rPr>
          <w:rFonts w:ascii="Times New Roman" w:hAnsi="Times New Roman" w:cs="Times New Roman"/>
          <w:noProof/>
          <w:sz w:val="24"/>
        </w:rPr>
        <w:t xml:space="preserve"> as "very relevant" or "relevant" issues complicating investigations where electronic evidence is concerned.</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With regard to concerns about a possible negative </w:t>
      </w:r>
      <w:r>
        <w:rPr>
          <w:rFonts w:ascii="Times New Roman" w:hAnsi="Times New Roman"/>
          <w:b/>
          <w:noProof/>
          <w:sz w:val="24"/>
        </w:rPr>
        <w:t>impact on rights</w:t>
      </w:r>
      <w:r>
        <w:rPr>
          <w:rFonts w:ascii="Times New Roman" w:hAnsi="Times New Roman" w:cs="Times New Roman"/>
          <w:noProof/>
          <w:sz w:val="24"/>
        </w:rPr>
        <w:t xml:space="preserve">, </w:t>
      </w:r>
      <w:r>
        <w:rPr>
          <w:rFonts w:ascii="Times New Roman" w:hAnsi="Times New Roman" w:cs="Times New Roman"/>
          <w:noProof/>
          <w:sz w:val="24"/>
        </w:rPr>
        <w:t>which is a relevant issue for most of the public survey respondents</w:t>
      </w:r>
      <w:r>
        <w:rPr>
          <w:rStyle w:val="FootnoteReference"/>
          <w:rFonts w:ascii="Times New Roman" w:hAnsi="Times New Roman" w:cs="Times New Roman"/>
          <w:noProof/>
        </w:rPr>
        <w:footnoteReference w:id="137"/>
      </w:r>
      <w:r>
        <w:rPr>
          <w:rFonts w:ascii="Times New Roman" w:hAnsi="Times New Roman" w:cs="Times New Roman"/>
          <w:noProof/>
          <w:sz w:val="24"/>
        </w:rPr>
        <w:t>, specific safeguards to guarantee fundamental rights are perceived as a necessary condition for any cross-border instrument to access electronic evidence. The respondents expect the initi</w:t>
      </w:r>
      <w:r>
        <w:rPr>
          <w:rFonts w:ascii="Times New Roman" w:hAnsi="Times New Roman" w:cs="Times New Roman"/>
          <w:noProof/>
          <w:sz w:val="24"/>
        </w:rPr>
        <w:t>ative to provide for higher level of legal certainty</w:t>
      </w:r>
      <w:r>
        <w:rPr>
          <w:rStyle w:val="FootnoteReference"/>
          <w:rFonts w:ascii="Times New Roman" w:hAnsi="Times New Roman" w:cs="Times New Roman"/>
          <w:noProof/>
          <w:sz w:val="24"/>
        </w:rPr>
        <w:footnoteReference w:id="138"/>
      </w:r>
      <w:r>
        <w:rPr>
          <w:rFonts w:ascii="Times New Roman" w:hAnsi="Times New Roman" w:cs="Times New Roman"/>
          <w:noProof/>
          <w:sz w:val="24"/>
        </w:rPr>
        <w:t xml:space="preserve"> and these guarantees. Furthermore, a limited number of offences on which a direct access would apply, notification to the authorities of the other Member State or their approval, necessity and proportio</w:t>
      </w:r>
      <w:r>
        <w:rPr>
          <w:rFonts w:ascii="Times New Roman" w:hAnsi="Times New Roman" w:cs="Times New Roman"/>
          <w:noProof/>
          <w:sz w:val="24"/>
        </w:rPr>
        <w:t>nality, prior judicial authorisation, effective oversight, and legal remedies for the person affected are amongst the necessary attributes of this instrument, according to the public survey respondents.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Possible harmonisation of definitions related to </w:t>
      </w:r>
      <w:r>
        <w:rPr>
          <w:rFonts w:ascii="Times New Roman" w:hAnsi="Times New Roman" w:cs="Times New Roman"/>
          <w:noProof/>
          <w:sz w:val="24"/>
        </w:rPr>
        <w:t>cybercrime in the context of judicial cooperation was supported by the vast majority of public survey respondents</w:t>
      </w:r>
      <w:r>
        <w:rPr>
          <w:rStyle w:val="FootnoteReference"/>
          <w:rFonts w:ascii="Times New Roman" w:hAnsi="Times New Roman" w:cs="Times New Roman"/>
          <w:noProof/>
        </w:rPr>
        <w:footnoteReference w:id="139"/>
      </w:r>
      <w:r>
        <w:rPr>
          <w:rFonts w:ascii="Times New Roman" w:hAnsi="Times New Roman" w:cs="Times New Roman"/>
          <w:noProof/>
          <w:sz w:val="24"/>
        </w:rPr>
        <w:t xml:space="preserve"> who are practitioners in law enforcement and judicial authorities or service providers. Nonetheless, the above mentioned legal definitions sh</w:t>
      </w:r>
      <w:r>
        <w:rPr>
          <w:rFonts w:ascii="Times New Roman" w:hAnsi="Times New Roman" w:cs="Times New Roman"/>
          <w:noProof/>
          <w:sz w:val="24"/>
        </w:rPr>
        <w:t>ould be introduced in accordance with the dynamic and complex nature of internet, thus not to limit the law enforcement and judicial authorities and not to establish unnecessary obstacles to effective criminal investigations. Yet, there was no consensus on</w:t>
      </w:r>
      <w:r>
        <w:rPr>
          <w:rFonts w:ascii="Times New Roman" w:hAnsi="Times New Roman" w:cs="Times New Roman"/>
          <w:noProof/>
          <w:sz w:val="24"/>
        </w:rPr>
        <w:t xml:space="preserve"> whether the EU initiative should only set up a legal framework for cases with cross-border dimension or whether it should also cover purely domestic cases.</w:t>
      </w:r>
      <w:r>
        <w:rPr>
          <w:rStyle w:val="FootnoteReference"/>
          <w:rFonts w:ascii="Times New Roman" w:hAnsi="Times New Roman" w:cs="Times New Roman"/>
          <w:noProof/>
          <w:sz w:val="24"/>
        </w:rPr>
        <w:footnoteReference w:id="140"/>
      </w:r>
      <w:r>
        <w:rPr>
          <w:rFonts w:ascii="Times New Roman" w:hAnsi="Times New Roman" w:cs="Times New Roman"/>
          <w:noProof/>
          <w:sz w:val="24"/>
        </w:rPr>
        <w:t xml:space="preserve"> </w:t>
      </w:r>
    </w:p>
    <w:p w:rsidR="001B65FF" w:rsidRDefault="003E4EF4">
      <w:pPr>
        <w:jc w:val="both"/>
        <w:rPr>
          <w:rFonts w:ascii="Times New Roman" w:hAnsi="Times New Roman" w:cs="Times New Roman"/>
          <w:noProof/>
          <w:sz w:val="24"/>
        </w:rPr>
      </w:pPr>
      <w:r>
        <w:rPr>
          <w:rFonts w:ascii="Times New Roman" w:hAnsi="Times New Roman" w:cs="Times New Roman"/>
          <w:b/>
          <w:noProof/>
          <w:sz w:val="24"/>
        </w:rPr>
        <w:t>Service providers</w:t>
      </w:r>
      <w:r>
        <w:rPr>
          <w:rFonts w:ascii="Times New Roman" w:hAnsi="Times New Roman" w:cs="Times New Roman"/>
          <w:noProof/>
          <w:sz w:val="24"/>
        </w:rPr>
        <w:t xml:space="preserve"> also experience difficulties when receiving and processing cross-border data ac</w:t>
      </w:r>
      <w:r>
        <w:rPr>
          <w:rFonts w:ascii="Times New Roman" w:hAnsi="Times New Roman" w:cs="Times New Roman"/>
          <w:noProof/>
          <w:sz w:val="24"/>
        </w:rPr>
        <w:t>cess requests. The time-consuming assessment of legality and legitimacy of such requests, a need to contact the issuing authorities in order to obtain further information and lack of common definition of requested data leads to additional costs which are b</w:t>
      </w:r>
      <w:r>
        <w:rPr>
          <w:rFonts w:ascii="Times New Roman" w:hAnsi="Times New Roman" w:cs="Times New Roman"/>
          <w:noProof/>
          <w:sz w:val="24"/>
        </w:rPr>
        <w:t xml:space="preserve">orne by the private entities. Furthermore, </w:t>
      </w:r>
      <w:r>
        <w:rPr>
          <w:rFonts w:ascii="Times New Roman" w:hAnsi="Times New Roman"/>
          <w:noProof/>
          <w:sz w:val="24"/>
        </w:rPr>
        <w:t>in certain cases the verifications necessary to ascertain the authenticity and legitimacy of the request might require contracting an external counsel or other third party vendor</w:t>
      </w:r>
      <w:r>
        <w:rPr>
          <w:rFonts w:ascii="Times New Roman" w:hAnsi="Times New Roman" w:cs="Times New Roman"/>
          <w:i/>
          <w:noProof/>
          <w:sz w:val="24"/>
        </w:rPr>
        <w:t>.</w:t>
      </w:r>
      <w:r>
        <w:rPr>
          <w:rFonts w:ascii="Times New Roman" w:hAnsi="Times New Roman" w:cs="Times New Roman"/>
          <w:noProof/>
          <w:sz w:val="24"/>
        </w:rPr>
        <w:t xml:space="preserve"> An EU initiative on electronic ev</w:t>
      </w:r>
      <w:r>
        <w:rPr>
          <w:rFonts w:ascii="Times New Roman" w:hAnsi="Times New Roman" w:cs="Times New Roman"/>
          <w:noProof/>
          <w:sz w:val="24"/>
        </w:rPr>
        <w:t xml:space="preserve">idence expected to achieve a higher degree of legal certainty would therefore allow </w:t>
      </w:r>
      <w:r>
        <w:rPr>
          <w:rFonts w:ascii="Times New Roman" w:hAnsi="Times New Roman"/>
          <w:b/>
          <w:noProof/>
          <w:sz w:val="24"/>
        </w:rPr>
        <w:t>for more time and cost-efficient way</w:t>
      </w:r>
      <w:r>
        <w:rPr>
          <w:rFonts w:ascii="Times New Roman" w:hAnsi="Times New Roman" w:cs="Times New Roman"/>
          <w:noProof/>
          <w:sz w:val="24"/>
        </w:rPr>
        <w:t xml:space="preserve"> to provide the requested data. Requests differing in form and content between Member States are also considered a serious driver for co</w:t>
      </w:r>
      <w:r>
        <w:rPr>
          <w:rFonts w:ascii="Times New Roman" w:hAnsi="Times New Roman" w:cs="Times New Roman"/>
          <w:noProof/>
          <w:sz w:val="24"/>
        </w:rPr>
        <w:t>sts</w:t>
      </w:r>
      <w:r>
        <w:rPr>
          <w:rStyle w:val="FootnoteReference"/>
          <w:rFonts w:ascii="Times New Roman" w:hAnsi="Times New Roman" w:cs="Times New Roman"/>
          <w:noProof/>
          <w:sz w:val="24"/>
        </w:rPr>
        <w:footnoteReference w:id="141"/>
      </w:r>
      <w:r>
        <w:rPr>
          <w:rFonts w:ascii="Times New Roman" w:hAnsi="Times New Roman" w:cs="Times New Roman"/>
          <w:noProof/>
          <w:sz w:val="24"/>
        </w:rPr>
        <w:t>, yet an EU-wide common request form is not expected from the initiative by service providers</w:t>
      </w:r>
      <w:r>
        <w:rPr>
          <w:rStyle w:val="FootnoteReference"/>
          <w:rFonts w:ascii="Times New Roman" w:hAnsi="Times New Roman" w:cs="Times New Roman"/>
          <w:noProof/>
          <w:sz w:val="24"/>
        </w:rPr>
        <w:footnoteReference w:id="142"/>
      </w:r>
      <w:r>
        <w:rPr>
          <w:rFonts w:ascii="Times New Roman" w:hAnsi="Times New Roman" w:cs="Times New Roman"/>
          <w:noProof/>
          <w:sz w:val="24"/>
        </w:rPr>
        <w:t>.</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Practitioners from </w:t>
      </w:r>
      <w:r>
        <w:rPr>
          <w:rFonts w:ascii="Times New Roman" w:hAnsi="Times New Roman" w:cs="Times New Roman"/>
          <w:b/>
          <w:noProof/>
          <w:sz w:val="24"/>
        </w:rPr>
        <w:t>law enforcement authorities</w:t>
      </w:r>
      <w:r>
        <w:rPr>
          <w:rFonts w:ascii="Times New Roman" w:hAnsi="Times New Roman" w:cs="Times New Roman"/>
          <w:noProof/>
          <w:sz w:val="24"/>
        </w:rPr>
        <w:t xml:space="preserve"> or public authorities directly related to it expressed their support to an EU initiative in the area of elect</w:t>
      </w:r>
      <w:r>
        <w:rPr>
          <w:rFonts w:ascii="Times New Roman" w:hAnsi="Times New Roman" w:cs="Times New Roman"/>
          <w:noProof/>
          <w:sz w:val="24"/>
        </w:rPr>
        <w:t>ronic evidence as they expect the initiative to achieve a higher standard of legal certainty</w:t>
      </w:r>
      <w:r>
        <w:rPr>
          <w:rStyle w:val="FootnoteReference"/>
          <w:rFonts w:ascii="Times New Roman" w:hAnsi="Times New Roman" w:cs="Times New Roman"/>
          <w:noProof/>
          <w:sz w:val="24"/>
        </w:rPr>
        <w:footnoteReference w:id="143"/>
      </w:r>
      <w:r>
        <w:rPr>
          <w:rFonts w:ascii="Times New Roman" w:hAnsi="Times New Roman" w:cs="Times New Roman"/>
          <w:noProof/>
          <w:sz w:val="24"/>
        </w:rPr>
        <w:t xml:space="preserve"> and easier cost-efficient access to the evidence by a streamlined EU-wide approach</w:t>
      </w:r>
      <w:r>
        <w:rPr>
          <w:rStyle w:val="FootnoteReference"/>
          <w:rFonts w:ascii="Times New Roman" w:hAnsi="Times New Roman" w:cs="Times New Roman"/>
          <w:noProof/>
          <w:sz w:val="24"/>
        </w:rPr>
        <w:footnoteReference w:id="144"/>
      </w:r>
      <w:r>
        <w:rPr>
          <w:rFonts w:ascii="Times New Roman" w:hAnsi="Times New Roman" w:cs="Times New Roman"/>
          <w:noProof/>
          <w:sz w:val="24"/>
        </w:rPr>
        <w:t>. They would welcome a framework which would provide for an alternative to exis</w:t>
      </w:r>
      <w:r>
        <w:rPr>
          <w:rFonts w:ascii="Times New Roman" w:hAnsi="Times New Roman" w:cs="Times New Roman"/>
          <w:noProof/>
          <w:sz w:val="24"/>
        </w:rPr>
        <w:t xml:space="preserve">ting formal, as well as informal, channels for cross-border access to electronic evidence while guaranteeing sufficient legal safeguards. If the alternative is introduced, it should </w:t>
      </w:r>
      <w:r>
        <w:rPr>
          <w:rFonts w:ascii="Times New Roman" w:hAnsi="Times New Roman"/>
          <w:noProof/>
          <w:sz w:val="24"/>
        </w:rPr>
        <w:t xml:space="preserve">not harm the effectiveness of these </w:t>
      </w:r>
      <w:r>
        <w:rPr>
          <w:rFonts w:ascii="Times New Roman" w:hAnsi="Times New Roman" w:cs="Times New Roman"/>
          <w:noProof/>
          <w:sz w:val="24"/>
        </w:rPr>
        <w:t>[currently used]</w:t>
      </w:r>
      <w:r>
        <w:rPr>
          <w:rFonts w:ascii="Times New Roman" w:hAnsi="Times New Roman"/>
          <w:noProof/>
          <w:sz w:val="24"/>
        </w:rPr>
        <w:t xml:space="preserve"> mechanisms that may b</w:t>
      </w:r>
      <w:r>
        <w:rPr>
          <w:rFonts w:ascii="Times New Roman" w:hAnsi="Times New Roman"/>
          <w:noProof/>
          <w:sz w:val="24"/>
        </w:rPr>
        <w:t xml:space="preserve">e slower, but can provide the evidence admissible in courts, </w:t>
      </w:r>
      <w:r>
        <w:rPr>
          <w:rFonts w:ascii="Times New Roman" w:hAnsi="Times New Roman" w:cs="Times New Roman"/>
          <w:noProof/>
          <w:sz w:val="24"/>
        </w:rPr>
        <w:t>according to the respondents</w:t>
      </w:r>
      <w:r>
        <w:rPr>
          <w:rFonts w:ascii="Times New Roman" w:hAnsi="Times New Roman" w:cs="Times New Roman"/>
          <w:i/>
          <w:noProof/>
          <w:sz w:val="24"/>
        </w:rPr>
        <w:t>.</w:t>
      </w:r>
      <w:r>
        <w:rPr>
          <w:rFonts w:ascii="Times New Roman" w:hAnsi="Times New Roman" w:cs="Times New Roman"/>
          <w:noProof/>
          <w:sz w:val="24"/>
        </w:rPr>
        <w:t xml:space="preserve"> </w:t>
      </w:r>
    </w:p>
    <w:p w:rsidR="001B65FF" w:rsidRDefault="003E4EF4">
      <w:pPr>
        <w:keepNext/>
        <w:jc w:val="both"/>
        <w:rPr>
          <w:rFonts w:ascii="Times New Roman" w:hAnsi="Times New Roman" w:cs="Times New Roman"/>
          <w:i/>
          <w:noProof/>
          <w:sz w:val="24"/>
        </w:rPr>
      </w:pPr>
      <w:r>
        <w:rPr>
          <w:rFonts w:ascii="Times New Roman" w:hAnsi="Times New Roman" w:cs="Times New Roman"/>
          <w:i/>
          <w:noProof/>
          <w:sz w:val="24"/>
        </w:rPr>
        <w:t>Judicial cooperation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Assertions of extraterritorial jurisdiction could create conflicts of law for foreign providers, unless accompanied by new and sustainable inte</w:t>
      </w:r>
      <w:r>
        <w:rPr>
          <w:rFonts w:ascii="Times New Roman" w:hAnsi="Times New Roman" w:cs="Times New Roman"/>
          <w:noProof/>
          <w:sz w:val="24"/>
        </w:rPr>
        <w:t>rnational agreements and approaches, according to the respondents. Thus, conclusion of bilateral treaties with the mainly affected countries, such as United States, Russia, Turkey, and Ukraine</w:t>
      </w:r>
      <w:r>
        <w:rPr>
          <w:rStyle w:val="FootnoteReference"/>
          <w:rFonts w:ascii="Times New Roman" w:hAnsi="Times New Roman" w:cs="Times New Roman"/>
          <w:noProof/>
          <w:sz w:val="24"/>
        </w:rPr>
        <w:footnoteReference w:id="145"/>
      </w:r>
      <w:r>
        <w:rPr>
          <w:rFonts w:ascii="Times New Roman" w:hAnsi="Times New Roman" w:cs="Times New Roman"/>
          <w:noProof/>
          <w:sz w:val="24"/>
        </w:rPr>
        <w:t>, and conclusion of multilateral treaties enjoyed major support</w:t>
      </w:r>
      <w:r>
        <w:rPr>
          <w:rFonts w:ascii="Times New Roman" w:hAnsi="Times New Roman" w:cs="Times New Roman"/>
          <w:noProof/>
          <w:sz w:val="24"/>
        </w:rPr>
        <w:t xml:space="preserve"> amongst the public survey respondents. Nonetheless, the respondents</w:t>
      </w:r>
      <w:r>
        <w:rPr>
          <w:rStyle w:val="FootnoteReference"/>
          <w:rFonts w:ascii="Times New Roman" w:hAnsi="Times New Roman" w:cs="Times New Roman"/>
          <w:noProof/>
        </w:rPr>
        <w:footnoteReference w:id="146"/>
      </w:r>
      <w:r>
        <w:rPr>
          <w:rFonts w:ascii="Times New Roman" w:hAnsi="Times New Roman" w:cs="Times New Roman"/>
          <w:noProof/>
          <w:sz w:val="24"/>
        </w:rPr>
        <w:t xml:space="preserve"> called for development of an EU-wide common approach to establish an efficient framework which would improve criminal investigations with a non-EU country dimension.</w:t>
      </w:r>
    </w:p>
    <w:p w:rsidR="001B65FF" w:rsidRDefault="003E4EF4">
      <w:pPr>
        <w:jc w:val="both"/>
        <w:rPr>
          <w:rFonts w:ascii="Times New Roman" w:hAnsi="Times New Roman" w:cs="Times New Roman"/>
          <w:noProof/>
          <w:sz w:val="24"/>
        </w:rPr>
      </w:pPr>
      <w:r>
        <w:rPr>
          <w:rFonts w:ascii="Times New Roman" w:hAnsi="Times New Roman" w:cs="Times New Roman"/>
          <w:b/>
          <w:noProof/>
          <w:sz w:val="24"/>
        </w:rPr>
        <w:t xml:space="preserve">Service providers </w:t>
      </w:r>
      <w:r>
        <w:rPr>
          <w:rFonts w:ascii="Times New Roman" w:hAnsi="Times New Roman" w:cs="Times New Roman"/>
          <w:noProof/>
          <w:sz w:val="24"/>
        </w:rPr>
        <w:t>co</w:t>
      </w:r>
      <w:r>
        <w:rPr>
          <w:rFonts w:ascii="Times New Roman" w:hAnsi="Times New Roman" w:cs="Times New Roman"/>
          <w:noProof/>
          <w:sz w:val="24"/>
        </w:rPr>
        <w:t>nsider sharing information with non-EU countries, in particular with strategic partners such as the United States and Canada, essential. They would welcome process standardisation resulting from an EU-wide common approach and an international framework inc</w:t>
      </w:r>
      <w:r>
        <w:rPr>
          <w:rFonts w:ascii="Times New Roman" w:hAnsi="Times New Roman" w:cs="Times New Roman"/>
          <w:noProof/>
          <w:sz w:val="24"/>
        </w:rPr>
        <w:t>luding bi- and multilateral agreements leading to more time- and cost-efficient information exchange. In any case, the possible international precedents, it might set, and the necessity for sufficient legal safeguards guaranteeing respect to fundamental hu</w:t>
      </w:r>
      <w:r>
        <w:rPr>
          <w:rFonts w:ascii="Times New Roman" w:hAnsi="Times New Roman" w:cs="Times New Roman"/>
          <w:noProof/>
          <w:sz w:val="24"/>
        </w:rPr>
        <w:t xml:space="preserve">man rights should be taken into consideration.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Practitioners from </w:t>
      </w:r>
      <w:r>
        <w:rPr>
          <w:rFonts w:ascii="Times New Roman" w:hAnsi="Times New Roman" w:cs="Times New Roman"/>
          <w:b/>
          <w:noProof/>
          <w:sz w:val="24"/>
        </w:rPr>
        <w:t>law enforcement authorities</w:t>
      </w:r>
      <w:r>
        <w:rPr>
          <w:rFonts w:ascii="Times New Roman" w:hAnsi="Times New Roman" w:cs="Times New Roman"/>
          <w:noProof/>
          <w:sz w:val="24"/>
        </w:rPr>
        <w:t xml:space="preserve"> and other public authorities currently experience various difficulties when obtaining evidence with a non-EU country dimension. Most of the practitioners see the</w:t>
      </w:r>
      <w:r>
        <w:rPr>
          <w:rFonts w:ascii="Times New Roman" w:hAnsi="Times New Roman" w:cs="Times New Roman"/>
          <w:noProof/>
          <w:sz w:val="24"/>
        </w:rPr>
        <w:t xml:space="preserve"> lack of a common form as a relevant obstacle</w:t>
      </w:r>
      <w:r>
        <w:rPr>
          <w:rStyle w:val="FootnoteReference"/>
          <w:rFonts w:ascii="Times New Roman" w:hAnsi="Times New Roman" w:cs="Times New Roman"/>
          <w:noProof/>
          <w:sz w:val="24"/>
        </w:rPr>
        <w:footnoteReference w:id="147"/>
      </w:r>
      <w:r>
        <w:rPr>
          <w:rFonts w:ascii="Times New Roman" w:hAnsi="Times New Roman" w:cs="Times New Roman"/>
          <w:noProof/>
          <w:sz w:val="24"/>
        </w:rPr>
        <w:t>; considering an EU-wide approach, a common form would simplify the procedure, and therefore provide for operational savings. Additionally, identification of the responsible counterpart in a non-EU country is a</w:t>
      </w:r>
      <w:r>
        <w:rPr>
          <w:rFonts w:ascii="Times New Roman" w:hAnsi="Times New Roman" w:cs="Times New Roman"/>
          <w:noProof/>
          <w:sz w:val="24"/>
        </w:rPr>
        <w:t>lso perceived as one of the main difficulties accessing e</w:t>
      </w:r>
      <w:r>
        <w:rPr>
          <w:rFonts w:ascii="Times New Roman" w:hAnsi="Times New Roman" w:cs="Times New Roman"/>
          <w:noProof/>
          <w:sz w:val="24"/>
        </w:rPr>
        <w:noBreakHyphen/>
        <w:t>evidence with a non-EU country dimension</w:t>
      </w:r>
      <w:r>
        <w:rPr>
          <w:rStyle w:val="FootnoteReference"/>
          <w:rFonts w:ascii="Times New Roman" w:hAnsi="Times New Roman" w:cs="Times New Roman"/>
          <w:noProof/>
          <w:sz w:val="24"/>
        </w:rPr>
        <w:footnoteReference w:id="148"/>
      </w:r>
      <w:r>
        <w:rPr>
          <w:rFonts w:ascii="Times New Roman" w:hAnsi="Times New Roman" w:cs="Times New Roman"/>
          <w:noProof/>
          <w:sz w:val="24"/>
        </w:rPr>
        <w:t>.</w:t>
      </w:r>
    </w:p>
    <w:p w:rsidR="001B65FF" w:rsidRDefault="003E4EF4">
      <w:pPr>
        <w:keepNext/>
        <w:jc w:val="both"/>
        <w:rPr>
          <w:rFonts w:ascii="Times New Roman" w:hAnsi="Times New Roman" w:cs="Times New Roman"/>
          <w:i/>
          <w:noProof/>
          <w:sz w:val="24"/>
        </w:rPr>
      </w:pPr>
      <w:r>
        <w:rPr>
          <w:rFonts w:ascii="Times New Roman" w:hAnsi="Times New Roman" w:cs="Times New Roman"/>
          <w:i/>
          <w:noProof/>
          <w:sz w:val="24"/>
        </w:rPr>
        <w:t>Direct cooperation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Direct cross-border cooperation of law enforcement and judicial authorities with digital service providers would bring added value in cr</w:t>
      </w:r>
      <w:r>
        <w:rPr>
          <w:rFonts w:ascii="Times New Roman" w:hAnsi="Times New Roman" w:cs="Times New Roman"/>
          <w:noProof/>
          <w:sz w:val="24"/>
        </w:rPr>
        <w:t>iminal investigation according to the vast majority of public consultation respondents</w:t>
      </w:r>
      <w:r>
        <w:rPr>
          <w:rStyle w:val="FootnoteReference"/>
          <w:rFonts w:ascii="Times New Roman" w:hAnsi="Times New Roman" w:cs="Times New Roman"/>
          <w:noProof/>
        </w:rPr>
        <w:footnoteReference w:id="149"/>
      </w:r>
      <w:r>
        <w:rPr>
          <w:rFonts w:ascii="Times New Roman" w:hAnsi="Times New Roman" w:cs="Times New Roman"/>
          <w:noProof/>
          <w:sz w:val="24"/>
        </w:rPr>
        <w:t>. The respondents identified, inter alia, accelerated cost-efficient access to the electronic evidence and legal certainty as the main attributes of such initiative. The</w:t>
      </w:r>
      <w:r>
        <w:rPr>
          <w:rFonts w:ascii="Times New Roman" w:hAnsi="Times New Roman" w:cs="Times New Roman"/>
          <w:noProof/>
          <w:sz w:val="24"/>
        </w:rPr>
        <w:t xml:space="preserve"> majority of respondents</w:t>
      </w:r>
      <w:r>
        <w:rPr>
          <w:rStyle w:val="FootnoteReference"/>
          <w:rFonts w:ascii="Times New Roman" w:hAnsi="Times New Roman" w:cs="Times New Roman"/>
          <w:noProof/>
        </w:rPr>
        <w:footnoteReference w:id="150"/>
      </w:r>
      <w:r>
        <w:rPr>
          <w:rFonts w:ascii="Times New Roman" w:hAnsi="Times New Roman" w:cs="Times New Roman"/>
          <w:noProof/>
          <w:sz w:val="24"/>
        </w:rPr>
        <w:t xml:space="preserve"> would also welcome direct cooperation of EU law enforcement and judicial authorities with digital service providers headquartered in non-EU countries if sufficient safeguards are in place to protect fundamental rights.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initiat</w:t>
      </w:r>
      <w:r>
        <w:rPr>
          <w:rFonts w:ascii="Times New Roman" w:hAnsi="Times New Roman" w:cs="Times New Roman"/>
          <w:noProof/>
          <w:sz w:val="24"/>
        </w:rPr>
        <w:t>ive should include a broad range of services in possible direct cross-border cooperation with service providers</w:t>
      </w:r>
      <w:r>
        <w:rPr>
          <w:rStyle w:val="FootnoteReference"/>
          <w:rFonts w:ascii="Times New Roman" w:hAnsi="Times New Roman" w:cs="Times New Roman"/>
          <w:noProof/>
        </w:rPr>
        <w:footnoteReference w:id="151"/>
      </w:r>
      <w:r>
        <w:rPr>
          <w:rFonts w:ascii="Times New Roman" w:hAnsi="Times New Roman" w:cs="Times New Roman"/>
          <w:noProof/>
          <w:sz w:val="24"/>
        </w:rPr>
        <w:t>. Moreover, the respondents called for the broadest possible legal definitions of such services in their comments. As for the two frequently use</w:t>
      </w:r>
      <w:r>
        <w:rPr>
          <w:rFonts w:ascii="Times New Roman" w:hAnsi="Times New Roman" w:cs="Times New Roman"/>
          <w:noProof/>
          <w:sz w:val="24"/>
        </w:rPr>
        <w:t>d categories of data, i.e. non-content data and content data, the majority of the public survey respondents supported an EU legal framework for the direct cross-border cooperation with service providers concerning both categories (all types of data) when d</w:t>
      </w:r>
      <w:r>
        <w:rPr>
          <w:rFonts w:ascii="Times New Roman" w:hAnsi="Times New Roman" w:cs="Times New Roman"/>
          <w:noProof/>
          <w:sz w:val="24"/>
        </w:rPr>
        <w:t>ata is stored in the EU</w:t>
      </w:r>
      <w:r>
        <w:rPr>
          <w:rStyle w:val="FootnoteReference"/>
          <w:rFonts w:ascii="Times New Roman" w:hAnsi="Times New Roman" w:cs="Times New Roman"/>
          <w:noProof/>
        </w:rPr>
        <w:footnoteReference w:id="152"/>
      </w:r>
      <w:r>
        <w:rPr>
          <w:rFonts w:ascii="Times New Roman" w:hAnsi="Times New Roman" w:cs="Times New Roman"/>
          <w:noProof/>
          <w:sz w:val="24"/>
        </w:rPr>
        <w:t>. The data stored outside of the EU should be subject to direct cooperation only when non-content data are concerned, according to slightly more than half of the respondents</w:t>
      </w:r>
      <w:r>
        <w:rPr>
          <w:rStyle w:val="FootnoteReference"/>
          <w:rFonts w:ascii="Times New Roman" w:hAnsi="Times New Roman" w:cs="Times New Roman"/>
          <w:noProof/>
        </w:rPr>
        <w:footnoteReference w:id="153"/>
      </w:r>
      <w:r>
        <w:rPr>
          <w:rFonts w:ascii="Times New Roman" w:hAnsi="Times New Roman" w:cs="Times New Roman"/>
          <w:noProof/>
          <w:sz w:val="24"/>
        </w:rPr>
        <w:t>.</w:t>
      </w:r>
    </w:p>
    <w:p w:rsidR="001B65FF" w:rsidRDefault="003E4EF4">
      <w:pPr>
        <w:jc w:val="both"/>
        <w:rPr>
          <w:rFonts w:ascii="Times New Roman" w:hAnsi="Times New Roman" w:cs="Times New Roman"/>
          <w:noProof/>
          <w:sz w:val="24"/>
        </w:rPr>
      </w:pPr>
      <w:r>
        <w:rPr>
          <w:rFonts w:ascii="Times New Roman" w:hAnsi="Times New Roman" w:cs="Times New Roman"/>
          <w:noProof/>
          <w:sz w:val="24"/>
        </w:rPr>
        <w:t>Half of respondents supported an EU initiative to enable</w:t>
      </w:r>
      <w:r>
        <w:rPr>
          <w:rFonts w:ascii="Times New Roman" w:hAnsi="Times New Roman" w:cs="Times New Roman"/>
          <w:noProof/>
          <w:sz w:val="24"/>
        </w:rPr>
        <w:t xml:space="preserve"> law enforcement authorities to directly request a service provider in another Member Stated to disclose - on a voluntary basis - specific information about a user without having to go through a law enforcement or judicial authority in the other Member Sta</w:t>
      </w:r>
      <w:r>
        <w:rPr>
          <w:rFonts w:ascii="Times New Roman" w:hAnsi="Times New Roman" w:cs="Times New Roman"/>
          <w:noProof/>
          <w:sz w:val="24"/>
        </w:rPr>
        <w:t>te</w:t>
      </w:r>
      <w:r>
        <w:rPr>
          <w:rStyle w:val="FootnoteReference"/>
          <w:rFonts w:ascii="Times New Roman" w:hAnsi="Times New Roman" w:cs="Times New Roman"/>
          <w:noProof/>
          <w:sz w:val="24"/>
        </w:rPr>
        <w:footnoteReference w:id="154"/>
      </w:r>
      <w:r>
        <w:rPr>
          <w:rFonts w:ascii="Times New Roman" w:hAnsi="Times New Roman" w:cs="Times New Roman"/>
          <w:noProof/>
          <w:sz w:val="24"/>
        </w:rPr>
        <w:t>. A direct cross-border production order which would enable law enforcement authorities to directly compel a service provider in another Member State without having to go through law enforcement or judicial authorities in the other Member State met with</w:t>
      </w:r>
      <w:r>
        <w:rPr>
          <w:rFonts w:ascii="Times New Roman" w:hAnsi="Times New Roman" w:cs="Times New Roman"/>
          <w:noProof/>
          <w:sz w:val="24"/>
        </w:rPr>
        <w:t xml:space="preserve"> somewhat less approval</w:t>
      </w:r>
      <w:r>
        <w:rPr>
          <w:rStyle w:val="FootnoteReference"/>
          <w:rFonts w:ascii="Times New Roman" w:hAnsi="Times New Roman"/>
          <w:noProof/>
          <w:sz w:val="24"/>
        </w:rPr>
        <w:footnoteReference w:id="155"/>
      </w:r>
      <w:r>
        <w:rPr>
          <w:rFonts w:ascii="Times New Roman" w:hAnsi="Times New Roman" w:cs="Times New Roman"/>
          <w:noProof/>
          <w:sz w:val="24"/>
        </w:rPr>
        <w:t>. Concerning non-EU countries, a risk that the initiative would cause a conflict of law and non-EU countries would reciprocally impose similar obligations on the European service providers is a serious concern for many of the survey</w:t>
      </w:r>
      <w:r>
        <w:rPr>
          <w:rFonts w:ascii="Times New Roman" w:hAnsi="Times New Roman" w:cs="Times New Roman"/>
          <w:noProof/>
          <w:sz w:val="24"/>
        </w:rPr>
        <w:t xml:space="preserve"> respondents</w:t>
      </w:r>
      <w:r>
        <w:rPr>
          <w:rStyle w:val="FootnoteReference"/>
          <w:rFonts w:ascii="Times New Roman" w:hAnsi="Times New Roman" w:cs="Times New Roman"/>
          <w:noProof/>
          <w:sz w:val="24"/>
        </w:rPr>
        <w:footnoteReference w:id="156"/>
      </w:r>
      <w:r>
        <w:rPr>
          <w:rFonts w:ascii="Times New Roman" w:hAnsi="Times New Roman" w:cs="Times New Roman"/>
          <w:noProof/>
          <w:sz w:val="24"/>
        </w:rPr>
        <w:t>.</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A majority of </w:t>
      </w:r>
      <w:r>
        <w:rPr>
          <w:rFonts w:ascii="Times New Roman" w:hAnsi="Times New Roman" w:cs="Times New Roman"/>
          <w:b/>
          <w:noProof/>
          <w:sz w:val="24"/>
        </w:rPr>
        <w:t>service providers</w:t>
      </w:r>
      <w:r>
        <w:rPr>
          <w:rFonts w:ascii="Times New Roman" w:hAnsi="Times New Roman" w:cs="Times New Roman"/>
          <w:noProof/>
          <w:sz w:val="24"/>
        </w:rPr>
        <w:t xml:space="preserve"> believe that direct cross-border cooperation of law enforcement and judicial authorities with digital service providers will bring an added value in criminal investigation</w:t>
      </w:r>
      <w:r>
        <w:rPr>
          <w:rStyle w:val="FootnoteReference"/>
          <w:rFonts w:ascii="Times New Roman" w:hAnsi="Times New Roman" w:cs="Times New Roman"/>
          <w:noProof/>
          <w:sz w:val="24"/>
        </w:rPr>
        <w:footnoteReference w:id="157"/>
      </w:r>
      <w:r>
        <w:rPr>
          <w:rFonts w:ascii="Times New Roman" w:hAnsi="Times New Roman" w:cs="Times New Roman"/>
          <w:noProof/>
          <w:sz w:val="24"/>
        </w:rPr>
        <w:t>. Service providers think an EU initi</w:t>
      </w:r>
      <w:r>
        <w:rPr>
          <w:rFonts w:ascii="Times New Roman" w:hAnsi="Times New Roman" w:cs="Times New Roman"/>
          <w:noProof/>
          <w:sz w:val="24"/>
        </w:rPr>
        <w:t>ative could enable law enforcement authorities to directly request a service provider in another Member State to disclose specific information without having to go through a law enforcement or judicial authority in the other Member State</w:t>
      </w:r>
      <w:r>
        <w:rPr>
          <w:rStyle w:val="FootnoteReference"/>
          <w:rFonts w:ascii="Times New Roman" w:hAnsi="Times New Roman" w:cs="Times New Roman"/>
          <w:noProof/>
          <w:sz w:val="24"/>
        </w:rPr>
        <w:footnoteReference w:id="158"/>
      </w:r>
      <w:r>
        <w:rPr>
          <w:rFonts w:ascii="Times New Roman" w:hAnsi="Times New Roman" w:cs="Times New Roman"/>
          <w:noProof/>
          <w:sz w:val="24"/>
        </w:rPr>
        <w:t>. On the other han</w:t>
      </w:r>
      <w:r>
        <w:rPr>
          <w:rFonts w:ascii="Times New Roman" w:hAnsi="Times New Roman" w:cs="Times New Roman"/>
          <w:noProof/>
          <w:sz w:val="24"/>
        </w:rPr>
        <w:t>d, a</w:t>
      </w:r>
      <w:r>
        <w:rPr>
          <w:rFonts w:ascii="Times New Roman" w:hAnsi="Times New Roman"/>
          <w:noProof/>
          <w:sz w:val="24"/>
        </w:rPr>
        <w:t xml:space="preserve"> majority of service providers that responded would not support a direct production order to a service provider in another Member State</w:t>
      </w:r>
      <w:r>
        <w:rPr>
          <w:rStyle w:val="FootnoteReference"/>
          <w:rFonts w:ascii="Times New Roman" w:hAnsi="Times New Roman"/>
          <w:noProof/>
          <w:sz w:val="24"/>
        </w:rPr>
        <w:footnoteReference w:id="159"/>
      </w:r>
      <w:r>
        <w:rPr>
          <w:rFonts w:ascii="Times New Roman" w:hAnsi="Times New Roman"/>
          <w:noProof/>
          <w:sz w:val="24"/>
        </w:rPr>
        <w:t>.</w:t>
      </w:r>
      <w:r>
        <w:rPr>
          <w:rFonts w:ascii="Times New Roman" w:hAnsi="Times New Roman" w:cs="Times New Roman"/>
          <w:noProof/>
          <w:sz w:val="24"/>
        </w:rPr>
        <w:t xml:space="preserve"> Half of the service providers find an increasing volume of requests, which is a considerable driver for costs</w:t>
      </w:r>
      <w:r>
        <w:rPr>
          <w:rStyle w:val="FootnoteReference"/>
          <w:rFonts w:ascii="Times New Roman" w:hAnsi="Times New Roman" w:cs="Times New Roman"/>
          <w:noProof/>
          <w:sz w:val="24"/>
        </w:rPr>
        <w:footnoteReference w:id="160"/>
      </w:r>
      <w:r>
        <w:rPr>
          <w:rFonts w:ascii="Times New Roman" w:hAnsi="Times New Roman" w:cs="Times New Roman"/>
          <w:noProof/>
          <w:sz w:val="24"/>
        </w:rPr>
        <w:t xml:space="preserve">, a </w:t>
      </w:r>
      <w:r>
        <w:rPr>
          <w:rFonts w:ascii="Times New Roman" w:hAnsi="Times New Roman" w:cs="Times New Roman"/>
          <w:noProof/>
          <w:sz w:val="24"/>
        </w:rPr>
        <w:t>very relevant concern</w:t>
      </w:r>
      <w:r>
        <w:rPr>
          <w:rStyle w:val="FootnoteReference"/>
          <w:rFonts w:ascii="Times New Roman" w:hAnsi="Times New Roman" w:cs="Times New Roman"/>
          <w:noProof/>
          <w:sz w:val="24"/>
        </w:rPr>
        <w:footnoteReference w:id="161"/>
      </w:r>
      <w:r>
        <w:rPr>
          <w:rFonts w:ascii="Times New Roman" w:hAnsi="Times New Roman" w:cs="Times New Roman"/>
          <w:noProof/>
          <w:sz w:val="24"/>
        </w:rPr>
        <w:t xml:space="preserve">.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A majority of the practitioners from </w:t>
      </w:r>
      <w:r>
        <w:rPr>
          <w:rFonts w:ascii="Times New Roman" w:hAnsi="Times New Roman" w:cs="Times New Roman"/>
          <w:b/>
          <w:noProof/>
          <w:sz w:val="24"/>
        </w:rPr>
        <w:t>law enforcement authorities</w:t>
      </w:r>
      <w:r>
        <w:rPr>
          <w:rFonts w:ascii="Times New Roman" w:hAnsi="Times New Roman" w:cs="Times New Roman"/>
          <w:noProof/>
          <w:sz w:val="24"/>
        </w:rPr>
        <w:t xml:space="preserve"> and other public authorities would support a possible EU initiative allowing for both a direct production request</w:t>
      </w:r>
      <w:r>
        <w:rPr>
          <w:rStyle w:val="FootnoteReference"/>
          <w:rFonts w:ascii="Times New Roman" w:hAnsi="Times New Roman" w:cs="Times New Roman"/>
          <w:noProof/>
          <w:sz w:val="24"/>
        </w:rPr>
        <w:footnoteReference w:id="162"/>
      </w:r>
      <w:r>
        <w:rPr>
          <w:rFonts w:ascii="Times New Roman" w:hAnsi="Times New Roman" w:cs="Times New Roman"/>
          <w:noProof/>
          <w:sz w:val="24"/>
        </w:rPr>
        <w:t xml:space="preserve"> and a direct production order</w:t>
      </w:r>
      <w:r>
        <w:rPr>
          <w:rStyle w:val="FootnoteReference"/>
          <w:rFonts w:ascii="Times New Roman" w:hAnsi="Times New Roman" w:cs="Times New Roman"/>
          <w:noProof/>
          <w:sz w:val="24"/>
        </w:rPr>
        <w:footnoteReference w:id="163"/>
      </w:r>
      <w:r>
        <w:rPr>
          <w:rFonts w:ascii="Times New Roman" w:hAnsi="Times New Roman" w:cs="Times New Roman"/>
          <w:noProof/>
          <w:sz w:val="24"/>
        </w:rPr>
        <w:t xml:space="preserve"> to a service provide</w:t>
      </w:r>
      <w:r>
        <w:rPr>
          <w:rFonts w:ascii="Times New Roman" w:hAnsi="Times New Roman" w:cs="Times New Roman"/>
          <w:noProof/>
          <w:sz w:val="24"/>
        </w:rPr>
        <w:t xml:space="preserve">r in another Member State. The respondents expect sufficient </w:t>
      </w:r>
      <w:r>
        <w:rPr>
          <w:rFonts w:ascii="Times New Roman" w:hAnsi="Times New Roman"/>
          <w:b/>
          <w:noProof/>
          <w:sz w:val="24"/>
        </w:rPr>
        <w:t>safeguards</w:t>
      </w:r>
      <w:r>
        <w:rPr>
          <w:rFonts w:ascii="Times New Roman" w:hAnsi="Times New Roman" w:cs="Times New Roman"/>
          <w:noProof/>
          <w:sz w:val="24"/>
        </w:rPr>
        <w:t xml:space="preserve"> to be introduced within the limits of the existing framework of the Member States. Furthermore, a non-disclosure clause in the early phases of the criminal investigation would be a nec</w:t>
      </w:r>
      <w:r>
        <w:rPr>
          <w:rFonts w:ascii="Times New Roman" w:hAnsi="Times New Roman" w:cs="Times New Roman"/>
          <w:noProof/>
          <w:sz w:val="24"/>
        </w:rPr>
        <w:t>essary measure, which would prevent obstructions in investigations.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direct production order to the service provider in another Member State, however, did not have much support among the </w:t>
      </w:r>
      <w:r>
        <w:rPr>
          <w:rFonts w:ascii="Times New Roman" w:hAnsi="Times New Roman" w:cs="Times New Roman"/>
          <w:b/>
          <w:noProof/>
          <w:sz w:val="24"/>
        </w:rPr>
        <w:t>remaining respondents</w:t>
      </w:r>
      <w:r>
        <w:rPr>
          <w:rStyle w:val="FootnoteReference"/>
          <w:rFonts w:ascii="Times New Roman" w:hAnsi="Times New Roman" w:cs="Times New Roman"/>
          <w:noProof/>
          <w:sz w:val="24"/>
        </w:rPr>
        <w:footnoteReference w:id="164"/>
      </w:r>
      <w:r>
        <w:rPr>
          <w:rFonts w:ascii="Times New Roman" w:hAnsi="Times New Roman" w:cs="Times New Roman"/>
          <w:noProof/>
          <w:sz w:val="24"/>
        </w:rPr>
        <w:t xml:space="preserve">. In case the initiative is introduced, it </w:t>
      </w:r>
      <w:r>
        <w:rPr>
          <w:rFonts w:ascii="Times New Roman" w:hAnsi="Times New Roman"/>
          <w:noProof/>
          <w:sz w:val="24"/>
        </w:rPr>
        <w:t>s</w:t>
      </w:r>
      <w:r>
        <w:rPr>
          <w:rFonts w:ascii="Times New Roman" w:hAnsi="Times New Roman"/>
          <w:noProof/>
          <w:sz w:val="24"/>
        </w:rPr>
        <w:t xml:space="preserve">hould establish fair, accountable and uniform procedures that govern when and how private companies may be compelled to provide information. Such policies should apply horizontally to all parties that collect and use personal information. </w:t>
      </w:r>
      <w:r>
        <w:rPr>
          <w:rFonts w:ascii="Times New Roman" w:hAnsi="Times New Roman" w:cs="Times New Roman"/>
          <w:noProof/>
          <w:sz w:val="24"/>
        </w:rPr>
        <w:t>In addition, comp</w:t>
      </w:r>
      <w:r>
        <w:rPr>
          <w:rFonts w:ascii="Times New Roman" w:hAnsi="Times New Roman" w:cs="Times New Roman"/>
          <w:noProof/>
          <w:sz w:val="24"/>
        </w:rPr>
        <w:t>anies</w:t>
      </w:r>
      <w:r>
        <w:rPr>
          <w:rFonts w:ascii="Times New Roman" w:hAnsi="Times New Roman"/>
          <w:noProof/>
          <w:sz w:val="24"/>
        </w:rPr>
        <w:t xml:space="preserve"> should be permitted to challenge </w:t>
      </w:r>
      <w:r>
        <w:rPr>
          <w:rFonts w:ascii="Times New Roman" w:hAnsi="Times New Roman" w:cs="Times New Roman"/>
          <w:noProof/>
          <w:sz w:val="24"/>
        </w:rPr>
        <w:t xml:space="preserve">in court </w:t>
      </w:r>
      <w:r>
        <w:rPr>
          <w:rFonts w:ascii="Times New Roman" w:hAnsi="Times New Roman"/>
          <w:noProof/>
          <w:sz w:val="24"/>
        </w:rPr>
        <w:t>demands that appear inconsistent.</w:t>
      </w:r>
    </w:p>
    <w:p w:rsidR="001B65FF" w:rsidRDefault="003E4EF4">
      <w:pPr>
        <w:keepNext/>
        <w:jc w:val="both"/>
        <w:rPr>
          <w:rFonts w:ascii="Times New Roman" w:hAnsi="Times New Roman" w:cs="Times New Roman"/>
          <w:i/>
          <w:noProof/>
          <w:sz w:val="24"/>
        </w:rPr>
      </w:pPr>
      <w:r>
        <w:rPr>
          <w:rFonts w:ascii="Times New Roman" w:hAnsi="Times New Roman" w:cs="Times New Roman"/>
          <w:i/>
          <w:noProof/>
          <w:sz w:val="24"/>
        </w:rPr>
        <w:t>Direct access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Based on the public consultation survey, there is demand</w:t>
      </w:r>
      <w:r>
        <w:rPr>
          <w:rStyle w:val="FootnoteReference"/>
          <w:rFonts w:ascii="Times New Roman" w:hAnsi="Times New Roman"/>
          <w:noProof/>
          <w:sz w:val="24"/>
        </w:rPr>
        <w:footnoteReference w:id="165"/>
      </w:r>
      <w:r>
        <w:rPr>
          <w:rFonts w:ascii="Times New Roman" w:hAnsi="Times New Roman"/>
          <w:noProof/>
          <w:sz w:val="28"/>
        </w:rPr>
        <w:t xml:space="preserve"> </w:t>
      </w:r>
      <w:r>
        <w:rPr>
          <w:rFonts w:ascii="Times New Roman" w:hAnsi="Times New Roman" w:cs="Times New Roman"/>
          <w:noProof/>
          <w:sz w:val="24"/>
        </w:rPr>
        <w:t>for a common EU framework for situations when a law enforcement authority is in possession of a device</w:t>
      </w:r>
      <w:r>
        <w:rPr>
          <w:rFonts w:ascii="Times New Roman" w:hAnsi="Times New Roman" w:cs="Times New Roman"/>
          <w:noProof/>
          <w:sz w:val="24"/>
        </w:rPr>
        <w:t xml:space="preserve"> which provides for access to data relevant to the criminal investigation without any intermediary (e.g. a service provider), although it might be unclear where the data is actually stored or whether there is a cross-border dimension at all. As for the fur</w:t>
      </w:r>
      <w:r>
        <w:rPr>
          <w:rFonts w:ascii="Times New Roman" w:hAnsi="Times New Roman" w:cs="Times New Roman"/>
          <w:noProof/>
          <w:sz w:val="24"/>
        </w:rPr>
        <w:t>ther attributes, respondents mostly agreed that such a proposal should also provide specific safeguards to ensure fundamental rights</w:t>
      </w:r>
      <w:r>
        <w:rPr>
          <w:rStyle w:val="FootnoteReference"/>
          <w:rFonts w:ascii="Times New Roman" w:hAnsi="Times New Roman"/>
          <w:noProof/>
          <w:sz w:val="24"/>
        </w:rPr>
        <w:footnoteReference w:id="166"/>
      </w:r>
      <w:r>
        <w:rPr>
          <w:rFonts w:ascii="Times New Roman" w:hAnsi="Times New Roman" w:cs="Times New Roman"/>
          <w:noProof/>
          <w:sz w:val="24"/>
        </w:rPr>
        <w:t>, legal remedies for the person affected (including challenging the admissibility of evidence)</w:t>
      </w:r>
      <w:r>
        <w:rPr>
          <w:rStyle w:val="FootnoteReference"/>
          <w:rFonts w:ascii="Times New Roman" w:hAnsi="Times New Roman" w:cs="Times New Roman"/>
          <w:noProof/>
          <w:sz w:val="24"/>
        </w:rPr>
        <w:t xml:space="preserve"> </w:t>
      </w:r>
      <w:r>
        <w:rPr>
          <w:rStyle w:val="FootnoteReference"/>
          <w:rFonts w:ascii="Times New Roman" w:hAnsi="Times New Roman"/>
          <w:noProof/>
          <w:sz w:val="24"/>
        </w:rPr>
        <w:footnoteReference w:id="167"/>
      </w:r>
      <w:r>
        <w:rPr>
          <w:rFonts w:ascii="Times New Roman" w:hAnsi="Times New Roman" w:cs="Times New Roman"/>
          <w:noProof/>
          <w:sz w:val="24"/>
        </w:rPr>
        <w:t>, notification to another M</w:t>
      </w:r>
      <w:r>
        <w:rPr>
          <w:rFonts w:ascii="Times New Roman" w:hAnsi="Times New Roman" w:cs="Times New Roman"/>
          <w:noProof/>
          <w:sz w:val="24"/>
        </w:rPr>
        <w:t>ember Stated affected</w:t>
      </w:r>
      <w:r>
        <w:rPr>
          <w:rStyle w:val="FootnoteReference"/>
          <w:rFonts w:ascii="Times New Roman" w:hAnsi="Times New Roman"/>
          <w:noProof/>
          <w:sz w:val="24"/>
        </w:rPr>
        <w:footnoteReference w:id="168"/>
      </w:r>
      <w:r>
        <w:rPr>
          <w:rFonts w:ascii="Times New Roman" w:hAnsi="Times New Roman" w:cs="Times New Roman"/>
          <w:noProof/>
          <w:sz w:val="24"/>
        </w:rPr>
        <w:t xml:space="preserve"> by this measure and possibility for the notified State to object the measure.</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Hampering customer's trust in services is a very relevant concern for a majority of </w:t>
      </w:r>
      <w:r>
        <w:rPr>
          <w:rFonts w:ascii="Times New Roman" w:hAnsi="Times New Roman" w:cs="Times New Roman"/>
          <w:b/>
          <w:noProof/>
          <w:sz w:val="24"/>
        </w:rPr>
        <w:t>service providers</w:t>
      </w:r>
      <w:r>
        <w:rPr>
          <w:rStyle w:val="FootnoteReference"/>
          <w:rFonts w:ascii="Times New Roman" w:hAnsi="Times New Roman" w:cs="Times New Roman"/>
          <w:noProof/>
          <w:sz w:val="24"/>
        </w:rPr>
        <w:footnoteReference w:id="169"/>
      </w:r>
      <w:r>
        <w:rPr>
          <w:rFonts w:ascii="Times New Roman" w:hAnsi="Times New Roman" w:cs="Times New Roman"/>
          <w:noProof/>
          <w:sz w:val="24"/>
        </w:rPr>
        <w:t>. And therefore specific safeguards to ensure fundame</w:t>
      </w:r>
      <w:r>
        <w:rPr>
          <w:rFonts w:ascii="Times New Roman" w:hAnsi="Times New Roman" w:cs="Times New Roman"/>
          <w:noProof/>
          <w:sz w:val="24"/>
        </w:rPr>
        <w:t>ntal rights</w:t>
      </w:r>
      <w:r>
        <w:rPr>
          <w:rStyle w:val="FootnoteReference"/>
          <w:rFonts w:ascii="Times New Roman" w:hAnsi="Times New Roman" w:cs="Times New Roman"/>
          <w:noProof/>
          <w:sz w:val="24"/>
        </w:rPr>
        <w:footnoteReference w:id="170"/>
      </w:r>
      <w:r>
        <w:rPr>
          <w:rFonts w:ascii="Times New Roman" w:hAnsi="Times New Roman" w:cs="Times New Roman"/>
          <w:noProof/>
          <w:sz w:val="24"/>
        </w:rPr>
        <w:t xml:space="preserve"> and legal remedies for the person affected</w:t>
      </w:r>
      <w:r>
        <w:rPr>
          <w:rStyle w:val="FootnoteReference"/>
          <w:rFonts w:ascii="Times New Roman" w:hAnsi="Times New Roman" w:cs="Times New Roman"/>
          <w:noProof/>
          <w:sz w:val="24"/>
        </w:rPr>
        <w:footnoteReference w:id="171"/>
      </w:r>
      <w:r>
        <w:rPr>
          <w:rFonts w:ascii="Times New Roman" w:hAnsi="Times New Roman" w:cs="Times New Roman"/>
          <w:noProof/>
          <w:sz w:val="24"/>
        </w:rPr>
        <w:t xml:space="preserve"> would need to be introduced if the European Commission should decide to propose a legal framework covering cases with direct access to data without an intermediary. Additionally, the providers expres</w:t>
      </w:r>
      <w:r>
        <w:rPr>
          <w:rFonts w:ascii="Times New Roman" w:hAnsi="Times New Roman" w:cs="Times New Roman"/>
          <w:noProof/>
          <w:sz w:val="24"/>
        </w:rPr>
        <w:t>sed their concerns regarding this option as it might, in their opinion, introduce security risks, loss of customer privacy and the confidentiality of communication.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Practitioners from </w:t>
      </w:r>
      <w:r>
        <w:rPr>
          <w:rFonts w:ascii="Times New Roman" w:hAnsi="Times New Roman" w:cs="Times New Roman"/>
          <w:b/>
          <w:noProof/>
          <w:sz w:val="24"/>
        </w:rPr>
        <w:t>law enforcement authorities</w:t>
      </w:r>
      <w:r>
        <w:rPr>
          <w:rFonts w:ascii="Times New Roman" w:hAnsi="Times New Roman" w:cs="Times New Roman"/>
          <w:noProof/>
          <w:sz w:val="24"/>
        </w:rPr>
        <w:t xml:space="preserve"> and other public authorities would welcome a</w:t>
      </w:r>
      <w:r>
        <w:rPr>
          <w:rFonts w:ascii="Times New Roman" w:hAnsi="Times New Roman" w:cs="Times New Roman"/>
          <w:noProof/>
          <w:sz w:val="24"/>
        </w:rPr>
        <w:t xml:space="preserve"> common EU framework for a situation where direct access to e-evidence through an information system is possible without any intermediary while it is not clear where the data is actually stored or whether there is a cross border dimension at all</w:t>
      </w:r>
      <w:r>
        <w:rPr>
          <w:rStyle w:val="FootnoteReference"/>
          <w:rFonts w:ascii="Times New Roman" w:hAnsi="Times New Roman" w:cs="Times New Roman"/>
          <w:noProof/>
          <w:sz w:val="24"/>
        </w:rPr>
        <w:footnoteReference w:id="172"/>
      </w:r>
      <w:r>
        <w:rPr>
          <w:rFonts w:ascii="Times New Roman" w:hAnsi="Times New Roman" w:cs="Times New Roman"/>
          <w:noProof/>
          <w:sz w:val="24"/>
        </w:rPr>
        <w:t>. In certa</w:t>
      </w:r>
      <w:r>
        <w:rPr>
          <w:rFonts w:ascii="Times New Roman" w:hAnsi="Times New Roman" w:cs="Times New Roman"/>
          <w:noProof/>
          <w:sz w:val="24"/>
        </w:rPr>
        <w:t>in Member States, a legal framework covering these cases already exists. According to the respondents, a common EU-wide approach would ensure judicial control and recognition of directly obtained evidence, legal remedies and other safeguards for fundamenta</w:t>
      </w:r>
      <w:r>
        <w:rPr>
          <w:rFonts w:ascii="Times New Roman" w:hAnsi="Times New Roman" w:cs="Times New Roman"/>
          <w:noProof/>
          <w:sz w:val="24"/>
        </w:rPr>
        <w:t>l rights.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remaining respondents</w:t>
      </w:r>
      <w:r>
        <w:rPr>
          <w:rFonts w:ascii="Times New Roman" w:hAnsi="Times New Roman" w:cs="Times New Roman"/>
          <w:noProof/>
          <w:sz w:val="24"/>
        </w:rPr>
        <w:t xml:space="preserve"> mostly agreed with the need for a framework covering the abovementioned situations</w:t>
      </w:r>
      <w:r>
        <w:rPr>
          <w:rStyle w:val="FootnoteReference"/>
          <w:rFonts w:ascii="Times New Roman" w:hAnsi="Times New Roman" w:cs="Times New Roman"/>
          <w:noProof/>
          <w:sz w:val="24"/>
        </w:rPr>
        <w:footnoteReference w:id="173"/>
      </w:r>
      <w:r>
        <w:rPr>
          <w:rFonts w:ascii="Times New Roman" w:hAnsi="Times New Roman" w:cs="Times New Roman"/>
          <w:noProof/>
          <w:sz w:val="24"/>
        </w:rPr>
        <w:t xml:space="preserve"> although their responses varied with regards to different aspects of such initiative. Possible misuse by authorities is apparently one o</w:t>
      </w:r>
      <w:r>
        <w:rPr>
          <w:rFonts w:ascii="Times New Roman" w:hAnsi="Times New Roman" w:cs="Times New Roman"/>
          <w:noProof/>
          <w:sz w:val="24"/>
        </w:rPr>
        <w:t>f the main concerns for  the citizens, who often refer to "government hacking". Court supervision and other guarantees should therefore ensure legitimacy and legality</w:t>
      </w:r>
      <w:r>
        <w:rPr>
          <w:rStyle w:val="FootnoteReference"/>
          <w:rFonts w:ascii="Times New Roman" w:hAnsi="Times New Roman" w:cs="Times New Roman"/>
          <w:noProof/>
          <w:sz w:val="24"/>
        </w:rPr>
        <w:footnoteReference w:id="174"/>
      </w:r>
      <w:r>
        <w:rPr>
          <w:rFonts w:ascii="Times New Roman" w:hAnsi="Times New Roman" w:cs="Times New Roman"/>
          <w:noProof/>
          <w:sz w:val="24"/>
        </w:rPr>
        <w:t xml:space="preserve">. </w:t>
      </w:r>
    </w:p>
    <w:p w:rsidR="001B65FF" w:rsidRDefault="003E4EF4">
      <w:pPr>
        <w:jc w:val="both"/>
        <w:rPr>
          <w:rFonts w:ascii="Times New Roman" w:hAnsi="Times New Roman" w:cs="Times New Roman"/>
          <w:noProof/>
          <w:sz w:val="24"/>
          <w:u w:val="single"/>
        </w:rPr>
      </w:pPr>
      <w:r>
        <w:rPr>
          <w:rFonts w:ascii="Times New Roman" w:hAnsi="Times New Roman" w:cs="Times New Roman"/>
          <w:noProof/>
          <w:sz w:val="24"/>
          <w:u w:val="single"/>
        </w:rPr>
        <w:t>Inception Impact Assessment</w:t>
      </w:r>
    </w:p>
    <w:p w:rsidR="001B65FF" w:rsidRDefault="003E4EF4">
      <w:pPr>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The feedback gathered in reaction to the Inception Impact </w:t>
      </w:r>
      <w:r>
        <w:rPr>
          <w:rFonts w:ascii="Times New Roman" w:eastAsia="Calibri" w:hAnsi="Times New Roman" w:cs="Times New Roman"/>
          <w:noProof/>
          <w:sz w:val="24"/>
          <w:szCs w:val="24"/>
          <w:lang w:eastAsia="en-GB"/>
        </w:rPr>
        <w:t>Assessment</w:t>
      </w:r>
      <w:r>
        <w:rPr>
          <w:rStyle w:val="FootnoteReference"/>
          <w:rFonts w:ascii="Times New Roman" w:eastAsia="Calibri" w:hAnsi="Times New Roman" w:cs="Times New Roman"/>
          <w:noProof/>
          <w:sz w:val="24"/>
          <w:szCs w:val="24"/>
          <w:lang w:eastAsia="en-GB"/>
        </w:rPr>
        <w:footnoteReference w:id="175"/>
      </w:r>
      <w:r>
        <w:rPr>
          <w:rFonts w:ascii="Times New Roman" w:eastAsia="Calibri" w:hAnsi="Times New Roman" w:cs="Times New Roman"/>
          <w:noProof/>
          <w:sz w:val="24"/>
          <w:szCs w:val="24"/>
          <w:lang w:eastAsia="en-GB"/>
        </w:rPr>
        <w:t xml:space="preserve"> shows that, in summary, the initiative enjoys significant support as the stakeholders welcome the Commission's efforts to address difficulties public authorities face when obtaining electronic evidence across borders. Addressing the shortcoming</w:t>
      </w:r>
      <w:r>
        <w:rPr>
          <w:rFonts w:ascii="Times New Roman" w:eastAsia="Calibri" w:hAnsi="Times New Roman" w:cs="Times New Roman"/>
          <w:noProof/>
          <w:sz w:val="24"/>
          <w:szCs w:val="24"/>
          <w:lang w:eastAsia="en-GB"/>
        </w:rPr>
        <w:t>s of the current MLA system, enhancing effectiveness, improving legal certainty and preventing conflicts of law are seen as the main positive attributes of the proposal. Some concerns regarding various aspects of legal regime and efficiency, however, arise</w:t>
      </w:r>
      <w:r>
        <w:rPr>
          <w:rFonts w:ascii="Times New Roman" w:eastAsia="Calibri" w:hAnsi="Times New Roman" w:cs="Times New Roman"/>
          <w:noProof/>
          <w:sz w:val="24"/>
          <w:szCs w:val="24"/>
          <w:lang w:eastAsia="en-GB"/>
        </w:rPr>
        <w:t xml:space="preserve"> amongst different actors. The business representatives are primarily concerned about any attempt to introduce data localisation requirements as it might have a negative impact on the Digital Single Market and economic diversification. Furthermore, some be</w:t>
      </w:r>
      <w:r>
        <w:rPr>
          <w:rFonts w:ascii="Times New Roman" w:eastAsia="Calibri" w:hAnsi="Times New Roman" w:cs="Times New Roman"/>
          <w:noProof/>
          <w:sz w:val="24"/>
          <w:szCs w:val="24"/>
          <w:lang w:eastAsia="en-GB"/>
        </w:rPr>
        <w:t>lieve the investigative measures should only concern data from EU subscribers or data stored within the EU.</w:t>
      </w:r>
    </w:p>
    <w:p w:rsidR="001B65FF" w:rsidRDefault="003E4EF4">
      <w:pPr>
        <w:jc w:val="both"/>
        <w:rPr>
          <w:rFonts w:ascii="Times New Roman" w:hAnsi="Times New Roman" w:cs="Times New Roman"/>
          <w:i/>
          <w:noProof/>
          <w:sz w:val="24"/>
        </w:rPr>
      </w:pPr>
      <w:r>
        <w:rPr>
          <w:rFonts w:ascii="Times New Roman" w:hAnsi="Times New Roman" w:cs="Times New Roman"/>
          <w:i/>
          <w:noProof/>
          <w:sz w:val="24"/>
        </w:rPr>
        <w:t>Judicial cooperation</w:t>
      </w:r>
    </w:p>
    <w:p w:rsidR="001B65FF" w:rsidRDefault="003E4EF4">
      <w:pPr>
        <w:jc w:val="both"/>
        <w:rPr>
          <w:rFonts w:ascii="Times New Roman" w:hAnsi="Times New Roman" w:cs="Times New Roman"/>
          <w:noProof/>
          <w:sz w:val="24"/>
        </w:rPr>
      </w:pPr>
      <w:r>
        <w:rPr>
          <w:rFonts w:ascii="Times New Roman" w:hAnsi="Times New Roman"/>
          <w:b/>
          <w:noProof/>
          <w:sz w:val="24"/>
        </w:rPr>
        <w:t>Business organisations</w:t>
      </w:r>
      <w:r>
        <w:rPr>
          <w:rFonts w:ascii="Times New Roman" w:hAnsi="Times New Roman" w:cs="Times New Roman"/>
          <w:noProof/>
          <w:sz w:val="24"/>
        </w:rPr>
        <w:t xml:space="preserve"> call for an EU framework allowing for legal cooperation with authorities in non-EU countries to be compl</w:t>
      </w:r>
      <w:r>
        <w:rPr>
          <w:rFonts w:ascii="Times New Roman" w:hAnsi="Times New Roman" w:cs="Times New Roman"/>
          <w:noProof/>
          <w:sz w:val="24"/>
        </w:rPr>
        <w:t xml:space="preserve">emented with durable legal frameworks for international cooperation, so that service providers operating in different jurisdictions are not faced with conflicts of law and conflicting legal obligations, as well as full assessment of the risks arising from </w:t>
      </w:r>
      <w:r>
        <w:rPr>
          <w:rFonts w:ascii="Times New Roman" w:hAnsi="Times New Roman" w:cs="Times New Roman"/>
          <w:noProof/>
          <w:sz w:val="24"/>
        </w:rPr>
        <w:t>reciprocal action of non-EU countries. The US Congress has recently introduced legislation providing for more direct requests to service providers, and the business associations see this as an opportunity to establish a trans-Atlantic cooperation supplemen</w:t>
      </w:r>
      <w:r>
        <w:rPr>
          <w:rFonts w:ascii="Times New Roman" w:hAnsi="Times New Roman" w:cs="Times New Roman"/>
          <w:noProof/>
          <w:sz w:val="24"/>
        </w:rPr>
        <w:t>ting the current MLA system.</w:t>
      </w:r>
    </w:p>
    <w:p w:rsidR="001B65FF" w:rsidRDefault="003E4EF4">
      <w:pPr>
        <w:keepNext/>
        <w:jc w:val="both"/>
        <w:rPr>
          <w:rFonts w:ascii="Times New Roman" w:hAnsi="Times New Roman" w:cs="Times New Roman"/>
          <w:i/>
          <w:noProof/>
          <w:sz w:val="24"/>
        </w:rPr>
      </w:pPr>
      <w:r>
        <w:rPr>
          <w:rFonts w:ascii="Times New Roman" w:hAnsi="Times New Roman" w:cs="Times New Roman"/>
          <w:i/>
          <w:noProof/>
          <w:sz w:val="24"/>
        </w:rPr>
        <w:t>Direct cooperation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Direct cooperation with service providers is expected to bring cost savings and efficiency gains for the public sector. Nonetheless, the costs borne by private entities should also be taken into consideration</w:t>
      </w:r>
      <w:r>
        <w:rPr>
          <w:rFonts w:ascii="Times New Roman" w:hAnsi="Times New Roman" w:cs="Times New Roman"/>
          <w:noProof/>
          <w:sz w:val="24"/>
        </w:rPr>
        <w:t>. In particular the costs of establishing a </w:t>
      </w:r>
      <w:r>
        <w:rPr>
          <w:rFonts w:ascii="Times New Roman" w:hAnsi="Times New Roman"/>
          <w:b/>
          <w:noProof/>
          <w:sz w:val="24"/>
        </w:rPr>
        <w:t>legal representative</w:t>
      </w:r>
      <w:r>
        <w:rPr>
          <w:rFonts w:ascii="Times New Roman" w:hAnsi="Times New Roman" w:cs="Times New Roman"/>
          <w:noProof/>
          <w:sz w:val="24"/>
        </w:rPr>
        <w:t xml:space="preserve"> in the EU for SMEs based in non-EU countries were felt to be at risk of being unsustainable. Business representatives are concerned about the proposal to allow EU countries to directly reques</w:t>
      </w:r>
      <w:r>
        <w:rPr>
          <w:rFonts w:ascii="Times New Roman" w:hAnsi="Times New Roman" w:cs="Times New Roman"/>
          <w:noProof/>
          <w:sz w:val="24"/>
        </w:rPr>
        <w:t>t or compel data from service providers and its possible implications. As it would represent a shift in policy and might trigger a reciprocal reaction from non-EU countries, the private sector calls for a proper impact assessment and clear evidence that th</w:t>
      </w:r>
      <w:r>
        <w:rPr>
          <w:rFonts w:ascii="Times New Roman" w:hAnsi="Times New Roman" w:cs="Times New Roman"/>
          <w:noProof/>
          <w:sz w:val="24"/>
        </w:rPr>
        <w:t>e current practice is not sufficient.</w:t>
      </w:r>
    </w:p>
    <w:p w:rsidR="001B65FF" w:rsidRDefault="003E4EF4">
      <w:pPr>
        <w:jc w:val="both"/>
        <w:rPr>
          <w:rFonts w:ascii="Times New Roman" w:hAnsi="Times New Roman" w:cs="Times New Roman"/>
          <w:i/>
          <w:noProof/>
          <w:sz w:val="24"/>
        </w:rPr>
      </w:pPr>
      <w:r>
        <w:rPr>
          <w:rFonts w:ascii="Times New Roman" w:hAnsi="Times New Roman" w:cs="Times New Roman"/>
          <w:i/>
          <w:noProof/>
          <w:sz w:val="24"/>
        </w:rPr>
        <w:t>Direct access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legislative option to access e-evidence without cooperation of a service provider would require judicial oversight with sufficient safeguards to ensure protection of fundamental rights. It could be li</w:t>
      </w:r>
      <w:r>
        <w:rPr>
          <w:rFonts w:ascii="Times New Roman" w:hAnsi="Times New Roman" w:cs="Times New Roman"/>
          <w:noProof/>
          <w:sz w:val="24"/>
        </w:rPr>
        <w:t>mited to emergency cases, according to the stakeholders who fear this practice would lead to an erosion of trust amongst citizens.</w:t>
      </w:r>
    </w:p>
    <w:p w:rsidR="001B65FF" w:rsidRDefault="003E4EF4">
      <w:pPr>
        <w:jc w:val="both"/>
        <w:rPr>
          <w:rFonts w:ascii="Times New Roman" w:hAnsi="Times New Roman" w:cs="Times New Roman"/>
          <w:noProof/>
          <w:sz w:val="24"/>
          <w:u w:val="single"/>
        </w:rPr>
      </w:pPr>
      <w:r>
        <w:rPr>
          <w:rFonts w:ascii="Times New Roman" w:hAnsi="Times New Roman" w:cs="Times New Roman"/>
          <w:noProof/>
          <w:sz w:val="24"/>
          <w:u w:val="single"/>
        </w:rPr>
        <w:t>Targeted survey 1</w:t>
      </w:r>
    </w:p>
    <w:p w:rsidR="001B65FF" w:rsidRDefault="003E4EF4">
      <w:pPr>
        <w:jc w:val="both"/>
        <w:rPr>
          <w:rFonts w:ascii="Times New Roman" w:hAnsi="Times New Roman" w:cs="Times New Roman"/>
          <w:noProof/>
          <w:sz w:val="24"/>
          <w:lang w:val="en-US"/>
        </w:rPr>
      </w:pPr>
      <w:r>
        <w:rPr>
          <w:rFonts w:ascii="Times New Roman" w:hAnsi="Times New Roman" w:cs="Times New Roman"/>
          <w:noProof/>
          <w:sz w:val="24"/>
        </w:rPr>
        <w:t xml:space="preserve">The replies to the targeted survey 1 </w:t>
      </w:r>
      <w:r>
        <w:rPr>
          <w:rFonts w:ascii="Times New Roman" w:hAnsi="Times New Roman" w:cs="Times New Roman"/>
          <w:noProof/>
          <w:sz w:val="24"/>
          <w:lang w:val="en-US"/>
        </w:rPr>
        <w:t xml:space="preserve">revealed that there is </w:t>
      </w:r>
      <w:r>
        <w:rPr>
          <w:rFonts w:ascii="Times New Roman" w:hAnsi="Times New Roman" w:cs="Times New Roman"/>
          <w:b/>
          <w:noProof/>
          <w:sz w:val="24"/>
          <w:lang w:val="en-US"/>
        </w:rPr>
        <w:t>no common approach</w:t>
      </w:r>
      <w:r>
        <w:rPr>
          <w:rFonts w:ascii="Times New Roman" w:hAnsi="Times New Roman" w:cs="Times New Roman"/>
          <w:noProof/>
          <w:sz w:val="24"/>
          <w:lang w:val="en-US"/>
        </w:rPr>
        <w:t xml:space="preserve"> to obtain cross-border access to digital evidence, for which each Member State has developed its own domestic practice. There is a large variety of approaches adopted by the Member States and their law enforcement and judicial authorities as well as by th</w:t>
      </w:r>
      <w:r>
        <w:rPr>
          <w:rFonts w:ascii="Times New Roman" w:hAnsi="Times New Roman" w:cs="Times New Roman"/>
          <w:noProof/>
          <w:sz w:val="24"/>
          <w:lang w:val="en-US"/>
        </w:rPr>
        <w:t xml:space="preserve">e service providers. This diversity, which seems mainly due to the lack of a legal framework and of a common approach on how to access e-evidence and deal with requests to share information, creates </w:t>
      </w:r>
      <w:r>
        <w:rPr>
          <w:rFonts w:ascii="Times New Roman" w:hAnsi="Times New Roman" w:cs="Times New Roman"/>
          <w:b/>
          <w:noProof/>
          <w:sz w:val="24"/>
          <w:lang w:val="en-US"/>
        </w:rPr>
        <w:t>legal uncertainty</w:t>
      </w:r>
      <w:r>
        <w:rPr>
          <w:rFonts w:ascii="Times New Roman" w:hAnsi="Times New Roman" w:cs="Times New Roman"/>
          <w:noProof/>
          <w:sz w:val="24"/>
          <w:lang w:val="en-US"/>
        </w:rPr>
        <w:t xml:space="preserve"> for all the stakeholders involved and r</w:t>
      </w:r>
      <w:r>
        <w:rPr>
          <w:rFonts w:ascii="Times New Roman" w:hAnsi="Times New Roman" w:cs="Times New Roman"/>
          <w:noProof/>
          <w:sz w:val="24"/>
          <w:lang w:val="en-US"/>
        </w:rPr>
        <w:t>epresents an obstacle to joint and cross border investigations.</w:t>
      </w:r>
    </w:p>
    <w:p w:rsidR="001B65FF" w:rsidRDefault="003E4EF4">
      <w:pPr>
        <w:jc w:val="both"/>
        <w:rPr>
          <w:rFonts w:ascii="Times New Roman" w:hAnsi="Times New Roman" w:cs="Times New Roman"/>
          <w:i/>
          <w:noProof/>
          <w:sz w:val="24"/>
        </w:rPr>
      </w:pPr>
      <w:r>
        <w:rPr>
          <w:rFonts w:ascii="Times New Roman" w:hAnsi="Times New Roman" w:cs="Times New Roman"/>
          <w:i/>
          <w:noProof/>
          <w:sz w:val="24"/>
        </w:rPr>
        <w:t>Judicial cooperation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feedback gathered focused on the judicial cooperation between public authorities in the Member States and non-EU countries:</w:t>
      </w:r>
    </w:p>
    <w:p w:rsidR="001B65FF" w:rsidRDefault="003E4EF4">
      <w:pPr>
        <w:pStyle w:val="ListParagraph"/>
        <w:numPr>
          <w:ilvl w:val="0"/>
          <w:numId w:val="118"/>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Mutual Legal Assistance (MLA) is in this ar</w:t>
      </w:r>
      <w:r>
        <w:rPr>
          <w:rFonts w:ascii="Times New Roman" w:hAnsi="Times New Roman" w:cs="Times New Roman"/>
          <w:noProof/>
          <w:sz w:val="24"/>
          <w:lang w:val="en-US"/>
        </w:rPr>
        <w:t xml:space="preserve">ea mainly based on </w:t>
      </w:r>
      <w:r>
        <w:rPr>
          <w:rFonts w:ascii="Times New Roman" w:hAnsi="Times New Roman" w:cs="Times New Roman"/>
          <w:b/>
          <w:noProof/>
          <w:sz w:val="24"/>
          <w:lang w:val="en-US"/>
        </w:rPr>
        <w:t>international law</w:t>
      </w:r>
      <w:r>
        <w:rPr>
          <w:rFonts w:ascii="Times New Roman" w:hAnsi="Times New Roman" w:cs="Times New Roman"/>
          <w:noProof/>
          <w:sz w:val="24"/>
          <w:lang w:val="en-US"/>
        </w:rPr>
        <w:t xml:space="preserve">, notably the Council of Europe Budapest Convention on Cybercrime. Besides that, there are agreements concluded by the EU (notably, the Agreement on MLA between the EU and the U.S.) and several </w:t>
      </w:r>
      <w:r>
        <w:rPr>
          <w:rFonts w:ascii="Times New Roman" w:hAnsi="Times New Roman" w:cs="Times New Roman"/>
          <w:b/>
          <w:noProof/>
          <w:sz w:val="24"/>
          <w:lang w:val="en-US"/>
        </w:rPr>
        <w:t>bilateral agreements</w:t>
      </w:r>
      <w:r>
        <w:rPr>
          <w:rFonts w:ascii="Times New Roman" w:hAnsi="Times New Roman" w:cs="Times New Roman"/>
          <w:noProof/>
          <w:sz w:val="24"/>
          <w:lang w:val="en-US"/>
        </w:rPr>
        <w:t>, whic</w:t>
      </w:r>
      <w:r>
        <w:rPr>
          <w:rFonts w:ascii="Times New Roman" w:hAnsi="Times New Roman" w:cs="Times New Roman"/>
          <w:noProof/>
          <w:sz w:val="24"/>
          <w:lang w:val="en-US"/>
        </w:rPr>
        <w:t xml:space="preserve">h most Member States have concluded </w:t>
      </w:r>
      <w:r>
        <w:rPr>
          <w:rFonts w:ascii="Times New Roman" w:hAnsi="Times New Roman" w:cs="Times New Roman"/>
          <w:noProof/>
          <w:sz w:val="24"/>
        </w:rPr>
        <w:t>with</w:t>
      </w:r>
      <w:r>
        <w:rPr>
          <w:rFonts w:ascii="Times New Roman" w:hAnsi="Times New Roman" w:cs="Times New Roman"/>
          <w:noProof/>
          <w:sz w:val="24"/>
          <w:lang w:val="en-US"/>
        </w:rPr>
        <w:t xml:space="preserve"> the US,</w:t>
      </w:r>
      <w:r>
        <w:rPr>
          <w:rFonts w:ascii="Times New Roman" w:hAnsi="Times New Roman" w:cs="Times New Roman"/>
          <w:noProof/>
          <w:sz w:val="24"/>
        </w:rPr>
        <w:t xml:space="preserve"> </w:t>
      </w:r>
      <w:r>
        <w:rPr>
          <w:rFonts w:ascii="Times New Roman" w:hAnsi="Times New Roman" w:cs="Times New Roman"/>
          <w:noProof/>
          <w:sz w:val="24"/>
          <w:lang w:val="en-US"/>
        </w:rPr>
        <w:t>followed by Canada and Australia.</w:t>
      </w:r>
    </w:p>
    <w:p w:rsidR="001B65FF" w:rsidRDefault="003E4EF4">
      <w:pPr>
        <w:pStyle w:val="ListParagraph"/>
        <w:numPr>
          <w:ilvl w:val="0"/>
          <w:numId w:val="118"/>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 xml:space="preserve">The systematic use of MLA for all types of access requests for electronic evidence is increasingly viewed as </w:t>
      </w:r>
      <w:r>
        <w:rPr>
          <w:rFonts w:ascii="Times New Roman" w:hAnsi="Times New Roman" w:cs="Times New Roman"/>
          <w:b/>
          <w:noProof/>
          <w:sz w:val="24"/>
          <w:lang w:val="en-US"/>
        </w:rPr>
        <w:t>problematic</w:t>
      </w:r>
      <w:r>
        <w:rPr>
          <w:rFonts w:ascii="Times New Roman" w:hAnsi="Times New Roman" w:cs="Times New Roman"/>
          <w:noProof/>
          <w:sz w:val="24"/>
          <w:lang w:val="en-US"/>
        </w:rPr>
        <w:t xml:space="preserve"> as the requests take too long to be processed (a min</w:t>
      </w:r>
      <w:r>
        <w:rPr>
          <w:rFonts w:ascii="Times New Roman" w:hAnsi="Times New Roman" w:cs="Times New Roman"/>
          <w:noProof/>
          <w:sz w:val="24"/>
          <w:lang w:val="en-US"/>
        </w:rPr>
        <w:t>imum of 1 month to a maximum of 18 months), there are no fixed deadlines for responding, and the mechanism is complex and diverges from country to country (i.e. in most of the countries the formal procedure for issuing an MLA is initiated by prosecutor, fo</w:t>
      </w:r>
      <w:r>
        <w:rPr>
          <w:rFonts w:ascii="Times New Roman" w:hAnsi="Times New Roman" w:cs="Times New Roman"/>
          <w:noProof/>
          <w:sz w:val="24"/>
          <w:lang w:val="en-US"/>
        </w:rPr>
        <w:t>llowed by judge, law enforcement, diplomatic channel or central authorities).</w:t>
      </w:r>
    </w:p>
    <w:p w:rsidR="001B65FF" w:rsidRDefault="003E4EF4">
      <w:pPr>
        <w:pStyle w:val="ListParagraph"/>
        <w:numPr>
          <w:ilvl w:val="0"/>
          <w:numId w:val="118"/>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When it comes to cooperation with the US in particular, challenges identified concern the use of MLA procedures for access to information where under U.S. law no MLA request is r</w:t>
      </w:r>
      <w:r>
        <w:rPr>
          <w:rFonts w:ascii="Times New Roman" w:hAnsi="Times New Roman" w:cs="Times New Roman"/>
          <w:noProof/>
          <w:sz w:val="24"/>
          <w:lang w:val="en-US"/>
        </w:rPr>
        <w:t xml:space="preserve">equired, such as for subscriber or traffic data. MLA requests for such information significantly increase the overall volume of requests and contribute to </w:t>
      </w:r>
      <w:r>
        <w:rPr>
          <w:rFonts w:ascii="Times New Roman" w:hAnsi="Times New Roman" w:cs="Times New Roman"/>
          <w:b/>
          <w:noProof/>
          <w:sz w:val="24"/>
          <w:lang w:val="en-US"/>
        </w:rPr>
        <w:t>slowing down</w:t>
      </w:r>
      <w:r>
        <w:rPr>
          <w:rFonts w:ascii="Times New Roman" w:hAnsi="Times New Roman" w:cs="Times New Roman"/>
          <w:noProof/>
          <w:sz w:val="24"/>
          <w:lang w:val="en-US"/>
        </w:rPr>
        <w:t xml:space="preserve"> the system. The use of MLA for such requests can be attributed to various reasons, inclu</w:t>
      </w:r>
      <w:r>
        <w:rPr>
          <w:rFonts w:ascii="Times New Roman" w:hAnsi="Times New Roman" w:cs="Times New Roman"/>
          <w:noProof/>
          <w:sz w:val="24"/>
          <w:lang w:val="en-US"/>
        </w:rPr>
        <w:t>ding (1) where the issuing of a direct request is not permitted under the law of the issuing country; (2) where enforceability of the request is desired; and (3) a lack of awareness of the issuing authority about alternative channels.</w:t>
      </w:r>
    </w:p>
    <w:p w:rsidR="001B65FF" w:rsidRDefault="003E4EF4">
      <w:pPr>
        <w:pStyle w:val="ListParagraph"/>
        <w:numPr>
          <w:ilvl w:val="0"/>
          <w:numId w:val="118"/>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 xml:space="preserve">The </w:t>
      </w:r>
      <w:r>
        <w:rPr>
          <w:rFonts w:ascii="Times New Roman" w:hAnsi="Times New Roman" w:cs="Times New Roman"/>
          <w:b/>
          <w:noProof/>
          <w:sz w:val="24"/>
          <w:lang w:val="en-US"/>
        </w:rPr>
        <w:t xml:space="preserve">admissibility of </w:t>
      </w:r>
      <w:r>
        <w:rPr>
          <w:rFonts w:ascii="Times New Roman" w:hAnsi="Times New Roman" w:cs="Times New Roman"/>
          <w:b/>
          <w:noProof/>
          <w:sz w:val="24"/>
          <w:lang w:val="en-US"/>
        </w:rPr>
        <w:t>MLA requests</w:t>
      </w:r>
      <w:r>
        <w:rPr>
          <w:rFonts w:ascii="Times New Roman" w:hAnsi="Times New Roman" w:cs="Times New Roman"/>
          <w:noProof/>
          <w:sz w:val="24"/>
          <w:lang w:val="en-US"/>
        </w:rPr>
        <w:t xml:space="preserve"> is subject to the receiving countries' legal system, which may result in a refusal of the MLA request (most Member States indicated as ground for refusal the difficulty to establish probable cause, followed by the lack of dual criminality, dat</w:t>
      </w:r>
      <w:r>
        <w:rPr>
          <w:rFonts w:ascii="Times New Roman" w:hAnsi="Times New Roman" w:cs="Times New Roman"/>
          <w:noProof/>
          <w:sz w:val="24"/>
          <w:lang w:val="en-US"/>
        </w:rPr>
        <w:t>a not available due to deletion, incomplete or inadequate requests).</w:t>
      </w:r>
    </w:p>
    <w:p w:rsidR="001B65FF" w:rsidRDefault="003E4EF4">
      <w:pPr>
        <w:pStyle w:val="ListParagraph"/>
        <w:numPr>
          <w:ilvl w:val="0"/>
          <w:numId w:val="118"/>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 xml:space="preserve">MLA is often used to obtain </w:t>
      </w:r>
      <w:r>
        <w:rPr>
          <w:rFonts w:ascii="Times New Roman" w:hAnsi="Times New Roman" w:cs="Times New Roman"/>
          <w:b/>
          <w:noProof/>
          <w:sz w:val="24"/>
          <w:lang w:val="en-US"/>
        </w:rPr>
        <w:t>access to content data</w:t>
      </w:r>
      <w:r>
        <w:rPr>
          <w:rFonts w:ascii="Times New Roman" w:hAnsi="Times New Roman" w:cs="Times New Roman"/>
          <w:noProof/>
          <w:sz w:val="24"/>
          <w:lang w:val="en-US"/>
        </w:rPr>
        <w:t xml:space="preserve"> (22 Member States), but it is also used to obtain other types of information, including </w:t>
      </w:r>
      <w:r>
        <w:rPr>
          <w:rFonts w:ascii="Times New Roman" w:hAnsi="Times New Roman" w:cs="Times New Roman"/>
          <w:b/>
          <w:noProof/>
          <w:sz w:val="24"/>
          <w:lang w:val="en-US"/>
        </w:rPr>
        <w:t xml:space="preserve">subscriber </w:t>
      </w:r>
      <w:r>
        <w:rPr>
          <w:rFonts w:ascii="Times New Roman" w:hAnsi="Times New Roman" w:cs="Times New Roman"/>
          <w:noProof/>
          <w:sz w:val="24"/>
          <w:lang w:val="en-US"/>
        </w:rPr>
        <w:t xml:space="preserve">and </w:t>
      </w:r>
      <w:r>
        <w:rPr>
          <w:rFonts w:ascii="Times New Roman" w:hAnsi="Times New Roman" w:cs="Times New Roman"/>
          <w:b/>
          <w:noProof/>
          <w:sz w:val="24"/>
          <w:lang w:val="en-US"/>
        </w:rPr>
        <w:t>traffic data</w:t>
      </w:r>
      <w:r>
        <w:rPr>
          <w:rFonts w:ascii="Times New Roman" w:hAnsi="Times New Roman" w:cs="Times New Roman"/>
          <w:noProof/>
          <w:sz w:val="24"/>
          <w:lang w:val="en-US"/>
        </w:rPr>
        <w:t>. "Top" non-EU countr</w:t>
      </w:r>
      <w:r>
        <w:rPr>
          <w:rFonts w:ascii="Times New Roman" w:hAnsi="Times New Roman" w:cs="Times New Roman"/>
          <w:noProof/>
          <w:sz w:val="24"/>
          <w:lang w:val="en-US"/>
        </w:rPr>
        <w:t>ies to which most Member States send the requests are the US and Canada.</w:t>
      </w:r>
    </w:p>
    <w:p w:rsidR="001B65FF" w:rsidRDefault="003E4EF4">
      <w:pPr>
        <w:pStyle w:val="ListParagraph"/>
        <w:numPr>
          <w:ilvl w:val="0"/>
          <w:numId w:val="118"/>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Although MLA requests are made following formal channels, it is difficult to keep track of both requests and responses to non-EU countries with the effect that most Member States do n</w:t>
      </w:r>
      <w:r>
        <w:rPr>
          <w:rFonts w:ascii="Times New Roman" w:hAnsi="Times New Roman" w:cs="Times New Roman"/>
          <w:noProof/>
          <w:sz w:val="24"/>
          <w:lang w:val="en-US"/>
        </w:rPr>
        <w:t xml:space="preserve">ot have available </w:t>
      </w:r>
      <w:r>
        <w:rPr>
          <w:rFonts w:ascii="Times New Roman" w:hAnsi="Times New Roman" w:cs="Times New Roman"/>
          <w:b/>
          <w:noProof/>
          <w:sz w:val="24"/>
          <w:lang w:val="en-US"/>
        </w:rPr>
        <w:t>statistics for e-evidence</w:t>
      </w:r>
      <w:r>
        <w:rPr>
          <w:rFonts w:ascii="Times New Roman" w:hAnsi="Times New Roman" w:cs="Times New Roman"/>
          <w:noProof/>
          <w:sz w:val="24"/>
          <w:lang w:val="en-US"/>
        </w:rPr>
        <w:t>.</w:t>
      </w:r>
    </w:p>
    <w:p w:rsidR="001B65FF" w:rsidRDefault="003E4EF4">
      <w:pPr>
        <w:pStyle w:val="ListParagraph"/>
        <w:numPr>
          <w:ilvl w:val="0"/>
          <w:numId w:val="118"/>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 xml:space="preserve">The </w:t>
      </w:r>
      <w:r>
        <w:rPr>
          <w:rFonts w:ascii="Times New Roman" w:hAnsi="Times New Roman" w:cs="Times New Roman"/>
          <w:b/>
          <w:noProof/>
          <w:sz w:val="24"/>
          <w:lang w:val="en-US"/>
        </w:rPr>
        <w:t>means of transmission</w:t>
      </w:r>
      <w:r>
        <w:rPr>
          <w:rFonts w:ascii="Times New Roman" w:hAnsi="Times New Roman" w:cs="Times New Roman"/>
          <w:noProof/>
          <w:sz w:val="24"/>
          <w:lang w:val="en-US"/>
        </w:rPr>
        <w:t xml:space="preserve"> are generally </w:t>
      </w:r>
      <w:r>
        <w:rPr>
          <w:rFonts w:ascii="Times New Roman" w:hAnsi="Times New Roman" w:cs="Times New Roman"/>
          <w:b/>
          <w:noProof/>
          <w:sz w:val="24"/>
          <w:lang w:val="en-US"/>
        </w:rPr>
        <w:t>inadequate</w:t>
      </w:r>
      <w:r>
        <w:rPr>
          <w:rFonts w:ascii="Times New Roman" w:hAnsi="Times New Roman" w:cs="Times New Roman"/>
          <w:noProof/>
          <w:sz w:val="24"/>
          <w:lang w:val="en-US"/>
        </w:rPr>
        <w:t xml:space="preserve"> as most of the Member States make use of letter, fax or email, with very few countries using secure channels.</w:t>
      </w:r>
    </w:p>
    <w:p w:rsidR="001B65FF" w:rsidRDefault="003E4EF4">
      <w:pPr>
        <w:pStyle w:val="ListParagraph"/>
        <w:numPr>
          <w:ilvl w:val="0"/>
          <w:numId w:val="118"/>
        </w:numPr>
        <w:spacing w:after="0"/>
        <w:jc w:val="both"/>
        <w:rPr>
          <w:rFonts w:ascii="Times New Roman" w:hAnsi="Times New Roman" w:cs="Times New Roman"/>
          <w:noProof/>
          <w:sz w:val="24"/>
        </w:rPr>
      </w:pPr>
      <w:r>
        <w:rPr>
          <w:rFonts w:ascii="Times New Roman" w:hAnsi="Times New Roman" w:cs="Times New Roman"/>
          <w:noProof/>
          <w:sz w:val="24"/>
        </w:rPr>
        <w:t xml:space="preserve">These formal procedures ensure that the right authorities are involved and that appropriate </w:t>
      </w:r>
      <w:r>
        <w:rPr>
          <w:rFonts w:ascii="Times New Roman" w:hAnsi="Times New Roman" w:cs="Times New Roman"/>
          <w:b/>
          <w:noProof/>
          <w:sz w:val="24"/>
        </w:rPr>
        <w:t>safeguards</w:t>
      </w:r>
      <w:r>
        <w:rPr>
          <w:rFonts w:ascii="Times New Roman" w:hAnsi="Times New Roman" w:cs="Times New Roman"/>
          <w:noProof/>
          <w:sz w:val="24"/>
        </w:rPr>
        <w:t xml:space="preserve"> are taken into account when there is a sovereign interest of more than one country. They also have the consequence that requests for mutual legal assista</w:t>
      </w:r>
      <w:r>
        <w:rPr>
          <w:rFonts w:ascii="Times New Roman" w:hAnsi="Times New Roman" w:cs="Times New Roman"/>
          <w:noProof/>
          <w:sz w:val="24"/>
        </w:rPr>
        <w:t xml:space="preserve">nce require considerable time to be processed, even in cases with little or no connection to the receiving country besides the seat of the service provider. </w:t>
      </w:r>
    </w:p>
    <w:p w:rsidR="001B65FF" w:rsidRDefault="003E4EF4">
      <w:pPr>
        <w:pStyle w:val="ListParagraph"/>
        <w:numPr>
          <w:ilvl w:val="0"/>
          <w:numId w:val="118"/>
        </w:numPr>
        <w:jc w:val="both"/>
        <w:rPr>
          <w:rFonts w:ascii="Times New Roman" w:hAnsi="Times New Roman" w:cs="Times New Roman"/>
          <w:noProof/>
          <w:sz w:val="24"/>
        </w:rPr>
      </w:pPr>
      <w:r>
        <w:rPr>
          <w:rFonts w:ascii="Times New Roman" w:hAnsi="Times New Roman" w:cs="Times New Roman"/>
          <w:noProof/>
          <w:sz w:val="24"/>
        </w:rPr>
        <w:t xml:space="preserve">The legal framework is </w:t>
      </w:r>
      <w:r>
        <w:rPr>
          <w:rFonts w:ascii="Times New Roman" w:hAnsi="Times New Roman" w:cs="Times New Roman"/>
          <w:b/>
          <w:noProof/>
          <w:sz w:val="24"/>
        </w:rPr>
        <w:t xml:space="preserve">fragmented </w:t>
      </w:r>
      <w:r>
        <w:rPr>
          <w:rFonts w:ascii="Times New Roman" w:hAnsi="Times New Roman" w:cs="Times New Roman"/>
          <w:noProof/>
          <w:sz w:val="24"/>
        </w:rPr>
        <w:t>and complex; practitioners are faced with a high number of bi-la</w:t>
      </w:r>
      <w:r>
        <w:rPr>
          <w:rFonts w:ascii="Times New Roman" w:hAnsi="Times New Roman" w:cs="Times New Roman"/>
          <w:noProof/>
          <w:sz w:val="24"/>
        </w:rPr>
        <w:t xml:space="preserve">teral and multi-lateral conventions and with the specific requirements of recipient countries’ legal systems. For example, for requests addressed to the U.S., the probable cause requirement has to be met to allow the disclosure of content data, which is a </w:t>
      </w:r>
      <w:r>
        <w:rPr>
          <w:rFonts w:ascii="Times New Roman" w:hAnsi="Times New Roman" w:cs="Times New Roman"/>
          <w:noProof/>
          <w:sz w:val="24"/>
        </w:rPr>
        <w:t xml:space="preserve">concept foreign to EU practitioners, who sometimes struggle with it. </w:t>
      </w:r>
    </w:p>
    <w:p w:rsidR="001B65FF" w:rsidRDefault="003E4EF4">
      <w:pPr>
        <w:pStyle w:val="ListParagraph"/>
        <w:numPr>
          <w:ilvl w:val="0"/>
          <w:numId w:val="118"/>
        </w:numPr>
        <w:jc w:val="both"/>
        <w:rPr>
          <w:rFonts w:ascii="Times New Roman" w:hAnsi="Times New Roman" w:cs="Times New Roman"/>
          <w:noProof/>
          <w:sz w:val="24"/>
        </w:rPr>
      </w:pPr>
      <w:r>
        <w:rPr>
          <w:rFonts w:ascii="Times New Roman" w:hAnsi="Times New Roman" w:cs="Times New Roman"/>
          <w:noProof/>
          <w:sz w:val="24"/>
        </w:rPr>
        <w:t xml:space="preserve">The EU-U.S. MLA Review Report of 2016 underlines that delays are due to </w:t>
      </w:r>
      <w:r>
        <w:rPr>
          <w:rFonts w:ascii="Times New Roman" w:hAnsi="Times New Roman" w:cs="Times New Roman"/>
          <w:b/>
          <w:noProof/>
          <w:sz w:val="24"/>
        </w:rPr>
        <w:t>bottlenecks</w:t>
      </w:r>
      <w:r>
        <w:rPr>
          <w:rFonts w:ascii="Times New Roman" w:hAnsi="Times New Roman" w:cs="Times New Roman"/>
          <w:noProof/>
          <w:sz w:val="24"/>
        </w:rPr>
        <w:t xml:space="preserve"> at the phase of the reception of requests by the U.S. Authorities and also during the execution phase. This is mainly due to the steep and sustained increase in volume of requests; as the U.S. authorities reported already in 2014, "[o]ver the past decade </w:t>
      </w:r>
      <w:r>
        <w:rPr>
          <w:rFonts w:ascii="Times New Roman" w:hAnsi="Times New Roman" w:cs="Times New Roman"/>
          <w:noProof/>
          <w:sz w:val="24"/>
        </w:rPr>
        <w:t>the number of requests for assistance from foreign authorities handled by the Criminal Division’s Office of International Affairs (OIA) has increased nearly 60 percent, and the number of requests for computer records has increased ten-fold." In an effort t</w:t>
      </w:r>
      <w:r>
        <w:rPr>
          <w:rFonts w:ascii="Times New Roman" w:hAnsi="Times New Roman" w:cs="Times New Roman"/>
          <w:noProof/>
          <w:sz w:val="24"/>
        </w:rPr>
        <w:t>o improve the situation, the U.S. Department of Justice has created a dedicated team for electronic evidence and has obtained a change in legislation allowing them to make the relevant pleas before the local District of Columbia courts. Nonetheless, the re</w:t>
      </w:r>
      <w:r>
        <w:rPr>
          <w:rFonts w:ascii="Times New Roman" w:hAnsi="Times New Roman" w:cs="Times New Roman"/>
          <w:noProof/>
          <w:sz w:val="24"/>
        </w:rPr>
        <w:t>sources continue to be outmatched by the swift growth in requests.</w:t>
      </w:r>
    </w:p>
    <w:p w:rsidR="001B65FF" w:rsidRDefault="003E4EF4">
      <w:pPr>
        <w:spacing w:after="0"/>
        <w:jc w:val="both"/>
        <w:rPr>
          <w:rFonts w:ascii="Times New Roman" w:hAnsi="Times New Roman" w:cs="Times New Roman"/>
          <w:i/>
          <w:noProof/>
          <w:sz w:val="24"/>
        </w:rPr>
      </w:pPr>
      <w:r>
        <w:rPr>
          <w:rFonts w:ascii="Times New Roman" w:hAnsi="Times New Roman" w:cs="Times New Roman"/>
          <w:i/>
          <w:noProof/>
          <w:sz w:val="24"/>
        </w:rPr>
        <w:t>Direct cooperation</w:t>
      </w:r>
    </w:p>
    <w:p w:rsidR="001B65FF" w:rsidRDefault="003E4EF4">
      <w:pPr>
        <w:pStyle w:val="ListParagraph"/>
        <w:numPr>
          <w:ilvl w:val="0"/>
          <w:numId w:val="129"/>
        </w:numPr>
        <w:spacing w:after="0"/>
        <w:jc w:val="both"/>
        <w:rPr>
          <w:rFonts w:ascii="Times New Roman" w:hAnsi="Times New Roman" w:cs="Times New Roman"/>
          <w:noProof/>
          <w:sz w:val="24"/>
          <w:lang w:val="en-US"/>
        </w:rPr>
      </w:pPr>
      <w:r>
        <w:rPr>
          <w:rFonts w:ascii="Times New Roman" w:hAnsi="Times New Roman" w:cs="Times New Roman"/>
          <w:noProof/>
          <w:sz w:val="24"/>
        </w:rPr>
        <w:t>EU Member States and their judicial and law enforcement authorities have taken diverging approaches as regards the use of the connecting factors for the exercise of an in</w:t>
      </w:r>
      <w:r>
        <w:rPr>
          <w:rFonts w:ascii="Times New Roman" w:hAnsi="Times New Roman" w:cs="Times New Roman"/>
          <w:noProof/>
          <w:sz w:val="24"/>
        </w:rPr>
        <w:t>vestigatory measure allowing for access to e-evidence. There are different ways of determining whether a provider is to be considered domestic or foreign and the criteria</w:t>
      </w:r>
      <w:r>
        <w:rPr>
          <w:rFonts w:ascii="Times New Roman" w:hAnsi="Times New Roman" w:cs="Times New Roman"/>
          <w:noProof/>
          <w:sz w:val="24"/>
          <w:lang w:val="en-US"/>
        </w:rPr>
        <w:t xml:space="preserve"> to distinguish between domestic and foreign service providers vary significantly amon</w:t>
      </w:r>
      <w:r>
        <w:rPr>
          <w:rFonts w:ascii="Times New Roman" w:hAnsi="Times New Roman" w:cs="Times New Roman"/>
          <w:noProof/>
          <w:sz w:val="24"/>
          <w:lang w:val="en-US"/>
        </w:rPr>
        <w:t xml:space="preserve">g the Member States, ranging from the "main seat of the service provider" (16 Member States) and "the place where services are offered" (6 Member States) to "the place where data is stored" (6 Member States) and a combination of alternatives. </w:t>
      </w:r>
    </w:p>
    <w:p w:rsidR="001B65FF" w:rsidRDefault="003E4EF4">
      <w:pPr>
        <w:pStyle w:val="ListParagraph"/>
        <w:numPr>
          <w:ilvl w:val="0"/>
          <w:numId w:val="129"/>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Moreover, wh</w:t>
      </w:r>
      <w:r>
        <w:rPr>
          <w:rFonts w:ascii="Times New Roman" w:hAnsi="Times New Roman" w:cs="Times New Roman"/>
          <w:noProof/>
          <w:sz w:val="24"/>
          <w:lang w:val="en-US"/>
        </w:rPr>
        <w:t xml:space="preserve">ile 14 Member States consider direct requests sent from national authorities directly to a service provider in another country as </w:t>
      </w:r>
      <w:r>
        <w:rPr>
          <w:rFonts w:ascii="Times New Roman" w:hAnsi="Times New Roman" w:cs="Times New Roman"/>
          <w:b/>
          <w:noProof/>
          <w:sz w:val="24"/>
          <w:lang w:val="en-US"/>
        </w:rPr>
        <w:t>voluntary</w:t>
      </w:r>
      <w:r>
        <w:rPr>
          <w:rFonts w:ascii="Times New Roman" w:hAnsi="Times New Roman" w:cs="Times New Roman"/>
          <w:noProof/>
          <w:sz w:val="24"/>
          <w:lang w:val="en-US"/>
        </w:rPr>
        <w:t xml:space="preserve"> for the provider to comply with, 7 Member States consider these requests as </w:t>
      </w:r>
      <w:r>
        <w:rPr>
          <w:rFonts w:ascii="Times New Roman" w:hAnsi="Times New Roman" w:cs="Times New Roman"/>
          <w:b/>
          <w:noProof/>
          <w:sz w:val="24"/>
          <w:lang w:val="en-US"/>
        </w:rPr>
        <w:t>mandatory</w:t>
      </w:r>
      <w:r>
        <w:rPr>
          <w:rFonts w:ascii="Times New Roman" w:hAnsi="Times New Roman" w:cs="Times New Roman"/>
          <w:noProof/>
          <w:sz w:val="24"/>
          <w:lang w:val="en-US"/>
        </w:rPr>
        <w:t>. Even when this mechanism is c</w:t>
      </w:r>
      <w:r>
        <w:rPr>
          <w:rFonts w:ascii="Times New Roman" w:hAnsi="Times New Roman" w:cs="Times New Roman"/>
          <w:noProof/>
          <w:sz w:val="24"/>
          <w:lang w:val="en-US"/>
        </w:rPr>
        <w:t>onsidered mandatory, it is very difficult to assess whether the Member States can actually enforce it, also due to the lack of a specific legal framework for these requests (20 Member States apply to these cases the same framework as for domestic requests)</w:t>
      </w:r>
      <w:r>
        <w:rPr>
          <w:rFonts w:ascii="Times New Roman" w:hAnsi="Times New Roman" w:cs="Times New Roman"/>
          <w:noProof/>
          <w:sz w:val="24"/>
          <w:lang w:val="en-US"/>
        </w:rPr>
        <w:t xml:space="preserve"> or agreement with foreign service providers (only 8 Member States have such agreements).</w:t>
      </w:r>
    </w:p>
    <w:p w:rsidR="001B65FF" w:rsidRDefault="003E4EF4">
      <w:pPr>
        <w:pStyle w:val="ListParagraph"/>
        <w:numPr>
          <w:ilvl w:val="0"/>
          <w:numId w:val="129"/>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The majority of national legislations either</w:t>
      </w:r>
      <w:r>
        <w:rPr>
          <w:rFonts w:ascii="Times New Roman" w:hAnsi="Times New Roman" w:cs="Times New Roman"/>
          <w:b/>
          <w:noProof/>
          <w:sz w:val="24"/>
          <w:lang w:val="en-US"/>
        </w:rPr>
        <w:t xml:space="preserve"> does</w:t>
      </w:r>
      <w:r>
        <w:rPr>
          <w:rFonts w:ascii="Times New Roman" w:hAnsi="Times New Roman"/>
          <w:noProof/>
          <w:sz w:val="24"/>
          <w:lang w:val="en-US"/>
        </w:rPr>
        <w:t xml:space="preserve"> </w:t>
      </w:r>
      <w:r>
        <w:rPr>
          <w:rFonts w:ascii="Times New Roman" w:hAnsi="Times New Roman" w:cs="Times New Roman"/>
          <w:b/>
          <w:noProof/>
          <w:sz w:val="24"/>
          <w:lang w:val="en-US"/>
        </w:rPr>
        <w:t>not cover or explicitly prohibit</w:t>
      </w:r>
      <w:r>
        <w:rPr>
          <w:rFonts w:ascii="Times New Roman" w:hAnsi="Times New Roman" w:cs="Times New Roman"/>
          <w:noProof/>
          <w:sz w:val="24"/>
          <w:lang w:val="en-US"/>
        </w:rPr>
        <w:t xml:space="preserve"> that service providers established in the Member State </w:t>
      </w:r>
      <w:r>
        <w:rPr>
          <w:rFonts w:ascii="Times New Roman" w:hAnsi="Times New Roman" w:cs="Times New Roman"/>
          <w:b/>
          <w:noProof/>
          <w:sz w:val="24"/>
          <w:lang w:val="en-US"/>
        </w:rPr>
        <w:t>respond to direct requests</w:t>
      </w:r>
      <w:r>
        <w:rPr>
          <w:rFonts w:ascii="Times New Roman" w:hAnsi="Times New Roman" w:cs="Times New Roman"/>
          <w:noProof/>
          <w:sz w:val="24"/>
          <w:lang w:val="en-US"/>
        </w:rPr>
        <w:t xml:space="preserve"> f</w:t>
      </w:r>
      <w:r>
        <w:rPr>
          <w:rFonts w:ascii="Times New Roman" w:hAnsi="Times New Roman" w:cs="Times New Roman"/>
          <w:noProof/>
          <w:sz w:val="24"/>
          <w:lang w:val="en-US"/>
        </w:rPr>
        <w:t>rom law enforcement authorities from another EU Member State or non-EU country</w:t>
      </w:r>
      <w:r>
        <w:rPr>
          <w:rFonts w:ascii="Times New Roman" w:hAnsi="Times New Roman" w:cs="Times New Roman"/>
          <w:noProof/>
          <w:vertAlign w:val="superscript"/>
          <w:lang w:val="en-US"/>
        </w:rPr>
        <w:footnoteReference w:id="176"/>
      </w:r>
      <w:r>
        <w:rPr>
          <w:rFonts w:ascii="Times New Roman" w:hAnsi="Times New Roman" w:cs="Times New Roman"/>
          <w:noProof/>
          <w:sz w:val="24"/>
          <w:lang w:val="en-US"/>
        </w:rPr>
        <w:t>.</w:t>
      </w:r>
    </w:p>
    <w:p w:rsidR="001B65FF" w:rsidRDefault="003E4EF4">
      <w:pPr>
        <w:pStyle w:val="ListParagraph"/>
        <w:numPr>
          <w:ilvl w:val="0"/>
          <w:numId w:val="129"/>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 xml:space="preserve">The </w:t>
      </w:r>
      <w:r>
        <w:rPr>
          <w:rFonts w:ascii="Times New Roman" w:hAnsi="Times New Roman" w:cs="Times New Roman"/>
          <w:b/>
          <w:noProof/>
          <w:sz w:val="24"/>
          <w:lang w:val="en-US"/>
        </w:rPr>
        <w:t>definition of types of data</w:t>
      </w:r>
      <w:r>
        <w:rPr>
          <w:rFonts w:ascii="Times New Roman" w:hAnsi="Times New Roman" w:cs="Times New Roman"/>
          <w:noProof/>
          <w:sz w:val="24"/>
          <w:lang w:val="en-US"/>
        </w:rPr>
        <w:t xml:space="preserve"> (subscriber, traffic and content data) varies significantly among Member States, while specific categories of data exist in several countries. </w:t>
      </w:r>
      <w:r>
        <w:rPr>
          <w:rFonts w:ascii="Times New Roman" w:hAnsi="Times New Roman" w:cs="Times New Roman"/>
          <w:b/>
          <w:noProof/>
          <w:sz w:val="24"/>
          <w:lang w:val="en-US"/>
        </w:rPr>
        <w:t>Data requested</w:t>
      </w:r>
      <w:r>
        <w:rPr>
          <w:rFonts w:ascii="Times New Roman" w:hAnsi="Times New Roman" w:cs="Times New Roman"/>
          <w:noProof/>
          <w:sz w:val="24"/>
          <w:lang w:val="en-US"/>
        </w:rPr>
        <w:t xml:space="preserve"> from service providers are generally subscriber (21 Member States) and traffic data (18 Member States), while in a few Member States (9) it is also possible to request content data and "other data" (4 Member States). </w:t>
      </w:r>
    </w:p>
    <w:p w:rsidR="001B65FF" w:rsidRDefault="003E4EF4">
      <w:pPr>
        <w:pStyle w:val="ListParagraph"/>
        <w:numPr>
          <w:ilvl w:val="0"/>
          <w:numId w:val="129"/>
        </w:numPr>
        <w:spacing w:after="0"/>
        <w:jc w:val="both"/>
        <w:rPr>
          <w:rFonts w:ascii="Times New Roman" w:hAnsi="Times New Roman" w:cs="Times New Roman"/>
          <w:noProof/>
          <w:sz w:val="24"/>
          <w:lang w:val="en-US"/>
        </w:rPr>
      </w:pPr>
      <w:r>
        <w:rPr>
          <w:rFonts w:ascii="Times New Roman" w:hAnsi="Times New Roman" w:cs="Times New Roman"/>
          <w:noProof/>
          <w:sz w:val="24"/>
          <w:lang w:val="en-US"/>
        </w:rPr>
        <w:t xml:space="preserve">Practices also diverge </w:t>
      </w:r>
      <w:r>
        <w:rPr>
          <w:rFonts w:ascii="Times New Roman" w:hAnsi="Times New Roman" w:cs="Times New Roman"/>
          <w:noProof/>
          <w:sz w:val="24"/>
          <w:lang w:val="en-US"/>
        </w:rPr>
        <w:t xml:space="preserve">as regards the </w:t>
      </w:r>
      <w:r>
        <w:rPr>
          <w:rFonts w:ascii="Times New Roman" w:hAnsi="Times New Roman" w:cs="Times New Roman"/>
          <w:b/>
          <w:noProof/>
          <w:sz w:val="24"/>
          <w:lang w:val="en-US"/>
        </w:rPr>
        <w:t>procedures for making the direct requests</w:t>
      </w:r>
      <w:r>
        <w:rPr>
          <w:rFonts w:ascii="Times New Roman" w:hAnsi="Times New Roman" w:cs="Times New Roman"/>
          <w:noProof/>
          <w:sz w:val="24"/>
          <w:lang w:val="en-US"/>
        </w:rPr>
        <w:t>, i.e. the authority which can initiate the process (generally the police, followed by the prosecutor and the judge), the modality for launching a request or transmitting e-evidence (normally via emai</w:t>
      </w:r>
      <w:r>
        <w:rPr>
          <w:rFonts w:ascii="Times New Roman" w:hAnsi="Times New Roman" w:cs="Times New Roman"/>
          <w:noProof/>
          <w:sz w:val="24"/>
          <w:lang w:val="en-US"/>
        </w:rPr>
        <w:t>l or web portal, but in some other cases with paper or fax or via all the possible means). The only common feature is the lack of a central repository in the Member States.</w:t>
      </w:r>
    </w:p>
    <w:p w:rsidR="001B65FF" w:rsidRDefault="003E4EF4">
      <w:pPr>
        <w:pStyle w:val="ListParagraph"/>
        <w:numPr>
          <w:ilvl w:val="0"/>
          <w:numId w:val="129"/>
        </w:numPr>
        <w:spacing w:after="0"/>
        <w:jc w:val="both"/>
        <w:rPr>
          <w:rFonts w:ascii="Times New Roman" w:hAnsi="Times New Roman" w:cs="Times New Roman"/>
          <w:noProof/>
          <w:sz w:val="24"/>
        </w:rPr>
      </w:pPr>
      <w:r>
        <w:rPr>
          <w:rFonts w:ascii="Times New Roman" w:hAnsi="Times New Roman" w:cs="Times New Roman"/>
          <w:noProof/>
          <w:sz w:val="24"/>
        </w:rPr>
        <w:t>There is no common approach on how the service providers react to requests from for</w:t>
      </w:r>
      <w:r>
        <w:rPr>
          <w:rFonts w:ascii="Times New Roman" w:hAnsi="Times New Roman" w:cs="Times New Roman"/>
          <w:noProof/>
          <w:sz w:val="24"/>
        </w:rPr>
        <w:t xml:space="preserve">eign law enforcement authorities and it appears they respond differently depending on which country requests come from, with a minimum </w:t>
      </w:r>
      <w:r>
        <w:rPr>
          <w:rFonts w:ascii="Times New Roman" w:hAnsi="Times New Roman" w:cs="Times New Roman"/>
          <w:b/>
          <w:noProof/>
          <w:sz w:val="24"/>
        </w:rPr>
        <w:t>responding time</w:t>
      </w:r>
      <w:r>
        <w:rPr>
          <w:rFonts w:ascii="Times New Roman" w:hAnsi="Times New Roman" w:cs="Times New Roman"/>
          <w:noProof/>
          <w:sz w:val="24"/>
        </w:rPr>
        <w:t xml:space="preserve"> of a few minutes in certain countries to a maximum of 1 month in others.</w:t>
      </w:r>
    </w:p>
    <w:p w:rsidR="001B65FF" w:rsidRDefault="003E4EF4">
      <w:pPr>
        <w:pStyle w:val="ListParagraph"/>
        <w:numPr>
          <w:ilvl w:val="0"/>
          <w:numId w:val="129"/>
        </w:numPr>
        <w:jc w:val="both"/>
        <w:rPr>
          <w:rFonts w:ascii="Times New Roman" w:hAnsi="Times New Roman" w:cs="Times New Roman"/>
          <w:noProof/>
          <w:sz w:val="24"/>
        </w:rPr>
      </w:pPr>
      <w:r>
        <w:rPr>
          <w:rFonts w:ascii="Times New Roman" w:hAnsi="Times New Roman" w:cs="Times New Roman"/>
          <w:b/>
          <w:noProof/>
          <w:sz w:val="24"/>
        </w:rPr>
        <w:t>Admissibility in Court</w:t>
      </w:r>
      <w:r>
        <w:rPr>
          <w:rFonts w:ascii="Times New Roman" w:hAnsi="Times New Roman" w:cs="Times New Roman"/>
          <w:noProof/>
          <w:sz w:val="24"/>
        </w:rPr>
        <w:t xml:space="preserve"> of e-evid</w:t>
      </w:r>
      <w:r>
        <w:rPr>
          <w:rFonts w:ascii="Times New Roman" w:hAnsi="Times New Roman" w:cs="Times New Roman"/>
          <w:noProof/>
          <w:sz w:val="24"/>
        </w:rPr>
        <w:t>ence gathered outside the MLA mechanism does not generally constitute a problem for the majority of Member States, with the exception of a few Member States where this is not allowed by domestic laws or it is subject to stringent conditions, showing the la</w:t>
      </w:r>
      <w:r>
        <w:rPr>
          <w:rFonts w:ascii="Times New Roman" w:hAnsi="Times New Roman" w:cs="Times New Roman"/>
          <w:noProof/>
          <w:sz w:val="24"/>
        </w:rPr>
        <w:t>ck of a common view on the principle of voluntary disclosure without an MLA among Member States.</w:t>
      </w:r>
    </w:p>
    <w:p w:rsidR="001B65FF" w:rsidRDefault="003E4EF4">
      <w:pPr>
        <w:spacing w:after="0"/>
        <w:jc w:val="both"/>
        <w:rPr>
          <w:rFonts w:ascii="Times New Roman" w:hAnsi="Times New Roman" w:cs="Times New Roman"/>
          <w:i/>
          <w:noProof/>
          <w:sz w:val="24"/>
        </w:rPr>
      </w:pPr>
      <w:r>
        <w:rPr>
          <w:rFonts w:ascii="Times New Roman" w:hAnsi="Times New Roman" w:cs="Times New Roman"/>
          <w:i/>
          <w:noProof/>
          <w:sz w:val="24"/>
        </w:rPr>
        <w:t>Direct access</w:t>
      </w:r>
    </w:p>
    <w:p w:rsidR="001B65FF" w:rsidRDefault="003E4EF4">
      <w:pPr>
        <w:pStyle w:val="ListParagraph"/>
        <w:numPr>
          <w:ilvl w:val="0"/>
          <w:numId w:val="130"/>
        </w:numPr>
        <w:spacing w:after="240"/>
        <w:jc w:val="both"/>
        <w:rPr>
          <w:rFonts w:ascii="Times New Roman" w:hAnsi="Times New Roman" w:cs="Times New Roman"/>
          <w:noProof/>
          <w:sz w:val="24"/>
          <w:lang w:val="en-US"/>
        </w:rPr>
      </w:pPr>
      <w:r>
        <w:rPr>
          <w:rFonts w:ascii="Times New Roman" w:hAnsi="Times New Roman" w:cs="Times New Roman"/>
          <w:noProof/>
          <w:sz w:val="24"/>
          <w:lang w:val="en-US"/>
        </w:rPr>
        <w:t xml:space="preserve">In some Member States, law enforcement authorities make use of investigative techniques to access e-evidence also when </w:t>
      </w:r>
      <w:r>
        <w:rPr>
          <w:rFonts w:ascii="Times New Roman" w:hAnsi="Times New Roman" w:cs="Times New Roman"/>
          <w:b/>
          <w:noProof/>
          <w:sz w:val="24"/>
          <w:lang w:val="en-US"/>
        </w:rPr>
        <w:t>the location of e-evidence</w:t>
      </w:r>
      <w:r>
        <w:rPr>
          <w:rFonts w:ascii="Times New Roman" w:hAnsi="Times New Roman" w:cs="Times New Roman"/>
          <w:b/>
          <w:noProof/>
          <w:sz w:val="24"/>
          <w:lang w:val="en-US"/>
        </w:rPr>
        <w:t xml:space="preserve"> is unclear</w:t>
      </w:r>
      <w:r>
        <w:rPr>
          <w:rFonts w:ascii="Times New Roman" w:hAnsi="Times New Roman" w:cs="Times New Roman"/>
          <w:noProof/>
          <w:sz w:val="24"/>
          <w:lang w:val="en-US"/>
        </w:rPr>
        <w:t xml:space="preserve"> or </w:t>
      </w:r>
      <w:r>
        <w:rPr>
          <w:rFonts w:ascii="Times New Roman" w:hAnsi="Times New Roman" w:cs="Times New Roman"/>
          <w:b/>
          <w:noProof/>
          <w:sz w:val="24"/>
          <w:lang w:val="en-US"/>
        </w:rPr>
        <w:t>impossible to establish</w:t>
      </w:r>
      <w:r>
        <w:rPr>
          <w:rFonts w:ascii="Times New Roman" w:hAnsi="Times New Roman" w:cs="Times New Roman"/>
          <w:noProof/>
          <w:sz w:val="24"/>
          <w:lang w:val="en-US"/>
        </w:rPr>
        <w:t>. Tools used across the EU range from "remote access" and "search and seizure" to "multiple MLA requests" and "instruments of international cooperation". On the other hand, there are still several countries (8 Member S</w:t>
      </w:r>
      <w:r>
        <w:rPr>
          <w:rFonts w:ascii="Times New Roman" w:hAnsi="Times New Roman" w:cs="Times New Roman"/>
          <w:noProof/>
          <w:sz w:val="24"/>
          <w:lang w:val="en-US"/>
        </w:rPr>
        <w:t>tates) where the access to e-evidence under these circumstances is not possible or provided for by law.</w:t>
      </w:r>
    </w:p>
    <w:p w:rsidR="001B65FF" w:rsidRDefault="003E4EF4">
      <w:pPr>
        <w:jc w:val="both"/>
        <w:rPr>
          <w:rFonts w:ascii="Times New Roman" w:hAnsi="Times New Roman" w:cs="Times New Roman"/>
          <w:noProof/>
          <w:sz w:val="24"/>
          <w:u w:val="single"/>
        </w:rPr>
      </w:pPr>
      <w:r>
        <w:rPr>
          <w:rFonts w:ascii="Times New Roman" w:hAnsi="Times New Roman" w:cs="Times New Roman"/>
          <w:noProof/>
          <w:sz w:val="24"/>
          <w:u w:val="single"/>
        </w:rPr>
        <w:t>Targeted survey 2</w:t>
      </w:r>
    </w:p>
    <w:p w:rsidR="001B65FF" w:rsidRDefault="003E4EF4">
      <w:pPr>
        <w:numPr>
          <w:ilvl w:val="0"/>
          <w:numId w:val="131"/>
        </w:numPr>
        <w:contextualSpacing/>
        <w:jc w:val="both"/>
        <w:rPr>
          <w:rFonts w:ascii="Times New Roman" w:hAnsi="Times New Roman" w:cs="Times New Roman"/>
          <w:noProof/>
          <w:sz w:val="24"/>
        </w:rPr>
      </w:pPr>
      <w:r>
        <w:rPr>
          <w:rFonts w:ascii="Times New Roman" w:hAnsi="Times New Roman" w:cs="Times New Roman"/>
          <w:noProof/>
          <w:sz w:val="24"/>
        </w:rPr>
        <w:t>The targeted survey revealed that:</w:t>
      </w:r>
    </w:p>
    <w:p w:rsidR="001B65FF" w:rsidRDefault="003E4EF4">
      <w:pPr>
        <w:numPr>
          <w:ilvl w:val="1"/>
          <w:numId w:val="131"/>
        </w:numPr>
        <w:contextualSpacing/>
        <w:jc w:val="both"/>
        <w:rPr>
          <w:rFonts w:ascii="Times New Roman" w:hAnsi="Times New Roman" w:cs="Times New Roman"/>
          <w:noProof/>
          <w:sz w:val="24"/>
        </w:rPr>
      </w:pPr>
      <w:r>
        <w:rPr>
          <w:rFonts w:ascii="Times New Roman" w:hAnsi="Times New Roman" w:cs="Times New Roman"/>
          <w:b/>
          <w:noProof/>
          <w:sz w:val="24"/>
        </w:rPr>
        <w:t xml:space="preserve">More than half </w:t>
      </w:r>
      <w:r>
        <w:rPr>
          <w:rFonts w:ascii="Times New Roman" w:hAnsi="Times New Roman" w:cs="Times New Roman"/>
          <w:noProof/>
          <w:sz w:val="24"/>
        </w:rPr>
        <w:t xml:space="preserve">of total investigations include a request to </w:t>
      </w:r>
      <w:r>
        <w:rPr>
          <w:rFonts w:ascii="Times New Roman" w:hAnsi="Times New Roman" w:cs="Times New Roman"/>
          <w:b/>
          <w:noProof/>
          <w:sz w:val="24"/>
        </w:rPr>
        <w:t>cross-border access to e-evidence</w:t>
      </w:r>
      <w:r>
        <w:rPr>
          <w:rFonts w:ascii="Times New Roman" w:hAnsi="Times New Roman" w:cs="Times New Roman"/>
          <w:noProof/>
          <w:sz w:val="24"/>
        </w:rPr>
        <w:t>.</w:t>
      </w:r>
    </w:p>
    <w:p w:rsidR="001B65FF" w:rsidRDefault="003E4EF4">
      <w:pPr>
        <w:numPr>
          <w:ilvl w:val="1"/>
          <w:numId w:val="131"/>
        </w:numPr>
        <w:contextualSpacing/>
        <w:jc w:val="both"/>
        <w:rPr>
          <w:rFonts w:ascii="Times New Roman" w:hAnsi="Times New Roman" w:cs="Times New Roman"/>
          <w:b/>
          <w:noProof/>
          <w:sz w:val="24"/>
        </w:rPr>
      </w:pPr>
      <w:r>
        <w:rPr>
          <w:rFonts w:ascii="Times New Roman" w:hAnsi="Times New Roman" w:cs="Times New Roman"/>
          <w:b/>
          <w:noProof/>
          <w:sz w:val="24"/>
        </w:rPr>
        <w:t>Less</w:t>
      </w:r>
      <w:r>
        <w:rPr>
          <w:rFonts w:ascii="Times New Roman" w:hAnsi="Times New Roman" w:cs="Times New Roman"/>
          <w:b/>
          <w:noProof/>
          <w:sz w:val="24"/>
        </w:rPr>
        <w:t xml:space="preserve"> than half of all the requests to service providers are fulfilled.</w:t>
      </w:r>
    </w:p>
    <w:p w:rsidR="001B65FF" w:rsidRDefault="003E4EF4">
      <w:pPr>
        <w:numPr>
          <w:ilvl w:val="1"/>
          <w:numId w:val="131"/>
        </w:numPr>
        <w:contextualSpacing/>
        <w:jc w:val="both"/>
        <w:rPr>
          <w:rFonts w:ascii="Times New Roman" w:hAnsi="Times New Roman" w:cs="Times New Roman"/>
          <w:noProof/>
          <w:sz w:val="24"/>
        </w:rPr>
      </w:pPr>
      <w:r>
        <w:rPr>
          <w:rFonts w:ascii="Times New Roman" w:hAnsi="Times New Roman" w:cs="Times New Roman"/>
          <w:noProof/>
          <w:sz w:val="24"/>
        </w:rPr>
        <w:t xml:space="preserve">Almost </w:t>
      </w:r>
      <w:r>
        <w:rPr>
          <w:rFonts w:ascii="Times New Roman" w:hAnsi="Times New Roman" w:cs="Times New Roman"/>
          <w:b/>
          <w:noProof/>
          <w:sz w:val="24"/>
        </w:rPr>
        <w:t xml:space="preserve">two thirds </w:t>
      </w:r>
      <w:r>
        <w:rPr>
          <w:rFonts w:ascii="Times New Roman" w:hAnsi="Times New Roman" w:cs="Times New Roman"/>
          <w:noProof/>
          <w:sz w:val="24"/>
        </w:rPr>
        <w:t xml:space="preserve">of crimes involving cross-border access to e-evidence </w:t>
      </w:r>
      <w:r>
        <w:rPr>
          <w:rFonts w:ascii="Times New Roman" w:hAnsi="Times New Roman" w:cs="Times New Roman"/>
          <w:b/>
          <w:noProof/>
          <w:sz w:val="24"/>
        </w:rPr>
        <w:t>cannot be effectively investigated or prosecuted.</w:t>
      </w:r>
    </w:p>
    <w:p w:rsidR="001B65FF" w:rsidRDefault="003E4EF4">
      <w:pPr>
        <w:numPr>
          <w:ilvl w:val="0"/>
          <w:numId w:val="131"/>
        </w:numPr>
        <w:contextualSpacing/>
        <w:jc w:val="both"/>
        <w:rPr>
          <w:rFonts w:ascii="Times New Roman" w:hAnsi="Times New Roman" w:cs="Times New Roman"/>
          <w:noProof/>
          <w:sz w:val="24"/>
        </w:rPr>
      </w:pPr>
      <w:r>
        <w:rPr>
          <w:rFonts w:ascii="Times New Roman" w:hAnsi="Times New Roman" w:cs="Times New Roman"/>
          <w:noProof/>
          <w:sz w:val="24"/>
        </w:rPr>
        <w:t xml:space="preserve">The survey was based on </w:t>
      </w:r>
      <w:r>
        <w:rPr>
          <w:rFonts w:ascii="Times New Roman" w:hAnsi="Times New Roman" w:cs="Times New Roman"/>
          <w:b/>
          <w:noProof/>
          <w:sz w:val="24"/>
        </w:rPr>
        <w:t>estimates</w:t>
      </w:r>
      <w:r>
        <w:rPr>
          <w:rFonts w:ascii="Times New Roman" w:hAnsi="Times New Roman" w:cs="Times New Roman"/>
          <w:noProof/>
          <w:sz w:val="24"/>
        </w:rPr>
        <w:t xml:space="preserve"> since this data is not collected </w:t>
      </w:r>
      <w:r>
        <w:rPr>
          <w:rFonts w:ascii="Times New Roman" w:hAnsi="Times New Roman" w:cs="Times New Roman"/>
          <w:noProof/>
          <w:sz w:val="24"/>
        </w:rPr>
        <w:t>in Member States.</w:t>
      </w:r>
    </w:p>
    <w:p w:rsidR="001B65FF" w:rsidRDefault="003E4EF4">
      <w:pPr>
        <w:numPr>
          <w:ilvl w:val="0"/>
          <w:numId w:val="131"/>
        </w:numPr>
        <w:contextualSpacing/>
        <w:jc w:val="both"/>
        <w:rPr>
          <w:rFonts w:ascii="Times New Roman" w:hAnsi="Times New Roman" w:cs="Times New Roman"/>
          <w:noProof/>
          <w:sz w:val="24"/>
        </w:rPr>
      </w:pPr>
      <w:r>
        <w:rPr>
          <w:rFonts w:ascii="Times New Roman" w:hAnsi="Times New Roman" w:cs="Times New Roman"/>
          <w:noProof/>
          <w:sz w:val="24"/>
        </w:rPr>
        <w:t xml:space="preserve">The results of the survey have been integrated in section 2.1.1 of the impact assessment (Definition and magnitude of the problem). </w:t>
      </w:r>
    </w:p>
    <w:p w:rsidR="001B65FF" w:rsidRDefault="003E4EF4">
      <w:pPr>
        <w:numPr>
          <w:ilvl w:val="0"/>
          <w:numId w:val="131"/>
        </w:numPr>
        <w:contextualSpacing/>
        <w:jc w:val="both"/>
        <w:rPr>
          <w:rFonts w:ascii="Times New Roman" w:hAnsi="Times New Roman" w:cs="Times New Roman"/>
          <w:noProof/>
          <w:sz w:val="24"/>
        </w:rPr>
      </w:pPr>
      <w:r>
        <w:rPr>
          <w:rFonts w:ascii="Times New Roman" w:hAnsi="Times New Roman" w:cs="Times New Roman"/>
          <w:noProof/>
          <w:sz w:val="24"/>
        </w:rPr>
        <w:t>For more details, please see Annex 11 (Additional data on the size of the problem).</w:t>
      </w:r>
    </w:p>
    <w:p w:rsidR="001B65FF" w:rsidRDefault="001B65FF">
      <w:pPr>
        <w:ind w:left="720"/>
        <w:contextualSpacing/>
        <w:jc w:val="both"/>
        <w:rPr>
          <w:rFonts w:ascii="Times New Roman" w:hAnsi="Times New Roman" w:cs="Times New Roman"/>
          <w:noProof/>
          <w:sz w:val="24"/>
        </w:rPr>
      </w:pPr>
    </w:p>
    <w:p w:rsidR="001B65FF" w:rsidRDefault="003E4EF4">
      <w:pPr>
        <w:jc w:val="both"/>
        <w:rPr>
          <w:rFonts w:ascii="Times New Roman" w:hAnsi="Times New Roman" w:cs="Times New Roman"/>
          <w:noProof/>
          <w:sz w:val="24"/>
          <w:u w:val="single"/>
        </w:rPr>
      </w:pPr>
      <w:r>
        <w:rPr>
          <w:rFonts w:ascii="Times New Roman" w:hAnsi="Times New Roman" w:cs="Times New Roman"/>
          <w:noProof/>
          <w:sz w:val="24"/>
          <w:u w:val="single"/>
        </w:rPr>
        <w:t>Targeted survey 3</w:t>
      </w:r>
    </w:p>
    <w:p w:rsidR="001B65FF" w:rsidRDefault="003E4EF4">
      <w:pPr>
        <w:pStyle w:val="ListParagraph"/>
        <w:numPr>
          <w:ilvl w:val="0"/>
          <w:numId w:val="132"/>
        </w:numPr>
        <w:jc w:val="both"/>
        <w:rPr>
          <w:rFonts w:ascii="Times New Roman" w:hAnsi="Times New Roman" w:cs="Times New Roman"/>
          <w:noProof/>
          <w:sz w:val="24"/>
        </w:rPr>
      </w:pPr>
      <w:r>
        <w:rPr>
          <w:rFonts w:ascii="Times New Roman" w:hAnsi="Times New Roman" w:cs="Times New Roman"/>
          <w:noProof/>
          <w:sz w:val="24"/>
        </w:rPr>
        <w:t xml:space="preserve">This survey provided input that was used to estimate the costs and benefits that the different options would generate for </w:t>
      </w:r>
      <w:r>
        <w:rPr>
          <w:rFonts w:ascii="Times New Roman" w:hAnsi="Times New Roman" w:cs="Times New Roman"/>
          <w:b/>
          <w:noProof/>
          <w:sz w:val="24"/>
        </w:rPr>
        <w:t>Member States</w:t>
      </w:r>
      <w:r>
        <w:rPr>
          <w:rFonts w:ascii="Times New Roman" w:hAnsi="Times New Roman" w:cs="Times New Roman"/>
          <w:noProof/>
          <w:sz w:val="24"/>
        </w:rPr>
        <w:t xml:space="preserve">. </w:t>
      </w:r>
    </w:p>
    <w:p w:rsidR="001B65FF" w:rsidRDefault="003E4EF4">
      <w:pPr>
        <w:pStyle w:val="ListParagraph"/>
        <w:numPr>
          <w:ilvl w:val="0"/>
          <w:numId w:val="132"/>
        </w:numPr>
        <w:jc w:val="both"/>
        <w:rPr>
          <w:rFonts w:ascii="Times New Roman" w:hAnsi="Times New Roman" w:cs="Times New Roman"/>
          <w:noProof/>
          <w:sz w:val="24"/>
        </w:rPr>
      </w:pPr>
      <w:r>
        <w:rPr>
          <w:rFonts w:ascii="Times New Roman" w:hAnsi="Times New Roman" w:cs="Times New Roman"/>
          <w:noProof/>
          <w:sz w:val="24"/>
        </w:rPr>
        <w:t>See section 6.2. (Quantitative assessment) and Annex 3 for a summary of the costs and benefits and Annex 4 for a detai</w:t>
      </w:r>
      <w:r>
        <w:rPr>
          <w:rFonts w:ascii="Times New Roman" w:hAnsi="Times New Roman" w:cs="Times New Roman"/>
          <w:noProof/>
          <w:sz w:val="24"/>
        </w:rPr>
        <w:t>led description on the model to estimate those costs and benefits.</w:t>
      </w:r>
    </w:p>
    <w:p w:rsidR="001B65FF" w:rsidRDefault="003E4EF4">
      <w:pPr>
        <w:jc w:val="both"/>
        <w:rPr>
          <w:rFonts w:ascii="Times New Roman" w:hAnsi="Times New Roman" w:cs="Times New Roman"/>
          <w:noProof/>
          <w:sz w:val="24"/>
          <w:u w:val="single"/>
        </w:rPr>
      </w:pPr>
      <w:r>
        <w:rPr>
          <w:rFonts w:ascii="Times New Roman" w:hAnsi="Times New Roman" w:cs="Times New Roman"/>
          <w:noProof/>
          <w:sz w:val="24"/>
          <w:u w:val="single"/>
        </w:rPr>
        <w:t>Targeted survey 4</w:t>
      </w:r>
    </w:p>
    <w:p w:rsidR="001B65FF" w:rsidRDefault="003E4EF4">
      <w:pPr>
        <w:pStyle w:val="ListParagraph"/>
        <w:numPr>
          <w:ilvl w:val="0"/>
          <w:numId w:val="133"/>
        </w:numPr>
        <w:jc w:val="both"/>
        <w:rPr>
          <w:rFonts w:ascii="Times New Roman" w:hAnsi="Times New Roman" w:cs="Times New Roman"/>
          <w:noProof/>
          <w:sz w:val="24"/>
        </w:rPr>
      </w:pPr>
      <w:r>
        <w:rPr>
          <w:rFonts w:ascii="Times New Roman" w:hAnsi="Times New Roman" w:cs="Times New Roman"/>
          <w:noProof/>
          <w:sz w:val="24"/>
        </w:rPr>
        <w:t xml:space="preserve">This survey provided input that was used to estimate the costs and benefits that the different options would generate for </w:t>
      </w:r>
      <w:r>
        <w:rPr>
          <w:rFonts w:ascii="Times New Roman" w:hAnsi="Times New Roman" w:cs="Times New Roman"/>
          <w:b/>
          <w:noProof/>
          <w:sz w:val="24"/>
        </w:rPr>
        <w:t>service providers.</w:t>
      </w:r>
      <w:r>
        <w:rPr>
          <w:rFonts w:ascii="Times New Roman" w:hAnsi="Times New Roman" w:cs="Times New Roman"/>
          <w:noProof/>
          <w:sz w:val="24"/>
        </w:rPr>
        <w:t xml:space="preserve"> </w:t>
      </w:r>
    </w:p>
    <w:p w:rsidR="001B65FF" w:rsidRDefault="003E4EF4">
      <w:pPr>
        <w:pStyle w:val="ListParagraph"/>
        <w:numPr>
          <w:ilvl w:val="0"/>
          <w:numId w:val="133"/>
        </w:numPr>
        <w:jc w:val="both"/>
        <w:rPr>
          <w:rFonts w:ascii="Times New Roman" w:hAnsi="Times New Roman" w:cs="Times New Roman"/>
          <w:noProof/>
          <w:sz w:val="24"/>
        </w:rPr>
      </w:pPr>
      <w:r>
        <w:rPr>
          <w:rFonts w:ascii="Times New Roman" w:hAnsi="Times New Roman" w:cs="Times New Roman"/>
          <w:noProof/>
          <w:sz w:val="24"/>
        </w:rPr>
        <w:t>See section 6.2. (Quantitativ</w:t>
      </w:r>
      <w:r>
        <w:rPr>
          <w:rFonts w:ascii="Times New Roman" w:hAnsi="Times New Roman" w:cs="Times New Roman"/>
          <w:noProof/>
          <w:sz w:val="24"/>
        </w:rPr>
        <w:t>e assessment) and Annex 3 for a summary of the costs and benefits and Annex 4 for a detailed description on the model to estimate those costs and benefits.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See Annex 2.1. for procedural information on all the surveys carried out.</w:t>
      </w:r>
    </w:p>
    <w:p w:rsidR="001B65FF" w:rsidRDefault="001B65FF">
      <w:pPr>
        <w:jc w:val="both"/>
        <w:rPr>
          <w:rFonts w:ascii="Times New Roman" w:hAnsi="Times New Roman" w:cs="Times New Roman"/>
          <w:noProof/>
          <w:sz w:val="24"/>
        </w:rPr>
      </w:pPr>
    </w:p>
    <w:p w:rsidR="001B65FF" w:rsidRDefault="001B65FF">
      <w:pPr>
        <w:jc w:val="both"/>
        <w:rPr>
          <w:rFonts w:ascii="Times New Roman" w:hAnsi="Times New Roman" w:cs="Times New Roman"/>
          <w:noProof/>
          <w:sz w:val="24"/>
        </w:rPr>
      </w:pPr>
    </w:p>
    <w:p w:rsidR="001B65FF" w:rsidRDefault="003E4EF4">
      <w:pPr>
        <w:jc w:val="both"/>
        <w:rPr>
          <w:rFonts w:ascii="Times New Roman" w:hAnsi="Times New Roman" w:cs="Times New Roman"/>
          <w:b/>
          <w:noProof/>
          <w:sz w:val="24"/>
        </w:rPr>
      </w:pPr>
      <w:r>
        <w:rPr>
          <w:rFonts w:ascii="Times New Roman" w:hAnsi="Times New Roman" w:cs="Times New Roman"/>
          <w:b/>
          <w:noProof/>
          <w:sz w:val="24"/>
        </w:rPr>
        <w:t>2. Meetings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meetings</w:t>
      </w:r>
      <w:r>
        <w:rPr>
          <w:rFonts w:ascii="Times New Roman" w:hAnsi="Times New Roman" w:cs="Times New Roman"/>
          <w:noProof/>
          <w:sz w:val="24"/>
        </w:rPr>
        <w:t>, and in particular the “expert process” organised by the Commission, were an integral part of the consultation activities and were instrumental in developing the problem definition and the options described in the impact assessment.</w:t>
      </w:r>
    </w:p>
    <w:p w:rsidR="001B65FF" w:rsidRDefault="003E4EF4">
      <w:pPr>
        <w:jc w:val="both"/>
        <w:rPr>
          <w:rFonts w:ascii="Times New Roman" w:hAnsi="Times New Roman" w:cs="Times New Roman"/>
          <w:noProof/>
          <w:sz w:val="24"/>
        </w:rPr>
      </w:pPr>
      <w:r>
        <w:rPr>
          <w:rFonts w:ascii="Times New Roman" w:hAnsi="Times New Roman" w:cs="Times New Roman"/>
          <w:noProof/>
          <w:sz w:val="24"/>
        </w:rPr>
        <w:t>As indicated below, th</w:t>
      </w:r>
      <w:r>
        <w:rPr>
          <w:rFonts w:ascii="Times New Roman" w:hAnsi="Times New Roman" w:cs="Times New Roman"/>
          <w:noProof/>
          <w:sz w:val="24"/>
        </w:rPr>
        <w:t xml:space="preserve">e feedback was taken into account and regularly summarised into documents that the Commission made public in the </w:t>
      </w:r>
      <w:r>
        <w:rPr>
          <w:rFonts w:ascii="Times New Roman" w:hAnsi="Times New Roman" w:cs="Times New Roman"/>
          <w:b/>
          <w:noProof/>
          <w:sz w:val="24"/>
        </w:rPr>
        <w:t>website of this initiative</w:t>
      </w:r>
      <w:r>
        <w:rPr>
          <w:rFonts w:ascii="Times New Roman" w:hAnsi="Times New Roman" w:cs="Times New Roman"/>
          <w:bCs/>
          <w:noProof/>
          <w:sz w:val="24"/>
          <w:vertAlign w:val="superscript"/>
        </w:rPr>
        <w:footnoteReference w:id="177"/>
      </w:r>
      <w:r>
        <w:rPr>
          <w:rFonts w:ascii="Times New Roman" w:hAnsi="Times New Roman" w:cs="Times New Roman"/>
          <w:noProof/>
          <w:sz w:val="24"/>
        </w:rPr>
        <w:t xml:space="preserve">.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feedback received in the meetings was not limited to ideas presented by the Commission. In many occasions, </w:t>
      </w:r>
      <w:r>
        <w:rPr>
          <w:rFonts w:ascii="Times New Roman" w:hAnsi="Times New Roman" w:cs="Times New Roman"/>
          <w:noProof/>
          <w:sz w:val="24"/>
        </w:rPr>
        <w:t>they were the stakeholders themselves who produced ideas for discussion. For example:</w:t>
      </w:r>
    </w:p>
    <w:p w:rsidR="001B65FF" w:rsidRDefault="003E4EF4">
      <w:pPr>
        <w:numPr>
          <w:ilvl w:val="0"/>
          <w:numId w:val="128"/>
        </w:numPr>
        <w:contextualSpacing/>
        <w:jc w:val="both"/>
        <w:rPr>
          <w:rFonts w:ascii="Times New Roman" w:hAnsi="Times New Roman" w:cs="Times New Roman"/>
          <w:noProof/>
          <w:sz w:val="24"/>
        </w:rPr>
      </w:pPr>
      <w:r>
        <w:rPr>
          <w:rFonts w:ascii="Times New Roman" w:hAnsi="Times New Roman" w:cs="Times New Roman"/>
          <w:noProof/>
          <w:sz w:val="24"/>
        </w:rPr>
        <w:t xml:space="preserve">Concerning </w:t>
      </w:r>
      <w:r>
        <w:rPr>
          <w:rFonts w:ascii="Times New Roman" w:hAnsi="Times New Roman" w:cs="Times New Roman"/>
          <w:b/>
          <w:noProof/>
          <w:sz w:val="24"/>
        </w:rPr>
        <w:t>direct cooperation</w:t>
      </w:r>
      <w:r>
        <w:rPr>
          <w:rFonts w:ascii="Times New Roman" w:hAnsi="Times New Roman" w:cs="Times New Roman"/>
          <w:noProof/>
          <w:sz w:val="24"/>
        </w:rPr>
        <w:t>, Belgium presented a similar model to the EPO, i.e. an obligation for companies which provide a service on EU territory (the so-called busin</w:t>
      </w:r>
      <w:r>
        <w:rPr>
          <w:rFonts w:ascii="Times New Roman" w:hAnsi="Times New Roman" w:cs="Times New Roman"/>
          <w:noProof/>
          <w:sz w:val="24"/>
        </w:rPr>
        <w:t>ess link) to comply with EU rules and to execute national orders to provide communication data when such orders are issued by a competent authority of an EU Member State. This obligation should be enforced by a sanctions regime. It includes a possible obli</w:t>
      </w:r>
      <w:r>
        <w:rPr>
          <w:rFonts w:ascii="Times New Roman" w:hAnsi="Times New Roman" w:cs="Times New Roman"/>
          <w:noProof/>
          <w:sz w:val="24"/>
        </w:rPr>
        <w:t xml:space="preserve">gation for the investigating country to demand prior or posterior agreement by other affected countries, supported by a clear definition of cases in which another country is </w:t>
      </w:r>
      <w:r>
        <w:rPr>
          <w:rFonts w:ascii="Times New Roman" w:hAnsi="Times New Roman" w:cs="Times New Roman"/>
          <w:noProof/>
          <w:color w:val="000000"/>
          <w:sz w:val="24"/>
        </w:rPr>
        <w:t>affected</w:t>
      </w:r>
      <w:r>
        <w:rPr>
          <w:rFonts w:ascii="Times New Roman" w:hAnsi="Times New Roman" w:cs="Times New Roman"/>
          <w:noProof/>
          <w:sz w:val="24"/>
        </w:rPr>
        <w:t xml:space="preserve"> by the request. BE proposed to combine two parameters: the sensitivity of</w:t>
      </w:r>
      <w:r>
        <w:rPr>
          <w:rFonts w:ascii="Times New Roman" w:hAnsi="Times New Roman" w:cs="Times New Roman"/>
          <w:noProof/>
          <w:sz w:val="24"/>
        </w:rPr>
        <w:t xml:space="preserve"> the measure and the location of the target. BE considered that for the less sensitive production orders, e.g. for subscriber data, there is no need to notify another country. For more sensitive measures, such as an order to produce content data, the key f</w:t>
      </w:r>
      <w:r>
        <w:rPr>
          <w:rFonts w:ascii="Times New Roman" w:hAnsi="Times New Roman" w:cs="Times New Roman"/>
          <w:noProof/>
          <w:sz w:val="24"/>
        </w:rPr>
        <w:t>actor should be where the intrusion on the privacy of the target takes place.</w:t>
      </w:r>
    </w:p>
    <w:p w:rsidR="001B65FF" w:rsidRDefault="003E4EF4">
      <w:pPr>
        <w:numPr>
          <w:ilvl w:val="0"/>
          <w:numId w:val="128"/>
        </w:numPr>
        <w:contextualSpacing/>
        <w:jc w:val="both"/>
        <w:rPr>
          <w:rFonts w:ascii="Times New Roman" w:hAnsi="Times New Roman" w:cs="Times New Roman"/>
          <w:noProof/>
          <w:sz w:val="24"/>
        </w:rPr>
      </w:pPr>
      <w:r>
        <w:rPr>
          <w:rFonts w:ascii="Times New Roman" w:hAnsi="Times New Roman" w:cs="Times New Roman"/>
          <w:noProof/>
          <w:sz w:val="24"/>
        </w:rPr>
        <w:t xml:space="preserve">Concerning </w:t>
      </w:r>
      <w:r>
        <w:rPr>
          <w:rFonts w:ascii="Times New Roman" w:hAnsi="Times New Roman" w:cs="Times New Roman"/>
          <w:b/>
          <w:noProof/>
          <w:sz w:val="24"/>
        </w:rPr>
        <w:t>direct access</w:t>
      </w:r>
      <w:r>
        <w:rPr>
          <w:rFonts w:ascii="Times New Roman" w:hAnsi="Times New Roman" w:cs="Times New Roman"/>
          <w:noProof/>
          <w:sz w:val="24"/>
        </w:rPr>
        <w:t>, Germany submitted a proposal based on a system of notification/validation similar to Art. 31 EIO Directive. The criterion to determine the State affecte</w:t>
      </w:r>
      <w:r>
        <w:rPr>
          <w:rFonts w:ascii="Times New Roman" w:hAnsi="Times New Roman" w:cs="Times New Roman"/>
          <w:noProof/>
          <w:sz w:val="24"/>
        </w:rPr>
        <w:t xml:space="preserve">d by the investigative measures could be firstly the Member State of storage. If the investigating Member State is unable to identify the Member State of storage swiftly and with a reasonable amount of effort, the Member State of habitual residence of the </w:t>
      </w:r>
      <w:r>
        <w:rPr>
          <w:rFonts w:ascii="Times New Roman" w:hAnsi="Times New Roman" w:cs="Times New Roman"/>
          <w:noProof/>
          <w:sz w:val="24"/>
        </w:rPr>
        <w:t>person who regularly utilises the data affected by the investigative shall be informed.</w:t>
      </w:r>
    </w:p>
    <w:p w:rsidR="001B65FF" w:rsidRDefault="001B65FF">
      <w:pPr>
        <w:spacing w:after="0"/>
        <w:jc w:val="both"/>
        <w:rPr>
          <w:rFonts w:ascii="Times New Roman" w:hAnsi="Times New Roman" w:cs="Times New Roman"/>
          <w:noProof/>
          <w:sz w:val="24"/>
        </w:rPr>
      </w:pPr>
    </w:p>
    <w:p w:rsidR="001B65FF" w:rsidRDefault="003E4EF4">
      <w:pPr>
        <w:jc w:val="both"/>
        <w:rPr>
          <w:rFonts w:ascii="Times New Roman" w:hAnsi="Times New Roman" w:cs="Times New Roman"/>
          <w:noProof/>
          <w:sz w:val="24"/>
        </w:rPr>
      </w:pPr>
      <w:r>
        <w:rPr>
          <w:rFonts w:ascii="Times New Roman" w:hAnsi="Times New Roman" w:cs="Times New Roman"/>
          <w:noProof/>
          <w:sz w:val="24"/>
        </w:rPr>
        <w:t>See Annex 2.2. for procedural information on the different meetings in which feedback from stakeholders was gathered.</w:t>
      </w:r>
    </w:p>
    <w:p w:rsidR="001B65FF" w:rsidRDefault="003E4EF4">
      <w:pPr>
        <w:jc w:val="both"/>
        <w:rPr>
          <w:rFonts w:ascii="Times New Roman" w:hAnsi="Times New Roman" w:cs="Times New Roman"/>
          <w:b/>
          <w:noProof/>
          <w:sz w:val="24"/>
        </w:rPr>
      </w:pPr>
      <w:r>
        <w:rPr>
          <w:rFonts w:ascii="Times New Roman" w:hAnsi="Times New Roman" w:cs="Times New Roman"/>
          <w:b/>
          <w:noProof/>
          <w:sz w:val="24"/>
        </w:rPr>
        <w:t>3. Conferences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conferences were an opportunit</w:t>
      </w:r>
      <w:r>
        <w:rPr>
          <w:rFonts w:ascii="Times New Roman" w:hAnsi="Times New Roman" w:cs="Times New Roman"/>
          <w:noProof/>
          <w:sz w:val="24"/>
        </w:rPr>
        <w:t xml:space="preserve">y to present the Commission’s work and gather feedback in person from stakeholders in a setting that allows a wider reach than the above meetings.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input received in the conferences, shaped the ongoing work of the Commission and was incorporated in the</w:t>
      </w:r>
      <w:r>
        <w:rPr>
          <w:rFonts w:ascii="Times New Roman" w:hAnsi="Times New Roman" w:cs="Times New Roman"/>
          <w:noProof/>
          <w:sz w:val="24"/>
        </w:rPr>
        <w:t xml:space="preserve"> meeting discussions, fed into the survey questions and added to the relevant sections of the impact assessment.</w:t>
      </w:r>
    </w:p>
    <w:p w:rsidR="001B65FF" w:rsidRDefault="003E4EF4">
      <w:pPr>
        <w:jc w:val="both"/>
        <w:rPr>
          <w:rFonts w:ascii="Times New Roman" w:hAnsi="Times New Roman" w:cs="Times New Roman"/>
          <w:noProof/>
          <w:sz w:val="24"/>
        </w:rPr>
      </w:pPr>
      <w:r>
        <w:rPr>
          <w:rFonts w:ascii="Times New Roman" w:hAnsi="Times New Roman" w:cs="Times New Roman"/>
          <w:noProof/>
          <w:sz w:val="24"/>
        </w:rPr>
        <w:t>See Annex 2.2. for procedural information on the different conferences in which feedback from stakeholders was gathered.</w:t>
      </w:r>
    </w:p>
    <w:p w:rsidR="001B65FF" w:rsidRDefault="003E4EF4">
      <w:pPr>
        <w:pStyle w:val="ListParagraph"/>
        <w:numPr>
          <w:ilvl w:val="0"/>
          <w:numId w:val="114"/>
        </w:numPr>
        <w:rPr>
          <w:rFonts w:ascii="Times New Roman" w:hAnsi="Times New Roman" w:cs="Times New Roman"/>
          <w:b/>
          <w:noProof/>
          <w:sz w:val="24"/>
        </w:rPr>
      </w:pPr>
      <w:r>
        <w:rPr>
          <w:rFonts w:ascii="Times New Roman" w:hAnsi="Times New Roman" w:cs="Times New Roman"/>
          <w:b/>
          <w:noProof/>
          <w:sz w:val="24"/>
        </w:rPr>
        <w:t>How the results have b</w:t>
      </w:r>
      <w:r>
        <w:rPr>
          <w:rFonts w:ascii="Times New Roman" w:hAnsi="Times New Roman" w:cs="Times New Roman"/>
          <w:b/>
          <w:noProof/>
          <w:sz w:val="24"/>
        </w:rPr>
        <w:t>een taken into account</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results of the consultation activities have been incorporated throughout the impact assessment in each of the sections in which feedback was received.</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 xml:space="preserve">The consultation activities were designed to follow the same </w:t>
      </w:r>
      <w:r>
        <w:rPr>
          <w:rFonts w:ascii="Times New Roman" w:hAnsi="Times New Roman" w:cs="Times New Roman"/>
          <w:b/>
          <w:bCs/>
          <w:noProof/>
          <w:sz w:val="24"/>
        </w:rPr>
        <w:t>logical sequence</w:t>
      </w:r>
      <w:r>
        <w:rPr>
          <w:rFonts w:ascii="Times New Roman" w:hAnsi="Times New Roman" w:cs="Times New Roman"/>
          <w:bCs/>
          <w:noProof/>
          <w:sz w:val="24"/>
        </w:rPr>
        <w:t xml:space="preserve"> </w:t>
      </w:r>
      <w:r>
        <w:rPr>
          <w:rFonts w:ascii="Times New Roman" w:hAnsi="Times New Roman" w:cs="Times New Roman"/>
          <w:bCs/>
          <w:noProof/>
          <w:sz w:val="24"/>
        </w:rPr>
        <w:t>as the impact assessment, starting with the problem definition and then moving on to possible options and their impacts.</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 xml:space="preserve">This logical sequence can be observed in the documents that the Commission has been publishing in the </w:t>
      </w:r>
      <w:r>
        <w:rPr>
          <w:rFonts w:ascii="Times New Roman" w:hAnsi="Times New Roman" w:cs="Times New Roman"/>
          <w:b/>
          <w:bCs/>
          <w:noProof/>
          <w:sz w:val="24"/>
        </w:rPr>
        <w:t>more than 1.5 years</w:t>
      </w:r>
      <w:r>
        <w:rPr>
          <w:rFonts w:ascii="Times New Roman" w:hAnsi="Times New Roman" w:cs="Times New Roman"/>
          <w:bCs/>
          <w:noProof/>
          <w:sz w:val="24"/>
        </w:rPr>
        <w:t xml:space="preserve"> of consultati</w:t>
      </w:r>
      <w:r>
        <w:rPr>
          <w:rFonts w:ascii="Times New Roman" w:hAnsi="Times New Roman" w:cs="Times New Roman"/>
          <w:bCs/>
          <w:noProof/>
          <w:sz w:val="24"/>
        </w:rPr>
        <w:t xml:space="preserve">on activities for this initiative, and which provided </w:t>
      </w:r>
      <w:r>
        <w:rPr>
          <w:rFonts w:ascii="Times New Roman" w:hAnsi="Times New Roman" w:cs="Times New Roman"/>
          <w:b/>
          <w:bCs/>
          <w:noProof/>
          <w:sz w:val="24"/>
        </w:rPr>
        <w:t>regular updates</w:t>
      </w:r>
      <w:r>
        <w:rPr>
          <w:rFonts w:ascii="Times New Roman" w:hAnsi="Times New Roman" w:cs="Times New Roman"/>
          <w:bCs/>
          <w:noProof/>
          <w:sz w:val="24"/>
        </w:rPr>
        <w:t xml:space="preserve"> on the progress of the Commission work with the different stakeholders. The documents containing these regular updates were </w:t>
      </w:r>
      <w:r>
        <w:rPr>
          <w:rFonts w:ascii="Times New Roman" w:hAnsi="Times New Roman" w:cs="Times New Roman"/>
          <w:b/>
          <w:bCs/>
          <w:noProof/>
          <w:sz w:val="24"/>
        </w:rPr>
        <w:t>made public</w:t>
      </w:r>
      <w:r>
        <w:rPr>
          <w:rFonts w:ascii="Times New Roman" w:hAnsi="Times New Roman" w:cs="Times New Roman"/>
          <w:bCs/>
          <w:noProof/>
          <w:sz w:val="24"/>
        </w:rPr>
        <w:t xml:space="preserve"> as soon as they were ready and published in the </w:t>
      </w:r>
      <w:r>
        <w:rPr>
          <w:rFonts w:ascii="Times New Roman" w:hAnsi="Times New Roman" w:cs="Times New Roman"/>
          <w:b/>
          <w:bCs/>
          <w:noProof/>
          <w:sz w:val="24"/>
        </w:rPr>
        <w:t>Co</w:t>
      </w:r>
      <w:r>
        <w:rPr>
          <w:rFonts w:ascii="Times New Roman" w:hAnsi="Times New Roman" w:cs="Times New Roman"/>
          <w:b/>
          <w:bCs/>
          <w:noProof/>
          <w:sz w:val="24"/>
        </w:rPr>
        <w:t>mmission website</w:t>
      </w:r>
      <w:r>
        <w:rPr>
          <w:rFonts w:ascii="Times New Roman" w:hAnsi="Times New Roman" w:cs="Times New Roman"/>
          <w:bCs/>
          <w:noProof/>
          <w:sz w:val="24"/>
        </w:rPr>
        <w:t xml:space="preserve"> of this initiative.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 xml:space="preserve">Using the same logical sequence in the consultation activities as in the impact assessment facilitated the incorporation of the stakeholders’ feedback into the different sections of the impact assessment.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 xml:space="preserve">This impact </w:t>
      </w:r>
      <w:r>
        <w:rPr>
          <w:rFonts w:ascii="Times New Roman" w:hAnsi="Times New Roman" w:cs="Times New Roman"/>
          <w:bCs/>
          <w:noProof/>
          <w:sz w:val="24"/>
        </w:rPr>
        <w:t xml:space="preserve">assessment is therefore built on the input of a large number of consultation activities in multiple forms and with a wide range of stakeholders, to whom the Commission is grateful for their </w:t>
      </w:r>
      <w:r>
        <w:rPr>
          <w:rFonts w:ascii="Times New Roman" w:hAnsi="Times New Roman" w:cs="Times New Roman"/>
          <w:b/>
          <w:bCs/>
          <w:noProof/>
          <w:sz w:val="24"/>
        </w:rPr>
        <w:t>fundamental</w:t>
      </w:r>
      <w:r>
        <w:rPr>
          <w:rFonts w:ascii="Times New Roman" w:hAnsi="Times New Roman" w:cs="Times New Roman"/>
          <w:bCs/>
          <w:noProof/>
          <w:sz w:val="24"/>
        </w:rPr>
        <w:t xml:space="preserve"> contributions.</w:t>
      </w:r>
    </w:p>
    <w:p w:rsidR="001B65FF" w:rsidRDefault="001B65FF">
      <w:pPr>
        <w:jc w:val="both"/>
        <w:rPr>
          <w:rFonts w:ascii="Times New Roman" w:hAnsi="Times New Roman" w:cs="Times New Roman"/>
          <w:bCs/>
          <w:noProof/>
          <w:sz w:val="24"/>
        </w:rPr>
      </w:pPr>
    </w:p>
    <w:p w:rsidR="001B65FF" w:rsidRDefault="001B65FF">
      <w:pPr>
        <w:jc w:val="both"/>
        <w:rPr>
          <w:rFonts w:ascii="Times New Roman" w:hAnsi="Times New Roman" w:cs="Times New Roman"/>
          <w:bCs/>
          <w:noProof/>
          <w:sz w:val="24"/>
        </w:rPr>
      </w:pPr>
    </w:p>
    <w:p w:rsidR="001B65FF" w:rsidRDefault="001B65FF">
      <w:pPr>
        <w:keepNext/>
        <w:keepLines/>
        <w:numPr>
          <w:ilvl w:val="0"/>
          <w:numId w:val="16"/>
        </w:numPr>
        <w:spacing w:before="480" w:after="0"/>
        <w:ind w:left="0" w:firstLine="0"/>
        <w:outlineLvl w:val="0"/>
        <w:rPr>
          <w:rFonts w:ascii="Times New Roman" w:eastAsiaTheme="majorEastAsia" w:hAnsi="Times New Roman" w:cs="Times New Roman"/>
          <w:b/>
          <w:bCs/>
          <w:noProof/>
          <w:color w:val="365F91" w:themeColor="accent1" w:themeShade="BF"/>
          <w:sz w:val="28"/>
          <w:szCs w:val="28"/>
        </w:rPr>
        <w:sectPr w:rsidR="001B65FF">
          <w:headerReference w:type="even" r:id="rId77"/>
          <w:headerReference w:type="default" r:id="rId78"/>
          <w:footerReference w:type="even" r:id="rId79"/>
          <w:footerReference w:type="default" r:id="rId80"/>
          <w:headerReference w:type="first" r:id="rId81"/>
          <w:footerReference w:type="first" r:id="rId82"/>
          <w:pgSz w:w="11906" w:h="16838"/>
          <w:pgMar w:top="1417" w:right="1417" w:bottom="1417" w:left="1417" w:header="708" w:footer="708" w:gutter="0"/>
          <w:cols w:space="708"/>
          <w:docGrid w:linePitch="360"/>
        </w:sectPr>
      </w:pPr>
    </w:p>
    <w:p w:rsidR="001B65FF" w:rsidRDefault="003E4EF4">
      <w:pPr>
        <w:pStyle w:val="Heading2"/>
        <w:rPr>
          <w:rFonts w:ascii="Times New Roman" w:hAnsi="Times New Roman" w:cs="Times New Roman"/>
          <w:noProof/>
        </w:rPr>
      </w:pPr>
      <w:bookmarkStart w:id="1856" w:name="_Toc498509777"/>
      <w:bookmarkStart w:id="1857" w:name="_Toc498521325"/>
      <w:bookmarkStart w:id="1858" w:name="_Toc498701992"/>
      <w:bookmarkStart w:id="1859" w:name="_Toc498704724"/>
      <w:bookmarkStart w:id="1860" w:name="_Toc499020479"/>
      <w:bookmarkStart w:id="1861" w:name="_Toc499030413"/>
      <w:bookmarkStart w:id="1862" w:name="_Toc499044955"/>
      <w:bookmarkStart w:id="1863" w:name="_Toc499051371"/>
      <w:bookmarkStart w:id="1864" w:name="_Toc499133327"/>
      <w:bookmarkStart w:id="1865" w:name="_Toc499142897"/>
      <w:bookmarkStart w:id="1866" w:name="_Toc510952893"/>
      <w:r>
        <w:rPr>
          <w:rFonts w:ascii="Times New Roman" w:hAnsi="Times New Roman" w:cs="Times New Roman"/>
          <w:noProof/>
        </w:rPr>
        <w:t>Annex 2.1: surveys</w:t>
      </w:r>
      <w:bookmarkEnd w:id="1856"/>
      <w:bookmarkEnd w:id="1857"/>
      <w:bookmarkEnd w:id="1858"/>
      <w:bookmarkEnd w:id="1859"/>
      <w:bookmarkEnd w:id="1860"/>
      <w:bookmarkEnd w:id="1861"/>
      <w:bookmarkEnd w:id="1862"/>
      <w:bookmarkEnd w:id="1863"/>
      <w:bookmarkEnd w:id="1864"/>
      <w:bookmarkEnd w:id="1865"/>
      <w:bookmarkEnd w:id="1866"/>
    </w:p>
    <w:p w:rsidR="001B65FF" w:rsidRDefault="003E4EF4">
      <w:pPr>
        <w:numPr>
          <w:ilvl w:val="0"/>
          <w:numId w:val="119"/>
        </w:numPr>
        <w:spacing w:before="240"/>
        <w:contextualSpacing/>
        <w:jc w:val="both"/>
        <w:rPr>
          <w:rFonts w:ascii="Times New Roman" w:hAnsi="Times New Roman" w:cs="Times New Roman"/>
          <w:b/>
          <w:noProof/>
          <w:sz w:val="24"/>
        </w:rPr>
      </w:pPr>
      <w:r>
        <w:rPr>
          <w:rFonts w:ascii="Times New Roman" w:hAnsi="Times New Roman" w:cs="Times New Roman"/>
          <w:b/>
          <w:noProof/>
          <w:sz w:val="24"/>
        </w:rPr>
        <w:t xml:space="preserve">Open public consultation </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The European Commission launched an open public consultation</w:t>
      </w:r>
      <w:r>
        <w:rPr>
          <w:rFonts w:ascii="Times New Roman" w:hAnsi="Times New Roman" w:cs="Times New Roman"/>
          <w:noProof/>
          <w:sz w:val="24"/>
          <w:vertAlign w:val="superscript"/>
        </w:rPr>
        <w:footnoteReference w:id="178"/>
      </w:r>
      <w:r>
        <w:rPr>
          <w:rFonts w:ascii="Times New Roman" w:hAnsi="Times New Roman" w:cs="Times New Roman"/>
          <w:noProof/>
          <w:sz w:val="24"/>
        </w:rPr>
        <w:t xml:space="preserve"> on 4 August 2017 which closed after 12 weeks, on 27 October 2017. </w:t>
      </w:r>
    </w:p>
    <w:p w:rsidR="001B65FF" w:rsidRDefault="003E4EF4">
      <w:pPr>
        <w:spacing w:before="240" w:after="0"/>
        <w:jc w:val="both"/>
        <w:rPr>
          <w:rFonts w:ascii="Times New Roman" w:hAnsi="Times New Roman" w:cs="Times New Roman"/>
          <w:noProof/>
          <w:sz w:val="24"/>
          <w:lang w:val="en"/>
        </w:rPr>
      </w:pPr>
      <w:r>
        <w:rPr>
          <w:rFonts w:ascii="Times New Roman" w:hAnsi="Times New Roman" w:cs="Times New Roman"/>
          <w:noProof/>
          <w:sz w:val="24"/>
        </w:rPr>
        <w:t>It aimed to gather feedback on current practices on obtaining cross</w:t>
      </w:r>
      <w:r>
        <w:rPr>
          <w:rFonts w:ascii="Times New Roman" w:hAnsi="Times New Roman" w:cs="Times New Roman"/>
          <w:noProof/>
          <w:sz w:val="24"/>
        </w:rPr>
        <w:t>-border electronic evidence in the Member States as well as on practical and legal problems arising both at national and EU level from gaps and weaknesses of existing regulations.</w:t>
      </w:r>
      <w:r>
        <w:rPr>
          <w:rFonts w:ascii="Times New Roman" w:hAnsi="Times New Roman" w:cs="Times New Roman"/>
          <w:noProof/>
          <w:sz w:val="24"/>
          <w:lang w:val="en"/>
        </w:rPr>
        <w:t xml:space="preserve"> It also listed possible options to address shortcomings and provided an oppo</w:t>
      </w:r>
      <w:r>
        <w:rPr>
          <w:rFonts w:ascii="Times New Roman" w:hAnsi="Times New Roman" w:cs="Times New Roman"/>
          <w:noProof/>
          <w:sz w:val="24"/>
          <w:lang w:val="en"/>
        </w:rPr>
        <w:t xml:space="preserve">rtunity to indicate preferences for elements that should be included in a solution. It was addressed to a broad range of interested stakeholders, including public authorities, judges, prosecutors, EU institutions and agencies, international </w:t>
      </w:r>
      <w:r>
        <w:rPr>
          <w:rFonts w:ascii="Times New Roman" w:hAnsi="Times New Roman" w:cs="Times New Roman"/>
          <w:noProof/>
          <w:sz w:val="24"/>
        </w:rPr>
        <w:t>organisations</w:t>
      </w:r>
      <w:r>
        <w:rPr>
          <w:rFonts w:ascii="Times New Roman" w:hAnsi="Times New Roman" w:cs="Times New Roman"/>
          <w:noProof/>
          <w:sz w:val="24"/>
          <w:lang w:val="en"/>
        </w:rPr>
        <w:t xml:space="preserve">, </w:t>
      </w:r>
      <w:r>
        <w:rPr>
          <w:rFonts w:ascii="Times New Roman" w:hAnsi="Times New Roman" w:cs="Times New Roman"/>
          <w:noProof/>
          <w:sz w:val="24"/>
          <w:lang w:val="en"/>
        </w:rPr>
        <w:t xml:space="preserve">private companies, professional and business associations, NGOs, academics and the general public </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 xml:space="preserve">The Open Public Consultation was conducted through an online questionnaire published on the internet in all EU official languages, with the exception of Gaelic. It was advertised on the European Commission's website, through social media channels (DG HOME </w:t>
      </w:r>
      <w:r>
        <w:rPr>
          <w:rFonts w:ascii="Times New Roman" w:hAnsi="Times New Roman" w:cs="Times New Roman"/>
          <w:noProof/>
          <w:sz w:val="24"/>
        </w:rPr>
        <w:t xml:space="preserve">and Europol's EC3 Twitter accounts), through established networks of stakeholders (e.g. contacts held by the European Cybercrime Centre at Europol) and at all relevant meetings.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82 responses were collected: 22 from individuals in the general public and 60</w:t>
      </w:r>
      <w:r>
        <w:rPr>
          <w:rFonts w:ascii="Times New Roman" w:hAnsi="Times New Roman" w:cs="Times New Roman"/>
          <w:noProof/>
          <w:sz w:val="24"/>
        </w:rPr>
        <w:t xml:space="preserve"> from practitioners in a professional capacity or on behalf of an organisation.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Among the 22 responders from general public, there were 13 persons who are affected by legislation in this area as citizens or users of digital services, 3 as lawyers, 1 as an</w:t>
      </w:r>
      <w:r>
        <w:rPr>
          <w:rFonts w:ascii="Times New Roman" w:hAnsi="Times New Roman" w:cs="Times New Roman"/>
          <w:noProof/>
          <w:sz w:val="24"/>
        </w:rPr>
        <w:t xml:space="preserve"> academic, 1 as an employee of an NGO, and 4 as public servants or staff of a criminal justice authority. The members of the general public selected a range of countries of residence: AT, BE, DE, ES, FR, IT, LX, PT, RO, SW, UK and US.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29 practitioners were</w:t>
      </w:r>
      <w:r>
        <w:rPr>
          <w:rFonts w:ascii="Times New Roman" w:hAnsi="Times New Roman" w:cs="Times New Roman"/>
          <w:noProof/>
          <w:sz w:val="24"/>
        </w:rPr>
        <w:t xml:space="preserve"> members of law enforcement or judicial authority or public authority directly related to it (e.g. Ministry of Justice, Ministry of Interior), which is the largest professional group among the 60 practitioners who submitted the questionnaire in their profe</w:t>
      </w:r>
      <w:r>
        <w:rPr>
          <w:rFonts w:ascii="Times New Roman" w:hAnsi="Times New Roman" w:cs="Times New Roman"/>
          <w:noProof/>
          <w:sz w:val="24"/>
        </w:rPr>
        <w:t>ssional capacity or on behalf of an organisation. Other responders included:</w:t>
      </w:r>
    </w:p>
    <w:p w:rsidR="001B65FF" w:rsidRDefault="003E4EF4">
      <w:pPr>
        <w:numPr>
          <w:ilvl w:val="0"/>
          <w:numId w:val="16"/>
        </w:numPr>
        <w:ind w:left="714" w:hanging="357"/>
        <w:contextualSpacing/>
        <w:jc w:val="both"/>
        <w:rPr>
          <w:rFonts w:ascii="Times New Roman" w:hAnsi="Times New Roman" w:cs="Times New Roman"/>
          <w:noProof/>
          <w:sz w:val="24"/>
        </w:rPr>
      </w:pPr>
      <w:r>
        <w:rPr>
          <w:rFonts w:ascii="Times New Roman" w:hAnsi="Times New Roman" w:cs="Times New Roman"/>
          <w:noProof/>
          <w:sz w:val="24"/>
        </w:rPr>
        <w:t>private companies (private sector);</w:t>
      </w:r>
    </w:p>
    <w:p w:rsidR="001B65FF" w:rsidRDefault="003E4EF4">
      <w:pPr>
        <w:numPr>
          <w:ilvl w:val="0"/>
          <w:numId w:val="16"/>
        </w:numPr>
        <w:ind w:left="714" w:hanging="357"/>
        <w:contextualSpacing/>
        <w:jc w:val="both"/>
        <w:rPr>
          <w:rFonts w:ascii="Times New Roman" w:hAnsi="Times New Roman" w:cs="Times New Roman"/>
          <w:noProof/>
          <w:sz w:val="24"/>
        </w:rPr>
      </w:pPr>
      <w:r>
        <w:rPr>
          <w:rFonts w:ascii="Times New Roman" w:hAnsi="Times New Roman" w:cs="Times New Roman"/>
          <w:noProof/>
          <w:sz w:val="24"/>
        </w:rPr>
        <w:t>trade, business or professional associations (e.g. national banking federations);</w:t>
      </w:r>
    </w:p>
    <w:p w:rsidR="001B65FF" w:rsidRDefault="003E4EF4">
      <w:pPr>
        <w:numPr>
          <w:ilvl w:val="0"/>
          <w:numId w:val="16"/>
        </w:numPr>
        <w:ind w:left="714" w:hanging="357"/>
        <w:contextualSpacing/>
        <w:jc w:val="both"/>
        <w:rPr>
          <w:rFonts w:ascii="Times New Roman" w:hAnsi="Times New Roman" w:cs="Times New Roman"/>
          <w:noProof/>
          <w:sz w:val="24"/>
        </w:rPr>
      </w:pPr>
      <w:r>
        <w:rPr>
          <w:rFonts w:ascii="Times New Roman" w:hAnsi="Times New Roman" w:cs="Times New Roman"/>
          <w:noProof/>
          <w:sz w:val="24"/>
        </w:rPr>
        <w:t>non-governmental organisations, platforms or networks;</w:t>
      </w:r>
    </w:p>
    <w:p w:rsidR="001B65FF" w:rsidRDefault="003E4EF4">
      <w:pPr>
        <w:numPr>
          <w:ilvl w:val="0"/>
          <w:numId w:val="16"/>
        </w:numPr>
        <w:jc w:val="both"/>
        <w:rPr>
          <w:rFonts w:ascii="Times New Roman" w:hAnsi="Times New Roman" w:cs="Times New Roman"/>
          <w:noProof/>
          <w:sz w:val="24"/>
        </w:rPr>
      </w:pPr>
      <w:r>
        <w:rPr>
          <w:rFonts w:ascii="Times New Roman" w:hAnsi="Times New Roman" w:cs="Times New Roman"/>
          <w:noProof/>
          <w:sz w:val="24"/>
        </w:rPr>
        <w:t>profes</w:t>
      </w:r>
      <w:r>
        <w:rPr>
          <w:rFonts w:ascii="Times New Roman" w:hAnsi="Times New Roman" w:cs="Times New Roman"/>
          <w:noProof/>
          <w:sz w:val="24"/>
        </w:rPr>
        <w:t>sional consultancies, law firms, self-employed consultants;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They were based across 17 European countries (AT, BE, CZ, DE, EE, ES, FI, IE, IT, LV, NL, PT, RO, SK, SL, SW, UK), Norway and US.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respondents could also upload a document in order to provide a</w:t>
      </w:r>
      <w:r>
        <w:rPr>
          <w:rFonts w:ascii="Times New Roman" w:hAnsi="Times New Roman" w:cs="Times New Roman"/>
          <w:noProof/>
          <w:sz w:val="24"/>
        </w:rPr>
        <w:t xml:space="preserve">dditional information or raise specific points which were not covered by the questionnaire. The following entities submitted additional information: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Access Now, Belgium.</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American Chamber of Commerce to the EU (AmCham EU), Belgium </w:t>
      </w:r>
    </w:p>
    <w:p w:rsidR="001B65FF" w:rsidRDefault="003E4EF4">
      <w:pPr>
        <w:pStyle w:val="ListParagraph"/>
        <w:numPr>
          <w:ilvl w:val="0"/>
          <w:numId w:val="195"/>
        </w:numPr>
        <w:rPr>
          <w:rFonts w:ascii="Times New Roman" w:hAnsi="Times New Roman" w:cs="Times New Roman"/>
          <w:noProof/>
          <w:color w:val="000000"/>
          <w:sz w:val="24"/>
          <w:lang w:val="de-DE"/>
        </w:rPr>
      </w:pPr>
      <w:r>
        <w:rPr>
          <w:rFonts w:ascii="Times New Roman" w:hAnsi="Times New Roman" w:cs="Times New Roman"/>
          <w:noProof/>
          <w:color w:val="000000"/>
          <w:sz w:val="24"/>
          <w:lang w:val="de-DE"/>
        </w:rPr>
        <w:t>Bayerisches Staatsminist</w:t>
      </w:r>
      <w:r>
        <w:rPr>
          <w:rFonts w:ascii="Times New Roman" w:hAnsi="Times New Roman" w:cs="Times New Roman"/>
          <w:noProof/>
          <w:color w:val="000000"/>
          <w:sz w:val="24"/>
          <w:lang w:val="de-DE"/>
        </w:rPr>
        <w:t xml:space="preserve">erium der Justiz, Germany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BSA | The Software Alliance, Belgium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Center for Democracy and Technology, United States of America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CISPE (Cloud Infrastructure Service Providers in Europe), Belgium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Cloudflare, United States of America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Council of Bars and Law</w:t>
      </w:r>
      <w:r>
        <w:rPr>
          <w:rFonts w:ascii="Times New Roman" w:hAnsi="Times New Roman" w:cs="Times New Roman"/>
          <w:noProof/>
          <w:color w:val="000000"/>
          <w:sz w:val="24"/>
        </w:rPr>
        <w:t xml:space="preserve"> Societies of Europe (CCBE), Belgium </w:t>
      </w:r>
    </w:p>
    <w:p w:rsidR="001B65FF" w:rsidRDefault="003E4EF4">
      <w:pPr>
        <w:pStyle w:val="ListParagraph"/>
        <w:numPr>
          <w:ilvl w:val="0"/>
          <w:numId w:val="195"/>
        </w:numPr>
        <w:rPr>
          <w:rFonts w:ascii="Times New Roman" w:hAnsi="Times New Roman" w:cs="Times New Roman"/>
          <w:noProof/>
          <w:color w:val="000000"/>
          <w:sz w:val="24"/>
          <w:lang w:val="sv-SE"/>
        </w:rPr>
      </w:pPr>
      <w:r>
        <w:rPr>
          <w:rFonts w:ascii="Times New Roman" w:hAnsi="Times New Roman" w:cs="Times New Roman"/>
          <w:noProof/>
          <w:color w:val="000000"/>
          <w:sz w:val="24"/>
          <w:lang w:val="sv-SE"/>
        </w:rPr>
        <w:t xml:space="preserve">Dataskydd.net Sverige, Sweden </w:t>
      </w:r>
    </w:p>
    <w:p w:rsidR="001B65FF" w:rsidRDefault="003E4EF4">
      <w:pPr>
        <w:pStyle w:val="ListParagraph"/>
        <w:numPr>
          <w:ilvl w:val="0"/>
          <w:numId w:val="195"/>
        </w:numPr>
        <w:rPr>
          <w:rFonts w:ascii="Times New Roman" w:hAnsi="Times New Roman" w:cs="Times New Roman"/>
          <w:noProof/>
          <w:color w:val="000000"/>
          <w:sz w:val="24"/>
          <w:lang w:val="de-DE"/>
        </w:rPr>
      </w:pPr>
      <w:r>
        <w:rPr>
          <w:rFonts w:ascii="Times New Roman" w:hAnsi="Times New Roman" w:cs="Times New Roman"/>
          <w:noProof/>
          <w:color w:val="000000"/>
          <w:sz w:val="24"/>
          <w:lang w:val="de-DE"/>
        </w:rPr>
        <w:t xml:space="preserve">Deutscher Richterbund, Germany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DIGITALEUROPE, Belgium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Dutch National Public Prosecutor's Office, Netherlands </w:t>
      </w:r>
    </w:p>
    <w:p w:rsidR="001B65FF" w:rsidRDefault="003E4EF4">
      <w:pPr>
        <w:pStyle w:val="ListParagraph"/>
        <w:numPr>
          <w:ilvl w:val="0"/>
          <w:numId w:val="195"/>
        </w:numPr>
        <w:rPr>
          <w:rFonts w:ascii="Times New Roman" w:hAnsi="Times New Roman" w:cs="Times New Roman"/>
          <w:noProof/>
          <w:color w:val="000000"/>
          <w:sz w:val="24"/>
          <w:lang w:val="de-DE"/>
        </w:rPr>
      </w:pPr>
      <w:r>
        <w:rPr>
          <w:rFonts w:ascii="Times New Roman" w:hAnsi="Times New Roman" w:cs="Times New Roman"/>
          <w:noProof/>
          <w:color w:val="000000"/>
          <w:sz w:val="24"/>
          <w:lang w:val="de-DE"/>
        </w:rPr>
        <w:t xml:space="preserve">eco - Verband der Internetwirtschaft e.V., Germany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ETNO - European Telecommunications Network Operators' Association, Belgium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EuroISPA, Belgium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European Digital Rights (EDRi), Belgium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Global Network Initiative, United States of America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Privacy International, United Kingdom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Telenor Group, Norway </w:t>
      </w:r>
    </w:p>
    <w:p w:rsidR="001B65FF" w:rsidRDefault="003E4EF4">
      <w:pPr>
        <w:pStyle w:val="ListParagraph"/>
        <w:numPr>
          <w:ilvl w:val="0"/>
          <w:numId w:val="195"/>
        </w:numPr>
        <w:rPr>
          <w:rFonts w:ascii="Times New Roman" w:hAnsi="Times New Roman" w:cs="Times New Roman"/>
          <w:noProof/>
          <w:color w:val="000000"/>
          <w:sz w:val="24"/>
        </w:rPr>
      </w:pPr>
      <w:r>
        <w:rPr>
          <w:rFonts w:ascii="Times New Roman" w:hAnsi="Times New Roman" w:cs="Times New Roman"/>
          <w:noProof/>
          <w:color w:val="000000"/>
          <w:sz w:val="24"/>
        </w:rPr>
        <w:t xml:space="preserve">Vodafone Group plc </w:t>
      </w:r>
    </w:p>
    <w:p w:rsidR="001B65FF" w:rsidRDefault="003E4EF4">
      <w:pPr>
        <w:rPr>
          <w:rFonts w:ascii="Times New Roman" w:hAnsi="Times New Roman" w:cs="Times New Roman"/>
          <w:noProof/>
          <w:color w:val="000000"/>
          <w:sz w:val="24"/>
        </w:rPr>
      </w:pPr>
      <w:r>
        <w:rPr>
          <w:rFonts w:ascii="Times New Roman" w:hAnsi="Times New Roman" w:cs="Times New Roman"/>
          <w:noProof/>
          <w:color w:val="000000"/>
          <w:sz w:val="24"/>
        </w:rPr>
        <w:t>The responses to the public consultation that agreed to be published are available in the dedicated consultation webpage</w:t>
      </w:r>
      <w:r>
        <w:rPr>
          <w:rStyle w:val="FootnoteReference"/>
          <w:rFonts w:ascii="Times New Roman" w:hAnsi="Times New Roman" w:cs="Times New Roman"/>
          <w:noProof/>
          <w:color w:val="000000"/>
          <w:sz w:val="24"/>
        </w:rPr>
        <w:footnoteReference w:id="179"/>
      </w:r>
      <w:r>
        <w:rPr>
          <w:rFonts w:ascii="Times New Roman" w:hAnsi="Times New Roman" w:cs="Times New Roman"/>
          <w:noProof/>
          <w:color w:val="000000"/>
          <w:sz w:val="24"/>
        </w:rPr>
        <w:t>.</w:t>
      </w:r>
    </w:p>
    <w:p w:rsidR="001B65FF" w:rsidRDefault="003E4EF4">
      <w:pPr>
        <w:rPr>
          <w:rFonts w:ascii="Times New Roman" w:hAnsi="Times New Roman" w:cs="Times New Roman"/>
          <w:bCs/>
          <w:noProof/>
          <w:sz w:val="24"/>
          <w:u w:val="single"/>
        </w:rPr>
      </w:pPr>
      <w:r>
        <w:rPr>
          <w:rFonts w:ascii="Times New Roman" w:hAnsi="Times New Roman" w:cs="Times New Roman"/>
          <w:bCs/>
          <w:noProof/>
          <w:sz w:val="24"/>
          <w:u w:val="single"/>
        </w:rPr>
        <w:t>Inception Impact Assessment:</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Open Public Consultation contained a link to the Inception Impact Assessment, wh</w:t>
      </w:r>
      <w:r>
        <w:rPr>
          <w:rFonts w:ascii="Times New Roman" w:hAnsi="Times New Roman" w:cs="Times New Roman"/>
          <w:bCs/>
          <w:noProof/>
          <w:sz w:val="24"/>
        </w:rPr>
        <w:t xml:space="preserve">ich the Commission published at the same time as the Open Public Consultation.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 xml:space="preserve">In total, 10 comments were submitted: 2 by EU citizens, 2 by academia/research institutions, 3 by business associations, and 3 by business entities.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 xml:space="preserve">Interested stakeholders could provide feedback to the Inception Impact Assessment from 4 to 31 August 2017. </w:t>
      </w:r>
    </w:p>
    <w:p w:rsidR="001B65FF" w:rsidRDefault="003E4EF4">
      <w:pPr>
        <w:numPr>
          <w:ilvl w:val="0"/>
          <w:numId w:val="119"/>
        </w:numPr>
        <w:contextualSpacing/>
        <w:jc w:val="both"/>
        <w:rPr>
          <w:rFonts w:ascii="Times New Roman" w:hAnsi="Times New Roman" w:cs="Times New Roman"/>
          <w:b/>
          <w:bCs/>
          <w:noProof/>
          <w:sz w:val="24"/>
        </w:rPr>
      </w:pPr>
      <w:r>
        <w:rPr>
          <w:rFonts w:ascii="Times New Roman" w:hAnsi="Times New Roman" w:cs="Times New Roman"/>
          <w:b/>
          <w:bCs/>
          <w:noProof/>
          <w:sz w:val="24"/>
        </w:rPr>
        <w:t>Targeted surveys</w:t>
      </w:r>
    </w:p>
    <w:p w:rsidR="001B65FF" w:rsidRDefault="001B65FF">
      <w:pPr>
        <w:spacing w:after="0"/>
        <w:jc w:val="both"/>
        <w:rPr>
          <w:rFonts w:ascii="Times New Roman" w:hAnsi="Times New Roman" w:cs="Times New Roman"/>
          <w:bCs/>
          <w:noProof/>
          <w:sz w:val="24"/>
          <w:u w:val="single"/>
        </w:rPr>
      </w:pPr>
    </w:p>
    <w:p w:rsidR="001B65FF" w:rsidRDefault="003E4EF4">
      <w:pPr>
        <w:jc w:val="both"/>
        <w:rPr>
          <w:rFonts w:ascii="Times New Roman" w:hAnsi="Times New Roman" w:cs="Times New Roman"/>
          <w:bCs/>
          <w:noProof/>
          <w:sz w:val="24"/>
          <w:u w:val="single"/>
        </w:rPr>
      </w:pPr>
      <w:r>
        <w:rPr>
          <w:rFonts w:ascii="Times New Roman" w:hAnsi="Times New Roman" w:cs="Times New Roman"/>
          <w:bCs/>
          <w:noProof/>
          <w:sz w:val="24"/>
          <w:u w:val="single"/>
        </w:rPr>
        <w:t xml:space="preserve">Targeted survey 1 </w:t>
      </w:r>
    </w:p>
    <w:p w:rsidR="001B65FF" w:rsidRDefault="003E4EF4">
      <w:pPr>
        <w:spacing w:after="0"/>
        <w:jc w:val="both"/>
        <w:rPr>
          <w:rFonts w:ascii="Times New Roman" w:hAnsi="Times New Roman" w:cs="Times New Roman"/>
          <w:bCs/>
          <w:noProof/>
          <w:sz w:val="24"/>
        </w:rPr>
      </w:pPr>
      <w:r>
        <w:rPr>
          <w:rFonts w:ascii="Times New Roman" w:hAnsi="Times New Roman" w:cs="Times New Roman"/>
          <w:bCs/>
          <w:noProof/>
          <w:sz w:val="24"/>
        </w:rPr>
        <w:t xml:space="preserve">The purpose of this survey was to gather information on the current </w:t>
      </w:r>
      <w:r>
        <w:rPr>
          <w:rFonts w:ascii="Times New Roman" w:hAnsi="Times New Roman" w:cs="Times New Roman"/>
          <w:b/>
          <w:bCs/>
          <w:noProof/>
          <w:sz w:val="24"/>
        </w:rPr>
        <w:t>state of play</w:t>
      </w:r>
      <w:r>
        <w:rPr>
          <w:rFonts w:ascii="Times New Roman" w:hAnsi="Times New Roman" w:cs="Times New Roman"/>
          <w:bCs/>
          <w:noProof/>
          <w:sz w:val="24"/>
        </w:rPr>
        <w:t xml:space="preserve"> in Member States concerning </w:t>
      </w:r>
      <w:r>
        <w:rPr>
          <w:rFonts w:ascii="Times New Roman" w:hAnsi="Times New Roman" w:cs="Times New Roman"/>
          <w:bCs/>
          <w:noProof/>
          <w:sz w:val="24"/>
        </w:rPr>
        <w:t xml:space="preserve">cross-border access to e-evidence. In particular, it addressed the </w:t>
      </w:r>
      <w:r>
        <w:rPr>
          <w:rFonts w:ascii="Times New Roman" w:hAnsi="Times New Roman" w:cs="Times New Roman"/>
          <w:b/>
          <w:bCs/>
          <w:noProof/>
          <w:sz w:val="24"/>
        </w:rPr>
        <w:t>current practices</w:t>
      </w:r>
      <w:r>
        <w:rPr>
          <w:rFonts w:ascii="Times New Roman" w:hAnsi="Times New Roman" w:cs="Times New Roman"/>
          <w:bCs/>
          <w:noProof/>
          <w:sz w:val="24"/>
        </w:rPr>
        <w:t xml:space="preserve"> in the Member States concerning 1) direct cooperation between law enforcement authorities and private sector service providers, 2) mutual legal assistance or mutual recogn</w:t>
      </w:r>
      <w:r>
        <w:rPr>
          <w:rFonts w:ascii="Times New Roman" w:hAnsi="Times New Roman" w:cs="Times New Roman"/>
          <w:bCs/>
          <w:noProof/>
          <w:sz w:val="24"/>
        </w:rPr>
        <w:t xml:space="preserve">ition procedures and 3) enforcement of jurisdiction in cyberspace, namely other measures that law enforcement authorities could use to obtain e-evidence in cases when it is not clear they would operate within their own jurisdiction.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questionnaire was</w:t>
      </w:r>
      <w:r>
        <w:rPr>
          <w:rFonts w:ascii="Times New Roman" w:hAnsi="Times New Roman" w:cs="Times New Roman"/>
          <w:bCs/>
          <w:noProof/>
          <w:sz w:val="24"/>
        </w:rPr>
        <w:t xml:space="preserve"> developed taking into account previous and ongoing activities, including the GENVAL evaluation, and sought to complete the picture.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survey was addressed to public authorities in all Member States.</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Commission received replies from 25 Member States</w:t>
      </w:r>
      <w:r>
        <w:rPr>
          <w:rFonts w:ascii="Times New Roman" w:hAnsi="Times New Roman" w:cs="Times New Roman"/>
          <w:bCs/>
          <w:noProof/>
          <w:sz w:val="24"/>
        </w:rPr>
        <w:t xml:space="preserve"> (all except BG, LU and PL). The national replies were coordinated at national level amongst different responsible ministries, the judiciary and law enforcement authorities.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questionnaire was launched on 29 July 2016 and closed on 16 September 2016, a</w:t>
      </w:r>
      <w:r>
        <w:rPr>
          <w:rFonts w:ascii="Times New Roman" w:hAnsi="Times New Roman" w:cs="Times New Roman"/>
          <w:bCs/>
          <w:noProof/>
          <w:sz w:val="24"/>
        </w:rPr>
        <w:t>lthough the last responses from Member States were received on 28 February 2017.</w:t>
      </w:r>
    </w:p>
    <w:p w:rsidR="001B65FF" w:rsidRDefault="003E4EF4">
      <w:pPr>
        <w:jc w:val="both"/>
        <w:rPr>
          <w:rFonts w:ascii="Times New Roman" w:hAnsi="Times New Roman" w:cs="Times New Roman"/>
          <w:bCs/>
          <w:noProof/>
          <w:sz w:val="24"/>
          <w:u w:val="single"/>
        </w:rPr>
      </w:pPr>
      <w:r>
        <w:rPr>
          <w:rFonts w:ascii="Times New Roman" w:hAnsi="Times New Roman" w:cs="Times New Roman"/>
          <w:bCs/>
          <w:noProof/>
          <w:sz w:val="24"/>
          <w:u w:val="single"/>
        </w:rPr>
        <w:t xml:space="preserve">Targeted survey 2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 xml:space="preserve">The purpose of this survey was to collect quantitative and qualitative information on the </w:t>
      </w:r>
      <w:r>
        <w:rPr>
          <w:rFonts w:ascii="Times New Roman" w:hAnsi="Times New Roman" w:cs="Times New Roman"/>
          <w:b/>
          <w:bCs/>
          <w:noProof/>
          <w:sz w:val="24"/>
        </w:rPr>
        <w:t xml:space="preserve">size of the problem </w:t>
      </w:r>
      <w:r>
        <w:rPr>
          <w:rFonts w:ascii="Times New Roman" w:hAnsi="Times New Roman" w:cs="Times New Roman"/>
          <w:bCs/>
          <w:noProof/>
          <w:sz w:val="24"/>
        </w:rPr>
        <w:t>concerning cross-border access to e-evidence t</w:t>
      </w:r>
      <w:r>
        <w:rPr>
          <w:rFonts w:ascii="Times New Roman" w:hAnsi="Times New Roman" w:cs="Times New Roman"/>
          <w:bCs/>
          <w:noProof/>
          <w:sz w:val="24"/>
        </w:rPr>
        <w:t xml:space="preserve">hrough both judicial cooperation channels and direct cooperation between public authorities and service providers.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survey was addressed to public authorities in all Member States.</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In total, 76 responses were received through the online survey from pub</w:t>
      </w:r>
      <w:r>
        <w:rPr>
          <w:rFonts w:ascii="Times New Roman" w:hAnsi="Times New Roman" w:cs="Times New Roman"/>
          <w:bCs/>
          <w:noProof/>
          <w:sz w:val="24"/>
        </w:rPr>
        <w:t>lic authorities from all Member States except EL and PL. SE sent the information by email. 68 responses came from law enforcement, 5 from judicial authorities, and 4 from the public administration officials.</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survey was sent on 6 October 2017 and it was</w:t>
      </w:r>
      <w:r>
        <w:rPr>
          <w:rFonts w:ascii="Times New Roman" w:hAnsi="Times New Roman" w:cs="Times New Roman"/>
          <w:bCs/>
          <w:noProof/>
          <w:sz w:val="24"/>
        </w:rPr>
        <w:t xml:space="preserve"> closed on 23 October 2017.</w:t>
      </w:r>
    </w:p>
    <w:p w:rsidR="001B65FF" w:rsidRDefault="003E4EF4">
      <w:pPr>
        <w:jc w:val="both"/>
        <w:rPr>
          <w:rFonts w:ascii="Times New Roman" w:hAnsi="Times New Roman" w:cs="Times New Roman"/>
          <w:bCs/>
          <w:noProof/>
          <w:sz w:val="24"/>
          <w:u w:val="single"/>
        </w:rPr>
      </w:pPr>
      <w:r>
        <w:rPr>
          <w:rFonts w:ascii="Times New Roman" w:hAnsi="Times New Roman" w:cs="Times New Roman"/>
          <w:bCs/>
          <w:noProof/>
          <w:sz w:val="24"/>
          <w:u w:val="single"/>
        </w:rPr>
        <w:t xml:space="preserve">Targeted survey 3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 xml:space="preserve">The purpose of this survey was to collect information on the </w:t>
      </w:r>
      <w:r>
        <w:rPr>
          <w:rFonts w:ascii="Times New Roman" w:hAnsi="Times New Roman" w:cs="Times New Roman"/>
          <w:b/>
          <w:bCs/>
          <w:noProof/>
          <w:sz w:val="24"/>
        </w:rPr>
        <w:t>costs and benefits</w:t>
      </w:r>
      <w:r>
        <w:rPr>
          <w:rFonts w:ascii="Times New Roman" w:hAnsi="Times New Roman" w:cs="Times New Roman"/>
          <w:bCs/>
          <w:noProof/>
          <w:sz w:val="24"/>
        </w:rPr>
        <w:t xml:space="preserve"> (e.g. cost savings) that the different options would generate </w:t>
      </w:r>
      <w:r>
        <w:rPr>
          <w:rFonts w:ascii="Times New Roman" w:hAnsi="Times New Roman" w:cs="Times New Roman"/>
          <w:b/>
          <w:bCs/>
          <w:noProof/>
          <w:sz w:val="24"/>
        </w:rPr>
        <w:t>for Member States</w:t>
      </w:r>
      <w:r>
        <w:rPr>
          <w:rFonts w:ascii="Times New Roman" w:hAnsi="Times New Roman" w:cs="Times New Roman"/>
          <w:bCs/>
          <w:noProof/>
          <w:sz w:val="24"/>
        </w:rPr>
        <w:t>.</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online survey was sent to public authorities</w:t>
      </w:r>
      <w:r>
        <w:rPr>
          <w:rFonts w:ascii="Times New Roman" w:hAnsi="Times New Roman" w:cs="Times New Roman"/>
          <w:bCs/>
          <w:noProof/>
          <w:sz w:val="24"/>
        </w:rPr>
        <w:t xml:space="preserve"> in all Member States, including state police departments, national cybersecurity units, state prosecutors offices, ministries of justice, and ministries of interior. The survey included 26 questions, both open- and closed-ended.</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A total of 13 responses fr</w:t>
      </w:r>
      <w:r>
        <w:rPr>
          <w:rFonts w:ascii="Times New Roman" w:hAnsi="Times New Roman" w:cs="Times New Roman"/>
          <w:bCs/>
          <w:noProof/>
          <w:sz w:val="24"/>
        </w:rPr>
        <w:t>om authorities representing 11 Member States were received.</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survey was sent on 25 October 2017 and it was closed on 8 November 2017.</w:t>
      </w:r>
    </w:p>
    <w:p w:rsidR="001B65FF" w:rsidRDefault="003E4EF4">
      <w:pPr>
        <w:jc w:val="both"/>
        <w:rPr>
          <w:rFonts w:ascii="Times New Roman" w:hAnsi="Times New Roman" w:cs="Times New Roman"/>
          <w:bCs/>
          <w:noProof/>
          <w:sz w:val="24"/>
          <w:u w:val="single"/>
        </w:rPr>
      </w:pPr>
      <w:r>
        <w:rPr>
          <w:rFonts w:ascii="Times New Roman" w:hAnsi="Times New Roman" w:cs="Times New Roman"/>
          <w:bCs/>
          <w:noProof/>
          <w:sz w:val="24"/>
          <w:u w:val="single"/>
        </w:rPr>
        <w:t xml:space="preserve">Targeted survey 4 </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 xml:space="preserve">The purpose of this survey was to collect information on the </w:t>
      </w:r>
      <w:r>
        <w:rPr>
          <w:rFonts w:ascii="Times New Roman" w:hAnsi="Times New Roman" w:cs="Times New Roman"/>
          <w:b/>
          <w:bCs/>
          <w:noProof/>
          <w:sz w:val="24"/>
        </w:rPr>
        <w:t>costs and benefits</w:t>
      </w:r>
      <w:r>
        <w:rPr>
          <w:rFonts w:ascii="Times New Roman" w:hAnsi="Times New Roman" w:cs="Times New Roman"/>
          <w:bCs/>
          <w:noProof/>
          <w:sz w:val="24"/>
        </w:rPr>
        <w:t xml:space="preserve"> that the different o</w:t>
      </w:r>
      <w:r>
        <w:rPr>
          <w:rFonts w:ascii="Times New Roman" w:hAnsi="Times New Roman" w:cs="Times New Roman"/>
          <w:bCs/>
          <w:noProof/>
          <w:sz w:val="24"/>
        </w:rPr>
        <w:t xml:space="preserve">ptions would generate </w:t>
      </w:r>
      <w:r>
        <w:rPr>
          <w:rFonts w:ascii="Times New Roman" w:hAnsi="Times New Roman" w:cs="Times New Roman"/>
          <w:b/>
          <w:bCs/>
          <w:noProof/>
          <w:sz w:val="24"/>
        </w:rPr>
        <w:t>for service providers</w:t>
      </w:r>
      <w:r>
        <w:rPr>
          <w:rFonts w:ascii="Times New Roman" w:hAnsi="Times New Roman" w:cs="Times New Roman"/>
          <w:bCs/>
          <w:noProof/>
          <w:sz w:val="24"/>
        </w:rPr>
        <w:t>.</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The online survey was sent to 17 major service providers legally established within and outside the territory of the EU and 3 business associations. The survey included 13 questions, both open- and closed-ended.</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A total of 10 responses were received from service providers covering internet infrastructure services, telecommunications services, electronic communications services, cloud services, hosting services, and digital forensics services.</w:t>
      </w:r>
    </w:p>
    <w:p w:rsidR="001B65FF" w:rsidRDefault="003E4EF4">
      <w:pPr>
        <w:jc w:val="both"/>
        <w:rPr>
          <w:rFonts w:ascii="Times New Roman" w:hAnsi="Times New Roman" w:cs="Times New Roman"/>
          <w:bCs/>
          <w:noProof/>
          <w:sz w:val="24"/>
        </w:rPr>
      </w:pPr>
      <w:r>
        <w:rPr>
          <w:rFonts w:ascii="Times New Roman" w:hAnsi="Times New Roman" w:cs="Times New Roman"/>
          <w:bCs/>
          <w:noProof/>
          <w:sz w:val="24"/>
        </w:rPr>
        <w:t xml:space="preserve">The survey was sent </w:t>
      </w:r>
      <w:r>
        <w:rPr>
          <w:rFonts w:ascii="Times New Roman" w:hAnsi="Times New Roman" w:cs="Times New Roman"/>
          <w:bCs/>
          <w:noProof/>
          <w:sz w:val="24"/>
        </w:rPr>
        <w:t>on 25 October 2017 and it was closed on 8 November 2017.</w:t>
      </w:r>
    </w:p>
    <w:p w:rsidR="001B65FF" w:rsidRDefault="001B65FF">
      <w:pPr>
        <w:rPr>
          <w:noProof/>
        </w:rPr>
      </w:pPr>
    </w:p>
    <w:p w:rsidR="001B65FF" w:rsidRDefault="001B65FF">
      <w:pPr>
        <w:rPr>
          <w:noProof/>
        </w:rPr>
        <w:sectPr w:rsidR="001B65FF">
          <w:headerReference w:type="even" r:id="rId83"/>
          <w:headerReference w:type="default" r:id="rId84"/>
          <w:footerReference w:type="even" r:id="rId85"/>
          <w:footerReference w:type="default" r:id="rId86"/>
          <w:headerReference w:type="first" r:id="rId87"/>
          <w:footerReference w:type="first" r:id="rId88"/>
          <w:pgSz w:w="11906" w:h="16838"/>
          <w:pgMar w:top="1020" w:right="1701" w:bottom="1020" w:left="1587" w:header="601" w:footer="1077" w:gutter="0"/>
          <w:cols w:space="720"/>
          <w:titlePg/>
        </w:sectPr>
      </w:pPr>
      <w:bookmarkStart w:id="1867" w:name="_Toc498509778"/>
      <w:bookmarkStart w:id="1868" w:name="_Toc498521326"/>
      <w:bookmarkStart w:id="1869" w:name="_Toc498701993"/>
      <w:bookmarkStart w:id="1870" w:name="_Toc498704725"/>
      <w:bookmarkStart w:id="1871" w:name="_Toc499020480"/>
      <w:bookmarkStart w:id="1872" w:name="_Toc499030414"/>
      <w:bookmarkStart w:id="1873" w:name="_Toc499044956"/>
      <w:bookmarkStart w:id="1874" w:name="_Toc499051372"/>
      <w:bookmarkStart w:id="1875" w:name="_Toc499133328"/>
    </w:p>
    <w:p w:rsidR="001B65FF" w:rsidRDefault="003E4EF4">
      <w:pPr>
        <w:pStyle w:val="Heading2"/>
        <w:rPr>
          <w:rFonts w:ascii="Times New Roman" w:hAnsi="Times New Roman" w:cs="Times New Roman"/>
          <w:noProof/>
        </w:rPr>
      </w:pPr>
      <w:bookmarkStart w:id="1876" w:name="_Toc499142898"/>
      <w:bookmarkStart w:id="1877" w:name="_Toc510952894"/>
      <w:r>
        <w:rPr>
          <w:rFonts w:ascii="Times New Roman" w:hAnsi="Times New Roman" w:cs="Times New Roman"/>
          <w:noProof/>
        </w:rPr>
        <w:t>Annex 2.2: meetings</w:t>
      </w:r>
      <w:bookmarkEnd w:id="1867"/>
      <w:bookmarkEnd w:id="1868"/>
      <w:bookmarkEnd w:id="1869"/>
      <w:bookmarkEnd w:id="1870"/>
      <w:bookmarkEnd w:id="1871"/>
      <w:bookmarkEnd w:id="1872"/>
      <w:bookmarkEnd w:id="1873"/>
      <w:bookmarkEnd w:id="1874"/>
      <w:bookmarkEnd w:id="1875"/>
      <w:bookmarkEnd w:id="1876"/>
      <w:bookmarkEnd w:id="1877"/>
    </w:p>
    <w:p w:rsidR="001B65FF" w:rsidRDefault="003E4EF4">
      <w:pPr>
        <w:jc w:val="both"/>
        <w:rPr>
          <w:rFonts w:ascii="Times New Roman" w:hAnsi="Times New Roman" w:cs="Times New Roman"/>
          <w:noProof/>
          <w:sz w:val="24"/>
        </w:rPr>
      </w:pPr>
      <w:r>
        <w:rPr>
          <w:rFonts w:ascii="Times New Roman" w:hAnsi="Times New Roman" w:cs="Times New Roman"/>
          <w:noProof/>
          <w:sz w:val="24"/>
        </w:rPr>
        <w:t>To define and scope the problems, to map different initiatives, to draw up possible options and identify impacts, the</w:t>
      </w:r>
      <w:r>
        <w:rPr>
          <w:rFonts w:ascii="Times New Roman" w:hAnsi="Times New Roman" w:cs="Times New Roman"/>
          <w:noProof/>
          <w:sz w:val="24"/>
        </w:rPr>
        <w:t xml:space="preserve"> Commission services organised and participated in various group meetings: with Member States, including the Presidency, with other stakeholders, including the Council of Europe, Interpol, UNODC, the European Judicial Network but also with a number of priv</w:t>
      </w:r>
      <w:r>
        <w:rPr>
          <w:rFonts w:ascii="Times New Roman" w:hAnsi="Times New Roman" w:cs="Times New Roman"/>
          <w:noProof/>
          <w:sz w:val="24"/>
        </w:rPr>
        <w:t>ate sector service providers and civil society organisations.</w:t>
      </w:r>
    </w:p>
    <w:p w:rsidR="001B65FF" w:rsidRDefault="003E4EF4">
      <w:pPr>
        <w:keepNext/>
        <w:jc w:val="both"/>
        <w:rPr>
          <w:rFonts w:ascii="Times New Roman" w:hAnsi="Times New Roman" w:cs="Times New Roman"/>
          <w:noProof/>
          <w:sz w:val="24"/>
          <w:u w:val="single"/>
        </w:rPr>
      </w:pPr>
      <w:r>
        <w:rPr>
          <w:rFonts w:ascii="Times New Roman" w:hAnsi="Times New Roman" w:cs="Times New Roman"/>
          <w:noProof/>
          <w:sz w:val="24"/>
          <w:u w:val="single"/>
        </w:rPr>
        <w:t>Group expert meetings</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 xml:space="preserve">On 12 July 2016, an experts’ meeting with </w:t>
      </w:r>
      <w:r>
        <w:rPr>
          <w:rFonts w:ascii="Times New Roman" w:hAnsi="Times New Roman" w:cs="Times New Roman"/>
          <w:b/>
          <w:noProof/>
          <w:sz w:val="24"/>
        </w:rPr>
        <w:t>academics and practitioners from Member States</w:t>
      </w:r>
      <w:r>
        <w:rPr>
          <w:rFonts w:ascii="Times New Roman" w:hAnsi="Times New Roman" w:cs="Times New Roman"/>
          <w:noProof/>
          <w:sz w:val="24"/>
        </w:rPr>
        <w:t xml:space="preserve"> took place covering the relationship between different channels for obtaining cross-border access to electronic evidence, including direct cooperation and Mutual Legal Assistance, as well as the concepts of establishing investigative jurisdiction and enfo</w:t>
      </w:r>
      <w:r>
        <w:rPr>
          <w:rFonts w:ascii="Times New Roman" w:hAnsi="Times New Roman" w:cs="Times New Roman"/>
          <w:noProof/>
          <w:sz w:val="24"/>
        </w:rPr>
        <w:t xml:space="preserve">rcing jurisdiction. </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 xml:space="preserve">On 15 September 2016, in conjunction with the </w:t>
      </w:r>
      <w:r>
        <w:rPr>
          <w:rFonts w:ascii="Times New Roman" w:hAnsi="Times New Roman" w:cs="Times New Roman"/>
          <w:b/>
          <w:noProof/>
          <w:sz w:val="24"/>
        </w:rPr>
        <w:t>EU Internet Forum</w:t>
      </w:r>
      <w:r>
        <w:rPr>
          <w:rFonts w:ascii="Times New Roman" w:hAnsi="Times New Roman" w:cs="Times New Roman"/>
          <w:noProof/>
          <w:sz w:val="24"/>
        </w:rPr>
        <w:t>, the Commission services held a workshop with service providers (including Microsoft Google, Apple, Twitter and Facebook representatives) and members and representatives o</w:t>
      </w:r>
      <w:r>
        <w:rPr>
          <w:rFonts w:ascii="Times New Roman" w:hAnsi="Times New Roman" w:cs="Times New Roman"/>
          <w:noProof/>
          <w:sz w:val="24"/>
        </w:rPr>
        <w:t>f industry associations (CCIA, BSA and DIGITALEUROPE) that issued a supporting statement</w:t>
      </w:r>
      <w:r>
        <w:rPr>
          <w:rFonts w:ascii="Times New Roman" w:hAnsi="Times New Roman" w:cs="Times New Roman"/>
          <w:noProof/>
          <w:sz w:val="24"/>
          <w:vertAlign w:val="superscript"/>
        </w:rPr>
        <w:footnoteReference w:id="180"/>
      </w:r>
      <w:r>
        <w:rPr>
          <w:rFonts w:ascii="Times New Roman" w:hAnsi="Times New Roman" w:cs="Times New Roman"/>
          <w:noProof/>
          <w:sz w:val="24"/>
        </w:rPr>
        <w:t xml:space="preserve">, with the objective to compare assessments of the current status quo and exchange views. </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 xml:space="preserve">On 4 October 2016, an experts’ meeting with </w:t>
      </w:r>
      <w:r>
        <w:rPr>
          <w:rFonts w:ascii="Times New Roman" w:hAnsi="Times New Roman" w:cs="Times New Roman"/>
          <w:b/>
          <w:noProof/>
          <w:sz w:val="24"/>
        </w:rPr>
        <w:t>Member State practitioners, Euro</w:t>
      </w:r>
      <w:r>
        <w:rPr>
          <w:rFonts w:ascii="Times New Roman" w:hAnsi="Times New Roman" w:cs="Times New Roman"/>
          <w:b/>
          <w:noProof/>
          <w:sz w:val="24"/>
        </w:rPr>
        <w:t>pean Judicial Network (EJN) and Eurojust</w:t>
      </w:r>
      <w:r>
        <w:rPr>
          <w:rFonts w:ascii="Times New Roman" w:hAnsi="Times New Roman" w:cs="Times New Roman"/>
          <w:noProof/>
          <w:sz w:val="24"/>
        </w:rPr>
        <w:t xml:space="preserve"> representatives discussed the use of </w:t>
      </w:r>
      <w:r>
        <w:rPr>
          <w:rFonts w:ascii="Times New Roman" w:hAnsi="Times New Roman" w:cs="Times New Roman"/>
          <w:b/>
          <w:noProof/>
          <w:sz w:val="24"/>
        </w:rPr>
        <w:t>Mutual Legal Assistance within the Union</w:t>
      </w:r>
      <w:r>
        <w:rPr>
          <w:rFonts w:ascii="Times New Roman" w:hAnsi="Times New Roman" w:cs="Times New Roman"/>
          <w:noProof/>
          <w:sz w:val="24"/>
        </w:rPr>
        <w:t xml:space="preserve">, notably the possible use of the European Investigation Order (EIO) for cross-border access to electronic evidence and in particular its </w:t>
      </w:r>
      <w:r>
        <w:rPr>
          <w:rFonts w:ascii="Times New Roman" w:hAnsi="Times New Roman" w:cs="Times New Roman"/>
          <w:noProof/>
          <w:sz w:val="24"/>
        </w:rPr>
        <w:t xml:space="preserve">annex A with regard to its suitability for requesting access to digital evidence, as well as the possible requirements for an IT portal to exchange requests. </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 xml:space="preserve">On 4 October 2016, the Commission intervened at a meeting of the </w:t>
      </w:r>
      <w:r>
        <w:rPr>
          <w:rFonts w:ascii="Times New Roman" w:hAnsi="Times New Roman" w:cs="Times New Roman"/>
          <w:b/>
          <w:noProof/>
          <w:sz w:val="24"/>
        </w:rPr>
        <w:t>European Chiefs of Cybercrime Un</w:t>
      </w:r>
      <w:r>
        <w:rPr>
          <w:rFonts w:ascii="Times New Roman" w:hAnsi="Times New Roman" w:cs="Times New Roman"/>
          <w:b/>
          <w:noProof/>
          <w:sz w:val="24"/>
        </w:rPr>
        <w:t>its (EUCTF)</w:t>
      </w:r>
      <w:r>
        <w:rPr>
          <w:rFonts w:ascii="Times New Roman" w:hAnsi="Times New Roman" w:cs="Times New Roman"/>
          <w:noProof/>
          <w:sz w:val="24"/>
        </w:rPr>
        <w:t xml:space="preserve"> to provide an update on the work on cross-border access to electronic evidence. The discussion focused on challenges that national units face in making direct requests to providers established in another country (e.g. the U.S.) for basic subscr</w:t>
      </w:r>
      <w:r>
        <w:rPr>
          <w:rFonts w:ascii="Times New Roman" w:hAnsi="Times New Roman" w:cs="Times New Roman"/>
          <w:noProof/>
          <w:sz w:val="24"/>
        </w:rPr>
        <w:t xml:space="preserve">iber information or traffic data/metadata. </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On 9 November 2016, an expert meeting with representatives of</w:t>
      </w:r>
      <w:r>
        <w:rPr>
          <w:rFonts w:ascii="Times New Roman" w:hAnsi="Times New Roman" w:cs="Times New Roman"/>
          <w:b/>
          <w:noProof/>
          <w:sz w:val="24"/>
        </w:rPr>
        <w:t xml:space="preserve"> Member States, the EJN, Eurojust and the Council</w:t>
      </w:r>
      <w:r>
        <w:rPr>
          <w:rFonts w:ascii="Times New Roman" w:hAnsi="Times New Roman" w:cs="Times New Roman"/>
          <w:noProof/>
          <w:sz w:val="24"/>
        </w:rPr>
        <w:t xml:space="preserve"> secretariat, and technical experts working on e-codex MLA, Interpol and Evidence projects discussed t</w:t>
      </w:r>
      <w:r>
        <w:rPr>
          <w:rFonts w:ascii="Times New Roman" w:hAnsi="Times New Roman" w:cs="Times New Roman"/>
          <w:noProof/>
          <w:sz w:val="24"/>
        </w:rPr>
        <w:t>he way forward towards "a secure online portal" for requests and responses concerning e-evidence.</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 xml:space="preserve">On 17 and 18 January 2017, an expert meeting was organised with representatives of all </w:t>
      </w:r>
      <w:r>
        <w:rPr>
          <w:rFonts w:ascii="Times New Roman" w:hAnsi="Times New Roman" w:cs="Times New Roman"/>
          <w:b/>
          <w:noProof/>
          <w:sz w:val="24"/>
        </w:rPr>
        <w:t>Member States</w:t>
      </w:r>
      <w:r>
        <w:rPr>
          <w:rFonts w:ascii="Times New Roman" w:hAnsi="Times New Roman" w:cs="Times New Roman"/>
          <w:noProof/>
          <w:sz w:val="24"/>
        </w:rPr>
        <w:t xml:space="preserve"> (except for Greece), from </w:t>
      </w:r>
      <w:r>
        <w:rPr>
          <w:rFonts w:ascii="Times New Roman" w:hAnsi="Times New Roman" w:cs="Times New Roman"/>
          <w:b/>
          <w:noProof/>
          <w:sz w:val="24"/>
        </w:rPr>
        <w:t>Europol, the Council General Se</w:t>
      </w:r>
      <w:r>
        <w:rPr>
          <w:rFonts w:ascii="Times New Roman" w:hAnsi="Times New Roman" w:cs="Times New Roman"/>
          <w:b/>
          <w:noProof/>
          <w:sz w:val="24"/>
        </w:rPr>
        <w:t>cretariat, the European Parliament LIBE Secretariat, the Counter-Terrorism Coordinator's office, an independent expert</w:t>
      </w:r>
      <w:r>
        <w:rPr>
          <w:rFonts w:ascii="Times New Roman" w:hAnsi="Times New Roman" w:cs="Times New Roman"/>
          <w:noProof/>
          <w:sz w:val="24"/>
        </w:rPr>
        <w:t xml:space="preserve"> and the Commission task force on e-evidence. The expert meeting served to discuss the current legislative framework and use of domestic p</w:t>
      </w:r>
      <w:r>
        <w:rPr>
          <w:rFonts w:ascii="Times New Roman" w:hAnsi="Times New Roman" w:cs="Times New Roman"/>
          <w:noProof/>
          <w:sz w:val="24"/>
        </w:rPr>
        <w:t>roduction orders and other investigatory measures, notably direct access through a computer system.</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 xml:space="preserve">On 28 February 2017, an expert meeting was organised with representatives of all </w:t>
      </w:r>
      <w:r>
        <w:rPr>
          <w:rFonts w:ascii="Times New Roman" w:hAnsi="Times New Roman" w:cs="Times New Roman"/>
          <w:b/>
          <w:noProof/>
          <w:sz w:val="24"/>
        </w:rPr>
        <w:t xml:space="preserve">Member States, from Europol, the Council General Secretariat, the LIBE </w:t>
      </w:r>
      <w:r>
        <w:rPr>
          <w:rFonts w:ascii="Times New Roman" w:hAnsi="Times New Roman" w:cs="Times New Roman"/>
          <w:b/>
          <w:noProof/>
          <w:sz w:val="24"/>
        </w:rPr>
        <w:t>Secretariat, the Counter-Terrorism Coordinator's office</w:t>
      </w:r>
      <w:r>
        <w:rPr>
          <w:rFonts w:ascii="Times New Roman" w:hAnsi="Times New Roman" w:cs="Times New Roman"/>
          <w:noProof/>
          <w:sz w:val="24"/>
        </w:rPr>
        <w:t xml:space="preserve">, an independent expert and the Commission task force on e-evidence. The expert meeting discussed </w:t>
      </w:r>
      <w:r>
        <w:rPr>
          <w:rFonts w:ascii="Times New Roman" w:hAnsi="Times New Roman" w:cs="Times New Roman"/>
          <w:b/>
          <w:noProof/>
          <w:sz w:val="24"/>
        </w:rPr>
        <w:t>practical measures</w:t>
      </w:r>
      <w:r>
        <w:rPr>
          <w:rFonts w:ascii="Times New Roman" w:hAnsi="Times New Roman" w:cs="Times New Roman"/>
          <w:noProof/>
          <w:sz w:val="24"/>
        </w:rPr>
        <w:t xml:space="preserve"> for improving direct cooperation between law enforcement authorities and private sec</w:t>
      </w:r>
      <w:r>
        <w:rPr>
          <w:rFonts w:ascii="Times New Roman" w:hAnsi="Times New Roman" w:cs="Times New Roman"/>
          <w:noProof/>
          <w:sz w:val="24"/>
        </w:rPr>
        <w:t>tor service providers, notably when service providers are located in another country.</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 xml:space="preserve">On 6 March 2017 a roundtable meeting with </w:t>
      </w:r>
      <w:r>
        <w:rPr>
          <w:rFonts w:ascii="Times New Roman" w:hAnsi="Times New Roman" w:cs="Times New Roman"/>
          <w:b/>
          <w:noProof/>
          <w:sz w:val="24"/>
        </w:rPr>
        <w:t>service providers, industry associations and civil society organisations</w:t>
      </w:r>
      <w:r>
        <w:rPr>
          <w:rFonts w:ascii="Times New Roman" w:hAnsi="Times New Roman" w:cs="Times New Roman"/>
          <w:noProof/>
          <w:sz w:val="24"/>
        </w:rPr>
        <w:t xml:space="preserve"> was held in connection with the EU Internet Forum. The </w:t>
      </w:r>
      <w:r>
        <w:rPr>
          <w:rFonts w:ascii="Times New Roman" w:hAnsi="Times New Roman" w:cs="Times New Roman"/>
          <w:noProof/>
          <w:sz w:val="24"/>
        </w:rPr>
        <w:t xml:space="preserve">Commission presented the state-of-play and answered several questions on e.g. the scope of the work and policy options considered. </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On 3 and 4 April 2017, an expert meeting was organised with</w:t>
      </w:r>
      <w:r>
        <w:rPr>
          <w:rFonts w:ascii="Times New Roman" w:hAnsi="Times New Roman" w:cs="Times New Roman"/>
          <w:b/>
          <w:noProof/>
          <w:sz w:val="24"/>
        </w:rPr>
        <w:t xml:space="preserve"> </w:t>
      </w:r>
      <w:r>
        <w:rPr>
          <w:rFonts w:ascii="Times New Roman" w:hAnsi="Times New Roman" w:cs="Times New Roman"/>
          <w:noProof/>
          <w:sz w:val="24"/>
        </w:rPr>
        <w:t xml:space="preserve">representatives of all </w:t>
      </w:r>
      <w:r>
        <w:rPr>
          <w:rFonts w:ascii="Times New Roman" w:hAnsi="Times New Roman" w:cs="Times New Roman"/>
          <w:b/>
          <w:noProof/>
          <w:sz w:val="24"/>
        </w:rPr>
        <w:t xml:space="preserve">Member States </w:t>
      </w:r>
      <w:r>
        <w:rPr>
          <w:rFonts w:ascii="Times New Roman" w:hAnsi="Times New Roman" w:cs="Times New Roman"/>
          <w:noProof/>
          <w:sz w:val="24"/>
        </w:rPr>
        <w:t>(except Greece),</w:t>
      </w:r>
      <w:r>
        <w:rPr>
          <w:rFonts w:ascii="Times New Roman" w:hAnsi="Times New Roman" w:cs="Times New Roman"/>
          <w:b/>
          <w:noProof/>
          <w:sz w:val="24"/>
        </w:rPr>
        <w:t xml:space="preserve"> Europol, E</w:t>
      </w:r>
      <w:r>
        <w:rPr>
          <w:rFonts w:ascii="Times New Roman" w:hAnsi="Times New Roman" w:cs="Times New Roman"/>
          <w:b/>
          <w:noProof/>
          <w:sz w:val="24"/>
        </w:rPr>
        <w:t>urojust</w:t>
      </w:r>
      <w:r>
        <w:rPr>
          <w:rFonts w:ascii="Times New Roman" w:hAnsi="Times New Roman" w:cs="Times New Roman"/>
          <w:noProof/>
          <w:sz w:val="24"/>
        </w:rPr>
        <w:t>, a number of members of the</w:t>
      </w:r>
      <w:r>
        <w:rPr>
          <w:rFonts w:ascii="Times New Roman" w:hAnsi="Times New Roman" w:cs="Times New Roman"/>
          <w:b/>
          <w:noProof/>
          <w:sz w:val="24"/>
        </w:rPr>
        <w:t xml:space="preserve"> Council of Europe T-CY Bureau</w:t>
      </w:r>
      <w:r>
        <w:rPr>
          <w:rFonts w:ascii="Times New Roman" w:hAnsi="Times New Roman" w:cs="Times New Roman"/>
          <w:noProof/>
          <w:sz w:val="24"/>
        </w:rPr>
        <w:t>, members of the</w:t>
      </w:r>
      <w:r>
        <w:rPr>
          <w:rFonts w:ascii="Times New Roman" w:hAnsi="Times New Roman" w:cs="Times New Roman"/>
          <w:b/>
          <w:noProof/>
          <w:sz w:val="24"/>
        </w:rPr>
        <w:t xml:space="preserve"> Council General Secretariat, the LIBE secretariat and an independent expert</w:t>
      </w:r>
      <w:r>
        <w:rPr>
          <w:rFonts w:ascii="Times New Roman" w:hAnsi="Times New Roman" w:cs="Times New Roman"/>
          <w:noProof/>
          <w:sz w:val="24"/>
        </w:rPr>
        <w:t xml:space="preserve"> supporting the Commission. The expert meeting discussed possible avenues for </w:t>
      </w:r>
      <w:r>
        <w:rPr>
          <w:rFonts w:ascii="Times New Roman" w:hAnsi="Times New Roman" w:cs="Times New Roman"/>
          <w:b/>
          <w:noProof/>
          <w:sz w:val="24"/>
        </w:rPr>
        <w:t>reforming the current</w:t>
      </w:r>
      <w:r>
        <w:rPr>
          <w:rFonts w:ascii="Times New Roman" w:hAnsi="Times New Roman" w:cs="Times New Roman"/>
          <w:b/>
          <w:noProof/>
          <w:sz w:val="24"/>
        </w:rPr>
        <w:t xml:space="preserve"> legal framework</w:t>
      </w:r>
      <w:r>
        <w:rPr>
          <w:rFonts w:ascii="Times New Roman" w:hAnsi="Times New Roman" w:cs="Times New Roman"/>
          <w:noProof/>
          <w:sz w:val="24"/>
        </w:rPr>
        <w:t>, notably on options as regards the types of e-evidence, direct cooperation and direct access.</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 xml:space="preserve">On 26 and 27 April 2017, an expert meeting was organised with representatives of all </w:t>
      </w:r>
      <w:r>
        <w:rPr>
          <w:rFonts w:ascii="Times New Roman" w:hAnsi="Times New Roman" w:cs="Times New Roman"/>
          <w:b/>
          <w:noProof/>
          <w:sz w:val="24"/>
        </w:rPr>
        <w:t>Member States</w:t>
      </w:r>
      <w:r>
        <w:rPr>
          <w:rFonts w:ascii="Times New Roman" w:hAnsi="Times New Roman" w:cs="Times New Roman"/>
          <w:noProof/>
          <w:sz w:val="24"/>
        </w:rPr>
        <w:t xml:space="preserve"> (except Greece and Malta), from </w:t>
      </w:r>
      <w:r>
        <w:rPr>
          <w:rFonts w:ascii="Times New Roman" w:hAnsi="Times New Roman" w:cs="Times New Roman"/>
          <w:b/>
          <w:noProof/>
          <w:sz w:val="24"/>
        </w:rPr>
        <w:t>Europol, the C</w:t>
      </w:r>
      <w:r>
        <w:rPr>
          <w:rFonts w:ascii="Times New Roman" w:hAnsi="Times New Roman" w:cs="Times New Roman"/>
          <w:b/>
          <w:noProof/>
          <w:sz w:val="24"/>
        </w:rPr>
        <w:t>ouncil General Secretariat and the Counter-Terrorism Coordinator's office.</w:t>
      </w:r>
      <w:r>
        <w:rPr>
          <w:rFonts w:ascii="Times New Roman" w:hAnsi="Times New Roman" w:cs="Times New Roman"/>
          <w:noProof/>
          <w:sz w:val="24"/>
        </w:rPr>
        <w:t xml:space="preserve"> The expert meeting continued the discussions on possible avenues for </w:t>
      </w:r>
      <w:r>
        <w:rPr>
          <w:rFonts w:ascii="Times New Roman" w:hAnsi="Times New Roman" w:cs="Times New Roman"/>
          <w:b/>
          <w:noProof/>
          <w:sz w:val="24"/>
        </w:rPr>
        <w:t>reforming the current legal framework</w:t>
      </w:r>
      <w:r>
        <w:rPr>
          <w:rFonts w:ascii="Times New Roman" w:hAnsi="Times New Roman" w:cs="Times New Roman"/>
          <w:noProof/>
          <w:sz w:val="24"/>
        </w:rPr>
        <w:t xml:space="preserve">, notably on options as regards the types of e-evidence, direct access and </w:t>
      </w:r>
      <w:r>
        <w:rPr>
          <w:rFonts w:ascii="Times New Roman" w:hAnsi="Times New Roman" w:cs="Times New Roman"/>
          <w:noProof/>
          <w:sz w:val="24"/>
        </w:rPr>
        <w:t>user notification.</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 xml:space="preserve">On 2 May 2017, under the auspices of the EU Internet Forum a targeted roundtable meeting was held with </w:t>
      </w:r>
      <w:r>
        <w:rPr>
          <w:rFonts w:ascii="Times New Roman" w:hAnsi="Times New Roman" w:cs="Times New Roman"/>
          <w:b/>
          <w:noProof/>
          <w:sz w:val="24"/>
        </w:rPr>
        <w:t>service providers, industry associations and civil society</w:t>
      </w:r>
      <w:r>
        <w:rPr>
          <w:rFonts w:ascii="Times New Roman" w:hAnsi="Times New Roman" w:cs="Times New Roman"/>
          <w:noProof/>
          <w:sz w:val="24"/>
        </w:rPr>
        <w:t xml:space="preserve"> organisations in order to obtain targeted feedback on </w:t>
      </w:r>
      <w:r>
        <w:rPr>
          <w:rFonts w:ascii="Times New Roman" w:hAnsi="Times New Roman" w:cs="Times New Roman"/>
          <w:b/>
          <w:noProof/>
          <w:sz w:val="24"/>
        </w:rPr>
        <w:t xml:space="preserve">user notification </w:t>
      </w:r>
      <w:r>
        <w:rPr>
          <w:rFonts w:ascii="Times New Roman" w:hAnsi="Times New Roman" w:cs="Times New Roman"/>
          <w:noProof/>
          <w:sz w:val="24"/>
        </w:rPr>
        <w:t>and</w:t>
      </w:r>
      <w:r>
        <w:rPr>
          <w:rFonts w:ascii="Times New Roman" w:hAnsi="Times New Roman" w:cs="Times New Roman"/>
          <w:b/>
          <w:noProof/>
          <w:sz w:val="24"/>
        </w:rPr>
        <w:t xml:space="preserve"> costs</w:t>
      </w:r>
      <w:r>
        <w:rPr>
          <w:rFonts w:ascii="Times New Roman" w:hAnsi="Times New Roman" w:cs="Times New Roman"/>
          <w:noProof/>
          <w:sz w:val="24"/>
        </w:rPr>
        <w:t xml:space="preserve"> involved with requests for cross-border access to electronic evidence.</w:t>
      </w:r>
    </w:p>
    <w:p w:rsidR="001B65FF" w:rsidRDefault="003E4EF4">
      <w:pPr>
        <w:numPr>
          <w:ilvl w:val="0"/>
          <w:numId w:val="15"/>
        </w:numPr>
        <w:spacing w:after="0"/>
        <w:ind w:left="360" w:right="142"/>
        <w:contextualSpacing/>
        <w:jc w:val="both"/>
        <w:rPr>
          <w:rFonts w:ascii="Times New Roman" w:hAnsi="Times New Roman" w:cs="Times New Roman"/>
          <w:noProof/>
          <w:sz w:val="24"/>
        </w:rPr>
      </w:pPr>
      <w:r>
        <w:rPr>
          <w:rFonts w:ascii="Times New Roman" w:hAnsi="Times New Roman" w:cs="Times New Roman"/>
          <w:noProof/>
          <w:sz w:val="24"/>
        </w:rPr>
        <w:t xml:space="preserve">On 10 May 2017, under the auspices of the EU Internet Forum, a targeted roundtable meeting was held with </w:t>
      </w:r>
      <w:r>
        <w:rPr>
          <w:rFonts w:ascii="Times New Roman" w:hAnsi="Times New Roman" w:cs="Times New Roman"/>
          <w:b/>
          <w:noProof/>
          <w:sz w:val="24"/>
        </w:rPr>
        <w:t xml:space="preserve">service providers, industry associations </w:t>
      </w:r>
      <w:r>
        <w:rPr>
          <w:rFonts w:ascii="Times New Roman" w:hAnsi="Times New Roman" w:cs="Times New Roman"/>
          <w:noProof/>
          <w:sz w:val="24"/>
        </w:rPr>
        <w:t>and</w:t>
      </w:r>
      <w:r>
        <w:rPr>
          <w:rFonts w:ascii="Times New Roman" w:hAnsi="Times New Roman" w:cs="Times New Roman"/>
          <w:b/>
          <w:noProof/>
          <w:sz w:val="24"/>
        </w:rPr>
        <w:t xml:space="preserve"> civil society</w:t>
      </w:r>
      <w:r>
        <w:rPr>
          <w:rFonts w:ascii="Times New Roman" w:hAnsi="Times New Roman" w:cs="Times New Roman"/>
          <w:noProof/>
          <w:sz w:val="24"/>
        </w:rPr>
        <w:t xml:space="preserve"> organisations </w:t>
      </w:r>
      <w:r>
        <w:rPr>
          <w:rFonts w:ascii="Times New Roman" w:hAnsi="Times New Roman" w:cs="Times New Roman"/>
          <w:noProof/>
          <w:sz w:val="24"/>
        </w:rPr>
        <w:t xml:space="preserve">on e-evidence in order to obtain targeted feedback on </w:t>
      </w:r>
      <w:r>
        <w:rPr>
          <w:rFonts w:ascii="Times New Roman" w:hAnsi="Times New Roman" w:cs="Times New Roman"/>
          <w:b/>
          <w:noProof/>
          <w:sz w:val="24"/>
        </w:rPr>
        <w:t>connecting factors for the use of investigative measures</w:t>
      </w:r>
      <w:r>
        <w:rPr>
          <w:rFonts w:ascii="Times New Roman" w:hAnsi="Times New Roman" w:cs="Times New Roman"/>
          <w:noProof/>
          <w:sz w:val="24"/>
        </w:rPr>
        <w:t xml:space="preserve"> and </w:t>
      </w:r>
      <w:r>
        <w:rPr>
          <w:rFonts w:ascii="Times New Roman" w:hAnsi="Times New Roman" w:cs="Times New Roman"/>
          <w:b/>
          <w:noProof/>
          <w:sz w:val="24"/>
        </w:rPr>
        <w:t>conflicts of law</w:t>
      </w:r>
      <w:r>
        <w:rPr>
          <w:rFonts w:ascii="Times New Roman" w:hAnsi="Times New Roman" w:cs="Times New Roman"/>
          <w:noProof/>
          <w:sz w:val="24"/>
        </w:rPr>
        <w:t>.</w:t>
      </w:r>
    </w:p>
    <w:p w:rsidR="001B65FF" w:rsidRDefault="003E4EF4">
      <w:pPr>
        <w:numPr>
          <w:ilvl w:val="0"/>
          <w:numId w:val="15"/>
        </w:numPr>
        <w:spacing w:after="0"/>
        <w:ind w:left="360" w:right="142"/>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On 15 September 2017, an expert meeting was organised with representatives of </w:t>
      </w:r>
      <w:r>
        <w:rPr>
          <w:rFonts w:ascii="Times New Roman" w:hAnsi="Times New Roman" w:cs="Times New Roman"/>
          <w:noProof/>
          <w:sz w:val="24"/>
        </w:rPr>
        <w:t>all</w:t>
      </w:r>
      <w:r>
        <w:rPr>
          <w:rFonts w:ascii="Times New Roman" w:hAnsi="Times New Roman" w:cs="Times New Roman"/>
          <w:noProof/>
          <w:sz w:val="24"/>
          <w:szCs w:val="24"/>
        </w:rPr>
        <w:t xml:space="preserve">  </w:t>
      </w:r>
      <w:r>
        <w:rPr>
          <w:rFonts w:ascii="Times New Roman" w:hAnsi="Times New Roman" w:cs="Times New Roman"/>
          <w:b/>
          <w:bCs/>
          <w:noProof/>
          <w:sz w:val="24"/>
          <w:szCs w:val="24"/>
        </w:rPr>
        <w:t>Member States, the Council General Secre</w:t>
      </w:r>
      <w:r>
        <w:rPr>
          <w:rFonts w:ascii="Times New Roman" w:hAnsi="Times New Roman" w:cs="Times New Roman"/>
          <w:b/>
          <w:bCs/>
          <w:noProof/>
          <w:sz w:val="24"/>
          <w:szCs w:val="24"/>
        </w:rPr>
        <w:t>tariat</w:t>
      </w:r>
      <w:r>
        <w:rPr>
          <w:rFonts w:ascii="Times New Roman" w:hAnsi="Times New Roman" w:cs="Times New Roman"/>
          <w:b/>
          <w:noProof/>
          <w:sz w:val="24"/>
        </w:rPr>
        <w:t xml:space="preserve"> and the Counter-Terrorism Coordinator's office</w:t>
      </w:r>
      <w:r>
        <w:rPr>
          <w:rFonts w:ascii="Times New Roman" w:hAnsi="Times New Roman" w:cs="Times New Roman"/>
          <w:noProof/>
          <w:sz w:val="24"/>
          <w:szCs w:val="24"/>
        </w:rPr>
        <w:t xml:space="preserve">. The expert meeting continued the discussions on possible avenues for </w:t>
      </w:r>
      <w:r>
        <w:rPr>
          <w:rFonts w:ascii="Times New Roman" w:hAnsi="Times New Roman" w:cs="Times New Roman"/>
          <w:b/>
          <w:bCs/>
          <w:noProof/>
          <w:sz w:val="24"/>
          <w:szCs w:val="24"/>
        </w:rPr>
        <w:t>reforming the current legal framework</w:t>
      </w:r>
      <w:r>
        <w:rPr>
          <w:rFonts w:ascii="Times New Roman" w:hAnsi="Times New Roman" w:cs="Times New Roman"/>
          <w:noProof/>
          <w:sz w:val="24"/>
          <w:szCs w:val="24"/>
        </w:rPr>
        <w:t xml:space="preserve">, notably on the different options for two possible legislative measures: </w:t>
      </w:r>
      <w:r>
        <w:rPr>
          <w:rFonts w:ascii="Times New Roman" w:hAnsi="Times New Roman" w:cs="Times New Roman"/>
          <w:b/>
          <w:noProof/>
          <w:sz w:val="24"/>
          <w:szCs w:val="24"/>
        </w:rPr>
        <w:t>production order/prod</w:t>
      </w:r>
      <w:r>
        <w:rPr>
          <w:rFonts w:ascii="Times New Roman" w:hAnsi="Times New Roman" w:cs="Times New Roman"/>
          <w:b/>
          <w:noProof/>
          <w:sz w:val="24"/>
          <w:szCs w:val="24"/>
        </w:rPr>
        <w:t>uction request</w:t>
      </w:r>
      <w:r>
        <w:rPr>
          <w:rFonts w:ascii="Times New Roman" w:hAnsi="Times New Roman" w:cs="Times New Roman"/>
          <w:noProof/>
          <w:sz w:val="24"/>
          <w:szCs w:val="24"/>
        </w:rPr>
        <w:t xml:space="preserve"> </w:t>
      </w:r>
      <w:r>
        <w:rPr>
          <w:rFonts w:ascii="Times New Roman" w:hAnsi="Times New Roman" w:cs="Times New Roman"/>
          <w:b/>
          <w:noProof/>
          <w:sz w:val="24"/>
          <w:szCs w:val="24"/>
        </w:rPr>
        <w:t>and direct access</w:t>
      </w:r>
      <w:r>
        <w:rPr>
          <w:rFonts w:ascii="Times New Roman" w:hAnsi="Times New Roman" w:cs="Times New Roman"/>
          <w:noProof/>
          <w:sz w:val="24"/>
          <w:szCs w:val="24"/>
        </w:rPr>
        <w:t>, including a draft work plan for practical measures on direct cooperation with service providers.</w:t>
      </w:r>
    </w:p>
    <w:p w:rsidR="001B65FF" w:rsidRDefault="003E4EF4">
      <w:pPr>
        <w:numPr>
          <w:ilvl w:val="0"/>
          <w:numId w:val="15"/>
        </w:numPr>
        <w:spacing w:after="0"/>
        <w:ind w:left="360" w:right="142"/>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On 2 October 2017, an expert meeting on data protection aspects of cross-border access to electronic evidence was organised with representatives of </w:t>
      </w:r>
      <w:r>
        <w:rPr>
          <w:rFonts w:ascii="Times New Roman" w:hAnsi="Times New Roman" w:cs="Times New Roman"/>
          <w:b/>
          <w:noProof/>
          <w:sz w:val="24"/>
          <w:szCs w:val="24"/>
        </w:rPr>
        <w:t xml:space="preserve">Member States </w:t>
      </w:r>
      <w:r>
        <w:rPr>
          <w:rFonts w:ascii="Times New Roman" w:hAnsi="Times New Roman" w:cs="Times New Roman"/>
          <w:noProof/>
          <w:sz w:val="24"/>
          <w:szCs w:val="24"/>
        </w:rPr>
        <w:t xml:space="preserve">(except EL, PT, CY, DK, CZ, HR, LV), </w:t>
      </w:r>
      <w:r>
        <w:rPr>
          <w:rFonts w:ascii="Times New Roman" w:hAnsi="Times New Roman" w:cs="Times New Roman"/>
          <w:b/>
          <w:noProof/>
          <w:sz w:val="24"/>
          <w:szCs w:val="24"/>
        </w:rPr>
        <w:t xml:space="preserve">data protection authorities </w:t>
      </w:r>
      <w:r>
        <w:rPr>
          <w:rFonts w:ascii="Times New Roman" w:hAnsi="Times New Roman" w:cs="Times New Roman"/>
          <w:noProof/>
          <w:sz w:val="24"/>
          <w:szCs w:val="24"/>
        </w:rPr>
        <w:t>(from BE, BG, CZ, FR, IE, LU,</w:t>
      </w:r>
      <w:r>
        <w:rPr>
          <w:rFonts w:ascii="Times New Roman" w:hAnsi="Times New Roman" w:cs="Times New Roman"/>
          <w:noProof/>
          <w:sz w:val="24"/>
          <w:szCs w:val="24"/>
        </w:rPr>
        <w:t xml:space="preserve"> LV, PL, SI, SK), including the </w:t>
      </w:r>
      <w:r>
        <w:rPr>
          <w:rFonts w:ascii="Times New Roman" w:hAnsi="Times New Roman" w:cs="Times New Roman"/>
          <w:b/>
          <w:noProof/>
          <w:sz w:val="24"/>
          <w:szCs w:val="24"/>
        </w:rPr>
        <w:t>EDPS.</w:t>
      </w:r>
      <w:r>
        <w:rPr>
          <w:rFonts w:ascii="Times New Roman" w:hAnsi="Times New Roman" w:cs="Times New Roman"/>
          <w:noProof/>
          <w:sz w:val="24"/>
          <w:szCs w:val="24"/>
        </w:rPr>
        <w:t xml:space="preserve"> The meeting focused on different aspects of the </w:t>
      </w:r>
      <w:r>
        <w:rPr>
          <w:rFonts w:ascii="Times New Roman" w:hAnsi="Times New Roman" w:cs="Times New Roman"/>
          <w:b/>
          <w:noProof/>
          <w:sz w:val="24"/>
          <w:szCs w:val="24"/>
        </w:rPr>
        <w:t>production order/request</w:t>
      </w:r>
      <w:r>
        <w:rPr>
          <w:rFonts w:ascii="Times New Roman" w:hAnsi="Times New Roman" w:cs="Times New Roman"/>
          <w:noProof/>
          <w:sz w:val="24"/>
          <w:szCs w:val="24"/>
        </w:rPr>
        <w:t xml:space="preserve">, notably the personal, material and geographical scope of the measure, user notification, as well as the appropriate legal basis for </w:t>
      </w:r>
      <w:r>
        <w:rPr>
          <w:rFonts w:ascii="Times New Roman" w:hAnsi="Times New Roman" w:cs="Times New Roman"/>
          <w:b/>
          <w:noProof/>
          <w:sz w:val="24"/>
          <w:szCs w:val="24"/>
        </w:rPr>
        <w:t>direct acces</w:t>
      </w:r>
      <w:r>
        <w:rPr>
          <w:rFonts w:ascii="Times New Roman" w:hAnsi="Times New Roman" w:cs="Times New Roman"/>
          <w:b/>
          <w:noProof/>
          <w:sz w:val="24"/>
          <w:szCs w:val="24"/>
        </w:rPr>
        <w:t>s</w:t>
      </w:r>
      <w:r>
        <w:rPr>
          <w:rFonts w:ascii="Times New Roman" w:hAnsi="Times New Roman" w:cs="Times New Roman"/>
          <w:noProof/>
          <w:sz w:val="24"/>
          <w:szCs w:val="24"/>
        </w:rPr>
        <w:t xml:space="preserve">. </w:t>
      </w:r>
    </w:p>
    <w:p w:rsidR="001B65FF" w:rsidRDefault="003E4EF4">
      <w:pPr>
        <w:numPr>
          <w:ilvl w:val="0"/>
          <w:numId w:val="15"/>
        </w:numPr>
        <w:spacing w:after="0"/>
        <w:ind w:left="360" w:right="142"/>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On 18 October 2017, an expert meeting was organised with representatives of all </w:t>
      </w:r>
      <w:r>
        <w:rPr>
          <w:rFonts w:ascii="Times New Roman" w:hAnsi="Times New Roman" w:cs="Times New Roman"/>
          <w:b/>
          <w:bCs/>
          <w:noProof/>
          <w:sz w:val="24"/>
          <w:szCs w:val="24"/>
        </w:rPr>
        <w:t xml:space="preserve">Member States </w:t>
      </w:r>
      <w:r>
        <w:rPr>
          <w:rFonts w:ascii="Times New Roman" w:hAnsi="Times New Roman" w:cs="Times New Roman"/>
          <w:bCs/>
          <w:noProof/>
          <w:sz w:val="24"/>
          <w:szCs w:val="24"/>
        </w:rPr>
        <w:t>(except Greece and Cyprus) and</w:t>
      </w:r>
      <w:r>
        <w:rPr>
          <w:rFonts w:ascii="Times New Roman" w:hAnsi="Times New Roman" w:cs="Times New Roman"/>
          <w:b/>
          <w:bCs/>
          <w:noProof/>
          <w:sz w:val="24"/>
          <w:szCs w:val="24"/>
        </w:rPr>
        <w:t xml:space="preserve"> the Counter-Terrorism Coordinator's office</w:t>
      </w:r>
      <w:r>
        <w:rPr>
          <w:rFonts w:ascii="Times New Roman" w:hAnsi="Times New Roman" w:cs="Times New Roman"/>
          <w:noProof/>
          <w:sz w:val="24"/>
          <w:szCs w:val="24"/>
        </w:rPr>
        <w:t xml:space="preserve">. The expert meeting continued the discussions on possible avenues for </w:t>
      </w:r>
      <w:r>
        <w:rPr>
          <w:rFonts w:ascii="Times New Roman" w:hAnsi="Times New Roman" w:cs="Times New Roman"/>
          <w:b/>
          <w:bCs/>
          <w:noProof/>
          <w:sz w:val="24"/>
          <w:szCs w:val="24"/>
        </w:rPr>
        <w:t xml:space="preserve">reforming the </w:t>
      </w:r>
      <w:r>
        <w:rPr>
          <w:rFonts w:ascii="Times New Roman" w:hAnsi="Times New Roman" w:cs="Times New Roman"/>
          <w:b/>
          <w:bCs/>
          <w:noProof/>
          <w:sz w:val="24"/>
          <w:szCs w:val="24"/>
        </w:rPr>
        <w:t>current legal framework</w:t>
      </w:r>
      <w:r>
        <w:rPr>
          <w:rFonts w:ascii="Times New Roman" w:hAnsi="Times New Roman" w:cs="Times New Roman"/>
          <w:noProof/>
          <w:sz w:val="24"/>
          <w:szCs w:val="24"/>
        </w:rPr>
        <w:t xml:space="preserve">, notably on the following aspects of the </w:t>
      </w:r>
      <w:r>
        <w:rPr>
          <w:rFonts w:ascii="Times New Roman" w:hAnsi="Times New Roman" w:cs="Times New Roman"/>
          <w:b/>
          <w:noProof/>
          <w:sz w:val="24"/>
          <w:szCs w:val="24"/>
        </w:rPr>
        <w:t>production order</w:t>
      </w:r>
      <w:r>
        <w:rPr>
          <w:rFonts w:ascii="Times New Roman" w:hAnsi="Times New Roman" w:cs="Times New Roman"/>
          <w:noProof/>
          <w:sz w:val="24"/>
          <w:szCs w:val="24"/>
        </w:rPr>
        <w:t>: legal representative, enforcement, safeguards, legal remedies, and personal scope.</w:t>
      </w:r>
    </w:p>
    <w:p w:rsidR="001B65FF" w:rsidRDefault="001B65FF">
      <w:pPr>
        <w:keepNext/>
        <w:jc w:val="both"/>
        <w:rPr>
          <w:rFonts w:ascii="Times New Roman" w:hAnsi="Times New Roman" w:cs="Times New Roman"/>
          <w:noProof/>
          <w:sz w:val="24"/>
          <w:highlight w:val="yellow"/>
        </w:rPr>
      </w:pPr>
    </w:p>
    <w:p w:rsidR="001B65FF" w:rsidRDefault="003E4EF4">
      <w:pPr>
        <w:rPr>
          <w:rFonts w:ascii="Times New Roman" w:hAnsi="Times New Roman" w:cs="Times New Roman"/>
          <w:noProof/>
          <w:sz w:val="24"/>
          <w:u w:val="single"/>
        </w:rPr>
      </w:pPr>
      <w:r>
        <w:rPr>
          <w:rFonts w:ascii="Times New Roman" w:hAnsi="Times New Roman" w:cs="Times New Roman"/>
          <w:noProof/>
          <w:sz w:val="24"/>
          <w:u w:val="single"/>
        </w:rPr>
        <w:t>Bilateral meetings</w:t>
      </w:r>
    </w:p>
    <w:p w:rsidR="001B65FF" w:rsidRDefault="003E4EF4">
      <w:pPr>
        <w:rPr>
          <w:rFonts w:ascii="Times New Roman" w:hAnsi="Times New Roman" w:cs="Times New Roman"/>
          <w:noProof/>
          <w:sz w:val="24"/>
        </w:rPr>
      </w:pPr>
      <w:r>
        <w:rPr>
          <w:rFonts w:ascii="Times New Roman" w:hAnsi="Times New Roman" w:cs="Times New Roman"/>
          <w:noProof/>
          <w:sz w:val="24"/>
        </w:rPr>
        <w:t>The list below contains the bilateral meetings in which the Commission</w:t>
      </w:r>
      <w:r>
        <w:rPr>
          <w:rFonts w:ascii="Times New Roman" w:hAnsi="Times New Roman" w:cs="Times New Roman"/>
          <w:noProof/>
          <w:sz w:val="24"/>
        </w:rPr>
        <w:t xml:space="preserve"> participated to gather feedback from stakeholders. It includes bilateral meetings with:</w:t>
      </w:r>
    </w:p>
    <w:p w:rsidR="001B65FF" w:rsidRDefault="003E4EF4">
      <w:pPr>
        <w:numPr>
          <w:ilvl w:val="0"/>
          <w:numId w:val="121"/>
        </w:numPr>
        <w:contextualSpacing/>
        <w:rPr>
          <w:rFonts w:ascii="Times New Roman" w:hAnsi="Times New Roman" w:cs="Times New Roman"/>
          <w:noProof/>
          <w:sz w:val="24"/>
        </w:rPr>
      </w:pPr>
      <w:r>
        <w:rPr>
          <w:rFonts w:ascii="Times New Roman" w:hAnsi="Times New Roman" w:cs="Times New Roman"/>
          <w:noProof/>
          <w:sz w:val="24"/>
        </w:rPr>
        <w:t>Service providers, including individual companies and industry associations, focused on direct cooperation.</w:t>
      </w:r>
    </w:p>
    <w:p w:rsidR="001B65FF" w:rsidRDefault="003E4EF4">
      <w:pPr>
        <w:numPr>
          <w:ilvl w:val="0"/>
          <w:numId w:val="121"/>
        </w:numPr>
        <w:contextualSpacing/>
        <w:rPr>
          <w:rFonts w:ascii="Times New Roman" w:hAnsi="Times New Roman" w:cs="Times New Roman"/>
          <w:noProof/>
          <w:sz w:val="24"/>
        </w:rPr>
      </w:pPr>
      <w:r>
        <w:rPr>
          <w:rFonts w:ascii="Times New Roman" w:hAnsi="Times New Roman" w:cs="Times New Roman"/>
          <w:noProof/>
          <w:sz w:val="24"/>
        </w:rPr>
        <w:t>Public authorities from Member States, including the liaiso</w:t>
      </w:r>
      <w:r>
        <w:rPr>
          <w:rFonts w:ascii="Times New Roman" w:hAnsi="Times New Roman" w:cs="Times New Roman"/>
          <w:noProof/>
          <w:sz w:val="24"/>
        </w:rPr>
        <w:t>n magistrates from Member States in the US.</w:t>
      </w:r>
    </w:p>
    <w:p w:rsidR="001B65FF" w:rsidRDefault="003E4EF4">
      <w:pPr>
        <w:numPr>
          <w:ilvl w:val="0"/>
          <w:numId w:val="121"/>
        </w:numPr>
        <w:contextualSpacing/>
        <w:rPr>
          <w:rFonts w:ascii="Times New Roman" w:hAnsi="Times New Roman" w:cs="Times New Roman"/>
          <w:noProof/>
          <w:sz w:val="24"/>
        </w:rPr>
      </w:pPr>
      <w:r>
        <w:rPr>
          <w:rFonts w:ascii="Times New Roman" w:hAnsi="Times New Roman" w:cs="Times New Roman"/>
          <w:noProof/>
          <w:sz w:val="24"/>
        </w:rPr>
        <w:t>Europol.</w:t>
      </w:r>
    </w:p>
    <w:p w:rsidR="001B65FF" w:rsidRDefault="003E4EF4">
      <w:pPr>
        <w:numPr>
          <w:ilvl w:val="0"/>
          <w:numId w:val="121"/>
        </w:numPr>
        <w:contextualSpacing/>
        <w:rPr>
          <w:rFonts w:ascii="Times New Roman" w:hAnsi="Times New Roman" w:cs="Times New Roman"/>
          <w:noProof/>
          <w:sz w:val="24"/>
        </w:rPr>
      </w:pPr>
      <w:r>
        <w:rPr>
          <w:rFonts w:ascii="Times New Roman" w:hAnsi="Times New Roman" w:cs="Times New Roman"/>
          <w:noProof/>
          <w:sz w:val="24"/>
        </w:rPr>
        <w:t>US public authorities (Department of Justice), in various forms:</w:t>
      </w:r>
    </w:p>
    <w:p w:rsidR="001B65FF" w:rsidRDefault="003E4EF4">
      <w:pPr>
        <w:numPr>
          <w:ilvl w:val="1"/>
          <w:numId w:val="121"/>
        </w:numPr>
        <w:contextualSpacing/>
        <w:rPr>
          <w:rFonts w:ascii="Times New Roman" w:hAnsi="Times New Roman" w:cs="Times New Roman"/>
          <w:noProof/>
          <w:sz w:val="24"/>
        </w:rPr>
      </w:pPr>
      <w:r>
        <w:rPr>
          <w:rFonts w:ascii="Times New Roman" w:hAnsi="Times New Roman" w:cs="Times New Roman"/>
          <w:noProof/>
          <w:sz w:val="24"/>
        </w:rPr>
        <w:t>Regular videoconferences;</w:t>
      </w:r>
    </w:p>
    <w:p w:rsidR="001B65FF" w:rsidRDefault="003E4EF4">
      <w:pPr>
        <w:numPr>
          <w:ilvl w:val="1"/>
          <w:numId w:val="121"/>
        </w:numPr>
        <w:contextualSpacing/>
        <w:rPr>
          <w:rFonts w:ascii="Times New Roman" w:hAnsi="Times New Roman" w:cs="Times New Roman"/>
          <w:noProof/>
          <w:sz w:val="24"/>
        </w:rPr>
      </w:pPr>
      <w:r>
        <w:rPr>
          <w:rFonts w:ascii="Times New Roman" w:hAnsi="Times New Roman" w:cs="Times New Roman"/>
          <w:noProof/>
          <w:sz w:val="24"/>
        </w:rPr>
        <w:t>EU-US Ministerial Meeting;</w:t>
      </w:r>
    </w:p>
    <w:p w:rsidR="001B65FF" w:rsidRDefault="003E4EF4">
      <w:pPr>
        <w:numPr>
          <w:ilvl w:val="1"/>
          <w:numId w:val="121"/>
        </w:numPr>
        <w:contextualSpacing/>
        <w:rPr>
          <w:rFonts w:ascii="Times New Roman" w:hAnsi="Times New Roman" w:cs="Times New Roman"/>
          <w:noProof/>
          <w:sz w:val="24"/>
        </w:rPr>
      </w:pPr>
      <w:r>
        <w:rPr>
          <w:rFonts w:ascii="Times New Roman" w:hAnsi="Times New Roman" w:cs="Times New Roman"/>
          <w:noProof/>
          <w:sz w:val="24"/>
        </w:rPr>
        <w:t>Meeting in person at working level through a fact-finding mission to the US.</w:t>
      </w:r>
    </w:p>
    <w:p w:rsidR="001B65FF" w:rsidRDefault="003E4EF4">
      <w:pPr>
        <w:ind w:left="360"/>
        <w:contextualSpacing/>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noProof/>
          <w:sz w:val="24"/>
        </w:rPr>
        <w:t>discussions focused on judicial cooperation.</w:t>
      </w:r>
    </w:p>
    <w:p w:rsidR="001B65FF" w:rsidRDefault="003E4EF4">
      <w:pPr>
        <w:numPr>
          <w:ilvl w:val="0"/>
          <w:numId w:val="121"/>
        </w:numPr>
        <w:contextualSpacing/>
        <w:rPr>
          <w:rFonts w:ascii="Times New Roman" w:hAnsi="Times New Roman" w:cs="Times New Roman"/>
          <w:noProof/>
          <w:sz w:val="24"/>
        </w:rPr>
      </w:pPr>
      <w:r>
        <w:rPr>
          <w:rFonts w:ascii="Times New Roman" w:hAnsi="Times New Roman" w:cs="Times New Roman"/>
          <w:noProof/>
          <w:sz w:val="24"/>
        </w:rPr>
        <w:t>Academia, covering judicial cooperation, direct cooperation and direct access.</w:t>
      </w:r>
    </w:p>
    <w:p w:rsidR="001B65FF" w:rsidRDefault="003E4EF4">
      <w:pPr>
        <w:numPr>
          <w:ilvl w:val="0"/>
          <w:numId w:val="121"/>
        </w:numPr>
        <w:contextualSpacing/>
        <w:rPr>
          <w:rFonts w:ascii="Times New Roman" w:hAnsi="Times New Roman" w:cs="Times New Roman"/>
          <w:noProof/>
          <w:sz w:val="24"/>
        </w:rPr>
      </w:pPr>
      <w:r>
        <w:rPr>
          <w:rFonts w:ascii="Times New Roman" w:hAnsi="Times New Roman" w:cs="Times New Roman"/>
          <w:noProof/>
          <w:sz w:val="24"/>
        </w:rPr>
        <w:t>NGOs.</w:t>
      </w:r>
    </w:p>
    <w:p w:rsidR="001B65FF" w:rsidRDefault="001B65FF">
      <w:pPr>
        <w:spacing w:after="0"/>
        <w:ind w:left="360"/>
        <w:contextualSpacing/>
        <w:rPr>
          <w:rFonts w:ascii="Times New Roman" w:hAnsi="Times New Roman" w:cs="Times New Roman"/>
          <w:noProof/>
          <w:sz w:val="24"/>
        </w:rPr>
      </w:pPr>
    </w:p>
    <w:p w:rsidR="001B65FF" w:rsidRDefault="001B65FF">
      <w:pPr>
        <w:spacing w:before="240"/>
        <w:jc w:val="both"/>
        <w:rPr>
          <w:rFonts w:ascii="Times New Roman" w:hAnsi="Times New Roman" w:cs="Times New Roman"/>
          <w:noProof/>
          <w:sz w:val="24"/>
        </w:rPr>
      </w:pPr>
    </w:p>
    <w:p w:rsidR="001B65FF" w:rsidRDefault="001B65FF">
      <w:pPr>
        <w:spacing w:before="240"/>
        <w:jc w:val="both"/>
        <w:rPr>
          <w:rFonts w:ascii="Times New Roman" w:hAnsi="Times New Roman" w:cs="Times New Roman"/>
          <w:noProof/>
          <w:sz w:val="24"/>
        </w:rPr>
      </w:pPr>
    </w:p>
    <w:p w:rsidR="001B65FF" w:rsidRDefault="003E4EF4">
      <w:pPr>
        <w:spacing w:before="240"/>
        <w:jc w:val="both"/>
        <w:rPr>
          <w:rFonts w:ascii="Times New Roman" w:hAnsi="Times New Roman" w:cs="Times New Roman"/>
          <w:b/>
          <w:noProof/>
          <w:sz w:val="24"/>
        </w:rPr>
      </w:pPr>
      <w:r>
        <w:rPr>
          <w:rFonts w:ascii="Times New Roman" w:hAnsi="Times New Roman" w:cs="Times New Roman"/>
          <w:noProof/>
          <w:sz w:val="24"/>
        </w:rPr>
        <w:t>Bilateral meetings included:</w:t>
      </w:r>
    </w:p>
    <w:p w:rsidR="001B65FF" w:rsidRDefault="003E4EF4">
      <w:pPr>
        <w:rPr>
          <w:rFonts w:ascii="Times New Roman" w:hAnsi="Times New Roman" w:cs="Times New Roman"/>
          <w:noProof/>
          <w:sz w:val="24"/>
        </w:rPr>
      </w:pPr>
      <w:r>
        <w:rPr>
          <w:rFonts w:ascii="Times New Roman" w:hAnsi="Times New Roman" w:cs="Times New Roman"/>
          <w:noProof/>
          <w:sz w:val="24"/>
        </w:rPr>
        <w:t>14 Apr 16</w:t>
      </w:r>
      <w:r>
        <w:rPr>
          <w:rFonts w:ascii="Times New Roman" w:hAnsi="Times New Roman" w:cs="Times New Roman"/>
          <w:noProof/>
          <w:sz w:val="24"/>
        </w:rPr>
        <w:tab/>
        <w:t>Microsoft</w:t>
      </w:r>
    </w:p>
    <w:p w:rsidR="001B65FF" w:rsidRDefault="003E4EF4">
      <w:pPr>
        <w:rPr>
          <w:rFonts w:ascii="Times New Roman" w:hAnsi="Times New Roman" w:cs="Times New Roman"/>
          <w:noProof/>
          <w:sz w:val="24"/>
        </w:rPr>
      </w:pPr>
      <w:r>
        <w:rPr>
          <w:rFonts w:ascii="Times New Roman" w:hAnsi="Times New Roman" w:cs="Times New Roman"/>
          <w:noProof/>
          <w:sz w:val="24"/>
        </w:rPr>
        <w:t>31 May 16</w:t>
      </w:r>
      <w:r>
        <w:rPr>
          <w:rFonts w:ascii="Times New Roman" w:hAnsi="Times New Roman" w:cs="Times New Roman"/>
          <w:noProof/>
          <w:sz w:val="24"/>
        </w:rPr>
        <w:tab/>
        <w:t xml:space="preserve">Apple </w:t>
      </w:r>
    </w:p>
    <w:p w:rsidR="001B65FF" w:rsidRDefault="003E4EF4">
      <w:pPr>
        <w:rPr>
          <w:rFonts w:ascii="Times New Roman" w:hAnsi="Times New Roman" w:cs="Times New Roman"/>
          <w:noProof/>
          <w:sz w:val="24"/>
        </w:rPr>
      </w:pPr>
      <w:r>
        <w:rPr>
          <w:rFonts w:ascii="Times New Roman" w:hAnsi="Times New Roman" w:cs="Times New Roman"/>
          <w:noProof/>
          <w:sz w:val="24"/>
        </w:rPr>
        <w:t>17 Jun 16</w:t>
      </w:r>
      <w:r>
        <w:rPr>
          <w:rFonts w:ascii="Times New Roman" w:hAnsi="Times New Roman" w:cs="Times New Roman"/>
          <w:noProof/>
          <w:sz w:val="24"/>
        </w:rPr>
        <w:tab/>
        <w:t>Eurojust</w:t>
      </w:r>
    </w:p>
    <w:p w:rsidR="001B65FF" w:rsidRDefault="003E4EF4">
      <w:pPr>
        <w:rPr>
          <w:rFonts w:ascii="Times New Roman" w:hAnsi="Times New Roman" w:cs="Times New Roman"/>
          <w:noProof/>
          <w:sz w:val="24"/>
        </w:rPr>
      </w:pPr>
      <w:r>
        <w:rPr>
          <w:rFonts w:ascii="Times New Roman" w:hAnsi="Times New Roman" w:cs="Times New Roman"/>
          <w:noProof/>
          <w:sz w:val="24"/>
        </w:rPr>
        <w:t>19 July 16</w:t>
      </w:r>
      <w:r>
        <w:rPr>
          <w:rFonts w:ascii="Times New Roman" w:hAnsi="Times New Roman" w:cs="Times New Roman"/>
          <w:noProof/>
          <w:sz w:val="24"/>
        </w:rPr>
        <w:tab/>
        <w:t>Slovakian Presidency</w:t>
      </w:r>
    </w:p>
    <w:p w:rsidR="001B65FF" w:rsidRDefault="003E4EF4">
      <w:pPr>
        <w:rPr>
          <w:rFonts w:ascii="Times New Roman" w:hAnsi="Times New Roman" w:cs="Times New Roman"/>
          <w:noProof/>
          <w:sz w:val="24"/>
        </w:rPr>
      </w:pPr>
      <w:r>
        <w:rPr>
          <w:rFonts w:ascii="Times New Roman" w:hAnsi="Times New Roman" w:cs="Times New Roman"/>
          <w:noProof/>
          <w:sz w:val="24"/>
        </w:rPr>
        <w:t>30 Jun</w:t>
      </w:r>
      <w:r>
        <w:rPr>
          <w:rFonts w:ascii="Times New Roman" w:hAnsi="Times New Roman" w:cs="Times New Roman"/>
          <w:noProof/>
          <w:sz w:val="24"/>
        </w:rPr>
        <w:t xml:space="preserve"> 16</w:t>
      </w:r>
      <w:r>
        <w:rPr>
          <w:rFonts w:ascii="Times New Roman" w:hAnsi="Times New Roman" w:cs="Times New Roman"/>
          <w:noProof/>
          <w:sz w:val="24"/>
        </w:rPr>
        <w:tab/>
        <w:t xml:space="preserve">Belgium – Ministry of Justice </w:t>
      </w:r>
    </w:p>
    <w:p w:rsidR="001B65FF" w:rsidRDefault="003E4EF4">
      <w:pPr>
        <w:rPr>
          <w:rFonts w:ascii="Times New Roman" w:hAnsi="Times New Roman" w:cs="Times New Roman"/>
          <w:noProof/>
          <w:sz w:val="24"/>
        </w:rPr>
      </w:pPr>
      <w:r>
        <w:rPr>
          <w:rFonts w:ascii="Times New Roman" w:hAnsi="Times New Roman" w:cs="Times New Roman"/>
          <w:noProof/>
          <w:sz w:val="24"/>
        </w:rPr>
        <w:t>28 Jul 16</w:t>
      </w:r>
      <w:r>
        <w:rPr>
          <w:rFonts w:ascii="Times New Roman" w:hAnsi="Times New Roman" w:cs="Times New Roman"/>
          <w:noProof/>
          <w:sz w:val="24"/>
        </w:rPr>
        <w:tab/>
        <w:t xml:space="preserve">Apple </w:t>
      </w:r>
    </w:p>
    <w:p w:rsidR="001B65FF" w:rsidRDefault="003E4EF4">
      <w:pPr>
        <w:rPr>
          <w:rFonts w:ascii="Times New Roman" w:hAnsi="Times New Roman" w:cs="Times New Roman"/>
          <w:noProof/>
          <w:sz w:val="24"/>
        </w:rPr>
      </w:pPr>
      <w:r>
        <w:rPr>
          <w:rFonts w:ascii="Times New Roman" w:hAnsi="Times New Roman" w:cs="Times New Roman"/>
          <w:noProof/>
          <w:sz w:val="24"/>
        </w:rPr>
        <w:t>29 Jul 16</w:t>
      </w:r>
      <w:r>
        <w:rPr>
          <w:rFonts w:ascii="Times New Roman" w:hAnsi="Times New Roman" w:cs="Times New Roman"/>
          <w:noProof/>
          <w:sz w:val="24"/>
        </w:rPr>
        <w:tab/>
        <w:t>US Department of Justice</w:t>
      </w:r>
    </w:p>
    <w:p w:rsidR="001B65FF" w:rsidRDefault="003E4EF4">
      <w:pPr>
        <w:rPr>
          <w:rFonts w:ascii="Times New Roman" w:hAnsi="Times New Roman" w:cs="Times New Roman"/>
          <w:noProof/>
          <w:sz w:val="24"/>
        </w:rPr>
      </w:pPr>
      <w:r>
        <w:rPr>
          <w:rFonts w:ascii="Times New Roman" w:hAnsi="Times New Roman" w:cs="Times New Roman"/>
          <w:noProof/>
          <w:sz w:val="24"/>
        </w:rPr>
        <w:t>01 Aug 16</w:t>
      </w:r>
      <w:r>
        <w:rPr>
          <w:rFonts w:ascii="Times New Roman" w:hAnsi="Times New Roman" w:cs="Times New Roman"/>
          <w:noProof/>
          <w:sz w:val="24"/>
        </w:rPr>
        <w:tab/>
        <w:t>Google</w:t>
      </w:r>
    </w:p>
    <w:p w:rsidR="001B65FF" w:rsidRDefault="003E4EF4">
      <w:pPr>
        <w:rPr>
          <w:rFonts w:ascii="Times New Roman" w:hAnsi="Times New Roman" w:cs="Times New Roman"/>
          <w:noProof/>
          <w:sz w:val="24"/>
        </w:rPr>
      </w:pPr>
      <w:r>
        <w:rPr>
          <w:rFonts w:ascii="Times New Roman" w:hAnsi="Times New Roman" w:cs="Times New Roman"/>
          <w:noProof/>
          <w:sz w:val="24"/>
        </w:rPr>
        <w:t>09 Aug 16</w:t>
      </w:r>
      <w:r>
        <w:rPr>
          <w:rFonts w:ascii="Times New Roman" w:hAnsi="Times New Roman" w:cs="Times New Roman"/>
          <w:noProof/>
          <w:sz w:val="24"/>
        </w:rPr>
        <w:tab/>
        <w:t>Twitter</w:t>
      </w:r>
    </w:p>
    <w:p w:rsidR="001B65FF" w:rsidRDefault="003E4EF4">
      <w:pPr>
        <w:rPr>
          <w:rFonts w:ascii="Times New Roman" w:hAnsi="Times New Roman" w:cs="Times New Roman"/>
          <w:noProof/>
          <w:sz w:val="24"/>
        </w:rPr>
      </w:pPr>
      <w:r>
        <w:rPr>
          <w:rFonts w:ascii="Times New Roman" w:hAnsi="Times New Roman" w:cs="Times New Roman"/>
          <w:noProof/>
          <w:sz w:val="24"/>
        </w:rPr>
        <w:t>10 Aug 16</w:t>
      </w:r>
      <w:r>
        <w:rPr>
          <w:rFonts w:ascii="Times New Roman" w:hAnsi="Times New Roman" w:cs="Times New Roman"/>
          <w:noProof/>
          <w:sz w:val="24"/>
        </w:rPr>
        <w:tab/>
        <w:t>Facebook</w:t>
      </w:r>
    </w:p>
    <w:p w:rsidR="001B65FF" w:rsidRDefault="003E4EF4">
      <w:pPr>
        <w:rPr>
          <w:rFonts w:ascii="Times New Roman" w:hAnsi="Times New Roman" w:cs="Times New Roman"/>
          <w:noProof/>
          <w:sz w:val="24"/>
        </w:rPr>
      </w:pPr>
      <w:r>
        <w:rPr>
          <w:rFonts w:ascii="Times New Roman" w:hAnsi="Times New Roman" w:cs="Times New Roman"/>
          <w:noProof/>
          <w:sz w:val="24"/>
        </w:rPr>
        <w:t>22 Aug 16</w:t>
      </w:r>
      <w:r>
        <w:rPr>
          <w:rFonts w:ascii="Times New Roman" w:hAnsi="Times New Roman" w:cs="Times New Roman"/>
          <w:noProof/>
          <w:sz w:val="24"/>
        </w:rPr>
        <w:tab/>
        <w:t>Microsoft</w:t>
      </w:r>
    </w:p>
    <w:p w:rsidR="001B65FF" w:rsidRDefault="003E4EF4">
      <w:pPr>
        <w:rPr>
          <w:rFonts w:ascii="Times New Roman" w:hAnsi="Times New Roman" w:cs="Times New Roman"/>
          <w:noProof/>
          <w:sz w:val="24"/>
        </w:rPr>
      </w:pPr>
      <w:r>
        <w:rPr>
          <w:rFonts w:ascii="Times New Roman" w:hAnsi="Times New Roman" w:cs="Times New Roman"/>
          <w:noProof/>
          <w:sz w:val="24"/>
        </w:rPr>
        <w:t>14 Sep 16</w:t>
      </w:r>
      <w:r>
        <w:rPr>
          <w:rFonts w:ascii="Times New Roman" w:hAnsi="Times New Roman" w:cs="Times New Roman"/>
          <w:noProof/>
          <w:sz w:val="24"/>
        </w:rPr>
        <w:tab/>
        <w:t>Center for Democracy and Transparency (CDT)</w:t>
      </w:r>
    </w:p>
    <w:p w:rsidR="001B65FF" w:rsidRDefault="003E4EF4">
      <w:pPr>
        <w:rPr>
          <w:rFonts w:ascii="Times New Roman" w:hAnsi="Times New Roman" w:cs="Times New Roman"/>
          <w:noProof/>
          <w:sz w:val="24"/>
        </w:rPr>
      </w:pPr>
      <w:r>
        <w:rPr>
          <w:rFonts w:ascii="Times New Roman" w:hAnsi="Times New Roman" w:cs="Times New Roman"/>
          <w:noProof/>
          <w:sz w:val="24"/>
        </w:rPr>
        <w:t>14 Sep 16</w:t>
      </w:r>
      <w:r>
        <w:rPr>
          <w:rFonts w:ascii="Times New Roman" w:hAnsi="Times New Roman" w:cs="Times New Roman"/>
          <w:noProof/>
          <w:sz w:val="24"/>
        </w:rPr>
        <w:tab/>
        <w:t>BSA | The Software Alliance</w:t>
      </w:r>
    </w:p>
    <w:p w:rsidR="001B65FF" w:rsidRDefault="003E4EF4">
      <w:pPr>
        <w:rPr>
          <w:rFonts w:ascii="Times New Roman" w:hAnsi="Times New Roman" w:cs="Times New Roman"/>
          <w:noProof/>
          <w:sz w:val="24"/>
        </w:rPr>
      </w:pPr>
      <w:r>
        <w:rPr>
          <w:rFonts w:ascii="Times New Roman" w:hAnsi="Times New Roman" w:cs="Times New Roman"/>
          <w:noProof/>
          <w:sz w:val="24"/>
        </w:rPr>
        <w:t xml:space="preserve">27 </w:t>
      </w:r>
      <w:r>
        <w:rPr>
          <w:rFonts w:ascii="Times New Roman" w:hAnsi="Times New Roman" w:cs="Times New Roman"/>
          <w:noProof/>
          <w:sz w:val="24"/>
        </w:rPr>
        <w:t>Sep 16</w:t>
      </w:r>
      <w:r>
        <w:rPr>
          <w:rFonts w:ascii="Times New Roman" w:hAnsi="Times New Roman" w:cs="Times New Roman"/>
          <w:noProof/>
          <w:sz w:val="24"/>
        </w:rPr>
        <w:tab/>
        <w:t>German JHA Counsellor</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27 Sep 16</w:t>
      </w:r>
      <w:r>
        <w:rPr>
          <w:rFonts w:ascii="Times New Roman" w:hAnsi="Times New Roman" w:cs="Times New Roman"/>
          <w:noProof/>
          <w:sz w:val="24"/>
        </w:rPr>
        <w:tab/>
        <w:t>Hessen Minister of Justice</w:t>
      </w:r>
    </w:p>
    <w:p w:rsidR="001B65FF" w:rsidRDefault="003E4EF4">
      <w:pPr>
        <w:rPr>
          <w:rFonts w:ascii="Times New Roman" w:hAnsi="Times New Roman" w:cs="Times New Roman"/>
          <w:noProof/>
          <w:sz w:val="24"/>
        </w:rPr>
      </w:pPr>
      <w:r>
        <w:rPr>
          <w:rFonts w:ascii="Times New Roman" w:hAnsi="Times New Roman" w:cs="Times New Roman"/>
          <w:noProof/>
          <w:sz w:val="24"/>
        </w:rPr>
        <w:t>28 Sep 16</w:t>
      </w:r>
      <w:r>
        <w:rPr>
          <w:rFonts w:ascii="Times New Roman" w:hAnsi="Times New Roman" w:cs="Times New Roman"/>
          <w:noProof/>
          <w:sz w:val="24"/>
        </w:rPr>
        <w:tab/>
        <w:t xml:space="preserve">Estonia JHA Counsellor </w:t>
      </w:r>
    </w:p>
    <w:p w:rsidR="001B65FF" w:rsidRDefault="003E4EF4">
      <w:pPr>
        <w:rPr>
          <w:rFonts w:ascii="Times New Roman" w:hAnsi="Times New Roman" w:cs="Times New Roman"/>
          <w:noProof/>
          <w:sz w:val="24"/>
        </w:rPr>
      </w:pPr>
      <w:r>
        <w:rPr>
          <w:rFonts w:ascii="Times New Roman" w:hAnsi="Times New Roman" w:cs="Times New Roman"/>
          <w:noProof/>
          <w:sz w:val="24"/>
        </w:rPr>
        <w:t>13 Oct 16</w:t>
      </w:r>
      <w:r>
        <w:rPr>
          <w:rFonts w:ascii="Times New Roman" w:hAnsi="Times New Roman" w:cs="Times New Roman"/>
          <w:noProof/>
          <w:sz w:val="24"/>
        </w:rPr>
        <w:tab/>
        <w:t>Estonian Minister of Justice</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18 Oct 16</w:t>
      </w:r>
      <w:r>
        <w:rPr>
          <w:rFonts w:ascii="Times New Roman" w:hAnsi="Times New Roman" w:cs="Times New Roman"/>
          <w:noProof/>
          <w:sz w:val="24"/>
        </w:rPr>
        <w:tab/>
        <w:t>Maltese Presidency</w:t>
      </w:r>
    </w:p>
    <w:p w:rsidR="001B65FF" w:rsidRDefault="003E4EF4">
      <w:pPr>
        <w:rPr>
          <w:rFonts w:ascii="Times New Roman" w:hAnsi="Times New Roman" w:cs="Times New Roman"/>
          <w:noProof/>
          <w:sz w:val="24"/>
        </w:rPr>
      </w:pPr>
      <w:r>
        <w:rPr>
          <w:rFonts w:ascii="Times New Roman" w:hAnsi="Times New Roman" w:cs="Times New Roman"/>
          <w:noProof/>
          <w:sz w:val="24"/>
        </w:rPr>
        <w:t>24 Oct 16</w:t>
      </w:r>
      <w:r>
        <w:rPr>
          <w:rFonts w:ascii="Times New Roman" w:hAnsi="Times New Roman" w:cs="Times New Roman"/>
          <w:noProof/>
          <w:sz w:val="24"/>
        </w:rPr>
        <w:tab/>
        <w:t>Slovakia Presidency</w:t>
      </w:r>
    </w:p>
    <w:p w:rsidR="001B65FF" w:rsidRDefault="003E4EF4">
      <w:pPr>
        <w:rPr>
          <w:rFonts w:ascii="Times New Roman" w:hAnsi="Times New Roman" w:cs="Times New Roman"/>
          <w:noProof/>
          <w:sz w:val="24"/>
        </w:rPr>
      </w:pPr>
      <w:r>
        <w:rPr>
          <w:rFonts w:ascii="Times New Roman" w:hAnsi="Times New Roman" w:cs="Times New Roman"/>
          <w:noProof/>
          <w:sz w:val="24"/>
        </w:rPr>
        <w:t>04 Nov 16</w:t>
      </w:r>
      <w:r>
        <w:rPr>
          <w:rFonts w:ascii="Times New Roman" w:hAnsi="Times New Roman" w:cs="Times New Roman"/>
          <w:noProof/>
          <w:sz w:val="24"/>
        </w:rPr>
        <w:tab/>
        <w:t>Maltese Presidency preparation delegation</w:t>
      </w:r>
    </w:p>
    <w:p w:rsidR="001B65FF" w:rsidRDefault="003E4EF4">
      <w:pPr>
        <w:rPr>
          <w:rFonts w:ascii="Times New Roman" w:hAnsi="Times New Roman" w:cs="Times New Roman"/>
          <w:noProof/>
          <w:sz w:val="24"/>
        </w:rPr>
      </w:pPr>
      <w:r>
        <w:rPr>
          <w:rFonts w:ascii="Times New Roman" w:hAnsi="Times New Roman" w:cs="Times New Roman"/>
          <w:noProof/>
          <w:sz w:val="24"/>
        </w:rPr>
        <w:t>09 Nov</w:t>
      </w:r>
      <w:r>
        <w:rPr>
          <w:rFonts w:ascii="Times New Roman" w:hAnsi="Times New Roman" w:cs="Times New Roman"/>
          <w:noProof/>
          <w:sz w:val="24"/>
        </w:rPr>
        <w:t xml:space="preserve"> 16</w:t>
      </w:r>
      <w:r>
        <w:rPr>
          <w:rFonts w:ascii="Times New Roman" w:hAnsi="Times New Roman" w:cs="Times New Roman"/>
          <w:noProof/>
          <w:sz w:val="24"/>
        </w:rPr>
        <w:tab/>
        <w:t>Facebook</w:t>
      </w:r>
    </w:p>
    <w:p w:rsidR="001B65FF" w:rsidRDefault="003E4EF4">
      <w:pPr>
        <w:rPr>
          <w:rFonts w:ascii="Times New Roman" w:hAnsi="Times New Roman" w:cs="Times New Roman"/>
          <w:noProof/>
          <w:sz w:val="24"/>
        </w:rPr>
      </w:pPr>
      <w:r>
        <w:rPr>
          <w:rFonts w:ascii="Times New Roman" w:hAnsi="Times New Roman" w:cs="Times New Roman"/>
          <w:noProof/>
          <w:sz w:val="24"/>
        </w:rPr>
        <w:t>10 Nov 16</w:t>
      </w:r>
      <w:r>
        <w:rPr>
          <w:rFonts w:ascii="Times New Roman" w:hAnsi="Times New Roman" w:cs="Times New Roman"/>
          <w:noProof/>
          <w:sz w:val="24"/>
        </w:rPr>
        <w:tab/>
        <w:t>Council of Europe</w:t>
      </w:r>
    </w:p>
    <w:p w:rsidR="001B65FF" w:rsidRDefault="003E4EF4">
      <w:pPr>
        <w:rPr>
          <w:rFonts w:ascii="Times New Roman" w:hAnsi="Times New Roman" w:cs="Times New Roman"/>
          <w:noProof/>
          <w:sz w:val="24"/>
        </w:rPr>
      </w:pPr>
      <w:r>
        <w:rPr>
          <w:rFonts w:ascii="Times New Roman" w:hAnsi="Times New Roman" w:cs="Times New Roman"/>
          <w:noProof/>
          <w:sz w:val="24"/>
        </w:rPr>
        <w:t>01 Dec 16</w:t>
      </w:r>
      <w:r>
        <w:rPr>
          <w:rFonts w:ascii="Times New Roman" w:hAnsi="Times New Roman" w:cs="Times New Roman"/>
          <w:noProof/>
          <w:sz w:val="24"/>
        </w:rPr>
        <w:tab/>
        <w:t>Estonian Perm Rep</w:t>
      </w:r>
    </w:p>
    <w:p w:rsidR="001B65FF" w:rsidRDefault="003E4EF4">
      <w:pPr>
        <w:rPr>
          <w:rFonts w:ascii="Times New Roman" w:hAnsi="Times New Roman" w:cs="Times New Roman"/>
          <w:noProof/>
          <w:sz w:val="24"/>
        </w:rPr>
      </w:pPr>
      <w:r>
        <w:rPr>
          <w:rFonts w:ascii="Times New Roman" w:hAnsi="Times New Roman" w:cs="Times New Roman"/>
          <w:noProof/>
          <w:sz w:val="24"/>
        </w:rPr>
        <w:t>05 Dec 16</w:t>
      </w:r>
      <w:r>
        <w:rPr>
          <w:rFonts w:ascii="Times New Roman" w:hAnsi="Times New Roman" w:cs="Times New Roman"/>
          <w:noProof/>
          <w:sz w:val="24"/>
        </w:rPr>
        <w:tab/>
        <w:t>EU-US Ministerial Meeting</w:t>
      </w:r>
    </w:p>
    <w:p w:rsidR="001B65FF" w:rsidRDefault="003E4EF4">
      <w:pPr>
        <w:rPr>
          <w:rFonts w:ascii="Times New Roman" w:hAnsi="Times New Roman" w:cs="Times New Roman"/>
          <w:noProof/>
          <w:sz w:val="24"/>
        </w:rPr>
      </w:pPr>
      <w:r>
        <w:rPr>
          <w:rFonts w:ascii="Times New Roman" w:hAnsi="Times New Roman" w:cs="Times New Roman"/>
          <w:noProof/>
          <w:sz w:val="24"/>
        </w:rPr>
        <w:t>07 Dec 16</w:t>
      </w:r>
      <w:r>
        <w:rPr>
          <w:rFonts w:ascii="Times New Roman" w:hAnsi="Times New Roman" w:cs="Times New Roman"/>
          <w:noProof/>
          <w:sz w:val="24"/>
        </w:rPr>
        <w:tab/>
        <w:t>BSA | The Software Alliance</w:t>
      </w:r>
    </w:p>
    <w:p w:rsidR="001B65FF" w:rsidRDefault="003E4EF4">
      <w:pPr>
        <w:rPr>
          <w:rFonts w:ascii="Times New Roman" w:hAnsi="Times New Roman" w:cs="Times New Roman"/>
          <w:noProof/>
          <w:sz w:val="24"/>
        </w:rPr>
      </w:pPr>
      <w:r>
        <w:rPr>
          <w:rFonts w:ascii="Times New Roman" w:hAnsi="Times New Roman" w:cs="Times New Roman"/>
          <w:noProof/>
          <w:sz w:val="24"/>
        </w:rPr>
        <w:t>08 Dec 16</w:t>
      </w:r>
      <w:r>
        <w:rPr>
          <w:rFonts w:ascii="Times New Roman" w:hAnsi="Times New Roman" w:cs="Times New Roman"/>
          <w:noProof/>
          <w:sz w:val="24"/>
        </w:rPr>
        <w:tab/>
        <w:t>Google</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19 Dec 16</w:t>
      </w:r>
      <w:r>
        <w:rPr>
          <w:rFonts w:ascii="Times New Roman" w:hAnsi="Times New Roman" w:cs="Times New Roman"/>
          <w:noProof/>
          <w:sz w:val="24"/>
        </w:rPr>
        <w:tab/>
        <w:t>Professors Frank Verbruggen and Vanessa Franssen in presence of Mr. Francois Falletti,</w:t>
      </w:r>
      <w:r>
        <w:rPr>
          <w:rFonts w:ascii="Times New Roman" w:hAnsi="Times New Roman" w:cs="Times New Roman"/>
          <w:noProof/>
          <w:sz w:val="24"/>
        </w:rPr>
        <w:t xml:space="preserve"> former Prosecutor General</w:t>
      </w:r>
    </w:p>
    <w:p w:rsidR="001B65FF" w:rsidRDefault="003E4EF4">
      <w:pPr>
        <w:rPr>
          <w:rFonts w:ascii="Times New Roman" w:hAnsi="Times New Roman" w:cs="Times New Roman"/>
          <w:noProof/>
          <w:sz w:val="24"/>
          <w:lang w:val="it-IT"/>
        </w:rPr>
      </w:pPr>
      <w:r>
        <w:rPr>
          <w:rFonts w:ascii="Times New Roman" w:hAnsi="Times New Roman" w:cs="Times New Roman"/>
          <w:noProof/>
          <w:sz w:val="24"/>
          <w:lang w:val="it-IT"/>
        </w:rPr>
        <w:t>22 Dec 16</w:t>
      </w:r>
      <w:r>
        <w:rPr>
          <w:rFonts w:ascii="Times New Roman" w:hAnsi="Times New Roman" w:cs="Times New Roman"/>
          <w:noProof/>
          <w:sz w:val="24"/>
          <w:lang w:val="it-IT"/>
        </w:rPr>
        <w:tab/>
        <w:t xml:space="preserve">Prof Vanessa Franssen </w:t>
      </w:r>
    </w:p>
    <w:p w:rsidR="001B65FF" w:rsidRDefault="003E4EF4">
      <w:pPr>
        <w:rPr>
          <w:rFonts w:ascii="Times New Roman" w:hAnsi="Times New Roman" w:cs="Times New Roman"/>
          <w:noProof/>
          <w:sz w:val="24"/>
          <w:lang w:val="it-IT"/>
        </w:rPr>
      </w:pPr>
      <w:r>
        <w:rPr>
          <w:rFonts w:ascii="Times New Roman" w:hAnsi="Times New Roman" w:cs="Times New Roman"/>
          <w:noProof/>
          <w:sz w:val="24"/>
          <w:lang w:val="it-IT"/>
        </w:rPr>
        <w:t>23 Dec 16</w:t>
      </w:r>
      <w:r>
        <w:rPr>
          <w:rFonts w:ascii="Times New Roman" w:hAnsi="Times New Roman" w:cs="Times New Roman"/>
          <w:noProof/>
          <w:sz w:val="24"/>
          <w:lang w:val="it-IT"/>
        </w:rPr>
        <w:tab/>
        <w:t xml:space="preserve">Maltese Presidency </w:t>
      </w:r>
    </w:p>
    <w:p w:rsidR="001B65FF" w:rsidRDefault="003E4EF4">
      <w:pPr>
        <w:rPr>
          <w:rFonts w:ascii="Times New Roman" w:hAnsi="Times New Roman" w:cs="Times New Roman"/>
          <w:noProof/>
          <w:sz w:val="24"/>
        </w:rPr>
      </w:pPr>
      <w:r>
        <w:rPr>
          <w:rFonts w:ascii="Times New Roman" w:hAnsi="Times New Roman" w:cs="Times New Roman"/>
          <w:noProof/>
          <w:sz w:val="24"/>
        </w:rPr>
        <w:t>13 Jan 17</w:t>
      </w:r>
      <w:r>
        <w:rPr>
          <w:rFonts w:ascii="Times New Roman" w:hAnsi="Times New Roman" w:cs="Times New Roman"/>
          <w:noProof/>
          <w:sz w:val="24"/>
        </w:rPr>
        <w:tab/>
        <w:t>UK Perm Rep</w:t>
      </w:r>
    </w:p>
    <w:p w:rsidR="001B65FF" w:rsidRDefault="003E4EF4">
      <w:pPr>
        <w:rPr>
          <w:rFonts w:ascii="Times New Roman" w:hAnsi="Times New Roman" w:cs="Times New Roman"/>
          <w:noProof/>
          <w:sz w:val="24"/>
        </w:rPr>
      </w:pPr>
      <w:r>
        <w:rPr>
          <w:rFonts w:ascii="Times New Roman" w:hAnsi="Times New Roman" w:cs="Times New Roman"/>
          <w:noProof/>
          <w:sz w:val="24"/>
        </w:rPr>
        <w:t>16 Jan 17</w:t>
      </w:r>
      <w:r>
        <w:rPr>
          <w:rFonts w:ascii="Times New Roman" w:hAnsi="Times New Roman" w:cs="Times New Roman"/>
          <w:noProof/>
          <w:sz w:val="24"/>
        </w:rPr>
        <w:tab/>
        <w:t xml:space="preserve">Austrian Minister of Justice </w:t>
      </w:r>
    </w:p>
    <w:p w:rsidR="001B65FF" w:rsidRDefault="003E4EF4">
      <w:pPr>
        <w:rPr>
          <w:rFonts w:ascii="Times New Roman" w:hAnsi="Times New Roman" w:cs="Times New Roman"/>
          <w:noProof/>
          <w:sz w:val="24"/>
        </w:rPr>
      </w:pPr>
      <w:r>
        <w:rPr>
          <w:rFonts w:ascii="Times New Roman" w:hAnsi="Times New Roman" w:cs="Times New Roman"/>
          <w:noProof/>
          <w:sz w:val="24"/>
        </w:rPr>
        <w:t>26 Jan 17</w:t>
      </w:r>
      <w:r>
        <w:rPr>
          <w:rFonts w:ascii="Times New Roman" w:hAnsi="Times New Roman" w:cs="Times New Roman"/>
          <w:noProof/>
          <w:sz w:val="24"/>
        </w:rPr>
        <w:tab/>
        <w:t>Apple</w:t>
      </w:r>
    </w:p>
    <w:p w:rsidR="001B65FF" w:rsidRDefault="003E4EF4">
      <w:pPr>
        <w:rPr>
          <w:rFonts w:ascii="Times New Roman" w:hAnsi="Times New Roman" w:cs="Times New Roman"/>
          <w:noProof/>
          <w:sz w:val="24"/>
        </w:rPr>
      </w:pPr>
      <w:r>
        <w:rPr>
          <w:rFonts w:ascii="Times New Roman" w:hAnsi="Times New Roman" w:cs="Times New Roman"/>
          <w:noProof/>
          <w:sz w:val="24"/>
        </w:rPr>
        <w:t>27 Jan 17</w:t>
      </w:r>
      <w:r>
        <w:rPr>
          <w:rFonts w:ascii="Times New Roman" w:hAnsi="Times New Roman" w:cs="Times New Roman"/>
          <w:noProof/>
          <w:sz w:val="24"/>
        </w:rPr>
        <w:tab/>
        <w:t>Google</w:t>
      </w:r>
    </w:p>
    <w:p w:rsidR="001B65FF" w:rsidRDefault="003E4EF4">
      <w:pPr>
        <w:rPr>
          <w:rFonts w:ascii="Times New Roman" w:hAnsi="Times New Roman" w:cs="Times New Roman"/>
          <w:noProof/>
          <w:sz w:val="24"/>
        </w:rPr>
      </w:pPr>
      <w:r>
        <w:rPr>
          <w:rFonts w:ascii="Times New Roman" w:hAnsi="Times New Roman" w:cs="Times New Roman"/>
          <w:noProof/>
          <w:sz w:val="24"/>
        </w:rPr>
        <w:t>27 Jan 17</w:t>
      </w:r>
      <w:r>
        <w:rPr>
          <w:rFonts w:ascii="Times New Roman" w:hAnsi="Times New Roman" w:cs="Times New Roman"/>
          <w:noProof/>
          <w:sz w:val="24"/>
        </w:rPr>
        <w:tab/>
        <w:t>Prof. Jennifer Daskal, American University</w:t>
      </w:r>
    </w:p>
    <w:p w:rsidR="001B65FF" w:rsidRDefault="003E4EF4">
      <w:pPr>
        <w:rPr>
          <w:rFonts w:ascii="Times New Roman" w:hAnsi="Times New Roman" w:cs="Times New Roman"/>
          <w:noProof/>
          <w:sz w:val="24"/>
        </w:rPr>
      </w:pPr>
      <w:r>
        <w:rPr>
          <w:rFonts w:ascii="Times New Roman" w:hAnsi="Times New Roman" w:cs="Times New Roman"/>
          <w:noProof/>
          <w:sz w:val="24"/>
        </w:rPr>
        <w:t>31 Jan 16</w:t>
      </w:r>
      <w:r>
        <w:rPr>
          <w:rFonts w:ascii="Times New Roman" w:hAnsi="Times New Roman" w:cs="Times New Roman"/>
          <w:noProof/>
          <w:sz w:val="24"/>
        </w:rPr>
        <w:tab/>
        <w:t>Twitter</w:t>
      </w:r>
    </w:p>
    <w:p w:rsidR="001B65FF" w:rsidRDefault="003E4EF4">
      <w:pPr>
        <w:rPr>
          <w:rFonts w:ascii="Times New Roman" w:hAnsi="Times New Roman" w:cs="Times New Roman"/>
          <w:noProof/>
          <w:sz w:val="24"/>
        </w:rPr>
      </w:pPr>
      <w:r>
        <w:rPr>
          <w:rFonts w:ascii="Times New Roman" w:hAnsi="Times New Roman" w:cs="Times New Roman"/>
          <w:noProof/>
          <w:sz w:val="24"/>
        </w:rPr>
        <w:t>01 Feb 16</w:t>
      </w:r>
      <w:r>
        <w:rPr>
          <w:rFonts w:ascii="Times New Roman" w:hAnsi="Times New Roman" w:cs="Times New Roman"/>
          <w:noProof/>
          <w:sz w:val="24"/>
        </w:rPr>
        <w:tab/>
        <w:t>Council Counter-Terrorism Coordinator staff</w:t>
      </w:r>
    </w:p>
    <w:p w:rsidR="001B65FF" w:rsidRDefault="003E4EF4">
      <w:pPr>
        <w:rPr>
          <w:rFonts w:ascii="Times New Roman" w:hAnsi="Times New Roman" w:cs="Times New Roman"/>
          <w:noProof/>
          <w:sz w:val="24"/>
        </w:rPr>
      </w:pPr>
      <w:r>
        <w:rPr>
          <w:rFonts w:ascii="Times New Roman" w:hAnsi="Times New Roman" w:cs="Times New Roman"/>
          <w:noProof/>
          <w:sz w:val="24"/>
        </w:rPr>
        <w:t>01 Feb 17</w:t>
      </w:r>
      <w:r>
        <w:rPr>
          <w:rFonts w:ascii="Times New Roman" w:hAnsi="Times New Roman" w:cs="Times New Roman"/>
          <w:noProof/>
          <w:sz w:val="24"/>
        </w:rPr>
        <w:tab/>
        <w:t>LIBE secretariat</w:t>
      </w:r>
    </w:p>
    <w:p w:rsidR="001B65FF" w:rsidRDefault="003E4EF4">
      <w:pPr>
        <w:rPr>
          <w:rFonts w:ascii="Times New Roman" w:hAnsi="Times New Roman" w:cs="Times New Roman"/>
          <w:noProof/>
          <w:sz w:val="24"/>
        </w:rPr>
      </w:pPr>
      <w:r>
        <w:rPr>
          <w:rFonts w:ascii="Times New Roman" w:hAnsi="Times New Roman" w:cs="Times New Roman"/>
          <w:noProof/>
          <w:sz w:val="24"/>
        </w:rPr>
        <w:t>03 Feb 17</w:t>
      </w:r>
      <w:r>
        <w:rPr>
          <w:rFonts w:ascii="Times New Roman" w:hAnsi="Times New Roman" w:cs="Times New Roman"/>
          <w:noProof/>
          <w:sz w:val="24"/>
        </w:rPr>
        <w:tab/>
        <w:t>Symantec Corporation</w:t>
      </w:r>
    </w:p>
    <w:p w:rsidR="001B65FF" w:rsidRDefault="003E4EF4">
      <w:pPr>
        <w:rPr>
          <w:rFonts w:ascii="Times New Roman" w:hAnsi="Times New Roman" w:cs="Times New Roman"/>
          <w:noProof/>
          <w:sz w:val="24"/>
        </w:rPr>
      </w:pPr>
      <w:r>
        <w:rPr>
          <w:rFonts w:ascii="Times New Roman" w:hAnsi="Times New Roman" w:cs="Times New Roman"/>
          <w:noProof/>
          <w:sz w:val="24"/>
        </w:rPr>
        <w:t>07 Feb 17</w:t>
      </w:r>
      <w:r>
        <w:rPr>
          <w:rFonts w:ascii="Times New Roman" w:hAnsi="Times New Roman" w:cs="Times New Roman"/>
          <w:noProof/>
          <w:sz w:val="24"/>
        </w:rPr>
        <w:tab/>
        <w:t>Discussion with Prof. Falletti</w:t>
      </w:r>
    </w:p>
    <w:p w:rsidR="001B65FF" w:rsidRDefault="003E4EF4">
      <w:pPr>
        <w:rPr>
          <w:rFonts w:ascii="Times New Roman" w:hAnsi="Times New Roman" w:cs="Times New Roman"/>
          <w:noProof/>
          <w:sz w:val="24"/>
        </w:rPr>
      </w:pPr>
      <w:r>
        <w:rPr>
          <w:rFonts w:ascii="Times New Roman" w:hAnsi="Times New Roman" w:cs="Times New Roman"/>
          <w:noProof/>
          <w:sz w:val="24"/>
        </w:rPr>
        <w:t>08 Feb 17</w:t>
      </w:r>
      <w:r>
        <w:rPr>
          <w:rFonts w:ascii="Times New Roman" w:hAnsi="Times New Roman" w:cs="Times New Roman"/>
          <w:noProof/>
          <w:sz w:val="24"/>
        </w:rPr>
        <w:tab/>
        <w:t xml:space="preserve">Discussion with cabinet of Minister Koen Geens </w:t>
      </w:r>
    </w:p>
    <w:p w:rsidR="001B65FF" w:rsidRDefault="003E4EF4">
      <w:pPr>
        <w:rPr>
          <w:rFonts w:ascii="Times New Roman" w:hAnsi="Times New Roman" w:cs="Times New Roman"/>
          <w:noProof/>
          <w:sz w:val="24"/>
        </w:rPr>
      </w:pPr>
      <w:r>
        <w:rPr>
          <w:rFonts w:ascii="Times New Roman" w:hAnsi="Times New Roman" w:cs="Times New Roman"/>
          <w:noProof/>
          <w:sz w:val="24"/>
        </w:rPr>
        <w:t>08 Feb 17</w:t>
      </w:r>
      <w:r>
        <w:rPr>
          <w:rFonts w:ascii="Times New Roman" w:hAnsi="Times New Roman" w:cs="Times New Roman"/>
          <w:noProof/>
          <w:sz w:val="24"/>
        </w:rPr>
        <w:tab/>
        <w:t>Eurojust</w:t>
      </w:r>
    </w:p>
    <w:p w:rsidR="001B65FF" w:rsidRDefault="003E4EF4">
      <w:pPr>
        <w:rPr>
          <w:rFonts w:ascii="Times New Roman" w:hAnsi="Times New Roman" w:cs="Times New Roman"/>
          <w:noProof/>
          <w:sz w:val="24"/>
        </w:rPr>
      </w:pPr>
      <w:r>
        <w:rPr>
          <w:rFonts w:ascii="Times New Roman" w:hAnsi="Times New Roman" w:cs="Times New Roman"/>
          <w:noProof/>
          <w:sz w:val="24"/>
        </w:rPr>
        <w:t>09 Feb 17</w:t>
      </w:r>
      <w:r>
        <w:rPr>
          <w:rFonts w:ascii="Times New Roman" w:hAnsi="Times New Roman" w:cs="Times New Roman"/>
          <w:noProof/>
          <w:sz w:val="24"/>
        </w:rPr>
        <w:tab/>
        <w:t xml:space="preserve">Videoconference </w:t>
      </w:r>
      <w:r>
        <w:rPr>
          <w:rFonts w:ascii="Times New Roman" w:hAnsi="Times New Roman" w:cs="Times New Roman"/>
          <w:noProof/>
          <w:sz w:val="24"/>
        </w:rPr>
        <w:t>with EUDEL USA - Liaison Magistrates</w:t>
      </w:r>
    </w:p>
    <w:p w:rsidR="001B65FF" w:rsidRDefault="003E4EF4">
      <w:pPr>
        <w:rPr>
          <w:rFonts w:ascii="Times New Roman" w:hAnsi="Times New Roman" w:cs="Times New Roman"/>
          <w:noProof/>
          <w:sz w:val="24"/>
        </w:rPr>
      </w:pPr>
      <w:r>
        <w:rPr>
          <w:rFonts w:ascii="Times New Roman" w:hAnsi="Times New Roman" w:cs="Times New Roman"/>
          <w:noProof/>
          <w:sz w:val="24"/>
        </w:rPr>
        <w:t>09 Feb 17</w:t>
      </w:r>
      <w:r>
        <w:rPr>
          <w:rFonts w:ascii="Times New Roman" w:hAnsi="Times New Roman" w:cs="Times New Roman"/>
          <w:noProof/>
          <w:sz w:val="24"/>
        </w:rPr>
        <w:tab/>
        <w:t>US Department of Justice</w:t>
      </w:r>
    </w:p>
    <w:p w:rsidR="001B65FF" w:rsidRDefault="003E4EF4">
      <w:pPr>
        <w:rPr>
          <w:rFonts w:ascii="Times New Roman" w:hAnsi="Times New Roman" w:cs="Times New Roman"/>
          <w:noProof/>
          <w:sz w:val="24"/>
        </w:rPr>
      </w:pPr>
      <w:r>
        <w:rPr>
          <w:rFonts w:ascii="Times New Roman" w:hAnsi="Times New Roman" w:cs="Times New Roman"/>
          <w:noProof/>
          <w:sz w:val="24"/>
        </w:rPr>
        <w:t>01 Feb 17</w:t>
      </w:r>
      <w:r>
        <w:rPr>
          <w:rFonts w:ascii="Times New Roman" w:hAnsi="Times New Roman" w:cs="Times New Roman"/>
          <w:noProof/>
          <w:sz w:val="24"/>
        </w:rPr>
        <w:tab/>
        <w:t xml:space="preserve">EuroISPA (European Internet Services Providers Association) </w:t>
      </w:r>
    </w:p>
    <w:p w:rsidR="001B65FF" w:rsidRDefault="003E4EF4">
      <w:pPr>
        <w:rPr>
          <w:rFonts w:ascii="Times New Roman" w:hAnsi="Times New Roman" w:cs="Times New Roman"/>
          <w:noProof/>
          <w:sz w:val="24"/>
        </w:rPr>
      </w:pPr>
      <w:r>
        <w:rPr>
          <w:rFonts w:ascii="Times New Roman" w:hAnsi="Times New Roman" w:cs="Times New Roman"/>
          <w:noProof/>
          <w:sz w:val="24"/>
        </w:rPr>
        <w:t>01 Feb 17</w:t>
      </w:r>
      <w:r>
        <w:rPr>
          <w:rFonts w:ascii="Times New Roman" w:hAnsi="Times New Roman" w:cs="Times New Roman"/>
          <w:noProof/>
          <w:sz w:val="24"/>
        </w:rPr>
        <w:tab/>
        <w:t>LIBE Secretariat</w:t>
      </w:r>
    </w:p>
    <w:p w:rsidR="001B65FF" w:rsidRDefault="003E4EF4">
      <w:pPr>
        <w:rPr>
          <w:rFonts w:ascii="Times New Roman" w:hAnsi="Times New Roman" w:cs="Times New Roman"/>
          <w:noProof/>
          <w:sz w:val="24"/>
        </w:rPr>
      </w:pPr>
      <w:r>
        <w:rPr>
          <w:rFonts w:ascii="Times New Roman" w:hAnsi="Times New Roman" w:cs="Times New Roman"/>
          <w:noProof/>
          <w:sz w:val="24"/>
        </w:rPr>
        <w:t>23 Feb 17</w:t>
      </w:r>
      <w:r>
        <w:rPr>
          <w:rFonts w:ascii="Times New Roman" w:hAnsi="Times New Roman" w:cs="Times New Roman"/>
          <w:noProof/>
          <w:sz w:val="24"/>
        </w:rPr>
        <w:tab/>
        <w:t>Facebook</w:t>
      </w:r>
    </w:p>
    <w:p w:rsidR="001B65FF" w:rsidRDefault="003E4EF4">
      <w:pPr>
        <w:rPr>
          <w:rFonts w:ascii="Times New Roman" w:hAnsi="Times New Roman" w:cs="Times New Roman"/>
          <w:noProof/>
          <w:sz w:val="24"/>
        </w:rPr>
      </w:pPr>
      <w:r>
        <w:rPr>
          <w:rFonts w:ascii="Times New Roman" w:hAnsi="Times New Roman" w:cs="Times New Roman"/>
          <w:noProof/>
          <w:sz w:val="24"/>
        </w:rPr>
        <w:t>27 Feb 17</w:t>
      </w:r>
      <w:r>
        <w:rPr>
          <w:rFonts w:ascii="Times New Roman" w:hAnsi="Times New Roman" w:cs="Times New Roman"/>
          <w:noProof/>
          <w:sz w:val="24"/>
        </w:rPr>
        <w:tab/>
        <w:t>Belgium - Ministry of Justice</w:t>
      </w:r>
    </w:p>
    <w:p w:rsidR="001B65FF" w:rsidRDefault="003E4EF4">
      <w:pPr>
        <w:rPr>
          <w:rFonts w:ascii="Times New Roman" w:hAnsi="Times New Roman" w:cs="Times New Roman"/>
          <w:noProof/>
          <w:sz w:val="24"/>
          <w:lang w:val="pt-PT"/>
        </w:rPr>
      </w:pPr>
      <w:r>
        <w:rPr>
          <w:rFonts w:ascii="Times New Roman" w:hAnsi="Times New Roman" w:cs="Times New Roman"/>
          <w:noProof/>
          <w:sz w:val="24"/>
          <w:lang w:val="pt-PT"/>
        </w:rPr>
        <w:t>03 Mar 17</w:t>
      </w:r>
      <w:r>
        <w:rPr>
          <w:rFonts w:ascii="Times New Roman" w:hAnsi="Times New Roman" w:cs="Times New Roman"/>
          <w:noProof/>
          <w:sz w:val="24"/>
          <w:lang w:val="pt-PT"/>
        </w:rPr>
        <w:tab/>
        <w:t xml:space="preserve">EVIDENCE project </w:t>
      </w:r>
      <w:r>
        <w:rPr>
          <w:rFonts w:ascii="Times New Roman" w:hAnsi="Times New Roman" w:cs="Times New Roman"/>
          <w:noProof/>
          <w:sz w:val="24"/>
          <w:lang w:val="pt-PT"/>
        </w:rPr>
        <w:t>videoconference</w:t>
      </w:r>
    </w:p>
    <w:p w:rsidR="001B65FF" w:rsidRDefault="003E4EF4">
      <w:pPr>
        <w:rPr>
          <w:rFonts w:ascii="Times New Roman" w:hAnsi="Times New Roman" w:cs="Times New Roman"/>
          <w:noProof/>
          <w:sz w:val="24"/>
          <w:lang w:val="pt-PT"/>
        </w:rPr>
      </w:pPr>
      <w:r>
        <w:rPr>
          <w:rFonts w:ascii="Times New Roman" w:hAnsi="Times New Roman" w:cs="Times New Roman"/>
          <w:noProof/>
          <w:sz w:val="24"/>
          <w:lang w:val="pt-PT"/>
        </w:rPr>
        <w:t>07 Mar 17</w:t>
      </w:r>
      <w:r>
        <w:rPr>
          <w:rFonts w:ascii="Times New Roman" w:hAnsi="Times New Roman" w:cs="Times New Roman"/>
          <w:noProof/>
          <w:sz w:val="24"/>
          <w:lang w:val="pt-PT"/>
        </w:rPr>
        <w:tab/>
        <w:t>Microsoft</w:t>
      </w:r>
    </w:p>
    <w:p w:rsidR="001B65FF" w:rsidRDefault="003E4EF4">
      <w:pPr>
        <w:rPr>
          <w:rFonts w:ascii="Times New Roman" w:hAnsi="Times New Roman" w:cs="Times New Roman"/>
          <w:noProof/>
          <w:sz w:val="24"/>
        </w:rPr>
      </w:pPr>
      <w:r>
        <w:rPr>
          <w:rFonts w:ascii="Times New Roman" w:hAnsi="Times New Roman" w:cs="Times New Roman"/>
          <w:noProof/>
          <w:sz w:val="24"/>
        </w:rPr>
        <w:t>07 Mar 17</w:t>
      </w:r>
      <w:r>
        <w:rPr>
          <w:rFonts w:ascii="Times New Roman" w:hAnsi="Times New Roman" w:cs="Times New Roman"/>
          <w:noProof/>
          <w:sz w:val="24"/>
        </w:rPr>
        <w:tab/>
        <w:t>US Department of Justice</w:t>
      </w:r>
    </w:p>
    <w:p w:rsidR="001B65FF" w:rsidRDefault="003E4EF4">
      <w:pPr>
        <w:rPr>
          <w:rFonts w:ascii="Times New Roman" w:hAnsi="Times New Roman" w:cs="Times New Roman"/>
          <w:noProof/>
          <w:sz w:val="24"/>
        </w:rPr>
      </w:pPr>
      <w:r>
        <w:rPr>
          <w:rFonts w:ascii="Times New Roman" w:hAnsi="Times New Roman" w:cs="Times New Roman"/>
          <w:noProof/>
          <w:sz w:val="24"/>
        </w:rPr>
        <w:t>11 May 17</w:t>
      </w:r>
      <w:r>
        <w:rPr>
          <w:rFonts w:ascii="Times New Roman" w:hAnsi="Times New Roman" w:cs="Times New Roman"/>
          <w:noProof/>
          <w:sz w:val="24"/>
        </w:rPr>
        <w:tab/>
        <w:t>Minister of Justice of Belgium</w:t>
      </w:r>
    </w:p>
    <w:p w:rsidR="001B65FF" w:rsidRDefault="003E4EF4">
      <w:pPr>
        <w:rPr>
          <w:rFonts w:ascii="Times New Roman" w:hAnsi="Times New Roman" w:cs="Times New Roman"/>
          <w:noProof/>
          <w:sz w:val="24"/>
        </w:rPr>
      </w:pPr>
      <w:r>
        <w:rPr>
          <w:rFonts w:ascii="Times New Roman" w:hAnsi="Times New Roman" w:cs="Times New Roman"/>
          <w:noProof/>
          <w:sz w:val="24"/>
        </w:rPr>
        <w:t>22 Mar 17</w:t>
      </w:r>
      <w:r>
        <w:rPr>
          <w:rFonts w:ascii="Times New Roman" w:hAnsi="Times New Roman" w:cs="Times New Roman"/>
          <w:noProof/>
          <w:sz w:val="24"/>
        </w:rPr>
        <w:tab/>
        <w:t>Minister of Justice of Romania</w:t>
      </w:r>
    </w:p>
    <w:p w:rsidR="001B65FF" w:rsidRDefault="003E4EF4">
      <w:pPr>
        <w:rPr>
          <w:rFonts w:ascii="Times New Roman" w:hAnsi="Times New Roman" w:cs="Times New Roman"/>
          <w:noProof/>
          <w:sz w:val="24"/>
        </w:rPr>
      </w:pPr>
      <w:r>
        <w:rPr>
          <w:rFonts w:ascii="Times New Roman" w:hAnsi="Times New Roman" w:cs="Times New Roman"/>
          <w:noProof/>
          <w:sz w:val="24"/>
        </w:rPr>
        <w:t>24 May 17</w:t>
      </w:r>
      <w:r>
        <w:rPr>
          <w:rFonts w:ascii="Times New Roman" w:hAnsi="Times New Roman" w:cs="Times New Roman"/>
          <w:noProof/>
          <w:sz w:val="24"/>
        </w:rPr>
        <w:tab/>
        <w:t>Minister of Justice of Greece</w:t>
      </w:r>
    </w:p>
    <w:p w:rsidR="001B65FF" w:rsidRDefault="003E4EF4">
      <w:pPr>
        <w:rPr>
          <w:rFonts w:ascii="Times New Roman" w:hAnsi="Times New Roman" w:cs="Times New Roman"/>
          <w:noProof/>
          <w:sz w:val="24"/>
        </w:rPr>
      </w:pPr>
      <w:r>
        <w:rPr>
          <w:rFonts w:ascii="Times New Roman" w:hAnsi="Times New Roman" w:cs="Times New Roman"/>
          <w:noProof/>
          <w:sz w:val="24"/>
        </w:rPr>
        <w:t>24 Mar 17</w:t>
      </w:r>
      <w:r>
        <w:rPr>
          <w:rFonts w:ascii="Times New Roman" w:hAnsi="Times New Roman" w:cs="Times New Roman"/>
          <w:noProof/>
          <w:sz w:val="24"/>
        </w:rPr>
        <w:tab/>
        <w:t>LIBE Secretariat</w:t>
      </w:r>
    </w:p>
    <w:p w:rsidR="001B65FF" w:rsidRDefault="003E4EF4">
      <w:pPr>
        <w:rPr>
          <w:rFonts w:ascii="Times New Roman" w:hAnsi="Times New Roman" w:cs="Times New Roman"/>
          <w:noProof/>
          <w:sz w:val="24"/>
        </w:rPr>
      </w:pPr>
      <w:r>
        <w:rPr>
          <w:rFonts w:ascii="Times New Roman" w:hAnsi="Times New Roman" w:cs="Times New Roman"/>
          <w:noProof/>
          <w:sz w:val="24"/>
        </w:rPr>
        <w:t>27 Mar 17</w:t>
      </w:r>
      <w:r>
        <w:rPr>
          <w:rFonts w:ascii="Times New Roman" w:hAnsi="Times New Roman" w:cs="Times New Roman"/>
          <w:noProof/>
          <w:sz w:val="24"/>
        </w:rPr>
        <w:tab/>
        <w:t xml:space="preserve">CDT </w:t>
      </w:r>
    </w:p>
    <w:p w:rsidR="001B65FF" w:rsidRDefault="003E4EF4">
      <w:pPr>
        <w:rPr>
          <w:rFonts w:ascii="Times New Roman" w:hAnsi="Times New Roman" w:cs="Times New Roman"/>
          <w:noProof/>
          <w:sz w:val="24"/>
        </w:rPr>
      </w:pPr>
      <w:r>
        <w:rPr>
          <w:rFonts w:ascii="Times New Roman" w:hAnsi="Times New Roman" w:cs="Times New Roman"/>
          <w:noProof/>
          <w:sz w:val="24"/>
        </w:rPr>
        <w:t>03 Apr 17</w:t>
      </w:r>
      <w:r>
        <w:rPr>
          <w:rFonts w:ascii="Times New Roman" w:hAnsi="Times New Roman" w:cs="Times New Roman"/>
          <w:noProof/>
          <w:sz w:val="24"/>
        </w:rPr>
        <w:tab/>
        <w:t>Netherlands</w:t>
      </w:r>
      <w:r>
        <w:rPr>
          <w:rFonts w:ascii="Times New Roman" w:hAnsi="Times New Roman" w:cs="Times New Roman"/>
          <w:noProof/>
          <w:sz w:val="24"/>
        </w:rPr>
        <w:t xml:space="preserve"> Ministry of Justice</w:t>
      </w:r>
    </w:p>
    <w:p w:rsidR="001B65FF" w:rsidRDefault="003E4EF4">
      <w:pPr>
        <w:rPr>
          <w:rFonts w:ascii="Times New Roman" w:hAnsi="Times New Roman" w:cs="Times New Roman"/>
          <w:noProof/>
          <w:sz w:val="24"/>
        </w:rPr>
      </w:pPr>
      <w:r>
        <w:rPr>
          <w:rFonts w:ascii="Times New Roman" w:hAnsi="Times New Roman" w:cs="Times New Roman"/>
          <w:noProof/>
          <w:sz w:val="24"/>
        </w:rPr>
        <w:t>10 Apr 17</w:t>
      </w:r>
      <w:r>
        <w:rPr>
          <w:rFonts w:ascii="Times New Roman" w:hAnsi="Times New Roman" w:cs="Times New Roman"/>
          <w:noProof/>
          <w:sz w:val="24"/>
        </w:rPr>
        <w:tab/>
        <w:t>Cabinet of BE Minister of Justice</w:t>
      </w:r>
    </w:p>
    <w:p w:rsidR="001B65FF" w:rsidRDefault="003E4EF4">
      <w:pPr>
        <w:rPr>
          <w:rFonts w:ascii="Times New Roman" w:hAnsi="Times New Roman" w:cs="Times New Roman"/>
          <w:noProof/>
          <w:sz w:val="24"/>
        </w:rPr>
      </w:pPr>
      <w:r>
        <w:rPr>
          <w:rFonts w:ascii="Times New Roman" w:hAnsi="Times New Roman" w:cs="Times New Roman"/>
          <w:noProof/>
          <w:sz w:val="24"/>
        </w:rPr>
        <w:t>10 Apr 17</w:t>
      </w:r>
      <w:r>
        <w:rPr>
          <w:rFonts w:ascii="Times New Roman" w:hAnsi="Times New Roman" w:cs="Times New Roman"/>
          <w:noProof/>
          <w:sz w:val="24"/>
        </w:rPr>
        <w:tab/>
        <w:t>Professor Ligeti</w:t>
      </w:r>
    </w:p>
    <w:p w:rsidR="001B65FF" w:rsidRDefault="003E4EF4">
      <w:pPr>
        <w:rPr>
          <w:rFonts w:ascii="Times New Roman" w:hAnsi="Times New Roman" w:cs="Times New Roman"/>
          <w:noProof/>
          <w:sz w:val="24"/>
        </w:rPr>
      </w:pPr>
      <w:r>
        <w:rPr>
          <w:rFonts w:ascii="Times New Roman" w:hAnsi="Times New Roman" w:cs="Times New Roman"/>
          <w:noProof/>
          <w:sz w:val="24"/>
        </w:rPr>
        <w:t>19 Apr 17</w:t>
      </w:r>
      <w:r>
        <w:rPr>
          <w:rFonts w:ascii="Times New Roman" w:hAnsi="Times New Roman" w:cs="Times New Roman"/>
          <w:noProof/>
          <w:sz w:val="24"/>
        </w:rPr>
        <w:tab/>
        <w:t>Microsoft</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26 Apr 17</w:t>
      </w:r>
      <w:r>
        <w:rPr>
          <w:rFonts w:ascii="Times New Roman" w:hAnsi="Times New Roman" w:cs="Times New Roman"/>
          <w:noProof/>
          <w:sz w:val="24"/>
        </w:rPr>
        <w:tab/>
        <w:t xml:space="preserve">Deputy Assistant Attorney General Richard Downing, as part of US dialogue </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05 Apr 17</w:t>
      </w:r>
      <w:r>
        <w:rPr>
          <w:rFonts w:ascii="Times New Roman" w:hAnsi="Times New Roman" w:cs="Times New Roman"/>
          <w:noProof/>
          <w:sz w:val="24"/>
        </w:rPr>
        <w:tab/>
        <w:t>Minister of Justice of Ireland</w:t>
      </w:r>
    </w:p>
    <w:p w:rsidR="001B65FF" w:rsidRDefault="003E4EF4">
      <w:pPr>
        <w:rPr>
          <w:rFonts w:ascii="Times New Roman" w:hAnsi="Times New Roman" w:cs="Times New Roman"/>
          <w:noProof/>
          <w:sz w:val="24"/>
        </w:rPr>
      </w:pPr>
      <w:r>
        <w:rPr>
          <w:rFonts w:ascii="Times New Roman" w:hAnsi="Times New Roman" w:cs="Times New Roman"/>
          <w:noProof/>
          <w:sz w:val="24"/>
        </w:rPr>
        <w:t>02 May 17</w:t>
      </w:r>
      <w:r>
        <w:rPr>
          <w:rFonts w:ascii="Times New Roman" w:hAnsi="Times New Roman" w:cs="Times New Roman"/>
          <w:noProof/>
          <w:sz w:val="24"/>
        </w:rPr>
        <w:tab/>
        <w:t xml:space="preserve">Council </w:t>
      </w:r>
      <w:r>
        <w:rPr>
          <w:rFonts w:ascii="Times New Roman" w:hAnsi="Times New Roman" w:cs="Times New Roman"/>
          <w:noProof/>
          <w:sz w:val="24"/>
        </w:rPr>
        <w:t>of Europe – T-CY secretariat</w:t>
      </w:r>
    </w:p>
    <w:p w:rsidR="001B65FF" w:rsidRDefault="003E4EF4">
      <w:pPr>
        <w:rPr>
          <w:rFonts w:ascii="Times New Roman" w:hAnsi="Times New Roman" w:cs="Times New Roman"/>
          <w:noProof/>
          <w:sz w:val="24"/>
        </w:rPr>
      </w:pPr>
      <w:r>
        <w:rPr>
          <w:rFonts w:ascii="Times New Roman" w:hAnsi="Times New Roman" w:cs="Times New Roman"/>
          <w:noProof/>
          <w:sz w:val="24"/>
        </w:rPr>
        <w:t>30 May 16</w:t>
      </w:r>
      <w:r>
        <w:rPr>
          <w:rFonts w:ascii="Times New Roman" w:hAnsi="Times New Roman" w:cs="Times New Roman"/>
          <w:noProof/>
          <w:sz w:val="24"/>
        </w:rPr>
        <w:tab/>
        <w:t>Professor Ligeti and Microsoft</w:t>
      </w:r>
    </w:p>
    <w:p w:rsidR="001B65FF" w:rsidRDefault="003E4EF4">
      <w:pPr>
        <w:rPr>
          <w:rFonts w:ascii="Times New Roman" w:hAnsi="Times New Roman" w:cs="Times New Roman"/>
          <w:noProof/>
          <w:sz w:val="24"/>
        </w:rPr>
      </w:pPr>
      <w:r>
        <w:rPr>
          <w:rFonts w:ascii="Times New Roman" w:hAnsi="Times New Roman" w:cs="Times New Roman"/>
          <w:noProof/>
          <w:sz w:val="24"/>
        </w:rPr>
        <w:t>01 Jun 17</w:t>
      </w:r>
      <w:r>
        <w:rPr>
          <w:rFonts w:ascii="Times New Roman" w:hAnsi="Times New Roman" w:cs="Times New Roman"/>
          <w:noProof/>
          <w:sz w:val="24"/>
        </w:rPr>
        <w:tab/>
        <w:t>US Department of Justice</w:t>
      </w:r>
    </w:p>
    <w:p w:rsidR="001B65FF" w:rsidRDefault="003E4EF4">
      <w:pPr>
        <w:rPr>
          <w:rFonts w:ascii="Times New Roman" w:hAnsi="Times New Roman" w:cs="Times New Roman"/>
          <w:noProof/>
          <w:sz w:val="24"/>
        </w:rPr>
      </w:pPr>
      <w:r>
        <w:rPr>
          <w:rFonts w:ascii="Times New Roman" w:hAnsi="Times New Roman" w:cs="Times New Roman"/>
          <w:noProof/>
          <w:sz w:val="24"/>
        </w:rPr>
        <w:t>07 Jun 17</w:t>
      </w:r>
      <w:r>
        <w:rPr>
          <w:rFonts w:ascii="Times New Roman" w:hAnsi="Times New Roman" w:cs="Times New Roman"/>
          <w:noProof/>
          <w:sz w:val="24"/>
        </w:rPr>
        <w:tab/>
        <w:t>French Minister of Justice</w:t>
      </w:r>
    </w:p>
    <w:p w:rsidR="001B65FF" w:rsidRDefault="003E4EF4">
      <w:pPr>
        <w:rPr>
          <w:rFonts w:ascii="Times New Roman" w:hAnsi="Times New Roman" w:cs="Times New Roman"/>
          <w:noProof/>
          <w:sz w:val="24"/>
        </w:rPr>
      </w:pPr>
      <w:r>
        <w:rPr>
          <w:rFonts w:ascii="Times New Roman" w:hAnsi="Times New Roman" w:cs="Times New Roman"/>
          <w:noProof/>
          <w:sz w:val="24"/>
        </w:rPr>
        <w:t>09 Jun 17</w:t>
      </w:r>
      <w:r>
        <w:rPr>
          <w:rFonts w:ascii="Times New Roman" w:hAnsi="Times New Roman" w:cs="Times New Roman"/>
          <w:noProof/>
          <w:sz w:val="24"/>
        </w:rPr>
        <w:tab/>
        <w:t>US Department of Justice</w:t>
      </w:r>
    </w:p>
    <w:p w:rsidR="001B65FF" w:rsidRDefault="003E4EF4">
      <w:pPr>
        <w:rPr>
          <w:rFonts w:ascii="Times New Roman" w:hAnsi="Times New Roman" w:cs="Times New Roman"/>
          <w:noProof/>
          <w:sz w:val="24"/>
        </w:rPr>
      </w:pPr>
      <w:r>
        <w:rPr>
          <w:rFonts w:ascii="Times New Roman" w:hAnsi="Times New Roman" w:cs="Times New Roman"/>
          <w:noProof/>
          <w:sz w:val="24"/>
        </w:rPr>
        <w:t>13 Jun 17</w:t>
      </w:r>
      <w:r>
        <w:rPr>
          <w:rFonts w:ascii="Times New Roman" w:hAnsi="Times New Roman" w:cs="Times New Roman"/>
          <w:noProof/>
          <w:sz w:val="24"/>
        </w:rPr>
        <w:tab/>
        <w:t>European Data Protection Supervisor</w:t>
      </w:r>
    </w:p>
    <w:p w:rsidR="001B65FF" w:rsidRDefault="003E4EF4">
      <w:pPr>
        <w:rPr>
          <w:rFonts w:ascii="Times New Roman" w:hAnsi="Times New Roman" w:cs="Times New Roman"/>
          <w:noProof/>
          <w:sz w:val="24"/>
        </w:rPr>
      </w:pPr>
      <w:r>
        <w:rPr>
          <w:rFonts w:ascii="Times New Roman" w:hAnsi="Times New Roman" w:cs="Times New Roman"/>
          <w:noProof/>
          <w:sz w:val="24"/>
        </w:rPr>
        <w:t>20 Jun 17</w:t>
      </w:r>
      <w:r>
        <w:rPr>
          <w:rFonts w:ascii="Times New Roman" w:hAnsi="Times New Roman" w:cs="Times New Roman"/>
          <w:noProof/>
          <w:sz w:val="24"/>
        </w:rPr>
        <w:tab/>
        <w:t>Professor Ligeti</w:t>
      </w:r>
    </w:p>
    <w:p w:rsidR="001B65FF" w:rsidRDefault="003E4EF4">
      <w:pPr>
        <w:rPr>
          <w:rFonts w:ascii="Times New Roman" w:hAnsi="Times New Roman" w:cs="Times New Roman"/>
          <w:noProof/>
          <w:sz w:val="24"/>
        </w:rPr>
      </w:pPr>
      <w:r>
        <w:rPr>
          <w:rFonts w:ascii="Times New Roman" w:hAnsi="Times New Roman" w:cs="Times New Roman"/>
          <w:noProof/>
          <w:sz w:val="24"/>
        </w:rPr>
        <w:t>20 Jun</w:t>
      </w:r>
      <w:r>
        <w:rPr>
          <w:rFonts w:ascii="Times New Roman" w:hAnsi="Times New Roman" w:cs="Times New Roman"/>
          <w:noProof/>
          <w:sz w:val="24"/>
        </w:rPr>
        <w:t xml:space="preserve"> 17</w:t>
      </w:r>
      <w:r>
        <w:rPr>
          <w:rFonts w:ascii="Times New Roman" w:hAnsi="Times New Roman" w:cs="Times New Roman"/>
          <w:noProof/>
          <w:sz w:val="24"/>
        </w:rPr>
        <w:tab/>
        <w:t xml:space="preserve">EuroISPA </w:t>
      </w:r>
    </w:p>
    <w:p w:rsidR="001B65FF" w:rsidRDefault="003E4EF4">
      <w:pPr>
        <w:rPr>
          <w:rFonts w:ascii="Times New Roman" w:hAnsi="Times New Roman" w:cs="Times New Roman"/>
          <w:noProof/>
          <w:sz w:val="24"/>
        </w:rPr>
      </w:pPr>
      <w:r>
        <w:rPr>
          <w:rFonts w:ascii="Times New Roman" w:hAnsi="Times New Roman" w:cs="Times New Roman"/>
          <w:noProof/>
          <w:sz w:val="24"/>
        </w:rPr>
        <w:t>20 Jun 17</w:t>
      </w:r>
      <w:r>
        <w:rPr>
          <w:rFonts w:ascii="Times New Roman" w:hAnsi="Times New Roman" w:cs="Times New Roman"/>
          <w:noProof/>
          <w:sz w:val="24"/>
        </w:rPr>
        <w:tab/>
        <w:t xml:space="preserve">Facebook   </w:t>
      </w:r>
    </w:p>
    <w:p w:rsidR="001B65FF" w:rsidRDefault="003E4EF4">
      <w:pPr>
        <w:rPr>
          <w:rFonts w:ascii="Times New Roman" w:hAnsi="Times New Roman" w:cs="Times New Roman"/>
          <w:noProof/>
          <w:sz w:val="24"/>
        </w:rPr>
      </w:pPr>
      <w:r>
        <w:rPr>
          <w:rFonts w:ascii="Times New Roman" w:hAnsi="Times New Roman" w:cs="Times New Roman"/>
          <w:noProof/>
          <w:sz w:val="24"/>
        </w:rPr>
        <w:t>20 Jun 17</w:t>
      </w:r>
      <w:r>
        <w:rPr>
          <w:rFonts w:ascii="Times New Roman" w:hAnsi="Times New Roman" w:cs="Times New Roman"/>
          <w:noProof/>
          <w:sz w:val="24"/>
        </w:rPr>
        <w:tab/>
        <w:t xml:space="preserve">Symantec </w:t>
      </w:r>
    </w:p>
    <w:p w:rsidR="001B65FF" w:rsidRDefault="003E4EF4">
      <w:pPr>
        <w:rPr>
          <w:rFonts w:ascii="Times New Roman" w:hAnsi="Times New Roman" w:cs="Times New Roman"/>
          <w:noProof/>
          <w:sz w:val="24"/>
        </w:rPr>
      </w:pPr>
      <w:r>
        <w:rPr>
          <w:rFonts w:ascii="Times New Roman" w:hAnsi="Times New Roman" w:cs="Times New Roman"/>
          <w:noProof/>
          <w:sz w:val="24"/>
        </w:rPr>
        <w:t>20 Jun 17</w:t>
      </w:r>
      <w:r>
        <w:rPr>
          <w:rFonts w:ascii="Times New Roman" w:hAnsi="Times New Roman" w:cs="Times New Roman"/>
          <w:noProof/>
          <w:sz w:val="24"/>
        </w:rPr>
        <w:tab/>
        <w:t xml:space="preserve">Twitter  </w:t>
      </w:r>
    </w:p>
    <w:p w:rsidR="001B65FF" w:rsidRDefault="003E4EF4">
      <w:pPr>
        <w:rPr>
          <w:rFonts w:ascii="Times New Roman" w:hAnsi="Times New Roman" w:cs="Times New Roman"/>
          <w:noProof/>
          <w:sz w:val="24"/>
        </w:rPr>
      </w:pPr>
      <w:r>
        <w:rPr>
          <w:rFonts w:ascii="Times New Roman" w:hAnsi="Times New Roman" w:cs="Times New Roman"/>
          <w:noProof/>
          <w:sz w:val="24"/>
        </w:rPr>
        <w:t>20 Jun 17</w:t>
      </w:r>
      <w:r>
        <w:rPr>
          <w:rFonts w:ascii="Times New Roman" w:hAnsi="Times New Roman" w:cs="Times New Roman"/>
          <w:noProof/>
          <w:sz w:val="24"/>
        </w:rPr>
        <w:tab/>
        <w:t>Google</w:t>
      </w:r>
    </w:p>
    <w:p w:rsidR="001B65FF" w:rsidRDefault="003E4EF4">
      <w:pPr>
        <w:rPr>
          <w:rFonts w:ascii="Times New Roman" w:hAnsi="Times New Roman" w:cs="Times New Roman"/>
          <w:noProof/>
          <w:sz w:val="24"/>
        </w:rPr>
      </w:pPr>
      <w:r>
        <w:rPr>
          <w:rFonts w:ascii="Times New Roman" w:hAnsi="Times New Roman" w:cs="Times New Roman"/>
          <w:noProof/>
          <w:sz w:val="24"/>
        </w:rPr>
        <w:t>28 Jun 17</w:t>
      </w:r>
      <w:r>
        <w:rPr>
          <w:rFonts w:ascii="Times New Roman" w:hAnsi="Times New Roman" w:cs="Times New Roman"/>
          <w:noProof/>
          <w:sz w:val="24"/>
        </w:rPr>
        <w:tab/>
        <w:t>US House of Representatives</w:t>
      </w:r>
    </w:p>
    <w:p w:rsidR="001B65FF" w:rsidRDefault="003E4EF4">
      <w:pPr>
        <w:rPr>
          <w:rFonts w:ascii="Times New Roman" w:hAnsi="Times New Roman" w:cs="Times New Roman"/>
          <w:noProof/>
          <w:sz w:val="24"/>
        </w:rPr>
      </w:pPr>
      <w:r>
        <w:rPr>
          <w:rFonts w:ascii="Times New Roman" w:hAnsi="Times New Roman" w:cs="Times New Roman"/>
          <w:noProof/>
          <w:sz w:val="24"/>
        </w:rPr>
        <w:t>10 Jul 17</w:t>
      </w:r>
      <w:r>
        <w:rPr>
          <w:rFonts w:ascii="Times New Roman" w:hAnsi="Times New Roman" w:cs="Times New Roman"/>
          <w:noProof/>
          <w:sz w:val="24"/>
        </w:rPr>
        <w:tab/>
        <w:t>German Ministry of Justice</w:t>
      </w:r>
    </w:p>
    <w:p w:rsidR="001B65FF" w:rsidRDefault="003E4EF4">
      <w:pPr>
        <w:rPr>
          <w:rFonts w:ascii="Times New Roman" w:hAnsi="Times New Roman" w:cs="Times New Roman"/>
          <w:noProof/>
          <w:sz w:val="24"/>
        </w:rPr>
      </w:pPr>
      <w:r>
        <w:rPr>
          <w:rFonts w:ascii="Times New Roman" w:hAnsi="Times New Roman" w:cs="Times New Roman"/>
          <w:noProof/>
          <w:sz w:val="24"/>
        </w:rPr>
        <w:t>03 Jul 16</w:t>
      </w:r>
      <w:r>
        <w:rPr>
          <w:rFonts w:ascii="Times New Roman" w:hAnsi="Times New Roman" w:cs="Times New Roman"/>
          <w:noProof/>
          <w:sz w:val="24"/>
        </w:rPr>
        <w:tab/>
        <w:t>Professor Ligeti</w:t>
      </w:r>
    </w:p>
    <w:p w:rsidR="001B65FF" w:rsidRDefault="003E4EF4">
      <w:pPr>
        <w:rPr>
          <w:rFonts w:ascii="Times New Roman" w:hAnsi="Times New Roman" w:cs="Times New Roman"/>
          <w:noProof/>
          <w:sz w:val="24"/>
        </w:rPr>
      </w:pPr>
      <w:r>
        <w:rPr>
          <w:rFonts w:ascii="Times New Roman" w:hAnsi="Times New Roman" w:cs="Times New Roman"/>
          <w:noProof/>
          <w:sz w:val="24"/>
        </w:rPr>
        <w:t>17 Jul 17</w:t>
      </w:r>
      <w:r>
        <w:rPr>
          <w:rFonts w:ascii="Times New Roman" w:hAnsi="Times New Roman" w:cs="Times New Roman"/>
          <w:noProof/>
          <w:sz w:val="24"/>
        </w:rPr>
        <w:tab/>
        <w:t xml:space="preserve">Estonian Permanent Representation, EU-US JHA </w:t>
      </w:r>
      <w:r>
        <w:rPr>
          <w:rFonts w:ascii="Times New Roman" w:hAnsi="Times New Roman" w:cs="Times New Roman"/>
          <w:noProof/>
          <w:sz w:val="24"/>
        </w:rPr>
        <w:t>Council prep meeting</w:t>
      </w:r>
    </w:p>
    <w:p w:rsidR="001B65FF" w:rsidRDefault="003E4EF4">
      <w:pPr>
        <w:rPr>
          <w:rFonts w:ascii="Times New Roman" w:hAnsi="Times New Roman" w:cs="Times New Roman"/>
          <w:noProof/>
          <w:sz w:val="24"/>
        </w:rPr>
      </w:pPr>
      <w:r>
        <w:rPr>
          <w:rFonts w:ascii="Times New Roman" w:hAnsi="Times New Roman" w:cs="Times New Roman"/>
          <w:noProof/>
          <w:sz w:val="24"/>
        </w:rPr>
        <w:t>20 Jul 17</w:t>
      </w:r>
      <w:r>
        <w:rPr>
          <w:rFonts w:ascii="Times New Roman" w:hAnsi="Times New Roman" w:cs="Times New Roman"/>
          <w:noProof/>
          <w:sz w:val="24"/>
        </w:rPr>
        <w:tab/>
        <w:t>Discussion with Prof. Sieber and Prof. Ligeti</w:t>
      </w:r>
    </w:p>
    <w:p w:rsidR="001B65FF" w:rsidRDefault="003E4EF4">
      <w:pPr>
        <w:rPr>
          <w:rFonts w:ascii="Times New Roman" w:hAnsi="Times New Roman" w:cs="Times New Roman"/>
          <w:noProof/>
          <w:sz w:val="24"/>
        </w:rPr>
      </w:pPr>
      <w:r>
        <w:rPr>
          <w:rFonts w:ascii="Times New Roman" w:hAnsi="Times New Roman" w:cs="Times New Roman"/>
          <w:noProof/>
          <w:sz w:val="24"/>
        </w:rPr>
        <w:t>24 Jul 17</w:t>
      </w:r>
      <w:r>
        <w:rPr>
          <w:rFonts w:ascii="Times New Roman" w:hAnsi="Times New Roman" w:cs="Times New Roman"/>
          <w:noProof/>
          <w:sz w:val="24"/>
        </w:rPr>
        <w:tab/>
        <w:t>Update to Member States at HWP Cyber Issues</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27/28 Jul 17</w:t>
      </w:r>
      <w:r>
        <w:rPr>
          <w:rFonts w:ascii="Times New Roman" w:hAnsi="Times New Roman" w:cs="Times New Roman"/>
          <w:noProof/>
          <w:sz w:val="24"/>
        </w:rPr>
        <w:tab/>
        <w:t xml:space="preserve">Experts from the Bavarian Police and the Bavarian Central Office for the Prosecution of Cybercrime </w:t>
      </w:r>
    </w:p>
    <w:p w:rsidR="001B65FF" w:rsidRDefault="003E4EF4">
      <w:pPr>
        <w:rPr>
          <w:rFonts w:ascii="Times New Roman" w:hAnsi="Times New Roman" w:cs="Times New Roman"/>
          <w:noProof/>
          <w:sz w:val="24"/>
        </w:rPr>
      </w:pPr>
      <w:r>
        <w:rPr>
          <w:rFonts w:ascii="Times New Roman" w:hAnsi="Times New Roman" w:cs="Times New Roman"/>
          <w:noProof/>
          <w:sz w:val="24"/>
        </w:rPr>
        <w:t>04 Sep 17</w:t>
      </w:r>
      <w:r>
        <w:rPr>
          <w:rFonts w:ascii="Times New Roman" w:hAnsi="Times New Roman" w:cs="Times New Roman"/>
          <w:noProof/>
          <w:sz w:val="24"/>
        </w:rPr>
        <w:tab/>
        <w:t>US</w:t>
      </w:r>
      <w:r>
        <w:rPr>
          <w:rFonts w:ascii="Times New Roman" w:hAnsi="Times New Roman" w:cs="Times New Roman"/>
          <w:noProof/>
          <w:sz w:val="24"/>
        </w:rPr>
        <w:t xml:space="preserve"> Department of Justice</w:t>
      </w:r>
    </w:p>
    <w:p w:rsidR="001B65FF" w:rsidRDefault="003E4EF4">
      <w:pPr>
        <w:rPr>
          <w:rFonts w:ascii="Times New Roman" w:hAnsi="Times New Roman" w:cs="Times New Roman"/>
          <w:noProof/>
          <w:sz w:val="24"/>
        </w:rPr>
      </w:pPr>
      <w:r>
        <w:rPr>
          <w:rFonts w:ascii="Times New Roman" w:hAnsi="Times New Roman" w:cs="Times New Roman"/>
          <w:noProof/>
          <w:sz w:val="24"/>
        </w:rPr>
        <w:t>06 Sep 17</w:t>
      </w:r>
      <w:r>
        <w:rPr>
          <w:rFonts w:ascii="Times New Roman" w:hAnsi="Times New Roman" w:cs="Times New Roman"/>
          <w:noProof/>
          <w:sz w:val="24"/>
        </w:rPr>
        <w:tab/>
        <w:t>Symantec</w:t>
      </w:r>
    </w:p>
    <w:p w:rsidR="001B65FF" w:rsidRDefault="003E4EF4">
      <w:pPr>
        <w:rPr>
          <w:rFonts w:ascii="Times New Roman" w:hAnsi="Times New Roman" w:cs="Times New Roman"/>
          <w:noProof/>
          <w:sz w:val="24"/>
        </w:rPr>
      </w:pPr>
      <w:r>
        <w:rPr>
          <w:rFonts w:ascii="Times New Roman" w:hAnsi="Times New Roman" w:cs="Times New Roman"/>
          <w:noProof/>
          <w:sz w:val="24"/>
        </w:rPr>
        <w:t>07 Sep 17</w:t>
      </w:r>
      <w:r>
        <w:rPr>
          <w:rFonts w:ascii="Times New Roman" w:hAnsi="Times New Roman" w:cs="Times New Roman"/>
          <w:noProof/>
          <w:sz w:val="24"/>
        </w:rPr>
        <w:tab/>
        <w:t>Belgium – Ministry of Justice</w:t>
      </w:r>
    </w:p>
    <w:p w:rsidR="001B65FF" w:rsidRDefault="003E4EF4">
      <w:pPr>
        <w:rPr>
          <w:rFonts w:ascii="Times New Roman" w:hAnsi="Times New Roman" w:cs="Times New Roman"/>
          <w:noProof/>
          <w:sz w:val="24"/>
        </w:rPr>
      </w:pPr>
      <w:r>
        <w:rPr>
          <w:rFonts w:ascii="Times New Roman" w:hAnsi="Times New Roman" w:cs="Times New Roman"/>
          <w:noProof/>
          <w:sz w:val="24"/>
        </w:rPr>
        <w:t>25 Sep 17</w:t>
      </w:r>
      <w:r>
        <w:rPr>
          <w:rFonts w:ascii="Times New Roman" w:hAnsi="Times New Roman" w:cs="Times New Roman"/>
          <w:noProof/>
          <w:sz w:val="24"/>
        </w:rPr>
        <w:tab/>
        <w:t>Facebook</w:t>
      </w:r>
    </w:p>
    <w:p w:rsidR="001B65FF" w:rsidRDefault="003E4EF4">
      <w:pPr>
        <w:rPr>
          <w:rFonts w:ascii="Times New Roman" w:hAnsi="Times New Roman" w:cs="Times New Roman"/>
          <w:noProof/>
          <w:sz w:val="24"/>
          <w:lang w:val="fr-BE"/>
        </w:rPr>
      </w:pPr>
      <w:r>
        <w:rPr>
          <w:rFonts w:ascii="Times New Roman" w:hAnsi="Times New Roman" w:cs="Times New Roman"/>
          <w:noProof/>
          <w:sz w:val="24"/>
          <w:lang w:val="fr-BE"/>
        </w:rPr>
        <w:t>26 Sep 17</w:t>
      </w:r>
      <w:r>
        <w:rPr>
          <w:rFonts w:ascii="Times New Roman" w:hAnsi="Times New Roman" w:cs="Times New Roman"/>
          <w:noProof/>
          <w:sz w:val="24"/>
          <w:lang w:val="fr-BE"/>
        </w:rPr>
        <w:tab/>
        <w:t>Spanish Permanent Representation</w:t>
      </w:r>
    </w:p>
    <w:p w:rsidR="001B65FF" w:rsidRDefault="003E4EF4">
      <w:pPr>
        <w:rPr>
          <w:rFonts w:ascii="Times New Roman" w:hAnsi="Times New Roman" w:cs="Times New Roman"/>
          <w:noProof/>
          <w:sz w:val="24"/>
          <w:lang w:val="fr-BE"/>
        </w:rPr>
      </w:pPr>
      <w:r>
        <w:rPr>
          <w:rFonts w:ascii="Times New Roman" w:hAnsi="Times New Roman" w:cs="Times New Roman"/>
          <w:noProof/>
          <w:sz w:val="24"/>
          <w:lang w:val="fr-BE"/>
        </w:rPr>
        <w:t>29 Sep 17</w:t>
      </w:r>
      <w:r>
        <w:rPr>
          <w:rFonts w:ascii="Times New Roman" w:hAnsi="Times New Roman" w:cs="Times New Roman"/>
          <w:noProof/>
          <w:sz w:val="24"/>
          <w:lang w:val="fr-BE"/>
        </w:rPr>
        <w:tab/>
        <w:t>Professor Ligeti</w:t>
      </w:r>
    </w:p>
    <w:p w:rsidR="001B65FF" w:rsidRDefault="003E4EF4">
      <w:pPr>
        <w:rPr>
          <w:rFonts w:ascii="Times New Roman" w:hAnsi="Times New Roman" w:cs="Times New Roman"/>
          <w:noProof/>
          <w:sz w:val="24"/>
          <w:lang w:val="fr-BE"/>
        </w:rPr>
      </w:pPr>
      <w:r>
        <w:rPr>
          <w:rFonts w:ascii="Times New Roman" w:hAnsi="Times New Roman" w:cs="Times New Roman"/>
          <w:noProof/>
          <w:sz w:val="24"/>
          <w:lang w:val="fr-BE"/>
        </w:rPr>
        <w:t>04 Oct 17</w:t>
      </w:r>
      <w:r>
        <w:rPr>
          <w:rFonts w:ascii="Times New Roman" w:hAnsi="Times New Roman" w:cs="Times New Roman"/>
          <w:noProof/>
          <w:sz w:val="24"/>
          <w:lang w:val="fr-BE"/>
        </w:rPr>
        <w:tab/>
        <w:t>La Commission Nationale de l'Informatique et des Libertés (CNIL)</w:t>
      </w:r>
    </w:p>
    <w:p w:rsidR="001B65FF" w:rsidRDefault="003E4EF4">
      <w:pPr>
        <w:rPr>
          <w:rFonts w:ascii="Times New Roman" w:hAnsi="Times New Roman" w:cs="Times New Roman"/>
          <w:noProof/>
          <w:sz w:val="24"/>
        </w:rPr>
      </w:pPr>
      <w:r>
        <w:rPr>
          <w:rFonts w:ascii="Times New Roman" w:hAnsi="Times New Roman" w:cs="Times New Roman"/>
          <w:noProof/>
          <w:sz w:val="24"/>
        </w:rPr>
        <w:t>09 Oct 17</w:t>
      </w:r>
      <w:r>
        <w:rPr>
          <w:rFonts w:ascii="Times New Roman" w:hAnsi="Times New Roman" w:cs="Times New Roman"/>
          <w:noProof/>
          <w:sz w:val="24"/>
        </w:rPr>
        <w:tab/>
      </w:r>
      <w:r>
        <w:rPr>
          <w:rFonts w:ascii="Times New Roman" w:hAnsi="Times New Roman" w:cs="Times New Roman"/>
          <w:noProof/>
          <w:sz w:val="24"/>
        </w:rPr>
        <w:t>UK Permanent Representation and Home Office</w:t>
      </w:r>
    </w:p>
    <w:p w:rsidR="001B65FF" w:rsidRDefault="003E4EF4">
      <w:pPr>
        <w:rPr>
          <w:rFonts w:ascii="Times New Roman" w:hAnsi="Times New Roman" w:cs="Times New Roman"/>
          <w:noProof/>
          <w:sz w:val="24"/>
        </w:rPr>
      </w:pPr>
      <w:r>
        <w:rPr>
          <w:rFonts w:ascii="Times New Roman" w:hAnsi="Times New Roman" w:cs="Times New Roman"/>
          <w:noProof/>
          <w:sz w:val="24"/>
        </w:rPr>
        <w:t>11 Oct 17</w:t>
      </w:r>
      <w:r>
        <w:rPr>
          <w:rFonts w:ascii="Times New Roman" w:hAnsi="Times New Roman" w:cs="Times New Roman"/>
          <w:noProof/>
          <w:sz w:val="24"/>
        </w:rPr>
        <w:tab/>
        <w:t xml:space="preserve">Belgium – Ministry of Justice </w:t>
      </w:r>
    </w:p>
    <w:p w:rsidR="001B65FF" w:rsidRDefault="003E4EF4">
      <w:pPr>
        <w:rPr>
          <w:rFonts w:ascii="Times New Roman" w:hAnsi="Times New Roman" w:cs="Times New Roman"/>
          <w:noProof/>
          <w:sz w:val="24"/>
        </w:rPr>
      </w:pPr>
      <w:r>
        <w:rPr>
          <w:rFonts w:ascii="Times New Roman" w:hAnsi="Times New Roman" w:cs="Times New Roman"/>
          <w:noProof/>
          <w:sz w:val="24"/>
        </w:rPr>
        <w:t>13 Oct 17</w:t>
      </w:r>
      <w:r>
        <w:rPr>
          <w:rFonts w:ascii="Times New Roman" w:hAnsi="Times New Roman" w:cs="Times New Roman"/>
          <w:noProof/>
          <w:sz w:val="24"/>
        </w:rPr>
        <w:tab/>
        <w:t>Europol Sirius Project</w:t>
      </w:r>
    </w:p>
    <w:p w:rsidR="001B65FF" w:rsidRDefault="003E4EF4">
      <w:pPr>
        <w:rPr>
          <w:rFonts w:ascii="Times New Roman" w:hAnsi="Times New Roman" w:cs="Times New Roman"/>
          <w:noProof/>
          <w:sz w:val="24"/>
        </w:rPr>
      </w:pPr>
      <w:r>
        <w:rPr>
          <w:rFonts w:ascii="Times New Roman" w:hAnsi="Times New Roman" w:cs="Times New Roman"/>
          <w:noProof/>
          <w:sz w:val="24"/>
        </w:rPr>
        <w:t>17 Oct 17</w:t>
      </w:r>
      <w:r>
        <w:rPr>
          <w:rFonts w:ascii="Times New Roman" w:hAnsi="Times New Roman" w:cs="Times New Roman"/>
          <w:noProof/>
          <w:sz w:val="24"/>
        </w:rPr>
        <w:tab/>
        <w:t>Czech Confederation of Industry</w:t>
      </w:r>
    </w:p>
    <w:p w:rsidR="001B65FF" w:rsidRDefault="003E4EF4">
      <w:pPr>
        <w:rPr>
          <w:rFonts w:ascii="Times New Roman" w:hAnsi="Times New Roman" w:cs="Times New Roman"/>
          <w:noProof/>
          <w:sz w:val="24"/>
        </w:rPr>
      </w:pPr>
      <w:r>
        <w:rPr>
          <w:rFonts w:ascii="Times New Roman" w:hAnsi="Times New Roman" w:cs="Times New Roman"/>
          <w:noProof/>
        </w:rPr>
        <w:t>17 Oct 17</w:t>
      </w:r>
      <w:r>
        <w:rPr>
          <w:rFonts w:ascii="Times New Roman" w:hAnsi="Times New Roman" w:cs="Times New Roman"/>
          <w:noProof/>
        </w:rPr>
        <w:tab/>
      </w:r>
      <w:r>
        <w:rPr>
          <w:rFonts w:ascii="Times New Roman" w:hAnsi="Times New Roman" w:cs="Times New Roman"/>
          <w:noProof/>
          <w:sz w:val="24"/>
        </w:rPr>
        <w:t>The German Marshall Fund with US Members of Congress</w:t>
      </w:r>
      <w:r>
        <w:rPr>
          <w:rFonts w:ascii="Times New Roman" w:hAnsi="Times New Roman" w:cs="Times New Roman"/>
          <w:noProof/>
        </w:rPr>
        <w:t xml:space="preserve"> </w:t>
      </w:r>
    </w:p>
    <w:p w:rsidR="001B65FF" w:rsidRDefault="003E4EF4">
      <w:pPr>
        <w:rPr>
          <w:rFonts w:ascii="Times New Roman" w:hAnsi="Times New Roman" w:cs="Times New Roman"/>
          <w:noProof/>
          <w:sz w:val="24"/>
        </w:rPr>
      </w:pPr>
      <w:r>
        <w:rPr>
          <w:rFonts w:ascii="Times New Roman" w:hAnsi="Times New Roman" w:cs="Times New Roman"/>
          <w:noProof/>
          <w:sz w:val="24"/>
        </w:rPr>
        <w:t>19 Oct 17</w:t>
      </w:r>
      <w:r>
        <w:rPr>
          <w:rFonts w:ascii="Times New Roman" w:hAnsi="Times New Roman" w:cs="Times New Roman"/>
          <w:noProof/>
          <w:sz w:val="24"/>
        </w:rPr>
        <w:tab/>
        <w:t>Electronic Frontier Fo</w:t>
      </w:r>
      <w:r>
        <w:rPr>
          <w:rFonts w:ascii="Times New Roman" w:hAnsi="Times New Roman" w:cs="Times New Roman"/>
          <w:noProof/>
          <w:sz w:val="24"/>
        </w:rPr>
        <w:t>undation and EDRi</w:t>
      </w:r>
    </w:p>
    <w:p w:rsidR="001B65FF" w:rsidRDefault="003E4EF4">
      <w:pPr>
        <w:rPr>
          <w:rFonts w:ascii="Times New Roman" w:hAnsi="Times New Roman" w:cs="Times New Roman"/>
          <w:noProof/>
          <w:sz w:val="24"/>
        </w:rPr>
      </w:pPr>
      <w:r>
        <w:rPr>
          <w:rFonts w:ascii="Times New Roman" w:hAnsi="Times New Roman" w:cs="Times New Roman"/>
          <w:noProof/>
          <w:sz w:val="24"/>
        </w:rPr>
        <w:t>23 Oct 17</w:t>
      </w:r>
      <w:r>
        <w:rPr>
          <w:rFonts w:ascii="Times New Roman" w:hAnsi="Times New Roman" w:cs="Times New Roman"/>
          <w:noProof/>
          <w:sz w:val="24"/>
        </w:rPr>
        <w:tab/>
        <w:t>Microsoft</w:t>
      </w:r>
    </w:p>
    <w:p w:rsidR="001B65FF" w:rsidRDefault="003E4EF4">
      <w:pPr>
        <w:rPr>
          <w:rFonts w:ascii="Times New Roman" w:hAnsi="Times New Roman" w:cs="Times New Roman"/>
          <w:noProof/>
          <w:sz w:val="24"/>
        </w:rPr>
      </w:pPr>
      <w:r>
        <w:rPr>
          <w:rFonts w:ascii="Times New Roman" w:hAnsi="Times New Roman" w:cs="Times New Roman"/>
          <w:noProof/>
          <w:sz w:val="24"/>
        </w:rPr>
        <w:t>24 Oct 17</w:t>
      </w:r>
      <w:r>
        <w:rPr>
          <w:rFonts w:ascii="Times New Roman" w:hAnsi="Times New Roman" w:cs="Times New Roman"/>
          <w:noProof/>
          <w:sz w:val="24"/>
        </w:rPr>
        <w:tab/>
        <w:t>European Data Protection Supervisor</w:t>
      </w:r>
    </w:p>
    <w:p w:rsidR="001B65FF" w:rsidRDefault="003E4EF4">
      <w:pPr>
        <w:rPr>
          <w:rFonts w:ascii="Times New Roman" w:hAnsi="Times New Roman" w:cs="Times New Roman"/>
          <w:noProof/>
          <w:sz w:val="24"/>
        </w:rPr>
      </w:pPr>
      <w:r>
        <w:rPr>
          <w:rFonts w:ascii="Times New Roman" w:hAnsi="Times New Roman" w:cs="Times New Roman"/>
          <w:noProof/>
          <w:sz w:val="24"/>
        </w:rPr>
        <w:t>12 Oct 17</w:t>
      </w:r>
      <w:r>
        <w:rPr>
          <w:rFonts w:ascii="Times New Roman" w:hAnsi="Times New Roman" w:cs="Times New Roman"/>
          <w:noProof/>
          <w:sz w:val="24"/>
        </w:rPr>
        <w:tab/>
        <w:t>Czech Government Co-ordinator of Digital Agenda</w:t>
      </w:r>
    </w:p>
    <w:p w:rsidR="001B65FF" w:rsidRDefault="003E4EF4">
      <w:pPr>
        <w:rPr>
          <w:rFonts w:ascii="Times New Roman" w:hAnsi="Times New Roman" w:cs="Times New Roman"/>
          <w:noProof/>
          <w:sz w:val="24"/>
        </w:rPr>
      </w:pPr>
      <w:r>
        <w:rPr>
          <w:rFonts w:ascii="Times New Roman" w:hAnsi="Times New Roman" w:cs="Times New Roman"/>
          <w:noProof/>
          <w:sz w:val="24"/>
        </w:rPr>
        <w:t>23 Oct 17</w:t>
      </w:r>
      <w:r>
        <w:rPr>
          <w:rFonts w:ascii="Times New Roman" w:hAnsi="Times New Roman" w:cs="Times New Roman"/>
          <w:noProof/>
          <w:sz w:val="24"/>
        </w:rPr>
        <w:tab/>
        <w:t>Microsoft</w:t>
      </w:r>
    </w:p>
    <w:p w:rsidR="001B65FF" w:rsidRDefault="003E4EF4">
      <w:pPr>
        <w:rPr>
          <w:rFonts w:ascii="Times New Roman" w:hAnsi="Times New Roman" w:cs="Times New Roman"/>
          <w:noProof/>
          <w:sz w:val="24"/>
        </w:rPr>
      </w:pPr>
      <w:r>
        <w:rPr>
          <w:rFonts w:ascii="Times New Roman" w:hAnsi="Times New Roman" w:cs="Times New Roman"/>
          <w:noProof/>
          <w:sz w:val="24"/>
        </w:rPr>
        <w:t>13 Nov 17</w:t>
      </w:r>
      <w:r>
        <w:rPr>
          <w:rFonts w:ascii="Times New Roman" w:hAnsi="Times New Roman" w:cs="Times New Roman"/>
          <w:noProof/>
          <w:sz w:val="24"/>
        </w:rPr>
        <w:tab/>
        <w:t>French Minister of Justice</w:t>
      </w:r>
    </w:p>
    <w:p w:rsidR="001B65FF" w:rsidRDefault="003E4EF4">
      <w:pPr>
        <w:rPr>
          <w:rFonts w:ascii="Times New Roman" w:hAnsi="Times New Roman" w:cs="Times New Roman"/>
          <w:noProof/>
          <w:sz w:val="24"/>
        </w:rPr>
      </w:pPr>
      <w:r>
        <w:rPr>
          <w:rFonts w:ascii="Times New Roman" w:hAnsi="Times New Roman" w:cs="Times New Roman"/>
          <w:noProof/>
          <w:sz w:val="24"/>
        </w:rPr>
        <w:t>17 Nov 17</w:t>
      </w:r>
      <w:r>
        <w:rPr>
          <w:rFonts w:ascii="Times New Roman" w:hAnsi="Times New Roman" w:cs="Times New Roman"/>
          <w:noProof/>
          <w:sz w:val="24"/>
        </w:rPr>
        <w:tab/>
        <w:t>Microsoft</w:t>
      </w:r>
    </w:p>
    <w:p w:rsidR="001B65FF" w:rsidRDefault="003E4EF4">
      <w:pPr>
        <w:ind w:left="1440" w:hanging="1440"/>
        <w:jc w:val="both"/>
        <w:rPr>
          <w:rFonts w:ascii="Times New Roman" w:hAnsi="Times New Roman" w:cs="Times New Roman"/>
          <w:noProof/>
          <w:sz w:val="24"/>
        </w:rPr>
      </w:pPr>
      <w:r>
        <w:rPr>
          <w:rFonts w:ascii="Times New Roman" w:hAnsi="Times New Roman" w:cs="Times New Roman"/>
          <w:noProof/>
          <w:sz w:val="24"/>
        </w:rPr>
        <w:t>20 Nov 17</w:t>
      </w:r>
      <w:r>
        <w:rPr>
          <w:rFonts w:ascii="Times New Roman" w:hAnsi="Times New Roman" w:cs="Times New Roman"/>
          <w:noProof/>
          <w:sz w:val="24"/>
        </w:rPr>
        <w:tab/>
        <w:t>Meeting with Member States’</w:t>
      </w:r>
      <w:r>
        <w:rPr>
          <w:rFonts w:ascii="Times New Roman" w:hAnsi="Times New Roman" w:cs="Times New Roman"/>
          <w:noProof/>
          <w:sz w:val="24"/>
        </w:rPr>
        <w:t xml:space="preserve"> experts to validate assumptions for quantitative and qualitative analysis</w:t>
      </w:r>
    </w:p>
    <w:p w:rsidR="001B65FF" w:rsidRDefault="003E4EF4">
      <w:pPr>
        <w:ind w:left="1440" w:hanging="1440"/>
        <w:jc w:val="both"/>
        <w:rPr>
          <w:rFonts w:ascii="Times New Roman" w:hAnsi="Times New Roman" w:cs="Times New Roman"/>
          <w:noProof/>
          <w:sz w:val="24"/>
        </w:rPr>
      </w:pPr>
      <w:r>
        <w:rPr>
          <w:rFonts w:ascii="Times New Roman" w:hAnsi="Times New Roman" w:cs="Times New Roman"/>
          <w:noProof/>
          <w:sz w:val="24"/>
        </w:rPr>
        <w:t>20 Nov 17</w:t>
      </w:r>
      <w:r>
        <w:rPr>
          <w:rFonts w:ascii="Times New Roman" w:hAnsi="Times New Roman" w:cs="Times New Roman"/>
          <w:noProof/>
          <w:sz w:val="24"/>
        </w:rPr>
        <w:tab/>
        <w:t>Meeting with service providers to validate assumptions for quantitative and qualitative analysis</w:t>
      </w:r>
    </w:p>
    <w:p w:rsidR="001B65FF" w:rsidRDefault="001B65FF">
      <w:pPr>
        <w:pStyle w:val="Heading2"/>
        <w:rPr>
          <w:rFonts w:ascii="Times New Roman" w:hAnsi="Times New Roman" w:cs="Times New Roman"/>
          <w:noProof/>
        </w:rPr>
        <w:sectPr w:rsidR="001B65FF">
          <w:headerReference w:type="even" r:id="rId89"/>
          <w:headerReference w:type="default" r:id="rId90"/>
          <w:footerReference w:type="even" r:id="rId91"/>
          <w:footerReference w:type="default" r:id="rId92"/>
          <w:headerReference w:type="first" r:id="rId93"/>
          <w:footerReference w:type="first" r:id="rId94"/>
          <w:pgSz w:w="11906" w:h="16838"/>
          <w:pgMar w:top="1020" w:right="1701" w:bottom="1020" w:left="1587" w:header="601" w:footer="1077" w:gutter="0"/>
          <w:cols w:space="720"/>
          <w:titlePg/>
        </w:sectPr>
      </w:pPr>
      <w:bookmarkStart w:id="1878" w:name="_Toc498509779"/>
      <w:bookmarkStart w:id="1879" w:name="_Toc498521167"/>
      <w:bookmarkStart w:id="1880" w:name="_Toc498521327"/>
      <w:bookmarkStart w:id="1881" w:name="_Toc498701994"/>
      <w:bookmarkStart w:id="1882" w:name="_Toc498704726"/>
      <w:bookmarkStart w:id="1883" w:name="_Toc499020481"/>
      <w:bookmarkStart w:id="1884" w:name="_Toc499030415"/>
      <w:bookmarkStart w:id="1885" w:name="_Toc499044957"/>
      <w:bookmarkStart w:id="1886" w:name="_Toc499051373"/>
      <w:bookmarkStart w:id="1887" w:name="_Toc499133329"/>
    </w:p>
    <w:p w:rsidR="001B65FF" w:rsidRDefault="003E4EF4">
      <w:pPr>
        <w:pStyle w:val="Heading2"/>
        <w:rPr>
          <w:rFonts w:ascii="Times New Roman" w:hAnsi="Times New Roman" w:cs="Times New Roman"/>
          <w:noProof/>
        </w:rPr>
      </w:pPr>
      <w:bookmarkStart w:id="1888" w:name="_Toc499142899"/>
      <w:bookmarkStart w:id="1889" w:name="_Toc510952895"/>
      <w:r>
        <w:rPr>
          <w:rFonts w:ascii="Times New Roman" w:hAnsi="Times New Roman" w:cs="Times New Roman"/>
          <w:noProof/>
        </w:rPr>
        <w:t xml:space="preserve">Annex 2.3: </w:t>
      </w:r>
      <w:r>
        <w:rPr>
          <w:rFonts w:ascii="Times New Roman" w:hAnsi="Times New Roman" w:cs="Times New Roman"/>
          <w:noProof/>
        </w:rPr>
        <w:t>conferences</w:t>
      </w:r>
      <w:bookmarkEnd w:id="1878"/>
      <w:bookmarkEnd w:id="1879"/>
      <w:bookmarkEnd w:id="1880"/>
      <w:bookmarkEnd w:id="1881"/>
      <w:bookmarkEnd w:id="1882"/>
      <w:bookmarkEnd w:id="1883"/>
      <w:bookmarkEnd w:id="1884"/>
      <w:bookmarkEnd w:id="1885"/>
      <w:bookmarkEnd w:id="1886"/>
      <w:bookmarkEnd w:id="1887"/>
      <w:bookmarkEnd w:id="1888"/>
      <w:bookmarkEnd w:id="1889"/>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Commission representatives also participated in various workshops and conferences to and gather additional input. </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 xml:space="preserve">The list below contains the conferences and workshops organised by third parties in which the Commission participated to provide </w:t>
      </w:r>
      <w:r>
        <w:rPr>
          <w:rFonts w:ascii="Times New Roman" w:hAnsi="Times New Roman" w:cs="Times New Roman"/>
          <w:noProof/>
          <w:sz w:val="24"/>
        </w:rPr>
        <w:t>information on the ongoing work and gather feedback from stakeholders. It includes conferences with bilateral meetings organised by:</w:t>
      </w:r>
    </w:p>
    <w:p w:rsidR="001B65FF" w:rsidRDefault="003E4EF4">
      <w:pPr>
        <w:numPr>
          <w:ilvl w:val="0"/>
          <w:numId w:val="122"/>
        </w:numPr>
        <w:contextualSpacing/>
        <w:rPr>
          <w:rFonts w:ascii="Times New Roman" w:hAnsi="Times New Roman" w:cs="Times New Roman"/>
          <w:noProof/>
          <w:sz w:val="24"/>
        </w:rPr>
      </w:pPr>
      <w:r>
        <w:rPr>
          <w:rFonts w:ascii="Times New Roman" w:hAnsi="Times New Roman" w:cs="Times New Roman"/>
          <w:noProof/>
          <w:sz w:val="24"/>
        </w:rPr>
        <w:t>NGOs.</w:t>
      </w:r>
    </w:p>
    <w:p w:rsidR="001B65FF" w:rsidRDefault="003E4EF4">
      <w:pPr>
        <w:numPr>
          <w:ilvl w:val="0"/>
          <w:numId w:val="122"/>
        </w:numPr>
        <w:contextualSpacing/>
        <w:jc w:val="both"/>
        <w:rPr>
          <w:rFonts w:ascii="Times New Roman" w:hAnsi="Times New Roman" w:cs="Times New Roman"/>
          <w:noProof/>
          <w:sz w:val="24"/>
        </w:rPr>
      </w:pPr>
      <w:r>
        <w:rPr>
          <w:rFonts w:ascii="Times New Roman" w:hAnsi="Times New Roman" w:cs="Times New Roman"/>
          <w:noProof/>
          <w:sz w:val="24"/>
        </w:rPr>
        <w:t>Public authorities from Member States.</w:t>
      </w:r>
    </w:p>
    <w:p w:rsidR="001B65FF" w:rsidRDefault="003E4EF4">
      <w:pPr>
        <w:numPr>
          <w:ilvl w:val="0"/>
          <w:numId w:val="122"/>
        </w:numPr>
        <w:contextualSpacing/>
        <w:jc w:val="both"/>
        <w:rPr>
          <w:rFonts w:ascii="Times New Roman" w:hAnsi="Times New Roman" w:cs="Times New Roman"/>
          <w:noProof/>
          <w:sz w:val="24"/>
        </w:rPr>
      </w:pPr>
      <w:r>
        <w:rPr>
          <w:rFonts w:ascii="Times New Roman" w:hAnsi="Times New Roman" w:cs="Times New Roman"/>
          <w:noProof/>
          <w:sz w:val="24"/>
        </w:rPr>
        <w:t>Intergovernmental organisations.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discussions addressed judicial cooperatio</w:t>
      </w:r>
      <w:r>
        <w:rPr>
          <w:rFonts w:ascii="Times New Roman" w:hAnsi="Times New Roman" w:cs="Times New Roman"/>
          <w:noProof/>
          <w:sz w:val="24"/>
        </w:rPr>
        <w:t>n, direct cooperation and direct access.</w:t>
      </w:r>
    </w:p>
    <w:p w:rsidR="001B65FF" w:rsidRDefault="003E4EF4">
      <w:pPr>
        <w:jc w:val="both"/>
        <w:rPr>
          <w:rFonts w:ascii="Times New Roman" w:hAnsi="Times New Roman" w:cs="Times New Roman"/>
          <w:b/>
          <w:noProof/>
          <w:sz w:val="24"/>
        </w:rPr>
      </w:pPr>
      <w:r>
        <w:rPr>
          <w:rFonts w:ascii="Times New Roman" w:hAnsi="Times New Roman" w:cs="Times New Roman"/>
          <w:noProof/>
          <w:sz w:val="24"/>
        </w:rPr>
        <w:t>List of conferences:</w:t>
      </w:r>
    </w:p>
    <w:p w:rsidR="001B65FF" w:rsidRDefault="003E4EF4">
      <w:pPr>
        <w:rPr>
          <w:rFonts w:ascii="Times New Roman" w:hAnsi="Times New Roman" w:cs="Times New Roman"/>
          <w:noProof/>
          <w:sz w:val="24"/>
        </w:rPr>
      </w:pPr>
      <w:r>
        <w:rPr>
          <w:rFonts w:ascii="Times New Roman" w:hAnsi="Times New Roman" w:cs="Times New Roman"/>
          <w:noProof/>
          <w:sz w:val="24"/>
        </w:rPr>
        <w:t>08 Sep 16</w:t>
      </w:r>
      <w:r>
        <w:rPr>
          <w:rFonts w:ascii="Times New Roman" w:hAnsi="Times New Roman" w:cs="Times New Roman"/>
          <w:noProof/>
          <w:sz w:val="24"/>
        </w:rPr>
        <w:tab/>
        <w:t xml:space="preserve">DIGITALEUROPE </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27 Sept 16</w:t>
      </w:r>
      <w:r>
        <w:rPr>
          <w:rFonts w:ascii="Times New Roman" w:hAnsi="Times New Roman" w:cs="Times New Roman"/>
          <w:noProof/>
          <w:sz w:val="24"/>
        </w:rPr>
        <w:tab/>
        <w:t>Panel on cybercrime organised by the Permanent Representation of Hessen</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19 Oct 16</w:t>
      </w:r>
      <w:r>
        <w:rPr>
          <w:rFonts w:ascii="Times New Roman" w:hAnsi="Times New Roman" w:cs="Times New Roman"/>
          <w:noProof/>
          <w:sz w:val="24"/>
        </w:rPr>
        <w:tab/>
        <w:t>SENTER conference, Vilnius</w:t>
      </w:r>
    </w:p>
    <w:p w:rsidR="001B65FF" w:rsidRDefault="003E4EF4">
      <w:pPr>
        <w:rPr>
          <w:rFonts w:ascii="Times New Roman" w:hAnsi="Times New Roman" w:cs="Times New Roman"/>
          <w:noProof/>
          <w:sz w:val="24"/>
        </w:rPr>
      </w:pPr>
      <w:r>
        <w:rPr>
          <w:rFonts w:ascii="Times New Roman" w:hAnsi="Times New Roman" w:cs="Times New Roman"/>
          <w:noProof/>
          <w:sz w:val="24"/>
        </w:rPr>
        <w:t>14 Nov 16</w:t>
      </w:r>
      <w:r>
        <w:rPr>
          <w:rFonts w:ascii="Times New Roman" w:hAnsi="Times New Roman" w:cs="Times New Roman"/>
          <w:noProof/>
          <w:sz w:val="24"/>
        </w:rPr>
        <w:tab/>
        <w:t xml:space="preserve">Internet and Jurisdiction conference, </w:t>
      </w:r>
      <w:r>
        <w:rPr>
          <w:rFonts w:ascii="Times New Roman" w:hAnsi="Times New Roman" w:cs="Times New Roman"/>
          <w:noProof/>
          <w:sz w:val="24"/>
        </w:rPr>
        <w:t>Paris</w:t>
      </w:r>
    </w:p>
    <w:p w:rsidR="001B65FF" w:rsidRDefault="003E4EF4">
      <w:pPr>
        <w:rPr>
          <w:rFonts w:ascii="Times New Roman" w:hAnsi="Times New Roman" w:cs="Times New Roman"/>
          <w:noProof/>
          <w:sz w:val="24"/>
        </w:rPr>
      </w:pPr>
      <w:r>
        <w:rPr>
          <w:rFonts w:ascii="Times New Roman" w:hAnsi="Times New Roman" w:cs="Times New Roman"/>
          <w:noProof/>
          <w:sz w:val="24"/>
        </w:rPr>
        <w:t>17 Nov 16</w:t>
      </w:r>
      <w:r>
        <w:rPr>
          <w:rFonts w:ascii="Times New Roman" w:hAnsi="Times New Roman" w:cs="Times New Roman"/>
          <w:noProof/>
          <w:sz w:val="24"/>
        </w:rPr>
        <w:tab/>
        <w:t>Forum Europe 4th Annual European Cybersecurity Conference</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23 Nov 16</w:t>
      </w:r>
      <w:r>
        <w:rPr>
          <w:rFonts w:ascii="Times New Roman" w:hAnsi="Times New Roman" w:cs="Times New Roman"/>
          <w:noProof/>
          <w:sz w:val="24"/>
        </w:rPr>
        <w:tab/>
        <w:t>CEPS EUnited against crime: digital evidence, privacy and security in the EU</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25 Jan 17</w:t>
      </w:r>
      <w:r>
        <w:rPr>
          <w:rFonts w:ascii="Times New Roman" w:hAnsi="Times New Roman" w:cs="Times New Roman"/>
          <w:noProof/>
          <w:sz w:val="24"/>
        </w:rPr>
        <w:tab/>
        <w:t>Computers, Privacy and Data Protection (CPDP) Conference Panel on Privacy and Cross-B</w:t>
      </w:r>
      <w:r>
        <w:rPr>
          <w:rFonts w:ascii="Times New Roman" w:hAnsi="Times New Roman" w:cs="Times New Roman"/>
          <w:noProof/>
          <w:sz w:val="24"/>
        </w:rPr>
        <w:t xml:space="preserve">order Requests for Data </w:t>
      </w:r>
    </w:p>
    <w:p w:rsidR="001B65FF" w:rsidRDefault="003E4EF4">
      <w:pPr>
        <w:rPr>
          <w:rFonts w:ascii="Times New Roman" w:hAnsi="Times New Roman" w:cs="Times New Roman"/>
          <w:noProof/>
          <w:sz w:val="24"/>
        </w:rPr>
      </w:pPr>
      <w:r>
        <w:rPr>
          <w:rFonts w:ascii="Times New Roman" w:hAnsi="Times New Roman" w:cs="Times New Roman"/>
          <w:noProof/>
          <w:sz w:val="24"/>
        </w:rPr>
        <w:t>26 Jan 17</w:t>
      </w:r>
      <w:r>
        <w:rPr>
          <w:rFonts w:ascii="Times New Roman" w:hAnsi="Times New Roman" w:cs="Times New Roman"/>
          <w:noProof/>
          <w:sz w:val="24"/>
        </w:rPr>
        <w:tab/>
        <w:t xml:space="preserve">Digital Privacy and Security Working Group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27 Feb 17</w:t>
      </w:r>
      <w:r>
        <w:rPr>
          <w:rFonts w:ascii="Times New Roman" w:hAnsi="Times New Roman" w:cs="Times New Roman"/>
          <w:noProof/>
          <w:sz w:val="24"/>
        </w:rPr>
        <w:tab/>
        <w:t>Internet&amp;Jurisdiction project call</w:t>
      </w:r>
    </w:p>
    <w:p w:rsidR="001B65FF" w:rsidRDefault="003E4EF4">
      <w:pPr>
        <w:ind w:left="1440" w:hanging="1440"/>
        <w:jc w:val="both"/>
        <w:rPr>
          <w:rFonts w:ascii="Times New Roman" w:hAnsi="Times New Roman" w:cs="Times New Roman"/>
          <w:noProof/>
          <w:sz w:val="24"/>
        </w:rPr>
      </w:pPr>
      <w:r>
        <w:rPr>
          <w:rFonts w:ascii="Times New Roman" w:hAnsi="Times New Roman" w:cs="Times New Roman"/>
          <w:noProof/>
          <w:sz w:val="24"/>
        </w:rPr>
        <w:t>25 Apr 17</w:t>
      </w:r>
      <w:r>
        <w:rPr>
          <w:rFonts w:ascii="Times New Roman" w:hAnsi="Times New Roman" w:cs="Times New Roman"/>
          <w:noProof/>
          <w:sz w:val="24"/>
        </w:rPr>
        <w:tab/>
        <w:t>Law enforcement challenges in the online context, University of Luxembourg</w:t>
      </w:r>
    </w:p>
    <w:p w:rsidR="001B65FF" w:rsidRDefault="003E4EF4">
      <w:pPr>
        <w:jc w:val="both"/>
        <w:rPr>
          <w:rFonts w:ascii="Times New Roman" w:hAnsi="Times New Roman" w:cs="Times New Roman"/>
          <w:noProof/>
          <w:sz w:val="24"/>
        </w:rPr>
      </w:pPr>
      <w:r>
        <w:rPr>
          <w:rFonts w:ascii="Times New Roman" w:hAnsi="Times New Roman" w:cs="Times New Roman"/>
          <w:noProof/>
          <w:sz w:val="24"/>
        </w:rPr>
        <w:t>02 May 17</w:t>
      </w:r>
      <w:r>
        <w:rPr>
          <w:rFonts w:ascii="Times New Roman" w:hAnsi="Times New Roman" w:cs="Times New Roman"/>
          <w:noProof/>
          <w:sz w:val="24"/>
        </w:rPr>
        <w:tab/>
        <w:t>Council of Europe Budapest Convention</w:t>
      </w:r>
      <w:r>
        <w:rPr>
          <w:rFonts w:ascii="Times New Roman" w:hAnsi="Times New Roman" w:cs="Times New Roman"/>
          <w:noProof/>
          <w:sz w:val="24"/>
        </w:rPr>
        <w:t xml:space="preserve"> Committee</w:t>
      </w:r>
    </w:p>
    <w:p w:rsidR="001B65FF" w:rsidRDefault="003E4EF4">
      <w:pPr>
        <w:jc w:val="both"/>
        <w:rPr>
          <w:rFonts w:ascii="Times New Roman" w:hAnsi="Times New Roman" w:cs="Times New Roman"/>
          <w:noProof/>
          <w:sz w:val="24"/>
        </w:rPr>
      </w:pPr>
      <w:r>
        <w:rPr>
          <w:rFonts w:ascii="Times New Roman" w:hAnsi="Times New Roman" w:cs="Times New Roman"/>
          <w:noProof/>
          <w:sz w:val="24"/>
        </w:rPr>
        <w:t>04 May 17</w:t>
      </w:r>
      <w:r>
        <w:rPr>
          <w:rFonts w:ascii="Times New Roman" w:hAnsi="Times New Roman" w:cs="Times New Roman"/>
          <w:noProof/>
          <w:sz w:val="24"/>
        </w:rPr>
        <w:tab/>
        <w:t>ALDE Digital Working Group</w:t>
      </w:r>
    </w:p>
    <w:p w:rsidR="001B65FF" w:rsidRDefault="003E4EF4">
      <w:pPr>
        <w:jc w:val="both"/>
        <w:rPr>
          <w:rFonts w:ascii="Times New Roman" w:hAnsi="Times New Roman" w:cs="Times New Roman"/>
          <w:noProof/>
          <w:sz w:val="24"/>
        </w:rPr>
      </w:pPr>
      <w:r>
        <w:rPr>
          <w:rFonts w:ascii="Times New Roman" w:hAnsi="Times New Roman" w:cs="Times New Roman"/>
          <w:noProof/>
          <w:sz w:val="24"/>
        </w:rPr>
        <w:t>12 May 17</w:t>
      </w:r>
      <w:r>
        <w:rPr>
          <w:rFonts w:ascii="Times New Roman" w:hAnsi="Times New Roman" w:cs="Times New Roman"/>
          <w:noProof/>
          <w:sz w:val="24"/>
        </w:rPr>
        <w:tab/>
        <w:t>Council Horizontal Working Party on Cyber Issues</w:t>
      </w:r>
    </w:p>
    <w:p w:rsidR="001B65FF" w:rsidRDefault="003E4EF4">
      <w:pPr>
        <w:ind w:left="1440" w:hanging="1440"/>
        <w:jc w:val="both"/>
        <w:rPr>
          <w:rFonts w:ascii="Times New Roman" w:hAnsi="Times New Roman" w:cs="Times New Roman"/>
          <w:noProof/>
          <w:sz w:val="24"/>
        </w:rPr>
      </w:pPr>
      <w:r>
        <w:rPr>
          <w:rFonts w:ascii="Times New Roman" w:hAnsi="Times New Roman" w:cs="Times New Roman"/>
          <w:noProof/>
          <w:sz w:val="24"/>
        </w:rPr>
        <w:t>19 May 17</w:t>
      </w:r>
      <w:r>
        <w:rPr>
          <w:rFonts w:ascii="Times New Roman" w:hAnsi="Times New Roman" w:cs="Times New Roman"/>
          <w:noProof/>
          <w:sz w:val="24"/>
        </w:rPr>
        <w:tab/>
        <w:t>EuroDIG Panel on Criminal Justice on the Internet: Identifying common solutions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31 May 17</w:t>
      </w:r>
      <w:r>
        <w:rPr>
          <w:rFonts w:ascii="Times New Roman" w:hAnsi="Times New Roman" w:cs="Times New Roman"/>
          <w:noProof/>
          <w:sz w:val="24"/>
        </w:rPr>
        <w:tab/>
        <w:t>Internet&amp;Jurisdiction Project call</w:t>
      </w:r>
    </w:p>
    <w:p w:rsidR="001B65FF" w:rsidRDefault="003E4EF4">
      <w:pPr>
        <w:ind w:left="1440" w:hanging="1440"/>
        <w:jc w:val="both"/>
        <w:rPr>
          <w:rFonts w:ascii="Times New Roman" w:hAnsi="Times New Roman" w:cs="Times New Roman"/>
          <w:noProof/>
          <w:sz w:val="24"/>
        </w:rPr>
      </w:pPr>
      <w:r>
        <w:rPr>
          <w:rFonts w:ascii="Times New Roman" w:hAnsi="Times New Roman" w:cs="Times New Roman"/>
          <w:noProof/>
          <w:sz w:val="24"/>
        </w:rPr>
        <w:t>1 June 17</w:t>
      </w:r>
      <w:r>
        <w:rPr>
          <w:rFonts w:ascii="Times New Roman" w:hAnsi="Times New Roman" w:cs="Times New Roman"/>
          <w:noProof/>
          <w:sz w:val="24"/>
        </w:rPr>
        <w:tab/>
        <w:t xml:space="preserve">CDT </w:t>
      </w:r>
      <w:r>
        <w:rPr>
          <w:rFonts w:ascii="Times New Roman" w:hAnsi="Times New Roman" w:cs="Times New Roman"/>
          <w:noProof/>
          <w:sz w:val="24"/>
        </w:rPr>
        <w:t>Digital Security/Privacy WG Call on Developments in the EU and US on Cross Border Law Enforcement Demands</w:t>
      </w:r>
    </w:p>
    <w:p w:rsidR="001B65FF" w:rsidRDefault="003E4EF4">
      <w:pPr>
        <w:ind w:left="1440" w:hanging="1440"/>
        <w:jc w:val="both"/>
        <w:rPr>
          <w:rFonts w:ascii="Times New Roman" w:hAnsi="Times New Roman" w:cs="Times New Roman"/>
          <w:noProof/>
          <w:sz w:val="24"/>
        </w:rPr>
      </w:pPr>
      <w:r>
        <w:rPr>
          <w:rFonts w:ascii="Times New Roman" w:hAnsi="Times New Roman" w:cs="Times New Roman"/>
          <w:noProof/>
          <w:sz w:val="24"/>
        </w:rPr>
        <w:t>7-9 June 17</w:t>
      </w:r>
      <w:r>
        <w:rPr>
          <w:rFonts w:ascii="Times New Roman" w:hAnsi="Times New Roman" w:cs="Times New Roman"/>
          <w:noProof/>
          <w:sz w:val="24"/>
        </w:rPr>
        <w:tab/>
        <w:t>Plenary meeting of the Convention Committee (T-CY) of the Council of Europe Budapest Convention on Cybercrime</w:t>
      </w:r>
    </w:p>
    <w:p w:rsidR="001B65FF" w:rsidRDefault="003E4EF4">
      <w:pPr>
        <w:jc w:val="both"/>
        <w:rPr>
          <w:rFonts w:ascii="Times New Roman" w:hAnsi="Times New Roman" w:cs="Times New Roman"/>
          <w:noProof/>
          <w:sz w:val="24"/>
        </w:rPr>
      </w:pPr>
      <w:r>
        <w:rPr>
          <w:rFonts w:ascii="Times New Roman" w:hAnsi="Times New Roman" w:cs="Times New Roman"/>
          <w:noProof/>
          <w:sz w:val="24"/>
        </w:rPr>
        <w:t>20 Jun 17</w:t>
      </w:r>
      <w:r>
        <w:rPr>
          <w:rFonts w:ascii="Times New Roman" w:hAnsi="Times New Roman" w:cs="Times New Roman"/>
          <w:noProof/>
          <w:sz w:val="24"/>
        </w:rPr>
        <w:tab/>
        <w:t>Internet&amp;Jurisdict</w:t>
      </w:r>
      <w:r>
        <w:rPr>
          <w:rFonts w:ascii="Times New Roman" w:hAnsi="Times New Roman" w:cs="Times New Roman"/>
          <w:noProof/>
          <w:sz w:val="24"/>
        </w:rPr>
        <w:t>ion Project call</w:t>
      </w:r>
    </w:p>
    <w:p w:rsidR="001B65FF" w:rsidRDefault="003E4EF4">
      <w:pPr>
        <w:jc w:val="both"/>
        <w:rPr>
          <w:rFonts w:ascii="Times New Roman" w:hAnsi="Times New Roman" w:cs="Times New Roman"/>
          <w:noProof/>
          <w:sz w:val="24"/>
        </w:rPr>
      </w:pPr>
      <w:r>
        <w:rPr>
          <w:rFonts w:ascii="Times New Roman" w:hAnsi="Times New Roman" w:cs="Times New Roman"/>
          <w:noProof/>
          <w:sz w:val="24"/>
        </w:rPr>
        <w:t>27 Jun 17</w:t>
      </w:r>
      <w:r>
        <w:rPr>
          <w:rFonts w:ascii="Times New Roman" w:hAnsi="Times New Roman" w:cs="Times New Roman"/>
          <w:noProof/>
          <w:sz w:val="24"/>
        </w:rPr>
        <w:tab/>
        <w:t xml:space="preserve">Digital Advisory Council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24 Jul 17</w:t>
      </w:r>
      <w:r>
        <w:rPr>
          <w:rFonts w:ascii="Times New Roman" w:hAnsi="Times New Roman" w:cs="Times New Roman"/>
          <w:noProof/>
          <w:sz w:val="24"/>
        </w:rPr>
        <w:tab/>
        <w:t>Internet&amp;Jurisdiction Project call</w:t>
      </w:r>
    </w:p>
    <w:p w:rsidR="001B65FF" w:rsidRDefault="003E4EF4">
      <w:pPr>
        <w:ind w:left="1440" w:hanging="1440"/>
        <w:jc w:val="both"/>
        <w:rPr>
          <w:rFonts w:ascii="Times New Roman" w:hAnsi="Times New Roman" w:cs="Times New Roman"/>
          <w:noProof/>
          <w:sz w:val="24"/>
        </w:rPr>
      </w:pPr>
      <w:r>
        <w:rPr>
          <w:rFonts w:ascii="Times New Roman" w:hAnsi="Times New Roman" w:cs="Times New Roman"/>
          <w:noProof/>
          <w:sz w:val="24"/>
        </w:rPr>
        <w:t>19 Sep 17</w:t>
      </w:r>
      <w:r>
        <w:rPr>
          <w:rFonts w:ascii="Times New Roman" w:hAnsi="Times New Roman" w:cs="Times New Roman"/>
          <w:noProof/>
          <w:sz w:val="24"/>
        </w:rPr>
        <w:tab/>
        <w:t>BITKOM Privacy Conference: Panel on “Law Enforcement and Multilateral Legal Assistance Treaties”</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09 Nov 17</w:t>
      </w:r>
      <w:r>
        <w:rPr>
          <w:rFonts w:ascii="Times New Roman" w:hAnsi="Times New Roman" w:cs="Times New Roman"/>
          <w:noProof/>
          <w:sz w:val="24"/>
        </w:rPr>
        <w:tab/>
        <w:t>Panel on "Finding Solutions for Law Enfor</w:t>
      </w:r>
      <w:r>
        <w:rPr>
          <w:rFonts w:ascii="Times New Roman" w:hAnsi="Times New Roman" w:cs="Times New Roman"/>
          <w:noProof/>
          <w:sz w:val="24"/>
        </w:rPr>
        <w:t>cement Access to Digital Evidence"</w:t>
      </w:r>
    </w:p>
    <w:p w:rsidR="001B65FF" w:rsidRDefault="003E4EF4">
      <w:pPr>
        <w:ind w:left="1440" w:hanging="1440"/>
        <w:rPr>
          <w:rFonts w:ascii="Times New Roman" w:hAnsi="Times New Roman" w:cs="Times New Roman"/>
          <w:noProof/>
          <w:sz w:val="24"/>
        </w:rPr>
      </w:pPr>
      <w:r>
        <w:rPr>
          <w:rFonts w:ascii="Times New Roman" w:hAnsi="Times New Roman" w:cs="Times New Roman"/>
          <w:noProof/>
          <w:sz w:val="24"/>
        </w:rPr>
        <w:t>16 Nov 17</w:t>
      </w:r>
      <w:r>
        <w:rPr>
          <w:rFonts w:ascii="Times New Roman" w:hAnsi="Times New Roman" w:cs="Times New Roman"/>
          <w:noProof/>
          <w:sz w:val="24"/>
        </w:rPr>
        <w:tab/>
        <w:t xml:space="preserve">EURACTIV &amp; Microsoft panel debate "Digital Evidence: Europe’s Fragmented Crime Scene" </w:t>
      </w:r>
    </w:p>
    <w:p w:rsidR="001B65FF" w:rsidRDefault="001B65FF">
      <w:pPr>
        <w:jc w:val="both"/>
        <w:rPr>
          <w:rFonts w:ascii="Times New Roman" w:hAnsi="Times New Roman" w:cs="Times New Roman"/>
          <w:noProof/>
          <w:sz w:val="24"/>
        </w:rPr>
      </w:pPr>
    </w:p>
    <w:p w:rsidR="001B65FF" w:rsidRDefault="001B65FF">
      <w:pPr>
        <w:rPr>
          <w:rFonts w:ascii="Times New Roman" w:hAnsi="Times New Roman" w:cs="Times New Roman"/>
          <w:noProof/>
        </w:rPr>
        <w:sectPr w:rsidR="001B65FF">
          <w:headerReference w:type="even" r:id="rId95"/>
          <w:headerReference w:type="default" r:id="rId96"/>
          <w:footerReference w:type="even" r:id="rId97"/>
          <w:footerReference w:type="default" r:id="rId98"/>
          <w:headerReference w:type="first" r:id="rId99"/>
          <w:footerReference w:type="first" r:id="rId100"/>
          <w:pgSz w:w="11906" w:h="16838"/>
          <w:pgMar w:top="1020" w:right="1701" w:bottom="1020" w:left="1587" w:header="601" w:footer="1077" w:gutter="0"/>
          <w:cols w:space="720"/>
          <w:titlePg/>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1890" w:name="_Toc498509780"/>
      <w:bookmarkStart w:id="1891" w:name="_Toc498521168"/>
      <w:bookmarkStart w:id="1892" w:name="_Toc498521328"/>
      <w:bookmarkStart w:id="1893" w:name="_Toc498701995"/>
      <w:bookmarkStart w:id="1894" w:name="_Toc498704727"/>
      <w:bookmarkStart w:id="1895" w:name="_Toc499020482"/>
      <w:bookmarkStart w:id="1896" w:name="_Toc499030416"/>
      <w:bookmarkStart w:id="1897" w:name="_Toc499044958"/>
      <w:bookmarkStart w:id="1898" w:name="_Toc499051374"/>
      <w:bookmarkStart w:id="1899" w:name="_Toc499133330"/>
      <w:bookmarkStart w:id="1900" w:name="_Toc499142900"/>
      <w:bookmarkStart w:id="1901" w:name="_Toc510952896"/>
      <w:r>
        <w:rPr>
          <w:rFonts w:ascii="Times New Roman" w:eastAsia="Times New Roman" w:hAnsi="Times New Roman" w:cs="Times New Roman"/>
          <w:b/>
          <w:smallCaps/>
          <w:noProof/>
          <w:sz w:val="24"/>
          <w:szCs w:val="20"/>
        </w:rPr>
        <w:t>Annex 3: Who is affected and how?</w:t>
      </w:r>
      <w:bookmarkEnd w:id="1852"/>
      <w:bookmarkEnd w:id="1853"/>
      <w:bookmarkEnd w:id="1854"/>
      <w:bookmarkEnd w:id="1855"/>
      <w:bookmarkEnd w:id="1890"/>
      <w:bookmarkEnd w:id="1891"/>
      <w:bookmarkEnd w:id="1892"/>
      <w:bookmarkEnd w:id="1893"/>
      <w:bookmarkEnd w:id="1894"/>
      <w:bookmarkEnd w:id="1895"/>
      <w:bookmarkEnd w:id="1896"/>
      <w:bookmarkEnd w:id="1897"/>
      <w:bookmarkEnd w:id="1898"/>
      <w:bookmarkEnd w:id="1899"/>
      <w:bookmarkEnd w:id="1900"/>
      <w:bookmarkEnd w:id="1901"/>
    </w:p>
    <w:p w:rsidR="001B65FF" w:rsidRDefault="003E4EF4">
      <w:pPr>
        <w:pStyle w:val="Heading2"/>
        <w:numPr>
          <w:ilvl w:val="0"/>
          <w:numId w:val="5"/>
        </w:numPr>
        <w:rPr>
          <w:rFonts w:ascii="Times New Roman" w:hAnsi="Times New Roman" w:cs="Times New Roman"/>
          <w:noProof/>
        </w:rPr>
      </w:pPr>
      <w:bookmarkStart w:id="1902" w:name="_Toc481484491"/>
      <w:bookmarkStart w:id="1903" w:name="_Toc497927307"/>
      <w:bookmarkStart w:id="1904" w:name="_Toc497927923"/>
      <w:bookmarkStart w:id="1905" w:name="_Toc497928189"/>
      <w:bookmarkStart w:id="1906" w:name="_Toc498509781"/>
      <w:bookmarkStart w:id="1907" w:name="_Toc498521169"/>
      <w:bookmarkStart w:id="1908" w:name="_Toc498521329"/>
      <w:bookmarkStart w:id="1909" w:name="_Toc498701996"/>
      <w:bookmarkStart w:id="1910" w:name="_Toc498704728"/>
      <w:bookmarkStart w:id="1911" w:name="_Toc499020483"/>
      <w:bookmarkStart w:id="1912" w:name="_Toc499030417"/>
      <w:bookmarkStart w:id="1913" w:name="_Toc499044959"/>
      <w:bookmarkStart w:id="1914" w:name="_Toc499051375"/>
      <w:bookmarkStart w:id="1915" w:name="_Toc499130052"/>
      <w:bookmarkStart w:id="1916" w:name="_Toc499133331"/>
      <w:bookmarkStart w:id="1917" w:name="_Toc499142901"/>
      <w:bookmarkStart w:id="1918" w:name="_Toc510952897"/>
      <w:r>
        <w:rPr>
          <w:rFonts w:ascii="Times New Roman" w:hAnsi="Times New Roman" w:cs="Times New Roman"/>
          <w:noProof/>
        </w:rPr>
        <w:t xml:space="preserve">Practical implications of </w:t>
      </w:r>
      <w:r>
        <w:rPr>
          <w:rFonts w:ascii="Times New Roman" w:hAnsi="Times New Roman" w:cs="Times New Roman"/>
          <w:noProof/>
        </w:rPr>
        <w:t>the initiative</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rsidR="001B65FF" w:rsidRDefault="003E4EF4">
      <w:pPr>
        <w:spacing w:before="240"/>
        <w:jc w:val="both"/>
        <w:rPr>
          <w:rFonts w:ascii="Times New Roman" w:hAnsi="Times New Roman" w:cs="Times New Roman"/>
          <w:noProof/>
          <w:sz w:val="24"/>
        </w:rPr>
      </w:pPr>
      <w:r>
        <w:rPr>
          <w:rFonts w:ascii="Times New Roman" w:hAnsi="Times New Roman" w:cs="Times New Roman"/>
          <w:i/>
          <w:noProof/>
          <w:sz w:val="24"/>
          <w:szCs w:val="24"/>
        </w:rPr>
        <w:t>For individuals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initiative primarily addresses Member States' law enforcement and judicial authorities and digital service providers (businesses) that are active on the EU market. The initiative does not contain regulatory obligations fo</w:t>
      </w:r>
      <w:r>
        <w:rPr>
          <w:rFonts w:ascii="Times New Roman" w:hAnsi="Times New Roman" w:cs="Times New Roman"/>
          <w:noProof/>
          <w:sz w:val="24"/>
        </w:rPr>
        <w:t>r citizens and/or consumers, thus, does not create additional costs related thereto.</w:t>
      </w:r>
    </w:p>
    <w:p w:rsidR="001B65FF" w:rsidRDefault="003E4EF4">
      <w:pPr>
        <w:jc w:val="both"/>
        <w:rPr>
          <w:rFonts w:ascii="Times New Roman" w:hAnsi="Times New Roman" w:cs="Times New Roman"/>
          <w:i/>
          <w:noProof/>
          <w:sz w:val="24"/>
        </w:rPr>
      </w:pPr>
      <w:r>
        <w:rPr>
          <w:rFonts w:ascii="Times New Roman" w:hAnsi="Times New Roman" w:cs="Times New Roman"/>
          <w:i/>
          <w:noProof/>
          <w:sz w:val="24"/>
        </w:rPr>
        <w:t>For digital service providers (businesses)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practical implications of this initiative are related to two areas: non-legislative action and the direct cooperation legisl</w:t>
      </w:r>
      <w:r>
        <w:rPr>
          <w:rFonts w:ascii="Times New Roman" w:hAnsi="Times New Roman" w:cs="Times New Roman"/>
          <w:noProof/>
          <w:sz w:val="24"/>
        </w:rPr>
        <w:t>ation.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As for the non-legislative actions, </w:t>
      </w:r>
      <w:r>
        <w:rPr>
          <w:rFonts w:ascii="Times New Roman" w:hAnsi="Times New Roman"/>
          <w:noProof/>
          <w:sz w:val="24"/>
        </w:rPr>
        <w:t>the measures proposed would be voluntary and thus compliance will depend on the willingness of the service providers to take these actions.</w:t>
      </w:r>
      <w:r>
        <w:rPr>
          <w:rFonts w:ascii="Times New Roman" w:hAnsi="Times New Roman" w:cs="Times New Roman"/>
          <w:noProof/>
          <w:sz w:val="24"/>
        </w:rPr>
        <w:t xml:space="preserve"> The main implications will be the creation of the SPOC and streamlining s</w:t>
      </w:r>
      <w:r>
        <w:rPr>
          <w:rFonts w:ascii="Times New Roman" w:hAnsi="Times New Roman" w:cs="Times New Roman"/>
          <w:noProof/>
          <w:sz w:val="24"/>
        </w:rPr>
        <w:t>ervice providers' policies. Implementation of these measures is expected to take place in 2018-2019.</w:t>
      </w:r>
    </w:p>
    <w:p w:rsidR="001B65FF" w:rsidRDefault="003E4EF4">
      <w:pPr>
        <w:jc w:val="both"/>
        <w:rPr>
          <w:rFonts w:ascii="Times New Roman" w:eastAsia="Calibri" w:hAnsi="Times New Roman" w:cs="Times New Roman"/>
          <w:noProof/>
          <w:sz w:val="24"/>
          <w:szCs w:val="24"/>
          <w:lang w:eastAsia="ar-SA"/>
        </w:rPr>
      </w:pPr>
      <w:r>
        <w:rPr>
          <w:rFonts w:ascii="Times New Roman" w:eastAsia="Calibri" w:hAnsi="Times New Roman" w:cs="Times New Roman"/>
          <w:noProof/>
          <w:sz w:val="24"/>
          <w:szCs w:val="24"/>
          <w:lang w:eastAsia="ar-SA"/>
        </w:rPr>
        <w:t>Those practical measures addressed to service providers (single points of entry, streamlining of policies) would generate some costs for service providers,</w:t>
      </w:r>
      <w:r>
        <w:rPr>
          <w:rFonts w:ascii="Times New Roman" w:eastAsia="Calibri" w:hAnsi="Times New Roman" w:cs="Times New Roman"/>
          <w:noProof/>
          <w:sz w:val="24"/>
          <w:szCs w:val="24"/>
          <w:lang w:eastAsia="ar-SA"/>
        </w:rPr>
        <w:t xml:space="preserve"> in particular if changes to procedures and standard terms of contracts have to be implemented, but public authorities</w:t>
      </w:r>
      <w:r>
        <w:rPr>
          <w:rFonts w:ascii="Times New Roman" w:hAnsi="Times New Roman" w:cs="Times New Roman"/>
          <w:noProof/>
          <w:sz w:val="24"/>
          <w:szCs w:val="24"/>
        </w:rPr>
        <w:t xml:space="preserve"> would be faced with less, more consistent requests and policies, and would not have to adapt to a variety of individual service providers' policies, leading </w:t>
      </w:r>
      <w:r>
        <w:rPr>
          <w:rFonts w:ascii="Times New Roman" w:eastAsia="Calibri" w:hAnsi="Times New Roman" w:cs="Times New Roman"/>
          <w:noProof/>
          <w:sz w:val="24"/>
          <w:szCs w:val="24"/>
          <w:lang w:eastAsia="ar-SA"/>
        </w:rPr>
        <w:t>to cost reductions for them.</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rPr>
        <w:t>The key obligations would result from the direct cooperation legislat</w:t>
      </w:r>
      <w:r>
        <w:rPr>
          <w:rFonts w:ascii="Times New Roman" w:hAnsi="Times New Roman" w:cs="Times New Roman"/>
          <w:noProof/>
          <w:sz w:val="24"/>
        </w:rPr>
        <w:t>ion which would require service providers providing data directly to public authorities in other Member States. As explained in Annex 4, for both the public and the private sector, administrative and compliance costs arise from implementing new legislation</w:t>
      </w:r>
      <w:r>
        <w:rPr>
          <w:rFonts w:ascii="Times New Roman" w:hAnsi="Times New Roman" w:cs="Times New Roman"/>
          <w:noProof/>
          <w:sz w:val="24"/>
        </w:rPr>
        <w:t xml:space="preserve">. Service providers would also have to adapt their standard terms and conditions to the new legal framework. </w:t>
      </w:r>
      <w:r>
        <w:rPr>
          <w:rFonts w:ascii="Times New Roman" w:hAnsi="Times New Roman" w:cs="Times New Roman"/>
          <w:noProof/>
          <w:sz w:val="24"/>
          <w:szCs w:val="24"/>
        </w:rPr>
        <w:t xml:space="preserve">A moderate increase in the total number of requests being issued by public authorities could be expected. </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szCs w:val="24"/>
        </w:rPr>
        <w:t>A cost-generating factor for the service</w:t>
      </w:r>
      <w:r>
        <w:rPr>
          <w:rFonts w:ascii="Times New Roman" w:hAnsi="Times New Roman" w:cs="Times New Roman"/>
          <w:noProof/>
          <w:sz w:val="24"/>
          <w:szCs w:val="24"/>
        </w:rPr>
        <w:t xml:space="preserve"> providers would be the obligation to designate a legal representative in the Union, in particular for service providers not established in the Union, who would have to mandate somebody in the Union to carry out this task. In particular for SME's, there is</w:t>
      </w:r>
      <w:r>
        <w:rPr>
          <w:rFonts w:ascii="Times New Roman" w:hAnsi="Times New Roman" w:cs="Times New Roman"/>
          <w:noProof/>
          <w:sz w:val="24"/>
          <w:szCs w:val="24"/>
        </w:rPr>
        <w:t xml:space="preserve"> a fear that this could represent an important burden. On the other hand, this legal representative could be shared between service providers, and the legal representative may accumulate different functions (e.g. GDPR or ePrivacy representatives in additio</w:t>
      </w:r>
      <w:r>
        <w:rPr>
          <w:rFonts w:ascii="Times New Roman" w:hAnsi="Times New Roman" w:cs="Times New Roman"/>
          <w:noProof/>
          <w:sz w:val="24"/>
          <w:szCs w:val="24"/>
        </w:rPr>
        <w:t>n to the production order legal representative). In addition, they would have to establish internal procedures so that the legal representative, upon request, gets the data concerned within the deadline.</w:t>
      </w:r>
    </w:p>
    <w:p w:rsidR="001B65FF" w:rsidRDefault="003E4EF4">
      <w:pPr>
        <w:jc w:val="both"/>
        <w:rPr>
          <w:rFonts w:ascii="Times New Roman" w:hAnsi="Times New Roman" w:cs="Times New Roman"/>
          <w:i/>
          <w:noProof/>
          <w:sz w:val="24"/>
        </w:rPr>
      </w:pPr>
      <w:r>
        <w:rPr>
          <w:rFonts w:ascii="Times New Roman" w:hAnsi="Times New Roman" w:cs="Times New Roman"/>
          <w:noProof/>
          <w:sz w:val="24"/>
        </w:rPr>
        <w:t>A combination of 7 measures would result in cumulate</w:t>
      </w:r>
      <w:r>
        <w:rPr>
          <w:rFonts w:ascii="Times New Roman" w:hAnsi="Times New Roman" w:cs="Times New Roman"/>
          <w:noProof/>
          <w:sz w:val="24"/>
        </w:rPr>
        <w:t xml:space="preserve">d cost reductions for the service providers compared to the baseline scenario. </w:t>
      </w:r>
    </w:p>
    <w:p w:rsidR="001B65FF" w:rsidRDefault="003E4EF4">
      <w:pPr>
        <w:jc w:val="both"/>
        <w:rPr>
          <w:rFonts w:ascii="Times New Roman" w:hAnsi="Times New Roman" w:cs="Times New Roman"/>
          <w:i/>
          <w:noProof/>
          <w:sz w:val="24"/>
        </w:rPr>
      </w:pPr>
      <w:r>
        <w:rPr>
          <w:rFonts w:ascii="Times New Roman" w:hAnsi="Times New Roman" w:cs="Times New Roman"/>
          <w:i/>
          <w:noProof/>
          <w:sz w:val="24"/>
        </w:rPr>
        <w:t>For Member States, law enforcement and judicial authorities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Same as for the service providers, the measures proposed under non-legislative actions, would be voluntary and thus </w:t>
      </w:r>
      <w:r>
        <w:rPr>
          <w:rFonts w:ascii="Times New Roman" w:hAnsi="Times New Roman" w:cs="Times New Roman"/>
          <w:noProof/>
          <w:sz w:val="24"/>
        </w:rPr>
        <w:t>compliance will depend on the willingness of the Member States to take these actions. The main implications will be the development of the secure online platform, the creation of the SPOC and of an online portal, standardisation and reduction of forms used</w:t>
      </w:r>
      <w:r>
        <w:rPr>
          <w:rFonts w:ascii="Times New Roman" w:hAnsi="Times New Roman" w:cs="Times New Roman"/>
          <w:noProof/>
          <w:sz w:val="24"/>
        </w:rPr>
        <w:t xml:space="preserve"> by law enforcement and judiciary, and training. </w:t>
      </w:r>
      <w:r>
        <w:rPr>
          <w:rFonts w:ascii="Times New Roman" w:hAnsi="Times New Roman"/>
          <w:noProof/>
          <w:sz w:val="24"/>
        </w:rPr>
        <w:t>Implementation of these measures is expected to take place in 2018-2019.</w:t>
      </w:r>
    </w:p>
    <w:p w:rsidR="001B65FF" w:rsidRDefault="003E4EF4">
      <w:pPr>
        <w:jc w:val="both"/>
        <w:rPr>
          <w:rFonts w:ascii="Times New Roman" w:eastAsia="Calibri" w:hAnsi="Times New Roman" w:cs="Times New Roman"/>
          <w:noProof/>
          <w:sz w:val="24"/>
          <w:szCs w:val="24"/>
          <w:lang w:eastAsia="ar-SA"/>
        </w:rPr>
      </w:pPr>
      <w:r>
        <w:rPr>
          <w:rFonts w:ascii="Times New Roman" w:hAnsi="Times New Roman" w:cs="Times New Roman"/>
          <w:noProof/>
          <w:sz w:val="24"/>
        </w:rPr>
        <w:t xml:space="preserve">The development of the secure online platform and </w:t>
      </w:r>
      <w:r>
        <w:rPr>
          <w:rFonts w:ascii="Times New Roman" w:eastAsia="Calibri" w:hAnsi="Times New Roman" w:cs="Times New Roman"/>
          <w:noProof/>
          <w:sz w:val="24"/>
          <w:szCs w:val="24"/>
          <w:lang w:eastAsia="ar-SA"/>
        </w:rPr>
        <w:t xml:space="preserve">the implementation of practical measures to improve cooperation between public </w:t>
      </w:r>
      <w:r>
        <w:rPr>
          <w:rFonts w:ascii="Times New Roman" w:eastAsia="Calibri" w:hAnsi="Times New Roman" w:cs="Times New Roman"/>
          <w:noProof/>
          <w:sz w:val="24"/>
          <w:szCs w:val="24"/>
          <w:lang w:eastAsia="ar-SA"/>
        </w:rPr>
        <w:t>authorities and service providers, in particular those that are addressed to public authorities (SPOC, training, standardised forms, online portal) would generate some costs for public authorities,</w:t>
      </w:r>
      <w:r>
        <w:rPr>
          <w:rStyle w:val="FootnoteReference"/>
          <w:rFonts w:ascii="Times New Roman" w:eastAsia="Calibri" w:hAnsi="Times New Roman" w:cs="Times New Roman"/>
          <w:noProof/>
          <w:sz w:val="24"/>
          <w:szCs w:val="24"/>
          <w:lang w:eastAsia="ar-SA"/>
        </w:rPr>
        <w:footnoteReference w:id="181"/>
      </w:r>
      <w:r>
        <w:rPr>
          <w:rFonts w:ascii="Times New Roman" w:hAnsi="Times New Roman" w:cs="Times New Roman"/>
          <w:noProof/>
          <w:sz w:val="24"/>
        </w:rPr>
        <w:t xml:space="preserve"> as explained in Annex 4 to this impact assessment. </w:t>
      </w:r>
      <w:r>
        <w:rPr>
          <w:rFonts w:ascii="Times New Roman" w:eastAsia="Calibri" w:hAnsi="Times New Roman" w:cs="Times New Roman"/>
          <w:noProof/>
          <w:sz w:val="24"/>
          <w:szCs w:val="24"/>
          <w:lang w:eastAsia="ar-SA"/>
        </w:rPr>
        <w:t>At the</w:t>
      </w:r>
      <w:r>
        <w:rPr>
          <w:rFonts w:ascii="Times New Roman" w:eastAsia="Calibri" w:hAnsi="Times New Roman" w:cs="Times New Roman"/>
          <w:noProof/>
          <w:sz w:val="24"/>
          <w:szCs w:val="24"/>
          <w:lang w:eastAsia="ar-SA"/>
        </w:rPr>
        <w:t xml:space="preserve"> same time, they would also improve the quality of requests and would therefore lead to an overall reduction of resources and costs for both service providers and public authorities. </w:t>
      </w:r>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rPr>
        <w:t>The public sector would incur administrative and compliance costs from i</w:t>
      </w:r>
      <w:r>
        <w:rPr>
          <w:rFonts w:ascii="Times New Roman" w:hAnsi="Times New Roman" w:cs="Times New Roman"/>
          <w:noProof/>
          <w:sz w:val="24"/>
        </w:rPr>
        <w:t xml:space="preserve">mplementing new legislation on direct cooperation, as explained in Annex 4.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Same as</w:t>
      </w:r>
      <w:r>
        <w:rPr>
          <w:rFonts w:ascii="Times New Roman" w:hAnsi="Times New Roman" w:cs="Times New Roman"/>
          <w:noProof/>
          <w:sz w:val="24"/>
          <w:szCs w:val="24"/>
        </w:rPr>
        <w:t xml:space="preserve"> for the service providers</w:t>
      </w:r>
      <w:r>
        <w:rPr>
          <w:rFonts w:ascii="Times New Roman" w:hAnsi="Times New Roman" w:cs="Times New Roman"/>
          <w:noProof/>
          <w:sz w:val="24"/>
        </w:rPr>
        <w:t>, the combination of 7 measures would result in cumulated cost reductions for the public authorities compared to the baseline scenario. The expect</w:t>
      </w:r>
      <w:r>
        <w:rPr>
          <w:rFonts w:ascii="Times New Roman" w:hAnsi="Times New Roman" w:cs="Times New Roman"/>
          <w:noProof/>
          <w:sz w:val="24"/>
        </w:rPr>
        <w:t>ed shift from judicial cooperation channels to cooperation with service providers would lead to important cost savings to law enforcement and judicial authorities (administrations) by eliminating administrative tasks related to issuing and recognising requ</w:t>
      </w:r>
      <w:r>
        <w:rPr>
          <w:rFonts w:ascii="Times New Roman" w:hAnsi="Times New Roman" w:cs="Times New Roman"/>
          <w:noProof/>
          <w:sz w:val="24"/>
        </w:rPr>
        <w:t>ests for data to other authorities. A summary of the changes to administrative procedures as compared to the existing system are illustrated in the following tables:</w:t>
      </w:r>
    </w:p>
    <w:p w:rsidR="001B65FF" w:rsidRDefault="001B65FF">
      <w:pPr>
        <w:jc w:val="both"/>
        <w:rPr>
          <w:rFonts w:ascii="Times New Roman" w:hAnsi="Times New Roman" w:cs="Times New Roman"/>
          <w:noProof/>
          <w:sz w:val="24"/>
        </w:rPr>
        <w:sectPr w:rsidR="001B65FF">
          <w:headerReference w:type="even" r:id="rId101"/>
          <w:headerReference w:type="default" r:id="rId102"/>
          <w:footerReference w:type="even" r:id="rId103"/>
          <w:footerReference w:type="default" r:id="rId104"/>
          <w:headerReference w:type="first" r:id="rId105"/>
          <w:footerReference w:type="first" r:id="rId106"/>
          <w:pgSz w:w="11906" w:h="16838"/>
          <w:pgMar w:top="1020" w:right="1701" w:bottom="1020" w:left="1587" w:header="601" w:footer="1077" w:gutter="0"/>
          <w:cols w:space="720"/>
          <w:titlePg/>
        </w:sectPr>
      </w:pPr>
    </w:p>
    <w:tbl>
      <w:tblPr>
        <w:tblStyle w:val="TableGrid"/>
        <w:tblW w:w="0" w:type="auto"/>
        <w:tblLook w:val="04A0" w:firstRow="1" w:lastRow="0" w:firstColumn="1" w:lastColumn="0" w:noHBand="0" w:noVBand="1"/>
      </w:tblPr>
      <w:tblGrid>
        <w:gridCol w:w="2802"/>
        <w:gridCol w:w="6306"/>
        <w:gridCol w:w="5112"/>
      </w:tblGrid>
      <w:tr w:rsidR="001B65FF">
        <w:trPr>
          <w:tblHeader/>
        </w:trPr>
        <w:tc>
          <w:tcPr>
            <w:tcW w:w="2802" w:type="dxa"/>
            <w:shd w:val="clear" w:color="auto" w:fill="D9D9D9" w:themeFill="background1" w:themeFillShade="D9"/>
          </w:tcPr>
          <w:p w:rsidR="001B65FF" w:rsidRDefault="001B65FF">
            <w:pPr>
              <w:spacing w:after="200" w:line="276" w:lineRule="auto"/>
              <w:jc w:val="both"/>
              <w:rPr>
                <w:b/>
                <w:noProof/>
              </w:rPr>
            </w:pPr>
            <w:bookmarkStart w:id="1919" w:name="_Toc481484492"/>
            <w:bookmarkStart w:id="1920" w:name="_Toc497927308"/>
            <w:bookmarkStart w:id="1921" w:name="_Toc497927924"/>
            <w:bookmarkStart w:id="1922" w:name="_Toc497928190"/>
            <w:bookmarkStart w:id="1923" w:name="_Toc498509782"/>
            <w:bookmarkStart w:id="1924" w:name="_Toc498521170"/>
            <w:bookmarkStart w:id="1925" w:name="_Toc498521330"/>
            <w:bookmarkStart w:id="1926" w:name="_Toc498704729"/>
            <w:bookmarkStart w:id="1927" w:name="_Toc499020484"/>
            <w:bookmarkStart w:id="1928" w:name="_Toc499030418"/>
            <w:bookmarkStart w:id="1929" w:name="_Toc499044960"/>
            <w:bookmarkStart w:id="1930" w:name="_Toc499051376"/>
            <w:bookmarkStart w:id="1931" w:name="_Toc499130053"/>
            <w:bookmarkStart w:id="1932" w:name="_Toc499133332"/>
            <w:bookmarkStart w:id="1933" w:name="_Toc499142902"/>
            <w:bookmarkStart w:id="1934" w:name="_Toc498701997"/>
          </w:p>
        </w:tc>
        <w:tc>
          <w:tcPr>
            <w:tcW w:w="6306" w:type="dxa"/>
            <w:shd w:val="clear" w:color="auto" w:fill="D9D9D9" w:themeFill="background1" w:themeFillShade="D9"/>
          </w:tcPr>
          <w:p w:rsidR="001B65FF" w:rsidRDefault="003E4EF4">
            <w:pPr>
              <w:spacing w:after="200" w:line="276" w:lineRule="auto"/>
              <w:jc w:val="both"/>
              <w:rPr>
                <w:b/>
                <w:noProof/>
              </w:rPr>
            </w:pPr>
            <w:r>
              <w:rPr>
                <w:b/>
                <w:noProof/>
              </w:rPr>
              <w:t>Today</w:t>
            </w:r>
          </w:p>
        </w:tc>
        <w:tc>
          <w:tcPr>
            <w:tcW w:w="5112" w:type="dxa"/>
            <w:shd w:val="clear" w:color="auto" w:fill="D9D9D9" w:themeFill="background1" w:themeFillShade="D9"/>
          </w:tcPr>
          <w:p w:rsidR="001B65FF" w:rsidRDefault="003E4EF4">
            <w:pPr>
              <w:spacing w:after="200" w:line="276" w:lineRule="auto"/>
              <w:jc w:val="both"/>
              <w:rPr>
                <w:b/>
                <w:noProof/>
              </w:rPr>
            </w:pPr>
            <w:r>
              <w:rPr>
                <w:b/>
                <w:noProof/>
              </w:rPr>
              <w:t>Under the proposed new initiative</w:t>
            </w:r>
          </w:p>
        </w:tc>
      </w:tr>
      <w:tr w:rsidR="001B65FF">
        <w:tc>
          <w:tcPr>
            <w:tcW w:w="2802" w:type="dxa"/>
          </w:tcPr>
          <w:p w:rsidR="001B65FF" w:rsidRDefault="003E4EF4">
            <w:pPr>
              <w:spacing w:after="200" w:line="276" w:lineRule="auto"/>
              <w:jc w:val="both"/>
              <w:rPr>
                <w:noProof/>
              </w:rPr>
            </w:pPr>
            <w:r>
              <w:rPr>
                <w:noProof/>
              </w:rPr>
              <w:t xml:space="preserve">Terrorism investigation: request for production of content data to IE using </w:t>
            </w:r>
            <w:r>
              <w:rPr>
                <w:b/>
                <w:noProof/>
              </w:rPr>
              <w:t xml:space="preserve">MLA </w:t>
            </w:r>
            <w:r>
              <w:rPr>
                <w:noProof/>
              </w:rPr>
              <w:t>(see section 2.1.2.)</w:t>
            </w:r>
          </w:p>
        </w:tc>
        <w:tc>
          <w:tcPr>
            <w:tcW w:w="6306" w:type="dxa"/>
          </w:tcPr>
          <w:p w:rsidR="001B65FF" w:rsidRDefault="003E4EF4">
            <w:pPr>
              <w:spacing w:after="200" w:line="276" w:lineRule="auto"/>
              <w:jc w:val="both"/>
              <w:rPr>
                <w:noProof/>
              </w:rPr>
            </w:pPr>
            <w:r>
              <w:rPr>
                <w:b/>
                <w:noProof/>
              </w:rPr>
              <w:t>MLA</w:t>
            </w:r>
            <w:r>
              <w:rPr>
                <w:noProof/>
              </w:rPr>
              <w:t>:</w:t>
            </w:r>
          </w:p>
          <w:p w:rsidR="001B65FF" w:rsidRDefault="003E4EF4">
            <w:pPr>
              <w:numPr>
                <w:ilvl w:val="0"/>
                <w:numId w:val="230"/>
              </w:numPr>
              <w:spacing w:after="200" w:line="276" w:lineRule="auto"/>
              <w:ind w:left="372"/>
              <w:jc w:val="both"/>
              <w:rPr>
                <w:noProof/>
              </w:rPr>
            </w:pPr>
            <w:r>
              <w:rPr>
                <w:noProof/>
              </w:rPr>
              <w:t>National request prepared and judicially approved based on individual national standard</w:t>
            </w:r>
          </w:p>
          <w:p w:rsidR="001B65FF" w:rsidRDefault="003E4EF4">
            <w:pPr>
              <w:numPr>
                <w:ilvl w:val="0"/>
                <w:numId w:val="230"/>
              </w:numPr>
              <w:spacing w:after="200" w:line="276" w:lineRule="auto"/>
              <w:ind w:left="372"/>
              <w:jc w:val="both"/>
              <w:rPr>
                <w:noProof/>
              </w:rPr>
            </w:pPr>
            <w:r>
              <w:rPr>
                <w:noProof/>
              </w:rPr>
              <w:t xml:space="preserve">Submitted to </w:t>
            </w:r>
            <w:r>
              <w:rPr>
                <w:noProof/>
              </w:rPr>
              <w:t>central authority for review</w:t>
            </w:r>
          </w:p>
          <w:p w:rsidR="001B65FF" w:rsidRDefault="003E4EF4">
            <w:pPr>
              <w:numPr>
                <w:ilvl w:val="0"/>
                <w:numId w:val="230"/>
              </w:numPr>
              <w:spacing w:after="200" w:line="276" w:lineRule="auto"/>
              <w:ind w:left="372"/>
              <w:jc w:val="both"/>
              <w:rPr>
                <w:noProof/>
              </w:rPr>
            </w:pPr>
            <w:r>
              <w:rPr>
                <w:noProof/>
              </w:rPr>
              <w:t>Sent from central authority to central authority</w:t>
            </w:r>
          </w:p>
          <w:p w:rsidR="001B65FF" w:rsidRDefault="003E4EF4">
            <w:pPr>
              <w:numPr>
                <w:ilvl w:val="0"/>
                <w:numId w:val="230"/>
              </w:numPr>
              <w:spacing w:after="200" w:line="276" w:lineRule="auto"/>
              <w:ind w:left="372"/>
              <w:jc w:val="both"/>
              <w:rPr>
                <w:noProof/>
              </w:rPr>
            </w:pPr>
            <w:r>
              <w:rPr>
                <w:noProof/>
              </w:rPr>
              <w:t>Assessed by receiving central authority and assigned</w:t>
            </w:r>
          </w:p>
          <w:p w:rsidR="001B65FF" w:rsidRDefault="003E4EF4">
            <w:pPr>
              <w:numPr>
                <w:ilvl w:val="0"/>
                <w:numId w:val="230"/>
              </w:numPr>
              <w:spacing w:after="200" w:line="276" w:lineRule="auto"/>
              <w:ind w:left="372"/>
              <w:jc w:val="both"/>
              <w:rPr>
                <w:noProof/>
              </w:rPr>
            </w:pPr>
            <w:r>
              <w:rPr>
                <w:noProof/>
              </w:rPr>
              <w:t>Transformed into national order</w:t>
            </w:r>
          </w:p>
          <w:p w:rsidR="001B65FF" w:rsidRDefault="003E4EF4">
            <w:pPr>
              <w:numPr>
                <w:ilvl w:val="0"/>
                <w:numId w:val="230"/>
              </w:numPr>
              <w:spacing w:after="200" w:line="276" w:lineRule="auto"/>
              <w:ind w:left="372"/>
              <w:jc w:val="both"/>
              <w:rPr>
                <w:noProof/>
              </w:rPr>
            </w:pPr>
            <w:r>
              <w:rPr>
                <w:noProof/>
              </w:rPr>
              <w:t>Served on service provider</w:t>
            </w:r>
          </w:p>
          <w:p w:rsidR="001B65FF" w:rsidRDefault="003E4EF4">
            <w:pPr>
              <w:numPr>
                <w:ilvl w:val="0"/>
                <w:numId w:val="230"/>
              </w:numPr>
              <w:spacing w:after="200" w:line="276" w:lineRule="auto"/>
              <w:ind w:left="372"/>
              <w:jc w:val="both"/>
              <w:rPr>
                <w:noProof/>
              </w:rPr>
            </w:pPr>
            <w:r>
              <w:rPr>
                <w:noProof/>
              </w:rPr>
              <w:t>Service provider responds to executing national authority if possi</w:t>
            </w:r>
            <w:r>
              <w:rPr>
                <w:noProof/>
              </w:rPr>
              <w:t>ble</w:t>
            </w:r>
          </w:p>
          <w:p w:rsidR="001B65FF" w:rsidRDefault="003E4EF4">
            <w:pPr>
              <w:numPr>
                <w:ilvl w:val="0"/>
                <w:numId w:val="230"/>
              </w:numPr>
              <w:spacing w:after="200" w:line="276" w:lineRule="auto"/>
              <w:ind w:left="372"/>
              <w:jc w:val="both"/>
              <w:rPr>
                <w:noProof/>
              </w:rPr>
            </w:pPr>
            <w:r>
              <w:rPr>
                <w:noProof/>
              </w:rPr>
              <w:t>Executing national authority sends to requesting national authority</w:t>
            </w:r>
          </w:p>
          <w:p w:rsidR="001B65FF" w:rsidRDefault="003E4EF4">
            <w:pPr>
              <w:numPr>
                <w:ilvl w:val="0"/>
                <w:numId w:val="230"/>
              </w:numPr>
              <w:spacing w:after="200" w:line="276" w:lineRule="auto"/>
              <w:ind w:left="372"/>
              <w:jc w:val="both"/>
              <w:rPr>
                <w:noProof/>
              </w:rPr>
            </w:pPr>
            <w:r>
              <w:rPr>
                <w:noProof/>
              </w:rPr>
              <w:t>Requesting national authority sends to requesting judicial authority</w:t>
            </w:r>
          </w:p>
          <w:p w:rsidR="001B65FF" w:rsidRDefault="003E4EF4">
            <w:pPr>
              <w:numPr>
                <w:ilvl w:val="0"/>
                <w:numId w:val="230"/>
              </w:numPr>
              <w:spacing w:after="200" w:line="276" w:lineRule="auto"/>
              <w:ind w:left="372"/>
              <w:jc w:val="both"/>
              <w:rPr>
                <w:noProof/>
              </w:rPr>
            </w:pPr>
            <w:r>
              <w:rPr>
                <w:noProof/>
              </w:rPr>
              <w:t>Content data introduced as evidence in court; admissibility verified</w:t>
            </w:r>
          </w:p>
        </w:tc>
        <w:tc>
          <w:tcPr>
            <w:tcW w:w="5112" w:type="dxa"/>
            <w:vMerge w:val="restart"/>
          </w:tcPr>
          <w:p w:rsidR="001B65FF" w:rsidRDefault="003E4EF4">
            <w:pPr>
              <w:spacing w:after="200" w:line="276" w:lineRule="auto"/>
              <w:jc w:val="both"/>
              <w:rPr>
                <w:b/>
                <w:noProof/>
              </w:rPr>
            </w:pPr>
            <w:r>
              <w:rPr>
                <w:b/>
                <w:noProof/>
              </w:rPr>
              <w:t>European Production Order:</w:t>
            </w:r>
          </w:p>
          <w:p w:rsidR="001B65FF" w:rsidRDefault="003E4EF4">
            <w:pPr>
              <w:numPr>
                <w:ilvl w:val="0"/>
                <w:numId w:val="231"/>
              </w:numPr>
              <w:spacing w:after="200" w:line="276" w:lineRule="auto"/>
              <w:ind w:left="492"/>
              <w:jc w:val="both"/>
              <w:rPr>
                <w:noProof/>
              </w:rPr>
            </w:pPr>
            <w:r>
              <w:rPr>
                <w:noProof/>
              </w:rPr>
              <w:t xml:space="preserve">National request </w:t>
            </w:r>
            <w:r>
              <w:rPr>
                <w:noProof/>
              </w:rPr>
              <w:t>prepared and judicially approved based on harmonised EU standard and its conditions</w:t>
            </w:r>
          </w:p>
          <w:p w:rsidR="001B65FF" w:rsidRDefault="003E4EF4">
            <w:pPr>
              <w:numPr>
                <w:ilvl w:val="0"/>
                <w:numId w:val="231"/>
              </w:numPr>
              <w:spacing w:after="200" w:line="276" w:lineRule="auto"/>
              <w:ind w:left="492"/>
              <w:jc w:val="both"/>
              <w:rPr>
                <w:noProof/>
              </w:rPr>
            </w:pPr>
            <w:r>
              <w:rPr>
                <w:noProof/>
              </w:rPr>
              <w:t>served on service provider</w:t>
            </w:r>
          </w:p>
          <w:p w:rsidR="001B65FF" w:rsidRDefault="003E4EF4">
            <w:pPr>
              <w:numPr>
                <w:ilvl w:val="0"/>
                <w:numId w:val="231"/>
              </w:numPr>
              <w:spacing w:after="200" w:line="276" w:lineRule="auto"/>
              <w:ind w:left="492"/>
              <w:jc w:val="both"/>
              <w:rPr>
                <w:noProof/>
              </w:rPr>
            </w:pPr>
            <w:r>
              <w:rPr>
                <w:noProof/>
              </w:rPr>
              <w:t>Service provider responds within deadlines if possible (data available, no conflicting obligations)</w:t>
            </w:r>
          </w:p>
          <w:p w:rsidR="001B65FF" w:rsidRDefault="003E4EF4">
            <w:pPr>
              <w:numPr>
                <w:ilvl w:val="0"/>
                <w:numId w:val="231"/>
              </w:numPr>
              <w:spacing w:after="200" w:line="276" w:lineRule="auto"/>
              <w:ind w:left="492"/>
              <w:jc w:val="both"/>
              <w:rPr>
                <w:noProof/>
              </w:rPr>
            </w:pPr>
            <w:r>
              <w:rPr>
                <w:noProof/>
              </w:rPr>
              <w:t>Produced data introduced as evidence in court</w:t>
            </w:r>
            <w:r>
              <w:rPr>
                <w:noProof/>
              </w:rPr>
              <w:t>; admissibility verified</w:t>
            </w:r>
          </w:p>
          <w:p w:rsidR="001B65FF" w:rsidRDefault="003E4EF4">
            <w:pPr>
              <w:spacing w:after="200" w:line="276" w:lineRule="auto"/>
              <w:jc w:val="both"/>
              <w:rPr>
                <w:noProof/>
                <w:u w:val="single"/>
              </w:rPr>
            </w:pPr>
            <w:r>
              <w:rPr>
                <w:b/>
                <w:noProof/>
              </w:rPr>
              <w:t xml:space="preserve"> </w:t>
            </w:r>
            <w:r>
              <w:rPr>
                <w:noProof/>
                <w:u w:val="single"/>
              </w:rPr>
              <w:t xml:space="preserve">Advantages: </w:t>
            </w:r>
          </w:p>
          <w:p w:rsidR="001B65FF" w:rsidRDefault="003E4EF4">
            <w:pPr>
              <w:numPr>
                <w:ilvl w:val="0"/>
                <w:numId w:val="236"/>
              </w:numPr>
              <w:spacing w:after="200" w:line="276" w:lineRule="auto"/>
              <w:ind w:left="492"/>
              <w:jc w:val="both"/>
              <w:rPr>
                <w:noProof/>
              </w:rPr>
            </w:pPr>
            <w:r>
              <w:rPr>
                <w:noProof/>
              </w:rPr>
              <w:t>Reduction of administrative burden for cases in which the receiving authority typically has no own interest because there is</w:t>
            </w:r>
          </w:p>
          <w:p w:rsidR="001B65FF" w:rsidRDefault="003E4EF4">
            <w:pPr>
              <w:numPr>
                <w:ilvl w:val="1"/>
                <w:numId w:val="236"/>
              </w:numPr>
              <w:spacing w:after="200" w:line="276" w:lineRule="auto"/>
              <w:ind w:left="852"/>
              <w:jc w:val="both"/>
              <w:rPr>
                <w:noProof/>
              </w:rPr>
            </w:pPr>
            <w:r>
              <w:rPr>
                <w:noProof/>
              </w:rPr>
              <w:t>No connection between the location of service provider establishment and the case (e.g. Face</w:t>
            </w:r>
            <w:r>
              <w:rPr>
                <w:noProof/>
              </w:rPr>
              <w:t>book in US holding data on German citizen suspected in German case)</w:t>
            </w:r>
          </w:p>
          <w:p w:rsidR="001B65FF" w:rsidRDefault="003E4EF4">
            <w:pPr>
              <w:numPr>
                <w:ilvl w:val="1"/>
                <w:numId w:val="236"/>
              </w:numPr>
              <w:spacing w:after="200" w:line="276" w:lineRule="auto"/>
              <w:ind w:left="852"/>
              <w:jc w:val="both"/>
              <w:rPr>
                <w:noProof/>
              </w:rPr>
            </w:pPr>
            <w:r>
              <w:rPr>
                <w:noProof/>
              </w:rPr>
              <w:t>No connection between the data storage location and the case</w:t>
            </w:r>
          </w:p>
          <w:p w:rsidR="001B65FF" w:rsidRDefault="003E4EF4">
            <w:pPr>
              <w:numPr>
                <w:ilvl w:val="1"/>
                <w:numId w:val="236"/>
              </w:numPr>
              <w:spacing w:after="200" w:line="276" w:lineRule="auto"/>
              <w:ind w:left="852"/>
              <w:jc w:val="both"/>
              <w:rPr>
                <w:noProof/>
              </w:rPr>
            </w:pPr>
            <w:r>
              <w:rPr>
                <w:noProof/>
              </w:rPr>
              <w:t>No connection between the location of the user concerned and the establishment of the service provider</w:t>
            </w:r>
          </w:p>
          <w:p w:rsidR="001B65FF" w:rsidRDefault="003E4EF4">
            <w:pPr>
              <w:numPr>
                <w:ilvl w:val="1"/>
                <w:numId w:val="236"/>
              </w:numPr>
              <w:spacing w:after="200" w:line="276" w:lineRule="auto"/>
              <w:ind w:left="852"/>
              <w:jc w:val="both"/>
              <w:rPr>
                <w:noProof/>
              </w:rPr>
            </w:pPr>
            <w:r>
              <w:rPr>
                <w:noProof/>
              </w:rPr>
              <w:t>Low impact on fundamenta</w:t>
            </w:r>
            <w:r>
              <w:rPr>
                <w:noProof/>
              </w:rPr>
              <w:t>l rights</w:t>
            </w:r>
          </w:p>
          <w:p w:rsidR="001B65FF" w:rsidRDefault="003E4EF4">
            <w:pPr>
              <w:numPr>
                <w:ilvl w:val="0"/>
                <w:numId w:val="236"/>
              </w:numPr>
              <w:spacing w:after="200" w:line="276" w:lineRule="auto"/>
              <w:jc w:val="both"/>
              <w:rPr>
                <w:noProof/>
              </w:rPr>
            </w:pPr>
            <w:r>
              <w:rPr>
                <w:noProof/>
              </w:rPr>
              <w:t>Increased speed which is essential as data swiftly disappears</w:t>
            </w:r>
          </w:p>
          <w:p w:rsidR="001B65FF" w:rsidRDefault="003E4EF4">
            <w:pPr>
              <w:numPr>
                <w:ilvl w:val="0"/>
                <w:numId w:val="236"/>
              </w:numPr>
              <w:spacing w:after="200" w:line="276" w:lineRule="auto"/>
              <w:jc w:val="both"/>
              <w:rPr>
                <w:noProof/>
              </w:rPr>
            </w:pPr>
            <w:r>
              <w:rPr>
                <w:noProof/>
              </w:rPr>
              <w:t>Legal certainty for authorities and service providers, some of whom already provide information based on 28 different requests and subject to their own individual specifications</w:t>
            </w:r>
          </w:p>
          <w:p w:rsidR="001B65FF" w:rsidRDefault="003E4EF4">
            <w:pPr>
              <w:numPr>
                <w:ilvl w:val="0"/>
                <w:numId w:val="236"/>
              </w:numPr>
              <w:spacing w:after="200" w:line="276" w:lineRule="auto"/>
              <w:jc w:val="both"/>
              <w:rPr>
                <w:noProof/>
              </w:rPr>
            </w:pPr>
            <w:r>
              <w:rPr>
                <w:noProof/>
              </w:rPr>
              <w:t>Increased transparency on conditions and process</w:t>
            </w:r>
          </w:p>
          <w:p w:rsidR="001B65FF" w:rsidRDefault="003E4EF4">
            <w:pPr>
              <w:numPr>
                <w:ilvl w:val="0"/>
                <w:numId w:val="236"/>
              </w:numPr>
              <w:spacing w:after="200" w:line="276" w:lineRule="auto"/>
              <w:jc w:val="both"/>
              <w:rPr>
                <w:noProof/>
              </w:rPr>
            </w:pPr>
            <w:r>
              <w:rPr>
                <w:noProof/>
              </w:rPr>
              <w:t xml:space="preserve">Ideal scenario: central IT system to channel requests </w:t>
            </w:r>
          </w:p>
          <w:p w:rsidR="001B65FF" w:rsidRDefault="003E4EF4">
            <w:pPr>
              <w:numPr>
                <w:ilvl w:val="1"/>
                <w:numId w:val="236"/>
              </w:numPr>
              <w:spacing w:after="200" w:line="276" w:lineRule="auto"/>
              <w:ind w:left="1092"/>
              <w:jc w:val="both"/>
              <w:rPr>
                <w:noProof/>
              </w:rPr>
            </w:pPr>
            <w:r>
              <w:rPr>
                <w:noProof/>
              </w:rPr>
              <w:t xml:space="preserve">would facilitate accountability and audits </w:t>
            </w:r>
          </w:p>
          <w:p w:rsidR="001B65FF" w:rsidRDefault="003E4EF4">
            <w:pPr>
              <w:numPr>
                <w:ilvl w:val="1"/>
                <w:numId w:val="236"/>
              </w:numPr>
              <w:spacing w:after="200" w:line="276" w:lineRule="auto"/>
              <w:ind w:left="1092"/>
              <w:jc w:val="both"/>
              <w:rPr>
                <w:noProof/>
              </w:rPr>
            </w:pPr>
            <w:r>
              <w:rPr>
                <w:noProof/>
              </w:rPr>
              <w:t>would permit reliable authentication</w:t>
            </w:r>
          </w:p>
          <w:p w:rsidR="001B65FF" w:rsidRDefault="003E4EF4">
            <w:pPr>
              <w:numPr>
                <w:ilvl w:val="1"/>
                <w:numId w:val="236"/>
              </w:numPr>
              <w:spacing w:after="200" w:line="276" w:lineRule="auto"/>
              <w:ind w:left="1092"/>
              <w:jc w:val="both"/>
              <w:rPr>
                <w:noProof/>
              </w:rPr>
            </w:pPr>
            <w:r>
              <w:rPr>
                <w:noProof/>
              </w:rPr>
              <w:t>would reduce burden on smaller providers</w:t>
            </w:r>
          </w:p>
          <w:p w:rsidR="001B65FF" w:rsidRDefault="003E4EF4">
            <w:pPr>
              <w:numPr>
                <w:ilvl w:val="1"/>
                <w:numId w:val="236"/>
              </w:numPr>
              <w:spacing w:after="200" w:line="276" w:lineRule="auto"/>
              <w:ind w:left="1092"/>
              <w:jc w:val="both"/>
              <w:rPr>
                <w:noProof/>
              </w:rPr>
            </w:pPr>
            <w:r>
              <w:rPr>
                <w:noProof/>
              </w:rPr>
              <w:t xml:space="preserve">could allow for connection </w:t>
            </w:r>
            <w:r>
              <w:rPr>
                <w:noProof/>
              </w:rPr>
              <w:t>with automated national and company solutions where those are available</w:t>
            </w:r>
          </w:p>
        </w:tc>
      </w:tr>
      <w:tr w:rsidR="001B65FF">
        <w:tc>
          <w:tcPr>
            <w:tcW w:w="2802" w:type="dxa"/>
          </w:tcPr>
          <w:p w:rsidR="001B65FF" w:rsidRDefault="003E4EF4">
            <w:pPr>
              <w:spacing w:after="200" w:line="276" w:lineRule="auto"/>
              <w:jc w:val="both"/>
              <w:rPr>
                <w:noProof/>
              </w:rPr>
            </w:pPr>
            <w:r>
              <w:rPr>
                <w:noProof/>
              </w:rPr>
              <w:t xml:space="preserve">Child sexual abuse: request for production of access log data to US-based service provider using </w:t>
            </w:r>
            <w:r>
              <w:rPr>
                <w:b/>
                <w:noProof/>
              </w:rPr>
              <w:t xml:space="preserve">voluntary direct cooperation </w:t>
            </w:r>
            <w:r>
              <w:rPr>
                <w:noProof/>
              </w:rPr>
              <w:t>(see section 2.1.2.)</w:t>
            </w:r>
          </w:p>
        </w:tc>
        <w:tc>
          <w:tcPr>
            <w:tcW w:w="6306" w:type="dxa"/>
          </w:tcPr>
          <w:p w:rsidR="001B65FF" w:rsidRDefault="003E4EF4">
            <w:pPr>
              <w:spacing w:after="200" w:line="276" w:lineRule="auto"/>
              <w:jc w:val="both"/>
              <w:rPr>
                <w:noProof/>
              </w:rPr>
            </w:pPr>
            <w:r>
              <w:rPr>
                <w:b/>
                <w:noProof/>
              </w:rPr>
              <w:t>Voluntary direct cooperation</w:t>
            </w:r>
            <w:r>
              <w:rPr>
                <w:noProof/>
              </w:rPr>
              <w:t>:</w:t>
            </w:r>
          </w:p>
          <w:p w:rsidR="001B65FF" w:rsidRDefault="003E4EF4">
            <w:pPr>
              <w:numPr>
                <w:ilvl w:val="0"/>
                <w:numId w:val="232"/>
              </w:numPr>
              <w:spacing w:after="200" w:line="276" w:lineRule="auto"/>
              <w:ind w:left="372"/>
              <w:jc w:val="both"/>
              <w:rPr>
                <w:noProof/>
              </w:rPr>
            </w:pPr>
            <w:r>
              <w:rPr>
                <w:noProof/>
              </w:rPr>
              <w:t>Nation</w:t>
            </w:r>
            <w:r>
              <w:rPr>
                <w:noProof/>
              </w:rPr>
              <w:t>al request prepared and judicially approved based on individual national standard</w:t>
            </w:r>
          </w:p>
          <w:p w:rsidR="001B65FF" w:rsidRDefault="003E4EF4">
            <w:pPr>
              <w:numPr>
                <w:ilvl w:val="0"/>
                <w:numId w:val="232"/>
              </w:numPr>
              <w:spacing w:after="200" w:line="276" w:lineRule="auto"/>
              <w:ind w:left="372"/>
              <w:jc w:val="both"/>
              <w:rPr>
                <w:noProof/>
              </w:rPr>
            </w:pPr>
            <w:r>
              <w:rPr>
                <w:noProof/>
              </w:rPr>
              <w:t>Sent to service provider</w:t>
            </w:r>
          </w:p>
          <w:p w:rsidR="001B65FF" w:rsidRDefault="003E4EF4">
            <w:pPr>
              <w:numPr>
                <w:ilvl w:val="0"/>
                <w:numId w:val="232"/>
              </w:numPr>
              <w:spacing w:after="200" w:line="276" w:lineRule="auto"/>
              <w:ind w:left="372"/>
              <w:jc w:val="both"/>
              <w:rPr>
                <w:noProof/>
              </w:rPr>
            </w:pPr>
            <w:r>
              <w:rPr>
                <w:noProof/>
              </w:rPr>
              <w:t>Service provider reviews based on its individual policy</w:t>
            </w:r>
          </w:p>
          <w:p w:rsidR="001B65FF" w:rsidRDefault="003E4EF4">
            <w:pPr>
              <w:numPr>
                <w:ilvl w:val="0"/>
                <w:numId w:val="232"/>
              </w:numPr>
              <w:spacing w:after="200" w:line="276" w:lineRule="auto"/>
              <w:ind w:left="372"/>
              <w:jc w:val="both"/>
              <w:rPr>
                <w:noProof/>
              </w:rPr>
            </w:pPr>
            <w:r>
              <w:rPr>
                <w:noProof/>
              </w:rPr>
              <w:t>Service provider takes a voluntary decision to provide information</w:t>
            </w:r>
          </w:p>
          <w:p w:rsidR="001B65FF" w:rsidRDefault="003E4EF4">
            <w:pPr>
              <w:numPr>
                <w:ilvl w:val="0"/>
                <w:numId w:val="232"/>
              </w:numPr>
              <w:spacing w:after="200" w:line="276" w:lineRule="auto"/>
              <w:ind w:left="372"/>
              <w:jc w:val="both"/>
              <w:rPr>
                <w:noProof/>
              </w:rPr>
            </w:pPr>
            <w:r>
              <w:rPr>
                <w:noProof/>
              </w:rPr>
              <w:t>Data introduced as evidenc</w:t>
            </w:r>
            <w:r>
              <w:rPr>
                <w:noProof/>
              </w:rPr>
              <w:t>e in court; admissibility verified</w:t>
            </w:r>
          </w:p>
        </w:tc>
        <w:tc>
          <w:tcPr>
            <w:tcW w:w="5112" w:type="dxa"/>
            <w:vMerge/>
          </w:tcPr>
          <w:p w:rsidR="001B65FF" w:rsidRDefault="001B65FF">
            <w:pPr>
              <w:spacing w:after="200" w:line="276" w:lineRule="auto"/>
              <w:jc w:val="both"/>
              <w:rPr>
                <w:noProof/>
              </w:rPr>
            </w:pPr>
          </w:p>
        </w:tc>
      </w:tr>
      <w:tr w:rsidR="001B65FF">
        <w:tc>
          <w:tcPr>
            <w:tcW w:w="2802" w:type="dxa"/>
            <w:tcBorders>
              <w:bottom w:val="single" w:sz="4" w:space="0" w:color="auto"/>
            </w:tcBorders>
          </w:tcPr>
          <w:p w:rsidR="001B65FF" w:rsidRDefault="003E4EF4">
            <w:pPr>
              <w:spacing w:after="200" w:line="276" w:lineRule="auto"/>
              <w:jc w:val="both"/>
              <w:rPr>
                <w:noProof/>
              </w:rPr>
            </w:pPr>
            <w:r>
              <w:rPr>
                <w:noProof/>
              </w:rPr>
              <w:t xml:space="preserve">Human trafficking: request for </w:t>
            </w:r>
            <w:r>
              <w:rPr>
                <w:b/>
                <w:noProof/>
              </w:rPr>
              <w:t xml:space="preserve">direct access </w:t>
            </w:r>
            <w:r>
              <w:rPr>
                <w:noProof/>
              </w:rPr>
              <w:t>(see section 2.1.2.)</w:t>
            </w:r>
          </w:p>
        </w:tc>
        <w:tc>
          <w:tcPr>
            <w:tcW w:w="6306" w:type="dxa"/>
            <w:tcBorders>
              <w:bottom w:val="single" w:sz="4" w:space="0" w:color="auto"/>
            </w:tcBorders>
          </w:tcPr>
          <w:p w:rsidR="001B65FF" w:rsidRDefault="003E4EF4">
            <w:pPr>
              <w:spacing w:after="200" w:line="276" w:lineRule="auto"/>
              <w:jc w:val="both"/>
              <w:rPr>
                <w:noProof/>
              </w:rPr>
            </w:pPr>
            <w:r>
              <w:rPr>
                <w:b/>
                <w:noProof/>
              </w:rPr>
              <w:t>Direct access</w:t>
            </w:r>
            <w:r>
              <w:rPr>
                <w:noProof/>
              </w:rPr>
              <w:t>: National request prepared and judicially approved based on individual national standard; judicial approval subject to national criteria on</w:t>
            </w:r>
            <w:r>
              <w:rPr>
                <w:noProof/>
              </w:rPr>
              <w:t xml:space="preserve"> location of data; may be refused</w:t>
            </w:r>
          </w:p>
        </w:tc>
        <w:tc>
          <w:tcPr>
            <w:tcW w:w="5112" w:type="dxa"/>
            <w:tcBorders>
              <w:bottom w:val="single" w:sz="4" w:space="0" w:color="auto"/>
            </w:tcBorders>
          </w:tcPr>
          <w:p w:rsidR="001B65FF" w:rsidRDefault="003E4EF4">
            <w:pPr>
              <w:spacing w:after="200" w:line="276" w:lineRule="auto"/>
              <w:jc w:val="both"/>
              <w:rPr>
                <w:noProof/>
              </w:rPr>
            </w:pPr>
            <w:r>
              <w:rPr>
                <w:b/>
                <w:noProof/>
              </w:rPr>
              <w:t>Direct access:</w:t>
            </w:r>
            <w:r>
              <w:rPr>
                <w:noProof/>
              </w:rPr>
              <w:t xml:space="preserve"> National request prepared and judicially approved based on harmonised standard and agreed connecting factors ensuring greater respect for comity; possible notification to relevant other countries</w:t>
            </w:r>
          </w:p>
        </w:tc>
      </w:tr>
      <w:tr w:rsidR="001B65FF">
        <w:tc>
          <w:tcPr>
            <w:tcW w:w="2802" w:type="dxa"/>
            <w:tcBorders>
              <w:bottom w:val="single" w:sz="4" w:space="0" w:color="auto"/>
            </w:tcBorders>
          </w:tcPr>
          <w:p w:rsidR="001B65FF" w:rsidRDefault="003E4EF4">
            <w:pPr>
              <w:spacing w:after="200" w:line="276" w:lineRule="auto"/>
              <w:jc w:val="both"/>
              <w:rPr>
                <w:noProof/>
              </w:rPr>
            </w:pPr>
            <w:r>
              <w:rPr>
                <w:noProof/>
              </w:rPr>
              <w:t>Cybercrime</w:t>
            </w:r>
            <w:r>
              <w:rPr>
                <w:noProof/>
              </w:rPr>
              <w:t xml:space="preserve">: search of Domain Name </w:t>
            </w:r>
            <w:r>
              <w:rPr>
                <w:b/>
                <w:noProof/>
              </w:rPr>
              <w:t xml:space="preserve">WHOIS system </w:t>
            </w:r>
            <w:r>
              <w:rPr>
                <w:noProof/>
              </w:rPr>
              <w:t>(see section 2.1.2.)</w:t>
            </w:r>
          </w:p>
        </w:tc>
        <w:tc>
          <w:tcPr>
            <w:tcW w:w="6306" w:type="dxa"/>
            <w:tcBorders>
              <w:bottom w:val="single" w:sz="4" w:space="0" w:color="auto"/>
            </w:tcBorders>
          </w:tcPr>
          <w:p w:rsidR="001B65FF" w:rsidRDefault="003E4EF4">
            <w:pPr>
              <w:spacing w:after="200" w:line="276" w:lineRule="auto"/>
              <w:jc w:val="both"/>
              <w:rPr>
                <w:noProof/>
              </w:rPr>
            </w:pPr>
            <w:r>
              <w:rPr>
                <w:b/>
                <w:noProof/>
              </w:rPr>
              <w:t>WHOIS Database</w:t>
            </w:r>
            <w:r>
              <w:rPr>
                <w:noProof/>
              </w:rPr>
              <w:t xml:space="preserve"> lookup performed based on general competence to search publicly available data</w:t>
            </w:r>
          </w:p>
        </w:tc>
        <w:tc>
          <w:tcPr>
            <w:tcW w:w="5112" w:type="dxa"/>
            <w:tcBorders>
              <w:bottom w:val="single" w:sz="4" w:space="0" w:color="auto"/>
            </w:tcBorders>
          </w:tcPr>
          <w:p w:rsidR="001B65FF" w:rsidRDefault="003E4EF4">
            <w:pPr>
              <w:spacing w:after="200" w:line="276" w:lineRule="auto"/>
              <w:jc w:val="both"/>
              <w:rPr>
                <w:noProof/>
              </w:rPr>
            </w:pPr>
            <w:r>
              <w:rPr>
                <w:b/>
                <w:noProof/>
              </w:rPr>
              <w:t>WHOIS Database</w:t>
            </w:r>
            <w:r>
              <w:rPr>
                <w:noProof/>
              </w:rPr>
              <w:t xml:space="preserve"> lookup performed based on general competence to search specific types of non-public data </w:t>
            </w:r>
            <w:r>
              <w:rPr>
                <w:noProof/>
              </w:rPr>
              <w:t>made available for law enforcement</w:t>
            </w:r>
          </w:p>
        </w:tc>
      </w:tr>
      <w:tr w:rsidR="001B65FF">
        <w:tc>
          <w:tcPr>
            <w:tcW w:w="2802" w:type="dxa"/>
            <w:tcBorders>
              <w:top w:val="single" w:sz="4" w:space="0" w:color="auto"/>
            </w:tcBorders>
          </w:tcPr>
          <w:p w:rsidR="001B65FF" w:rsidRDefault="003E4EF4">
            <w:pPr>
              <w:spacing w:after="200" w:line="276" w:lineRule="auto"/>
              <w:jc w:val="both"/>
              <w:rPr>
                <w:noProof/>
              </w:rPr>
            </w:pPr>
            <w:r>
              <w:rPr>
                <w:noProof/>
              </w:rPr>
              <w:t xml:space="preserve">Typical use case 1: production of subscriber information, using </w:t>
            </w:r>
            <w:r>
              <w:rPr>
                <w:b/>
                <w:noProof/>
              </w:rPr>
              <w:t>MLA</w:t>
            </w:r>
          </w:p>
        </w:tc>
        <w:tc>
          <w:tcPr>
            <w:tcW w:w="6306" w:type="dxa"/>
            <w:tcBorders>
              <w:top w:val="single" w:sz="4" w:space="0" w:color="auto"/>
            </w:tcBorders>
          </w:tcPr>
          <w:p w:rsidR="001B65FF" w:rsidRDefault="003E4EF4">
            <w:pPr>
              <w:spacing w:after="200" w:line="276" w:lineRule="auto"/>
              <w:jc w:val="both"/>
              <w:rPr>
                <w:noProof/>
              </w:rPr>
            </w:pPr>
            <w:r>
              <w:rPr>
                <w:b/>
                <w:noProof/>
              </w:rPr>
              <w:t>MLA</w:t>
            </w:r>
            <w:r>
              <w:rPr>
                <w:noProof/>
              </w:rPr>
              <w:t>:</w:t>
            </w:r>
          </w:p>
          <w:p w:rsidR="001B65FF" w:rsidRDefault="003E4EF4">
            <w:pPr>
              <w:numPr>
                <w:ilvl w:val="0"/>
                <w:numId w:val="233"/>
              </w:numPr>
              <w:spacing w:after="200" w:line="276" w:lineRule="auto"/>
              <w:ind w:left="492"/>
              <w:jc w:val="both"/>
              <w:rPr>
                <w:noProof/>
              </w:rPr>
            </w:pPr>
            <w:r>
              <w:rPr>
                <w:noProof/>
              </w:rPr>
              <w:t>National request prepared and judicially approved based on individual national standard</w:t>
            </w:r>
          </w:p>
          <w:p w:rsidR="001B65FF" w:rsidRDefault="003E4EF4">
            <w:pPr>
              <w:numPr>
                <w:ilvl w:val="0"/>
                <w:numId w:val="233"/>
              </w:numPr>
              <w:spacing w:after="200" w:line="276" w:lineRule="auto"/>
              <w:ind w:left="492"/>
              <w:jc w:val="both"/>
              <w:rPr>
                <w:noProof/>
              </w:rPr>
            </w:pPr>
            <w:r>
              <w:rPr>
                <w:noProof/>
              </w:rPr>
              <w:t>submitted to central authority for review</w:t>
            </w:r>
          </w:p>
          <w:p w:rsidR="001B65FF" w:rsidRDefault="003E4EF4">
            <w:pPr>
              <w:numPr>
                <w:ilvl w:val="0"/>
                <w:numId w:val="233"/>
              </w:numPr>
              <w:spacing w:after="200" w:line="276" w:lineRule="auto"/>
              <w:ind w:left="492"/>
              <w:jc w:val="both"/>
              <w:rPr>
                <w:noProof/>
              </w:rPr>
            </w:pPr>
            <w:r>
              <w:rPr>
                <w:noProof/>
              </w:rPr>
              <w:t>sent from central</w:t>
            </w:r>
            <w:r>
              <w:rPr>
                <w:noProof/>
              </w:rPr>
              <w:t xml:space="preserve"> authority to central authority</w:t>
            </w:r>
          </w:p>
          <w:p w:rsidR="001B65FF" w:rsidRDefault="003E4EF4">
            <w:pPr>
              <w:numPr>
                <w:ilvl w:val="0"/>
                <w:numId w:val="233"/>
              </w:numPr>
              <w:spacing w:after="200" w:line="276" w:lineRule="auto"/>
              <w:ind w:left="492"/>
              <w:jc w:val="both"/>
              <w:rPr>
                <w:noProof/>
              </w:rPr>
            </w:pPr>
            <w:r>
              <w:rPr>
                <w:noProof/>
              </w:rPr>
              <w:t>Assessed by receiving central authority and assigned</w:t>
            </w:r>
          </w:p>
          <w:p w:rsidR="001B65FF" w:rsidRDefault="003E4EF4">
            <w:pPr>
              <w:numPr>
                <w:ilvl w:val="0"/>
                <w:numId w:val="233"/>
              </w:numPr>
              <w:spacing w:after="200" w:line="276" w:lineRule="auto"/>
              <w:ind w:left="492"/>
              <w:jc w:val="both"/>
              <w:rPr>
                <w:noProof/>
              </w:rPr>
            </w:pPr>
            <w:r>
              <w:rPr>
                <w:noProof/>
              </w:rPr>
              <w:t>transformed into national order</w:t>
            </w:r>
          </w:p>
          <w:p w:rsidR="001B65FF" w:rsidRDefault="003E4EF4">
            <w:pPr>
              <w:numPr>
                <w:ilvl w:val="0"/>
                <w:numId w:val="233"/>
              </w:numPr>
              <w:spacing w:after="200" w:line="276" w:lineRule="auto"/>
              <w:ind w:left="492"/>
              <w:jc w:val="both"/>
              <w:rPr>
                <w:noProof/>
              </w:rPr>
            </w:pPr>
            <w:r>
              <w:rPr>
                <w:noProof/>
              </w:rPr>
              <w:t>served on service provider</w:t>
            </w:r>
          </w:p>
          <w:p w:rsidR="001B65FF" w:rsidRDefault="003E4EF4">
            <w:pPr>
              <w:numPr>
                <w:ilvl w:val="0"/>
                <w:numId w:val="233"/>
              </w:numPr>
              <w:spacing w:after="200" w:line="276" w:lineRule="auto"/>
              <w:ind w:left="492"/>
              <w:jc w:val="both"/>
              <w:rPr>
                <w:noProof/>
              </w:rPr>
            </w:pPr>
            <w:r>
              <w:rPr>
                <w:noProof/>
              </w:rPr>
              <w:t>Service provider responds to executing national authority if possible</w:t>
            </w:r>
          </w:p>
          <w:p w:rsidR="001B65FF" w:rsidRDefault="003E4EF4">
            <w:pPr>
              <w:numPr>
                <w:ilvl w:val="0"/>
                <w:numId w:val="233"/>
              </w:numPr>
              <w:spacing w:after="200" w:line="276" w:lineRule="auto"/>
              <w:ind w:left="492"/>
              <w:jc w:val="both"/>
              <w:rPr>
                <w:noProof/>
              </w:rPr>
            </w:pPr>
            <w:r>
              <w:rPr>
                <w:noProof/>
              </w:rPr>
              <w:t>Executing national authority sends to requ</w:t>
            </w:r>
            <w:r>
              <w:rPr>
                <w:noProof/>
              </w:rPr>
              <w:t>esting national authority</w:t>
            </w:r>
          </w:p>
          <w:p w:rsidR="001B65FF" w:rsidRDefault="003E4EF4">
            <w:pPr>
              <w:numPr>
                <w:ilvl w:val="0"/>
                <w:numId w:val="233"/>
              </w:numPr>
              <w:spacing w:after="200" w:line="276" w:lineRule="auto"/>
              <w:ind w:left="492"/>
              <w:jc w:val="both"/>
              <w:rPr>
                <w:noProof/>
              </w:rPr>
            </w:pPr>
            <w:r>
              <w:rPr>
                <w:noProof/>
              </w:rPr>
              <w:t>Requesting national authority sends to requesting judicial authority</w:t>
            </w:r>
          </w:p>
          <w:p w:rsidR="001B65FF" w:rsidRDefault="003E4EF4">
            <w:pPr>
              <w:numPr>
                <w:ilvl w:val="0"/>
                <w:numId w:val="233"/>
              </w:numPr>
              <w:spacing w:after="200" w:line="276" w:lineRule="auto"/>
              <w:ind w:left="492"/>
              <w:jc w:val="both"/>
              <w:rPr>
                <w:noProof/>
              </w:rPr>
            </w:pPr>
            <w:r>
              <w:rPr>
                <w:noProof/>
              </w:rPr>
              <w:t>Data introduced as evidence in court; admissibility verified</w:t>
            </w:r>
          </w:p>
        </w:tc>
        <w:tc>
          <w:tcPr>
            <w:tcW w:w="5112" w:type="dxa"/>
            <w:vMerge w:val="restart"/>
            <w:tcBorders>
              <w:top w:val="single" w:sz="4" w:space="0" w:color="auto"/>
            </w:tcBorders>
          </w:tcPr>
          <w:p w:rsidR="001B65FF" w:rsidRDefault="003E4EF4">
            <w:pPr>
              <w:spacing w:after="200" w:line="276" w:lineRule="auto"/>
              <w:jc w:val="both"/>
              <w:rPr>
                <w:noProof/>
              </w:rPr>
            </w:pPr>
            <w:r>
              <w:rPr>
                <w:b/>
                <w:noProof/>
              </w:rPr>
              <w:t>European Production Order:</w:t>
            </w:r>
          </w:p>
          <w:p w:rsidR="001B65FF" w:rsidRDefault="003E4EF4">
            <w:pPr>
              <w:numPr>
                <w:ilvl w:val="0"/>
                <w:numId w:val="237"/>
              </w:numPr>
              <w:spacing w:after="200" w:line="276" w:lineRule="auto"/>
              <w:jc w:val="both"/>
              <w:rPr>
                <w:noProof/>
              </w:rPr>
            </w:pPr>
            <w:r>
              <w:rPr>
                <w:noProof/>
              </w:rPr>
              <w:t xml:space="preserve">National request prepared and judicially approved based on harmonised EU </w:t>
            </w:r>
            <w:r>
              <w:rPr>
                <w:noProof/>
              </w:rPr>
              <w:t>standard and its conditions</w:t>
            </w:r>
          </w:p>
          <w:p w:rsidR="001B65FF" w:rsidRDefault="003E4EF4">
            <w:pPr>
              <w:numPr>
                <w:ilvl w:val="0"/>
                <w:numId w:val="237"/>
              </w:numPr>
              <w:spacing w:after="200" w:line="276" w:lineRule="auto"/>
              <w:jc w:val="both"/>
              <w:rPr>
                <w:noProof/>
              </w:rPr>
            </w:pPr>
            <w:r>
              <w:rPr>
                <w:noProof/>
              </w:rPr>
              <w:t>served on service provider</w:t>
            </w:r>
          </w:p>
          <w:p w:rsidR="001B65FF" w:rsidRDefault="003E4EF4">
            <w:pPr>
              <w:numPr>
                <w:ilvl w:val="0"/>
                <w:numId w:val="237"/>
              </w:numPr>
              <w:spacing w:after="200" w:line="276" w:lineRule="auto"/>
              <w:jc w:val="both"/>
              <w:rPr>
                <w:noProof/>
              </w:rPr>
            </w:pPr>
            <w:r>
              <w:rPr>
                <w:noProof/>
              </w:rPr>
              <w:t>Service provider responds within deadlines if possible (data available, no conflicting obligations)</w:t>
            </w:r>
          </w:p>
          <w:p w:rsidR="001B65FF" w:rsidRDefault="003E4EF4">
            <w:pPr>
              <w:numPr>
                <w:ilvl w:val="0"/>
                <w:numId w:val="237"/>
              </w:numPr>
              <w:spacing w:after="200" w:line="276" w:lineRule="auto"/>
              <w:jc w:val="both"/>
              <w:rPr>
                <w:noProof/>
              </w:rPr>
            </w:pPr>
            <w:r>
              <w:rPr>
                <w:noProof/>
              </w:rPr>
              <w:t>Produced data introduced as evidence in court; admissibility verified</w:t>
            </w:r>
          </w:p>
          <w:p w:rsidR="001B65FF" w:rsidRDefault="003E4EF4">
            <w:pPr>
              <w:spacing w:after="200" w:line="276" w:lineRule="auto"/>
              <w:jc w:val="both"/>
              <w:rPr>
                <w:noProof/>
                <w:u w:val="single"/>
              </w:rPr>
            </w:pPr>
            <w:r>
              <w:rPr>
                <w:noProof/>
              </w:rPr>
              <w:t xml:space="preserve">   </w:t>
            </w:r>
            <w:r>
              <w:rPr>
                <w:noProof/>
                <w:u w:val="single"/>
              </w:rPr>
              <w:t xml:space="preserve">Advantages: </w:t>
            </w:r>
          </w:p>
          <w:p w:rsidR="001B65FF" w:rsidRDefault="003E4EF4">
            <w:pPr>
              <w:numPr>
                <w:ilvl w:val="0"/>
                <w:numId w:val="236"/>
              </w:numPr>
              <w:spacing w:after="200" w:line="276" w:lineRule="auto"/>
              <w:jc w:val="both"/>
              <w:rPr>
                <w:noProof/>
              </w:rPr>
            </w:pPr>
            <w:r>
              <w:rPr>
                <w:noProof/>
              </w:rPr>
              <w:t xml:space="preserve">Reduction of </w:t>
            </w:r>
            <w:r>
              <w:rPr>
                <w:noProof/>
              </w:rPr>
              <w:t>administrative burden for cases in which the receiving authority typically has no own interest because there is</w:t>
            </w:r>
          </w:p>
          <w:p w:rsidR="001B65FF" w:rsidRDefault="003E4EF4">
            <w:pPr>
              <w:numPr>
                <w:ilvl w:val="1"/>
                <w:numId w:val="236"/>
              </w:numPr>
              <w:spacing w:after="200" w:line="276" w:lineRule="auto"/>
              <w:ind w:left="1092"/>
              <w:jc w:val="both"/>
              <w:rPr>
                <w:noProof/>
              </w:rPr>
            </w:pPr>
            <w:r>
              <w:rPr>
                <w:noProof/>
              </w:rPr>
              <w:t xml:space="preserve">No connection between the location of service provider establishment and the case (e.g. Facebook in US holding data on German citizen suspected </w:t>
            </w:r>
            <w:r>
              <w:rPr>
                <w:noProof/>
              </w:rPr>
              <w:t>in German case)</w:t>
            </w:r>
          </w:p>
          <w:p w:rsidR="001B65FF" w:rsidRDefault="003E4EF4">
            <w:pPr>
              <w:numPr>
                <w:ilvl w:val="1"/>
                <w:numId w:val="236"/>
              </w:numPr>
              <w:spacing w:after="200" w:line="276" w:lineRule="auto"/>
              <w:ind w:left="1092"/>
              <w:jc w:val="both"/>
              <w:rPr>
                <w:noProof/>
              </w:rPr>
            </w:pPr>
            <w:r>
              <w:rPr>
                <w:noProof/>
              </w:rPr>
              <w:t>No connection between the data storage location and the case</w:t>
            </w:r>
          </w:p>
          <w:p w:rsidR="001B65FF" w:rsidRDefault="003E4EF4">
            <w:pPr>
              <w:numPr>
                <w:ilvl w:val="1"/>
                <w:numId w:val="236"/>
              </w:numPr>
              <w:spacing w:after="200" w:line="276" w:lineRule="auto"/>
              <w:ind w:left="1092"/>
              <w:jc w:val="both"/>
              <w:rPr>
                <w:noProof/>
              </w:rPr>
            </w:pPr>
            <w:r>
              <w:rPr>
                <w:noProof/>
              </w:rPr>
              <w:t>No connection between the location of the user concerned and the establishment of the service provider</w:t>
            </w:r>
          </w:p>
          <w:p w:rsidR="001B65FF" w:rsidRDefault="003E4EF4">
            <w:pPr>
              <w:numPr>
                <w:ilvl w:val="1"/>
                <w:numId w:val="236"/>
              </w:numPr>
              <w:spacing w:after="200" w:line="276" w:lineRule="auto"/>
              <w:ind w:left="1092"/>
              <w:jc w:val="both"/>
              <w:rPr>
                <w:noProof/>
              </w:rPr>
            </w:pPr>
            <w:r>
              <w:rPr>
                <w:noProof/>
              </w:rPr>
              <w:t>Low impact on fundamental rights</w:t>
            </w:r>
          </w:p>
          <w:p w:rsidR="001B65FF" w:rsidRDefault="003E4EF4">
            <w:pPr>
              <w:numPr>
                <w:ilvl w:val="0"/>
                <w:numId w:val="236"/>
              </w:numPr>
              <w:spacing w:after="200" w:line="276" w:lineRule="auto"/>
              <w:jc w:val="both"/>
              <w:rPr>
                <w:noProof/>
              </w:rPr>
            </w:pPr>
            <w:r>
              <w:rPr>
                <w:noProof/>
              </w:rPr>
              <w:t xml:space="preserve">Increased speed which is essential as data </w:t>
            </w:r>
            <w:r>
              <w:rPr>
                <w:noProof/>
              </w:rPr>
              <w:t>swiftly disappears</w:t>
            </w:r>
          </w:p>
          <w:p w:rsidR="001B65FF" w:rsidRDefault="003E4EF4">
            <w:pPr>
              <w:numPr>
                <w:ilvl w:val="0"/>
                <w:numId w:val="236"/>
              </w:numPr>
              <w:spacing w:after="200" w:line="276" w:lineRule="auto"/>
              <w:jc w:val="both"/>
              <w:rPr>
                <w:noProof/>
              </w:rPr>
            </w:pPr>
            <w:r>
              <w:rPr>
                <w:noProof/>
              </w:rPr>
              <w:t>Legal certainty for authorities and service providers, some of whom already provide information based on 28 different requests and subject to their own individual specifications</w:t>
            </w:r>
          </w:p>
          <w:p w:rsidR="001B65FF" w:rsidRDefault="003E4EF4">
            <w:pPr>
              <w:numPr>
                <w:ilvl w:val="0"/>
                <w:numId w:val="236"/>
              </w:numPr>
              <w:spacing w:after="200" w:line="276" w:lineRule="auto"/>
              <w:jc w:val="both"/>
              <w:rPr>
                <w:noProof/>
              </w:rPr>
            </w:pPr>
            <w:r>
              <w:rPr>
                <w:noProof/>
              </w:rPr>
              <w:t>Increased transparency on conditions and process</w:t>
            </w:r>
          </w:p>
          <w:p w:rsidR="001B65FF" w:rsidRDefault="003E4EF4">
            <w:pPr>
              <w:numPr>
                <w:ilvl w:val="0"/>
                <w:numId w:val="236"/>
              </w:numPr>
              <w:spacing w:after="200" w:line="276" w:lineRule="auto"/>
              <w:jc w:val="both"/>
              <w:rPr>
                <w:noProof/>
              </w:rPr>
            </w:pPr>
            <w:r>
              <w:rPr>
                <w:noProof/>
              </w:rPr>
              <w:t>Ideal scen</w:t>
            </w:r>
            <w:r>
              <w:rPr>
                <w:noProof/>
              </w:rPr>
              <w:t xml:space="preserve">ario: central IT system to channel requests </w:t>
            </w:r>
          </w:p>
          <w:p w:rsidR="001B65FF" w:rsidRDefault="003E4EF4">
            <w:pPr>
              <w:numPr>
                <w:ilvl w:val="1"/>
                <w:numId w:val="236"/>
              </w:numPr>
              <w:spacing w:after="200" w:line="276" w:lineRule="auto"/>
              <w:ind w:left="1092"/>
              <w:jc w:val="both"/>
              <w:rPr>
                <w:noProof/>
              </w:rPr>
            </w:pPr>
            <w:r>
              <w:rPr>
                <w:noProof/>
              </w:rPr>
              <w:t xml:space="preserve">would facilitate accountability and audits </w:t>
            </w:r>
          </w:p>
          <w:p w:rsidR="001B65FF" w:rsidRDefault="003E4EF4">
            <w:pPr>
              <w:numPr>
                <w:ilvl w:val="1"/>
                <w:numId w:val="236"/>
              </w:numPr>
              <w:spacing w:after="200" w:line="276" w:lineRule="auto"/>
              <w:ind w:left="1092"/>
              <w:jc w:val="both"/>
              <w:rPr>
                <w:noProof/>
              </w:rPr>
            </w:pPr>
            <w:r>
              <w:rPr>
                <w:noProof/>
              </w:rPr>
              <w:t>would permit reliable authentication</w:t>
            </w:r>
          </w:p>
          <w:p w:rsidR="001B65FF" w:rsidRDefault="003E4EF4">
            <w:pPr>
              <w:numPr>
                <w:ilvl w:val="1"/>
                <w:numId w:val="236"/>
              </w:numPr>
              <w:spacing w:after="200" w:line="276" w:lineRule="auto"/>
              <w:ind w:left="1092"/>
              <w:jc w:val="both"/>
              <w:rPr>
                <w:noProof/>
              </w:rPr>
            </w:pPr>
            <w:r>
              <w:rPr>
                <w:noProof/>
              </w:rPr>
              <w:t>would reduce burden on smaller providers</w:t>
            </w:r>
          </w:p>
          <w:p w:rsidR="001B65FF" w:rsidRDefault="003E4EF4">
            <w:pPr>
              <w:numPr>
                <w:ilvl w:val="1"/>
                <w:numId w:val="236"/>
              </w:numPr>
              <w:spacing w:after="200" w:line="276" w:lineRule="auto"/>
              <w:ind w:left="1092"/>
              <w:jc w:val="both"/>
              <w:rPr>
                <w:noProof/>
              </w:rPr>
            </w:pPr>
            <w:r>
              <w:rPr>
                <w:noProof/>
              </w:rPr>
              <w:t>would allow for plug-in of automated national solutions where those are available (e.g. D</w:t>
            </w:r>
            <w:r>
              <w:rPr>
                <w:noProof/>
              </w:rPr>
              <w:t>E, FR)</w:t>
            </w:r>
          </w:p>
        </w:tc>
      </w:tr>
      <w:tr w:rsidR="001B65FF">
        <w:tc>
          <w:tcPr>
            <w:tcW w:w="2802" w:type="dxa"/>
          </w:tcPr>
          <w:p w:rsidR="001B65FF" w:rsidRDefault="003E4EF4">
            <w:pPr>
              <w:spacing w:after="200" w:line="276" w:lineRule="auto"/>
              <w:jc w:val="both"/>
              <w:rPr>
                <w:noProof/>
              </w:rPr>
            </w:pPr>
            <w:r>
              <w:rPr>
                <w:noProof/>
              </w:rPr>
              <w:t xml:space="preserve">Typical use case 2: production of subscriber information, using </w:t>
            </w:r>
            <w:r>
              <w:rPr>
                <w:b/>
                <w:noProof/>
              </w:rPr>
              <w:t>EIO</w:t>
            </w:r>
          </w:p>
        </w:tc>
        <w:tc>
          <w:tcPr>
            <w:tcW w:w="6306" w:type="dxa"/>
          </w:tcPr>
          <w:p w:rsidR="001B65FF" w:rsidRDefault="003E4EF4">
            <w:pPr>
              <w:spacing w:after="200" w:line="276" w:lineRule="auto"/>
              <w:jc w:val="both"/>
              <w:rPr>
                <w:noProof/>
              </w:rPr>
            </w:pPr>
            <w:r>
              <w:rPr>
                <w:b/>
                <w:noProof/>
              </w:rPr>
              <w:t>EIO</w:t>
            </w:r>
            <w:r>
              <w:rPr>
                <w:noProof/>
              </w:rPr>
              <w:t>:</w:t>
            </w:r>
          </w:p>
          <w:p w:rsidR="001B65FF" w:rsidRDefault="003E4EF4">
            <w:pPr>
              <w:numPr>
                <w:ilvl w:val="0"/>
                <w:numId w:val="234"/>
              </w:numPr>
              <w:spacing w:after="200" w:line="276" w:lineRule="auto"/>
              <w:ind w:left="492"/>
              <w:jc w:val="both"/>
              <w:rPr>
                <w:noProof/>
              </w:rPr>
            </w:pPr>
            <w:r>
              <w:rPr>
                <w:noProof/>
              </w:rPr>
              <w:t>National request prepared and judicially approved based on individual national standard and EIO rules</w:t>
            </w:r>
          </w:p>
          <w:p w:rsidR="001B65FF" w:rsidRDefault="003E4EF4">
            <w:pPr>
              <w:numPr>
                <w:ilvl w:val="0"/>
                <w:numId w:val="234"/>
              </w:numPr>
              <w:spacing w:after="200" w:line="276" w:lineRule="auto"/>
              <w:ind w:left="492"/>
              <w:jc w:val="both"/>
              <w:rPr>
                <w:noProof/>
              </w:rPr>
            </w:pPr>
            <w:r>
              <w:rPr>
                <w:noProof/>
              </w:rPr>
              <w:t>Sent directly to relevant judicial authority in relevant country</w:t>
            </w:r>
          </w:p>
          <w:p w:rsidR="001B65FF" w:rsidRDefault="003E4EF4">
            <w:pPr>
              <w:numPr>
                <w:ilvl w:val="0"/>
                <w:numId w:val="234"/>
              </w:numPr>
              <w:spacing w:after="200" w:line="276" w:lineRule="auto"/>
              <w:ind w:left="492"/>
              <w:jc w:val="both"/>
              <w:rPr>
                <w:noProof/>
              </w:rPr>
            </w:pPr>
            <w:r>
              <w:rPr>
                <w:noProof/>
              </w:rPr>
              <w:t xml:space="preserve">Assessed by receiving judicial authority </w:t>
            </w:r>
          </w:p>
          <w:p w:rsidR="001B65FF" w:rsidRDefault="003E4EF4">
            <w:pPr>
              <w:numPr>
                <w:ilvl w:val="0"/>
                <w:numId w:val="234"/>
              </w:numPr>
              <w:spacing w:after="200" w:line="276" w:lineRule="auto"/>
              <w:ind w:left="492"/>
              <w:jc w:val="both"/>
              <w:rPr>
                <w:noProof/>
              </w:rPr>
            </w:pPr>
            <w:r>
              <w:rPr>
                <w:noProof/>
              </w:rPr>
              <w:t>served on service provider</w:t>
            </w:r>
          </w:p>
          <w:p w:rsidR="001B65FF" w:rsidRDefault="003E4EF4">
            <w:pPr>
              <w:numPr>
                <w:ilvl w:val="0"/>
                <w:numId w:val="234"/>
              </w:numPr>
              <w:spacing w:after="200" w:line="276" w:lineRule="auto"/>
              <w:ind w:left="492"/>
              <w:jc w:val="both"/>
              <w:rPr>
                <w:noProof/>
              </w:rPr>
            </w:pPr>
            <w:r>
              <w:rPr>
                <w:noProof/>
              </w:rPr>
              <w:t>Service provider responds to executing national authority if possible</w:t>
            </w:r>
          </w:p>
          <w:p w:rsidR="001B65FF" w:rsidRDefault="003E4EF4">
            <w:pPr>
              <w:numPr>
                <w:ilvl w:val="0"/>
                <w:numId w:val="234"/>
              </w:numPr>
              <w:spacing w:after="200" w:line="276" w:lineRule="auto"/>
              <w:ind w:left="492"/>
              <w:jc w:val="both"/>
              <w:rPr>
                <w:noProof/>
              </w:rPr>
            </w:pPr>
            <w:r>
              <w:rPr>
                <w:noProof/>
              </w:rPr>
              <w:t>Executing judicial authority sends to requesting judicial authority</w:t>
            </w:r>
          </w:p>
          <w:p w:rsidR="001B65FF" w:rsidRDefault="003E4EF4">
            <w:pPr>
              <w:numPr>
                <w:ilvl w:val="0"/>
                <w:numId w:val="234"/>
              </w:numPr>
              <w:spacing w:after="200" w:line="276" w:lineRule="auto"/>
              <w:ind w:left="492"/>
              <w:jc w:val="both"/>
              <w:rPr>
                <w:noProof/>
              </w:rPr>
            </w:pPr>
            <w:r>
              <w:rPr>
                <w:noProof/>
              </w:rPr>
              <w:t>Data introduced as evidence in court; admissibili</w:t>
            </w:r>
            <w:r>
              <w:rPr>
                <w:noProof/>
              </w:rPr>
              <w:t>ty verified</w:t>
            </w:r>
          </w:p>
        </w:tc>
        <w:tc>
          <w:tcPr>
            <w:tcW w:w="5112" w:type="dxa"/>
            <w:vMerge/>
          </w:tcPr>
          <w:p w:rsidR="001B65FF" w:rsidRDefault="001B65FF">
            <w:pPr>
              <w:spacing w:after="200" w:line="276" w:lineRule="auto"/>
              <w:jc w:val="both"/>
              <w:rPr>
                <w:noProof/>
              </w:rPr>
            </w:pPr>
          </w:p>
        </w:tc>
      </w:tr>
      <w:tr w:rsidR="001B65FF">
        <w:tc>
          <w:tcPr>
            <w:tcW w:w="2802" w:type="dxa"/>
          </w:tcPr>
          <w:p w:rsidR="001B65FF" w:rsidRDefault="003E4EF4">
            <w:pPr>
              <w:spacing w:after="200" w:line="276" w:lineRule="auto"/>
              <w:jc w:val="both"/>
              <w:rPr>
                <w:noProof/>
              </w:rPr>
            </w:pPr>
            <w:r>
              <w:rPr>
                <w:noProof/>
              </w:rPr>
              <w:t xml:space="preserve">Typical use case 3: production of subscriber information, using </w:t>
            </w:r>
            <w:r>
              <w:rPr>
                <w:b/>
                <w:noProof/>
              </w:rPr>
              <w:t>direct voluntary cooperation</w:t>
            </w:r>
          </w:p>
        </w:tc>
        <w:tc>
          <w:tcPr>
            <w:tcW w:w="6306" w:type="dxa"/>
          </w:tcPr>
          <w:p w:rsidR="001B65FF" w:rsidRDefault="003E4EF4">
            <w:pPr>
              <w:spacing w:after="200" w:line="276" w:lineRule="auto"/>
              <w:jc w:val="both"/>
              <w:rPr>
                <w:noProof/>
              </w:rPr>
            </w:pPr>
            <w:r>
              <w:rPr>
                <w:b/>
                <w:noProof/>
              </w:rPr>
              <w:t>Voluntary direct cooperation</w:t>
            </w:r>
            <w:r>
              <w:rPr>
                <w:noProof/>
              </w:rPr>
              <w:t>:</w:t>
            </w:r>
          </w:p>
          <w:p w:rsidR="001B65FF" w:rsidRDefault="003E4EF4">
            <w:pPr>
              <w:numPr>
                <w:ilvl w:val="0"/>
                <w:numId w:val="235"/>
              </w:numPr>
              <w:spacing w:after="200" w:line="276" w:lineRule="auto"/>
              <w:ind w:left="492"/>
              <w:jc w:val="both"/>
              <w:rPr>
                <w:noProof/>
              </w:rPr>
            </w:pPr>
            <w:r>
              <w:rPr>
                <w:noProof/>
              </w:rPr>
              <w:t>National request prepared and judicially approved based on individual national standard</w:t>
            </w:r>
          </w:p>
          <w:p w:rsidR="001B65FF" w:rsidRDefault="003E4EF4">
            <w:pPr>
              <w:numPr>
                <w:ilvl w:val="0"/>
                <w:numId w:val="235"/>
              </w:numPr>
              <w:spacing w:after="200" w:line="276" w:lineRule="auto"/>
              <w:ind w:left="492"/>
              <w:jc w:val="both"/>
              <w:rPr>
                <w:noProof/>
              </w:rPr>
            </w:pPr>
            <w:r>
              <w:rPr>
                <w:noProof/>
              </w:rPr>
              <w:t>Sent to service provider</w:t>
            </w:r>
          </w:p>
          <w:p w:rsidR="001B65FF" w:rsidRDefault="003E4EF4">
            <w:pPr>
              <w:numPr>
                <w:ilvl w:val="0"/>
                <w:numId w:val="235"/>
              </w:numPr>
              <w:spacing w:after="200" w:line="276" w:lineRule="auto"/>
              <w:ind w:left="492"/>
              <w:jc w:val="both"/>
              <w:rPr>
                <w:noProof/>
              </w:rPr>
            </w:pPr>
            <w:r>
              <w:rPr>
                <w:noProof/>
              </w:rPr>
              <w:t>Servic</w:t>
            </w:r>
            <w:r>
              <w:rPr>
                <w:noProof/>
              </w:rPr>
              <w:t>e provider reviews based on its individual policy</w:t>
            </w:r>
          </w:p>
          <w:p w:rsidR="001B65FF" w:rsidRDefault="003E4EF4">
            <w:pPr>
              <w:numPr>
                <w:ilvl w:val="0"/>
                <w:numId w:val="235"/>
              </w:numPr>
              <w:spacing w:after="200" w:line="276" w:lineRule="auto"/>
              <w:ind w:left="492"/>
              <w:jc w:val="both"/>
              <w:rPr>
                <w:noProof/>
              </w:rPr>
            </w:pPr>
            <w:r>
              <w:rPr>
                <w:noProof/>
              </w:rPr>
              <w:t>Service provider takes a voluntary decision to provide information</w:t>
            </w:r>
          </w:p>
          <w:p w:rsidR="001B65FF" w:rsidRDefault="003E4EF4">
            <w:pPr>
              <w:numPr>
                <w:ilvl w:val="0"/>
                <w:numId w:val="235"/>
              </w:numPr>
              <w:spacing w:after="200" w:line="276" w:lineRule="auto"/>
              <w:ind w:left="492"/>
              <w:jc w:val="both"/>
              <w:rPr>
                <w:noProof/>
              </w:rPr>
            </w:pPr>
            <w:r>
              <w:rPr>
                <w:noProof/>
              </w:rPr>
              <w:t>Data introduced as evidence in court; admissibility verified</w:t>
            </w:r>
          </w:p>
        </w:tc>
        <w:tc>
          <w:tcPr>
            <w:tcW w:w="5112" w:type="dxa"/>
            <w:vMerge/>
          </w:tcPr>
          <w:p w:rsidR="001B65FF" w:rsidRDefault="001B65FF">
            <w:pPr>
              <w:spacing w:after="200" w:line="276" w:lineRule="auto"/>
              <w:jc w:val="both"/>
              <w:rPr>
                <w:noProof/>
              </w:rPr>
            </w:pPr>
          </w:p>
        </w:tc>
      </w:tr>
    </w:tbl>
    <w:p w:rsidR="001B65FF" w:rsidRDefault="001B65FF">
      <w:pPr>
        <w:jc w:val="both"/>
        <w:rPr>
          <w:rFonts w:ascii="Times New Roman" w:hAnsi="Times New Roman" w:cs="Times New Roman"/>
          <w:noProof/>
          <w:sz w:val="24"/>
        </w:rPr>
        <w:sectPr w:rsidR="001B65FF">
          <w:headerReference w:type="even" r:id="rId107"/>
          <w:headerReference w:type="default" r:id="rId108"/>
          <w:footerReference w:type="even" r:id="rId109"/>
          <w:footerReference w:type="default" r:id="rId110"/>
          <w:headerReference w:type="first" r:id="rId111"/>
          <w:footerReference w:type="first" r:id="rId112"/>
          <w:pgSz w:w="16838" w:h="11906" w:orient="landscape"/>
          <w:pgMar w:top="1587" w:right="1020" w:bottom="1701" w:left="1020" w:header="601" w:footer="1077" w:gutter="0"/>
          <w:cols w:space="720"/>
          <w:titlePg/>
          <w:docGrid w:linePitch="299"/>
        </w:sectPr>
      </w:pPr>
    </w:p>
    <w:p w:rsidR="001B65FF" w:rsidRDefault="003E4EF4">
      <w:pPr>
        <w:pStyle w:val="Heading2"/>
        <w:numPr>
          <w:ilvl w:val="0"/>
          <w:numId w:val="5"/>
        </w:numPr>
        <w:rPr>
          <w:rFonts w:ascii="Times New Roman" w:hAnsi="Times New Roman" w:cs="Times New Roman"/>
          <w:noProof/>
        </w:rPr>
      </w:pPr>
      <w:bookmarkStart w:id="1935" w:name="_Toc510952898"/>
      <w:r>
        <w:rPr>
          <w:rFonts w:ascii="Times New Roman" w:hAnsi="Times New Roman" w:cs="Times New Roman"/>
          <w:noProof/>
        </w:rPr>
        <w:t>Summary of costs and benefits</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5"/>
    </w:p>
    <w:bookmarkEnd w:id="1934"/>
    <w:p w:rsidR="001B65FF" w:rsidRDefault="003E4EF4">
      <w:pPr>
        <w:ind w:right="-94"/>
        <w:jc w:val="both"/>
        <w:rPr>
          <w:rFonts w:ascii="Times New Roman" w:hAnsi="Times New Roman" w:cs="Times New Roman"/>
          <w:noProof/>
          <w:sz w:val="24"/>
          <w:szCs w:val="24"/>
        </w:rPr>
      </w:pPr>
      <w:r>
        <w:rPr>
          <w:rFonts w:ascii="Times New Roman" w:hAnsi="Times New Roman" w:cs="Times New Roman"/>
          <w:noProof/>
          <w:sz w:val="24"/>
          <w:szCs w:val="24"/>
        </w:rPr>
        <w:t xml:space="preserve">The tables below summarise the costs and benefits for the </w:t>
      </w:r>
      <w:r>
        <w:rPr>
          <w:rFonts w:ascii="Times New Roman" w:hAnsi="Times New Roman" w:cs="Times New Roman"/>
          <w:b/>
          <w:noProof/>
          <w:sz w:val="24"/>
          <w:szCs w:val="24"/>
        </w:rPr>
        <w:t>preferred option</w:t>
      </w:r>
      <w:r>
        <w:rPr>
          <w:rFonts w:ascii="Times New Roman" w:hAnsi="Times New Roman" w:cs="Times New Roman"/>
          <w:noProof/>
          <w:sz w:val="24"/>
          <w:szCs w:val="24"/>
        </w:rPr>
        <w:t>. Given the limitations created by the lack of available data, the tables have been filled to the extent possible:</w:t>
      </w:r>
    </w:p>
    <w:tbl>
      <w:tblPr>
        <w:tblStyle w:val="CV12"/>
        <w:tblW w:w="9120"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85"/>
        <w:gridCol w:w="3655"/>
        <w:gridCol w:w="3480"/>
      </w:tblGrid>
      <w:tr w:rsidR="001B65FF">
        <w:tc>
          <w:tcPr>
            <w:tcW w:w="9120" w:type="dxa"/>
            <w:gridSpan w:val="3"/>
            <w:tcBorders>
              <w:top w:val="double" w:sz="4" w:space="0" w:color="auto"/>
              <w:bottom w:val="single" w:sz="4" w:space="0" w:color="auto"/>
            </w:tcBorders>
            <w:shd w:val="clear" w:color="auto" w:fill="C6D9F1" w:themeFill="text2" w:themeFillTint="33"/>
          </w:tcPr>
          <w:p w:rsidR="001B65FF" w:rsidRDefault="003E4EF4">
            <w:pPr>
              <w:tabs>
                <w:tab w:val="num" w:pos="425"/>
              </w:tabs>
              <w:jc w:val="center"/>
              <w:rPr>
                <w:b/>
                <w:i/>
                <w:noProof/>
              </w:rPr>
            </w:pPr>
            <w:r>
              <w:rPr>
                <w:b/>
                <w:i/>
                <w:noProof/>
              </w:rPr>
              <w:t xml:space="preserve">I. Overview </w:t>
            </w:r>
            <w:r>
              <w:rPr>
                <w:b/>
                <w:i/>
                <w:noProof/>
              </w:rPr>
              <w:t>of Benefits (total for all provisions) – Preferred Option (EUR million)</w:t>
            </w:r>
          </w:p>
        </w:tc>
      </w:tr>
      <w:tr w:rsidR="001B65FF">
        <w:tc>
          <w:tcPr>
            <w:tcW w:w="1985" w:type="dxa"/>
            <w:tcBorders>
              <w:top w:val="single" w:sz="4" w:space="0" w:color="auto"/>
            </w:tcBorders>
            <w:shd w:val="clear" w:color="auto" w:fill="C6D9F1" w:themeFill="text2" w:themeFillTint="33"/>
          </w:tcPr>
          <w:p w:rsidR="001B65FF" w:rsidRDefault="003E4EF4">
            <w:pPr>
              <w:tabs>
                <w:tab w:val="num" w:pos="425"/>
              </w:tabs>
              <w:jc w:val="center"/>
              <w:rPr>
                <w:b/>
                <w:i/>
                <w:noProof/>
              </w:rPr>
            </w:pPr>
            <w:r>
              <w:rPr>
                <w:b/>
                <w:i/>
                <w:noProof/>
              </w:rPr>
              <w:t>Description</w:t>
            </w:r>
          </w:p>
        </w:tc>
        <w:tc>
          <w:tcPr>
            <w:tcW w:w="3655" w:type="dxa"/>
            <w:tcBorders>
              <w:top w:val="single" w:sz="4" w:space="0" w:color="auto"/>
            </w:tcBorders>
            <w:shd w:val="clear" w:color="auto" w:fill="C6D9F1" w:themeFill="text2" w:themeFillTint="33"/>
          </w:tcPr>
          <w:p w:rsidR="001B65FF" w:rsidRDefault="003E4EF4">
            <w:pPr>
              <w:tabs>
                <w:tab w:val="num" w:pos="425"/>
              </w:tabs>
              <w:jc w:val="center"/>
              <w:rPr>
                <w:b/>
                <w:i/>
                <w:noProof/>
              </w:rPr>
            </w:pPr>
            <w:r>
              <w:rPr>
                <w:b/>
                <w:i/>
                <w:noProof/>
              </w:rPr>
              <w:t>Amount</w:t>
            </w:r>
          </w:p>
        </w:tc>
        <w:tc>
          <w:tcPr>
            <w:tcW w:w="3480" w:type="dxa"/>
            <w:tcBorders>
              <w:top w:val="single" w:sz="4" w:space="0" w:color="auto"/>
            </w:tcBorders>
            <w:shd w:val="clear" w:color="auto" w:fill="C6D9F1" w:themeFill="text2" w:themeFillTint="33"/>
            <w:tcMar>
              <w:top w:w="57" w:type="dxa"/>
              <w:left w:w="57" w:type="dxa"/>
              <w:bottom w:w="57" w:type="dxa"/>
              <w:right w:w="57" w:type="dxa"/>
            </w:tcMar>
          </w:tcPr>
          <w:p w:rsidR="001B65FF" w:rsidRDefault="003E4EF4">
            <w:pPr>
              <w:tabs>
                <w:tab w:val="num" w:pos="425"/>
              </w:tabs>
              <w:jc w:val="center"/>
              <w:rPr>
                <w:b/>
                <w:i/>
                <w:noProof/>
              </w:rPr>
            </w:pPr>
            <w:r>
              <w:rPr>
                <w:b/>
                <w:i/>
                <w:noProof/>
              </w:rPr>
              <w:t>Comments</w:t>
            </w:r>
          </w:p>
        </w:tc>
      </w:tr>
      <w:tr w:rsidR="001B65FF">
        <w:tc>
          <w:tcPr>
            <w:tcW w:w="9120" w:type="dxa"/>
            <w:gridSpan w:val="3"/>
            <w:tcBorders>
              <w:top w:val="double" w:sz="4" w:space="0" w:color="auto"/>
            </w:tcBorders>
            <w:shd w:val="clear" w:color="auto" w:fill="F2F2F2" w:themeFill="background1" w:themeFillShade="F2"/>
          </w:tcPr>
          <w:p w:rsidR="001B65FF" w:rsidRDefault="003E4EF4">
            <w:pPr>
              <w:tabs>
                <w:tab w:val="num" w:pos="425"/>
              </w:tabs>
              <w:jc w:val="center"/>
              <w:rPr>
                <w:b/>
                <w:i/>
                <w:noProof/>
              </w:rPr>
            </w:pPr>
            <w:r>
              <w:rPr>
                <w:b/>
                <w:i/>
                <w:noProof/>
              </w:rPr>
              <w:t>Direct benefits</w:t>
            </w:r>
          </w:p>
        </w:tc>
      </w:tr>
      <w:tr w:rsidR="001B65FF">
        <w:tc>
          <w:tcPr>
            <w:tcW w:w="1985" w:type="dxa"/>
            <w:tcBorders>
              <w:top w:val="double" w:sz="4" w:space="0" w:color="auto"/>
            </w:tcBorders>
          </w:tcPr>
          <w:p w:rsidR="001B65FF" w:rsidRDefault="003E4EF4">
            <w:pPr>
              <w:tabs>
                <w:tab w:val="num" w:pos="425"/>
              </w:tabs>
              <w:rPr>
                <w:noProof/>
              </w:rPr>
            </w:pPr>
            <w:r>
              <w:rPr>
                <w:noProof/>
              </w:rPr>
              <w:t>Reduction of crime</w:t>
            </w:r>
          </w:p>
        </w:tc>
        <w:tc>
          <w:tcPr>
            <w:tcW w:w="3655" w:type="dxa"/>
            <w:tcBorders>
              <w:top w:val="double" w:sz="4" w:space="0" w:color="auto"/>
            </w:tcBorders>
            <w:tcMar>
              <w:top w:w="57" w:type="dxa"/>
              <w:left w:w="57" w:type="dxa"/>
              <w:bottom w:w="57" w:type="dxa"/>
              <w:right w:w="57" w:type="dxa"/>
            </w:tcMar>
          </w:tcPr>
          <w:p w:rsidR="001B65FF" w:rsidRDefault="003E4EF4">
            <w:pPr>
              <w:tabs>
                <w:tab w:val="num" w:pos="425"/>
              </w:tabs>
              <w:jc w:val="center"/>
              <w:rPr>
                <w:noProof/>
              </w:rPr>
            </w:pPr>
            <w:r>
              <w:rPr>
                <w:noProof/>
              </w:rPr>
              <w:t>3,330</w:t>
            </w:r>
          </w:p>
        </w:tc>
        <w:tc>
          <w:tcPr>
            <w:tcW w:w="3480" w:type="dxa"/>
            <w:tcBorders>
              <w:top w:val="double" w:sz="4" w:space="0" w:color="auto"/>
            </w:tcBorders>
            <w:tcMar>
              <w:top w:w="57" w:type="dxa"/>
              <w:left w:w="57" w:type="dxa"/>
              <w:bottom w:w="57" w:type="dxa"/>
              <w:right w:w="57" w:type="dxa"/>
            </w:tcMar>
          </w:tcPr>
          <w:p w:rsidR="001B65FF" w:rsidRDefault="003E4EF4">
            <w:pPr>
              <w:tabs>
                <w:tab w:val="num" w:pos="425"/>
              </w:tabs>
              <w:rPr>
                <w:noProof/>
              </w:rPr>
            </w:pPr>
            <w:r>
              <w:rPr>
                <w:noProof/>
              </w:rPr>
              <w:t>Main beneficiary of reduction of crime is society at large.</w:t>
            </w:r>
          </w:p>
        </w:tc>
      </w:tr>
      <w:tr w:rsidR="001B65FF">
        <w:tc>
          <w:tcPr>
            <w:tcW w:w="1985" w:type="dxa"/>
            <w:tcBorders>
              <w:bottom w:val="double" w:sz="4" w:space="0" w:color="auto"/>
            </w:tcBorders>
          </w:tcPr>
          <w:p w:rsidR="001B65FF" w:rsidRDefault="003E4EF4">
            <w:pPr>
              <w:tabs>
                <w:tab w:val="num" w:pos="425"/>
              </w:tabs>
              <w:rPr>
                <w:noProof/>
              </w:rPr>
            </w:pPr>
            <w:r>
              <w:rPr>
                <w:noProof/>
              </w:rPr>
              <w:t xml:space="preserve">Savings in administrative costs </w:t>
            </w:r>
          </w:p>
        </w:tc>
        <w:tc>
          <w:tcPr>
            <w:tcW w:w="3655" w:type="dxa"/>
            <w:tcBorders>
              <w:bottom w:val="double" w:sz="4" w:space="0" w:color="auto"/>
            </w:tcBorders>
            <w:tcMar>
              <w:top w:w="57" w:type="dxa"/>
              <w:left w:w="57" w:type="dxa"/>
              <w:bottom w:w="57" w:type="dxa"/>
              <w:right w:w="57" w:type="dxa"/>
            </w:tcMar>
          </w:tcPr>
          <w:p w:rsidR="001B65FF" w:rsidRDefault="003E4EF4">
            <w:pPr>
              <w:tabs>
                <w:tab w:val="num" w:pos="425"/>
              </w:tabs>
              <w:jc w:val="center"/>
              <w:rPr>
                <w:noProof/>
              </w:rPr>
            </w:pPr>
            <w:r>
              <w:rPr>
                <w:noProof/>
              </w:rPr>
              <w:t>110</w:t>
            </w:r>
          </w:p>
        </w:tc>
        <w:tc>
          <w:tcPr>
            <w:tcW w:w="3480" w:type="dxa"/>
            <w:tcBorders>
              <w:bottom w:val="double" w:sz="4" w:space="0" w:color="auto"/>
            </w:tcBorders>
            <w:tcMar>
              <w:top w:w="57" w:type="dxa"/>
              <w:left w:w="57" w:type="dxa"/>
              <w:bottom w:w="57" w:type="dxa"/>
              <w:right w:w="57" w:type="dxa"/>
            </w:tcMar>
          </w:tcPr>
          <w:p w:rsidR="001B65FF" w:rsidRDefault="003E4EF4">
            <w:pPr>
              <w:tabs>
                <w:tab w:val="num" w:pos="425"/>
              </w:tabs>
              <w:rPr>
                <w:noProof/>
              </w:rPr>
            </w:pPr>
            <w:r>
              <w:rPr>
                <w:noProof/>
              </w:rPr>
              <w:t xml:space="preserve">Main </w:t>
            </w:r>
            <w:r>
              <w:rPr>
                <w:noProof/>
              </w:rPr>
              <w:t>beneficiaries are public authorities in Member States and service providers. Savings arise mainly through increased efficiency in the processes related to cross-border access to e-evidence, both on the public authorities and service providers' side. Includ</w:t>
            </w:r>
            <w:r>
              <w:rPr>
                <w:noProof/>
              </w:rPr>
              <w:t>es the total savings over a 10 year period.</w:t>
            </w:r>
          </w:p>
        </w:tc>
      </w:tr>
      <w:tr w:rsidR="001B65FF">
        <w:tc>
          <w:tcPr>
            <w:tcW w:w="9120" w:type="dxa"/>
            <w:gridSpan w:val="3"/>
            <w:shd w:val="clear" w:color="auto" w:fill="F2F2F2" w:themeFill="background1" w:themeFillShade="F2"/>
          </w:tcPr>
          <w:p w:rsidR="001B65FF" w:rsidRDefault="003E4EF4">
            <w:pPr>
              <w:tabs>
                <w:tab w:val="num" w:pos="425"/>
              </w:tabs>
              <w:jc w:val="center"/>
              <w:rPr>
                <w:b/>
                <w:i/>
                <w:noProof/>
              </w:rPr>
            </w:pPr>
            <w:r>
              <w:rPr>
                <w:b/>
                <w:i/>
                <w:noProof/>
              </w:rPr>
              <w:t>Indirect benefits</w:t>
            </w:r>
          </w:p>
        </w:tc>
      </w:tr>
      <w:tr w:rsidR="001B65FF">
        <w:tc>
          <w:tcPr>
            <w:tcW w:w="1985" w:type="dxa"/>
            <w:tcBorders>
              <w:top w:val="double" w:sz="4" w:space="0" w:color="auto"/>
            </w:tcBorders>
          </w:tcPr>
          <w:p w:rsidR="001B65FF" w:rsidRDefault="001B65FF">
            <w:pPr>
              <w:tabs>
                <w:tab w:val="num" w:pos="425"/>
              </w:tabs>
              <w:rPr>
                <w:noProof/>
              </w:rPr>
            </w:pPr>
          </w:p>
        </w:tc>
        <w:tc>
          <w:tcPr>
            <w:tcW w:w="3655" w:type="dxa"/>
            <w:tcBorders>
              <w:top w:val="double" w:sz="4" w:space="0" w:color="auto"/>
            </w:tcBorders>
            <w:tcMar>
              <w:top w:w="57" w:type="dxa"/>
              <w:left w:w="57" w:type="dxa"/>
              <w:bottom w:w="57" w:type="dxa"/>
              <w:right w:w="57" w:type="dxa"/>
            </w:tcMar>
          </w:tcPr>
          <w:p w:rsidR="001B65FF" w:rsidRDefault="001B65FF">
            <w:pPr>
              <w:tabs>
                <w:tab w:val="num" w:pos="425"/>
              </w:tabs>
              <w:rPr>
                <w:noProof/>
              </w:rPr>
            </w:pPr>
          </w:p>
        </w:tc>
        <w:tc>
          <w:tcPr>
            <w:tcW w:w="3480" w:type="dxa"/>
            <w:tcBorders>
              <w:top w:val="double" w:sz="4" w:space="0" w:color="auto"/>
            </w:tcBorders>
            <w:tcMar>
              <w:top w:w="57" w:type="dxa"/>
              <w:left w:w="57" w:type="dxa"/>
              <w:bottom w:w="57" w:type="dxa"/>
              <w:right w:w="57" w:type="dxa"/>
            </w:tcMar>
          </w:tcPr>
          <w:p w:rsidR="001B65FF" w:rsidRDefault="001B65FF">
            <w:pPr>
              <w:tabs>
                <w:tab w:val="num" w:pos="425"/>
              </w:tabs>
              <w:rPr>
                <w:noProof/>
              </w:rPr>
            </w:pPr>
          </w:p>
        </w:tc>
      </w:tr>
      <w:tr w:rsidR="001B65FF">
        <w:tc>
          <w:tcPr>
            <w:tcW w:w="1985" w:type="dxa"/>
          </w:tcPr>
          <w:p w:rsidR="001B65FF" w:rsidRDefault="001B65FF">
            <w:pPr>
              <w:tabs>
                <w:tab w:val="num" w:pos="425"/>
              </w:tabs>
              <w:rPr>
                <w:noProof/>
              </w:rPr>
            </w:pPr>
          </w:p>
        </w:tc>
        <w:tc>
          <w:tcPr>
            <w:tcW w:w="3655" w:type="dxa"/>
            <w:tcMar>
              <w:top w:w="57" w:type="dxa"/>
              <w:left w:w="57" w:type="dxa"/>
              <w:bottom w:w="57" w:type="dxa"/>
              <w:right w:w="57" w:type="dxa"/>
            </w:tcMar>
          </w:tcPr>
          <w:p w:rsidR="001B65FF" w:rsidRDefault="001B65FF">
            <w:pPr>
              <w:tabs>
                <w:tab w:val="num" w:pos="425"/>
              </w:tabs>
              <w:rPr>
                <w:noProof/>
              </w:rPr>
            </w:pPr>
          </w:p>
        </w:tc>
        <w:tc>
          <w:tcPr>
            <w:tcW w:w="3480" w:type="dxa"/>
            <w:tcMar>
              <w:top w:w="57" w:type="dxa"/>
              <w:left w:w="57" w:type="dxa"/>
              <w:bottom w:w="57" w:type="dxa"/>
              <w:right w:w="57" w:type="dxa"/>
            </w:tcMar>
          </w:tcPr>
          <w:p w:rsidR="001B65FF" w:rsidRDefault="001B65FF">
            <w:pPr>
              <w:tabs>
                <w:tab w:val="num" w:pos="425"/>
              </w:tabs>
              <w:rPr>
                <w:noProof/>
              </w:rPr>
            </w:pPr>
          </w:p>
        </w:tc>
      </w:tr>
    </w:tbl>
    <w:p w:rsidR="001B65FF" w:rsidRDefault="001B65FF">
      <w:pPr>
        <w:rPr>
          <w:rFonts w:ascii="Times New Roman" w:hAnsi="Times New Roman" w:cs="Times New Roman"/>
          <w:noProof/>
        </w:rPr>
      </w:pP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table below summarises the </w:t>
      </w:r>
      <w:r>
        <w:rPr>
          <w:rFonts w:ascii="Times New Roman" w:hAnsi="Times New Roman" w:cs="Times New Roman"/>
          <w:b/>
          <w:noProof/>
          <w:sz w:val="24"/>
        </w:rPr>
        <w:t xml:space="preserve">absolute costs </w:t>
      </w:r>
      <w:r>
        <w:rPr>
          <w:rFonts w:ascii="Times New Roman" w:hAnsi="Times New Roman" w:cs="Times New Roman"/>
          <w:noProof/>
          <w:sz w:val="24"/>
        </w:rPr>
        <w:t xml:space="preserve">(i.e. without deducting the baseline costs): </w:t>
      </w:r>
    </w:p>
    <w:tbl>
      <w:tblPr>
        <w:tblStyle w:val="CV111"/>
        <w:tblW w:w="8647" w:type="dxa"/>
        <w:tblInd w:w="5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134"/>
        <w:gridCol w:w="1476"/>
        <w:gridCol w:w="792"/>
        <w:gridCol w:w="993"/>
        <w:gridCol w:w="992"/>
        <w:gridCol w:w="992"/>
        <w:gridCol w:w="992"/>
        <w:gridCol w:w="1276"/>
      </w:tblGrid>
      <w:tr w:rsidR="001B65FF">
        <w:tc>
          <w:tcPr>
            <w:tcW w:w="8647" w:type="dxa"/>
            <w:gridSpan w:val="8"/>
            <w:shd w:val="clear" w:color="auto" w:fill="C6D9F1" w:themeFill="text2" w:themeFillTint="33"/>
            <w:tcMar>
              <w:top w:w="57" w:type="dxa"/>
              <w:left w:w="57" w:type="dxa"/>
              <w:bottom w:w="57" w:type="dxa"/>
              <w:right w:w="57" w:type="dxa"/>
            </w:tcMar>
          </w:tcPr>
          <w:p w:rsidR="001B65FF" w:rsidRDefault="003E4EF4">
            <w:pPr>
              <w:tabs>
                <w:tab w:val="num" w:pos="425"/>
              </w:tabs>
              <w:ind w:right="-94"/>
              <w:jc w:val="center"/>
              <w:rPr>
                <w:b/>
                <w:i/>
                <w:noProof/>
              </w:rPr>
            </w:pPr>
            <w:r>
              <w:rPr>
                <w:b/>
                <w:i/>
                <w:noProof/>
              </w:rPr>
              <w:t>II. Overview of costs – Preferred option (million EUR)</w:t>
            </w:r>
          </w:p>
        </w:tc>
      </w:tr>
      <w:tr w:rsidR="001B65FF">
        <w:trPr>
          <w:trHeight w:val="491"/>
        </w:trPr>
        <w:tc>
          <w:tcPr>
            <w:tcW w:w="2610"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1B65FF" w:rsidRDefault="001B65FF">
            <w:pPr>
              <w:tabs>
                <w:tab w:val="num" w:pos="425"/>
              </w:tabs>
              <w:ind w:right="-94"/>
              <w:rPr>
                <w:noProof/>
              </w:rPr>
            </w:pPr>
          </w:p>
          <w:p w:rsidR="001B65FF" w:rsidRDefault="001B65FF">
            <w:pPr>
              <w:tabs>
                <w:tab w:val="num" w:pos="425"/>
              </w:tabs>
              <w:ind w:right="-94"/>
              <w:rPr>
                <w:noProof/>
              </w:rPr>
            </w:pPr>
          </w:p>
          <w:p w:rsidR="001B65FF" w:rsidRDefault="003E4EF4">
            <w:pPr>
              <w:tabs>
                <w:tab w:val="num" w:pos="425"/>
              </w:tabs>
              <w:ind w:right="-94"/>
              <w:rPr>
                <w:b/>
                <w:noProof/>
              </w:rPr>
            </w:pPr>
            <w:r>
              <w:rPr>
                <w:b/>
                <w:noProof/>
              </w:rPr>
              <w:t xml:space="preserve">Policy </w:t>
            </w:r>
          </w:p>
          <w:p w:rsidR="001B65FF" w:rsidRDefault="003E4EF4">
            <w:pPr>
              <w:tabs>
                <w:tab w:val="num" w:pos="425"/>
              </w:tabs>
              <w:ind w:right="-94"/>
              <w:rPr>
                <w:b/>
                <w:noProof/>
              </w:rPr>
            </w:pPr>
            <w:r>
              <w:rPr>
                <w:b/>
                <w:noProof/>
              </w:rPr>
              <w:t>measure</w:t>
            </w:r>
          </w:p>
        </w:tc>
        <w:tc>
          <w:tcPr>
            <w:tcW w:w="1785" w:type="dxa"/>
            <w:gridSpan w:val="2"/>
            <w:tcBorders>
              <w:left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Citizens/</w:t>
            </w:r>
          </w:p>
          <w:p w:rsidR="001B65FF" w:rsidRDefault="003E4EF4">
            <w:pPr>
              <w:tabs>
                <w:tab w:val="num" w:pos="425"/>
              </w:tabs>
              <w:ind w:right="-94"/>
              <w:jc w:val="center"/>
              <w:rPr>
                <w:noProof/>
              </w:rPr>
            </w:pPr>
            <w:r>
              <w:rPr>
                <w:noProof/>
              </w:rPr>
              <w:t>Consumers</w:t>
            </w:r>
          </w:p>
        </w:tc>
        <w:tc>
          <w:tcPr>
            <w:tcW w:w="1984" w:type="dxa"/>
            <w:gridSpan w:val="2"/>
            <w:tcMar>
              <w:top w:w="57" w:type="dxa"/>
              <w:left w:w="57" w:type="dxa"/>
              <w:bottom w:w="57" w:type="dxa"/>
              <w:right w:w="57" w:type="dxa"/>
            </w:tcMar>
          </w:tcPr>
          <w:p w:rsidR="001B65FF" w:rsidRDefault="003E4EF4">
            <w:pPr>
              <w:tabs>
                <w:tab w:val="num" w:pos="425"/>
              </w:tabs>
              <w:ind w:right="-94"/>
              <w:jc w:val="center"/>
              <w:rPr>
                <w:noProof/>
              </w:rPr>
            </w:pPr>
            <w:r>
              <w:rPr>
                <w:noProof/>
              </w:rPr>
              <w:t>Businesses</w:t>
            </w:r>
          </w:p>
        </w:tc>
        <w:tc>
          <w:tcPr>
            <w:tcW w:w="2268" w:type="dxa"/>
            <w:gridSpan w:val="2"/>
            <w:tcMar>
              <w:top w:w="57" w:type="dxa"/>
              <w:left w:w="57" w:type="dxa"/>
              <w:bottom w:w="57" w:type="dxa"/>
              <w:right w:w="57" w:type="dxa"/>
            </w:tcMar>
          </w:tcPr>
          <w:p w:rsidR="001B65FF" w:rsidRDefault="003E4EF4">
            <w:pPr>
              <w:tabs>
                <w:tab w:val="num" w:pos="425"/>
              </w:tabs>
              <w:ind w:right="-94"/>
              <w:jc w:val="center"/>
              <w:rPr>
                <w:noProof/>
              </w:rPr>
            </w:pPr>
            <w:r>
              <w:rPr>
                <w:noProof/>
              </w:rPr>
              <w:t>Administrations</w:t>
            </w:r>
          </w:p>
        </w:tc>
      </w:tr>
      <w:tr w:rsidR="001B65FF">
        <w:tc>
          <w:tcPr>
            <w:tcW w:w="2610"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792" w:type="dxa"/>
            <w:tcBorders>
              <w:left w:val="double" w:sz="4" w:space="0" w:color="auto"/>
              <w:bottom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One-off</w:t>
            </w:r>
          </w:p>
        </w:tc>
        <w:tc>
          <w:tcPr>
            <w:tcW w:w="993" w:type="dxa"/>
            <w:tcBorders>
              <w:bottom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Recurrent</w:t>
            </w:r>
          </w:p>
        </w:tc>
        <w:tc>
          <w:tcPr>
            <w:tcW w:w="992" w:type="dxa"/>
            <w:tcBorders>
              <w:bottom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One-off</w:t>
            </w:r>
          </w:p>
        </w:tc>
        <w:tc>
          <w:tcPr>
            <w:tcW w:w="992" w:type="dxa"/>
            <w:tcBorders>
              <w:bottom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Recurrent</w:t>
            </w:r>
          </w:p>
        </w:tc>
        <w:tc>
          <w:tcPr>
            <w:tcW w:w="992" w:type="dxa"/>
            <w:tcBorders>
              <w:bottom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One-off</w:t>
            </w:r>
          </w:p>
        </w:tc>
        <w:tc>
          <w:tcPr>
            <w:tcW w:w="1276" w:type="dxa"/>
            <w:tcBorders>
              <w:bottom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Recurrent</w:t>
            </w:r>
          </w:p>
        </w:tc>
      </w:tr>
      <w:tr w:rsidR="001B65FF">
        <w:trPr>
          <w:trHeight w:val="307"/>
        </w:trPr>
        <w:tc>
          <w:tcPr>
            <w:tcW w:w="1134" w:type="dxa"/>
            <w:vMerge w:val="restart"/>
            <w:tcMar>
              <w:top w:w="57" w:type="dxa"/>
              <w:left w:w="57" w:type="dxa"/>
              <w:bottom w:w="57" w:type="dxa"/>
              <w:right w:w="57" w:type="dxa"/>
            </w:tcMar>
            <w:vAlign w:val="center"/>
          </w:tcPr>
          <w:p w:rsidR="001B65FF" w:rsidRDefault="003E4EF4">
            <w:pPr>
              <w:tabs>
                <w:tab w:val="num" w:pos="425"/>
              </w:tabs>
              <w:ind w:right="-94"/>
              <w:rPr>
                <w:b/>
                <w:noProof/>
              </w:rPr>
            </w:pPr>
            <w:r>
              <w:rPr>
                <w:b/>
                <w:noProof/>
              </w:rPr>
              <w:t>1</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24.243</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0.400</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27.338</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2</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0.120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22.315</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0.293</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25.929</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3</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4</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5</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1.560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22.870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1.296</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26.672</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6</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21.553</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0.672</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22.508</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7</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23.660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0.648</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27.550</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 xml:space="preserve">Indirect </w:t>
            </w:r>
            <w:r>
              <w:rPr>
                <w:noProof/>
              </w:rPr>
              <w:t>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Total preferred option</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b/>
                <w:noProof/>
              </w:rPr>
            </w:pPr>
            <w:r>
              <w:rPr>
                <w:b/>
                <w:noProof/>
              </w:rPr>
              <w:t>1.680</w:t>
            </w:r>
          </w:p>
        </w:tc>
        <w:tc>
          <w:tcPr>
            <w:tcW w:w="992" w:type="dxa"/>
            <w:tcMar>
              <w:top w:w="57" w:type="dxa"/>
              <w:left w:w="57" w:type="dxa"/>
              <w:bottom w:w="57" w:type="dxa"/>
              <w:right w:w="57" w:type="dxa"/>
            </w:tcMar>
          </w:tcPr>
          <w:p w:rsidR="001B65FF" w:rsidRDefault="003E4EF4">
            <w:pPr>
              <w:tabs>
                <w:tab w:val="num" w:pos="425"/>
              </w:tabs>
              <w:ind w:right="-94"/>
              <w:jc w:val="center"/>
              <w:rPr>
                <w:b/>
                <w:noProof/>
              </w:rPr>
            </w:pPr>
            <w:r>
              <w:rPr>
                <w:b/>
                <w:noProof/>
              </w:rPr>
              <w:t>114.641</w:t>
            </w:r>
          </w:p>
        </w:tc>
        <w:tc>
          <w:tcPr>
            <w:tcW w:w="992" w:type="dxa"/>
            <w:tcMar>
              <w:top w:w="57" w:type="dxa"/>
              <w:left w:w="57" w:type="dxa"/>
              <w:bottom w:w="57" w:type="dxa"/>
              <w:right w:w="57" w:type="dxa"/>
            </w:tcMar>
          </w:tcPr>
          <w:p w:rsidR="001B65FF" w:rsidRDefault="003E4EF4">
            <w:pPr>
              <w:tabs>
                <w:tab w:val="num" w:pos="425"/>
              </w:tabs>
              <w:ind w:right="-94"/>
              <w:jc w:val="center"/>
              <w:rPr>
                <w:b/>
                <w:noProof/>
              </w:rPr>
            </w:pPr>
            <w:r>
              <w:rPr>
                <w:b/>
                <w:noProof/>
              </w:rPr>
              <w:t>3.309</w:t>
            </w:r>
          </w:p>
        </w:tc>
        <w:tc>
          <w:tcPr>
            <w:tcW w:w="1276" w:type="dxa"/>
            <w:tcMar>
              <w:top w:w="57" w:type="dxa"/>
              <w:left w:w="57" w:type="dxa"/>
              <w:bottom w:w="57" w:type="dxa"/>
              <w:right w:w="57" w:type="dxa"/>
            </w:tcMar>
          </w:tcPr>
          <w:p w:rsidR="001B65FF" w:rsidRDefault="003E4EF4">
            <w:pPr>
              <w:tabs>
                <w:tab w:val="num" w:pos="425"/>
              </w:tabs>
              <w:ind w:right="-94"/>
              <w:jc w:val="center"/>
              <w:rPr>
                <w:b/>
                <w:noProof/>
              </w:rPr>
            </w:pPr>
            <w:r>
              <w:rPr>
                <w:b/>
                <w:noProof/>
              </w:rPr>
              <w:t>130.0</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bl>
    <w:p w:rsidR="001B65FF" w:rsidRDefault="001B65FF">
      <w:pPr>
        <w:ind w:right="-94"/>
        <w:jc w:val="both"/>
        <w:rPr>
          <w:rFonts w:ascii="Times New Roman" w:hAnsi="Times New Roman" w:cs="Times New Roman"/>
          <w:noProof/>
          <w:sz w:val="24"/>
          <w:szCs w:val="24"/>
        </w:rPr>
      </w:pPr>
    </w:p>
    <w:p w:rsidR="001B65FF" w:rsidRDefault="003E4EF4">
      <w:pPr>
        <w:ind w:right="-94"/>
        <w:jc w:val="both"/>
        <w:rPr>
          <w:rFonts w:ascii="Times New Roman" w:hAnsi="Times New Roman" w:cs="Times New Roman"/>
          <w:noProof/>
          <w:sz w:val="24"/>
          <w:szCs w:val="24"/>
        </w:rPr>
      </w:pPr>
      <w:r>
        <w:rPr>
          <w:rFonts w:ascii="Times New Roman" w:hAnsi="Times New Roman" w:cs="Times New Roman"/>
          <w:noProof/>
          <w:sz w:val="24"/>
          <w:szCs w:val="24"/>
        </w:rPr>
        <w:t xml:space="preserve">The table below summarises the </w:t>
      </w:r>
      <w:r>
        <w:rPr>
          <w:rFonts w:ascii="Times New Roman" w:hAnsi="Times New Roman" w:cs="Times New Roman"/>
          <w:b/>
          <w:noProof/>
          <w:sz w:val="24"/>
          <w:szCs w:val="24"/>
        </w:rPr>
        <w:t xml:space="preserve">net costs </w:t>
      </w:r>
      <w:r>
        <w:rPr>
          <w:rFonts w:ascii="Times New Roman" w:hAnsi="Times New Roman" w:cs="Times New Roman"/>
          <w:noProof/>
          <w:sz w:val="24"/>
          <w:szCs w:val="24"/>
        </w:rPr>
        <w:t>(i.e. the absolute costs minus the baseline costs, so a negative sign indicates savings compare to the baseline):</w:t>
      </w:r>
    </w:p>
    <w:tbl>
      <w:tblPr>
        <w:tblStyle w:val="CV111"/>
        <w:tblW w:w="8647" w:type="dxa"/>
        <w:tblInd w:w="5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134"/>
        <w:gridCol w:w="1476"/>
        <w:gridCol w:w="792"/>
        <w:gridCol w:w="993"/>
        <w:gridCol w:w="992"/>
        <w:gridCol w:w="992"/>
        <w:gridCol w:w="992"/>
        <w:gridCol w:w="1276"/>
      </w:tblGrid>
      <w:tr w:rsidR="001B65FF">
        <w:tc>
          <w:tcPr>
            <w:tcW w:w="8647" w:type="dxa"/>
            <w:gridSpan w:val="8"/>
            <w:shd w:val="clear" w:color="auto" w:fill="C6D9F1" w:themeFill="text2" w:themeFillTint="33"/>
            <w:tcMar>
              <w:top w:w="57" w:type="dxa"/>
              <w:left w:w="57" w:type="dxa"/>
              <w:bottom w:w="57" w:type="dxa"/>
              <w:right w:w="57" w:type="dxa"/>
            </w:tcMar>
          </w:tcPr>
          <w:p w:rsidR="001B65FF" w:rsidRDefault="003E4EF4">
            <w:pPr>
              <w:tabs>
                <w:tab w:val="num" w:pos="425"/>
              </w:tabs>
              <w:ind w:right="-94"/>
              <w:jc w:val="center"/>
              <w:rPr>
                <w:b/>
                <w:i/>
                <w:noProof/>
              </w:rPr>
            </w:pPr>
            <w:r>
              <w:rPr>
                <w:b/>
                <w:i/>
                <w:noProof/>
              </w:rPr>
              <w:t>II. Overview of costs – Preferred option (million EUR)</w:t>
            </w:r>
          </w:p>
        </w:tc>
      </w:tr>
      <w:tr w:rsidR="001B65FF">
        <w:trPr>
          <w:trHeight w:val="491"/>
        </w:trPr>
        <w:tc>
          <w:tcPr>
            <w:tcW w:w="2610"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1B65FF" w:rsidRDefault="001B65FF">
            <w:pPr>
              <w:tabs>
                <w:tab w:val="num" w:pos="425"/>
              </w:tabs>
              <w:ind w:right="-94"/>
              <w:rPr>
                <w:noProof/>
              </w:rPr>
            </w:pPr>
          </w:p>
          <w:p w:rsidR="001B65FF" w:rsidRDefault="001B65FF">
            <w:pPr>
              <w:tabs>
                <w:tab w:val="num" w:pos="425"/>
              </w:tabs>
              <w:ind w:right="-94"/>
              <w:rPr>
                <w:noProof/>
              </w:rPr>
            </w:pPr>
          </w:p>
          <w:p w:rsidR="001B65FF" w:rsidRDefault="003E4EF4">
            <w:pPr>
              <w:tabs>
                <w:tab w:val="num" w:pos="425"/>
              </w:tabs>
              <w:ind w:right="-94"/>
              <w:rPr>
                <w:b/>
                <w:noProof/>
              </w:rPr>
            </w:pPr>
            <w:r>
              <w:rPr>
                <w:b/>
                <w:noProof/>
              </w:rPr>
              <w:t xml:space="preserve">Policy </w:t>
            </w:r>
          </w:p>
          <w:p w:rsidR="001B65FF" w:rsidRDefault="003E4EF4">
            <w:pPr>
              <w:tabs>
                <w:tab w:val="num" w:pos="425"/>
              </w:tabs>
              <w:ind w:right="-94"/>
              <w:rPr>
                <w:b/>
                <w:noProof/>
              </w:rPr>
            </w:pPr>
            <w:r>
              <w:rPr>
                <w:b/>
                <w:noProof/>
              </w:rPr>
              <w:t>measure</w:t>
            </w:r>
          </w:p>
        </w:tc>
        <w:tc>
          <w:tcPr>
            <w:tcW w:w="1785" w:type="dxa"/>
            <w:gridSpan w:val="2"/>
            <w:tcBorders>
              <w:left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Citizens/</w:t>
            </w:r>
          </w:p>
          <w:p w:rsidR="001B65FF" w:rsidRDefault="003E4EF4">
            <w:pPr>
              <w:tabs>
                <w:tab w:val="num" w:pos="425"/>
              </w:tabs>
              <w:ind w:right="-94"/>
              <w:jc w:val="center"/>
              <w:rPr>
                <w:noProof/>
              </w:rPr>
            </w:pPr>
            <w:r>
              <w:rPr>
                <w:noProof/>
              </w:rPr>
              <w:t>Consumers</w:t>
            </w:r>
          </w:p>
        </w:tc>
        <w:tc>
          <w:tcPr>
            <w:tcW w:w="1984" w:type="dxa"/>
            <w:gridSpan w:val="2"/>
            <w:tcMar>
              <w:top w:w="57" w:type="dxa"/>
              <w:left w:w="57" w:type="dxa"/>
              <w:bottom w:w="57" w:type="dxa"/>
              <w:right w:w="57" w:type="dxa"/>
            </w:tcMar>
          </w:tcPr>
          <w:p w:rsidR="001B65FF" w:rsidRDefault="003E4EF4">
            <w:pPr>
              <w:tabs>
                <w:tab w:val="num" w:pos="425"/>
              </w:tabs>
              <w:ind w:right="-94"/>
              <w:jc w:val="center"/>
              <w:rPr>
                <w:noProof/>
              </w:rPr>
            </w:pPr>
            <w:r>
              <w:rPr>
                <w:noProof/>
              </w:rPr>
              <w:t>Businesses</w:t>
            </w:r>
          </w:p>
        </w:tc>
        <w:tc>
          <w:tcPr>
            <w:tcW w:w="2268" w:type="dxa"/>
            <w:gridSpan w:val="2"/>
            <w:tcMar>
              <w:top w:w="57" w:type="dxa"/>
              <w:left w:w="57" w:type="dxa"/>
              <w:bottom w:w="57" w:type="dxa"/>
              <w:right w:w="57" w:type="dxa"/>
            </w:tcMar>
          </w:tcPr>
          <w:p w:rsidR="001B65FF" w:rsidRDefault="003E4EF4">
            <w:pPr>
              <w:tabs>
                <w:tab w:val="num" w:pos="425"/>
              </w:tabs>
              <w:ind w:right="-94"/>
              <w:jc w:val="center"/>
              <w:rPr>
                <w:noProof/>
              </w:rPr>
            </w:pPr>
            <w:r>
              <w:rPr>
                <w:noProof/>
              </w:rPr>
              <w:t>Administrations</w:t>
            </w:r>
          </w:p>
        </w:tc>
      </w:tr>
      <w:tr w:rsidR="001B65FF">
        <w:tc>
          <w:tcPr>
            <w:tcW w:w="2610"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792" w:type="dxa"/>
            <w:tcBorders>
              <w:left w:val="double" w:sz="4" w:space="0" w:color="auto"/>
              <w:bottom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One-off</w:t>
            </w:r>
          </w:p>
        </w:tc>
        <w:tc>
          <w:tcPr>
            <w:tcW w:w="993" w:type="dxa"/>
            <w:tcBorders>
              <w:bottom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Recurrent</w:t>
            </w:r>
          </w:p>
        </w:tc>
        <w:tc>
          <w:tcPr>
            <w:tcW w:w="992" w:type="dxa"/>
            <w:tcBorders>
              <w:bottom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One-off</w:t>
            </w:r>
          </w:p>
        </w:tc>
        <w:tc>
          <w:tcPr>
            <w:tcW w:w="992" w:type="dxa"/>
            <w:tcBorders>
              <w:bottom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Recurrent</w:t>
            </w:r>
          </w:p>
        </w:tc>
        <w:tc>
          <w:tcPr>
            <w:tcW w:w="992" w:type="dxa"/>
            <w:tcBorders>
              <w:bottom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One-off</w:t>
            </w:r>
          </w:p>
        </w:tc>
        <w:tc>
          <w:tcPr>
            <w:tcW w:w="1276" w:type="dxa"/>
            <w:tcBorders>
              <w:bottom w:val="double" w:sz="4" w:space="0" w:color="auto"/>
            </w:tcBorders>
            <w:tcMar>
              <w:top w:w="57" w:type="dxa"/>
              <w:left w:w="57" w:type="dxa"/>
              <w:bottom w:w="57" w:type="dxa"/>
              <w:right w:w="57" w:type="dxa"/>
            </w:tcMar>
          </w:tcPr>
          <w:p w:rsidR="001B65FF" w:rsidRDefault="003E4EF4">
            <w:pPr>
              <w:tabs>
                <w:tab w:val="num" w:pos="425"/>
              </w:tabs>
              <w:ind w:right="-94"/>
              <w:jc w:val="center"/>
              <w:rPr>
                <w:noProof/>
              </w:rPr>
            </w:pPr>
            <w:r>
              <w:rPr>
                <w:noProof/>
              </w:rPr>
              <w:t>Recurrent</w:t>
            </w:r>
          </w:p>
        </w:tc>
      </w:tr>
      <w:tr w:rsidR="001B65FF">
        <w:trPr>
          <w:trHeight w:val="307"/>
        </w:trPr>
        <w:tc>
          <w:tcPr>
            <w:tcW w:w="1134" w:type="dxa"/>
            <w:vMerge w:val="restart"/>
            <w:tcMar>
              <w:top w:w="57" w:type="dxa"/>
              <w:left w:w="57" w:type="dxa"/>
              <w:bottom w:w="57" w:type="dxa"/>
              <w:right w:w="57" w:type="dxa"/>
            </w:tcMar>
            <w:vAlign w:val="center"/>
          </w:tcPr>
          <w:p w:rsidR="001B65FF" w:rsidRDefault="003E4EF4">
            <w:pPr>
              <w:tabs>
                <w:tab w:val="num" w:pos="425"/>
              </w:tabs>
              <w:ind w:right="-94"/>
              <w:rPr>
                <w:b/>
                <w:noProof/>
              </w:rPr>
            </w:pPr>
            <w:r>
              <w:rPr>
                <w:b/>
                <w:noProof/>
              </w:rPr>
              <w:t>1</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0.448</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0.400</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-0.099</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2</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0.120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color w:val="FF0000"/>
              </w:rPr>
              <w:t>-1.479</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0.293</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color w:val="FF0000"/>
              </w:rPr>
              <w:t>-1.507</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3</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4</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NA</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5</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1.560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color w:val="FF0000"/>
              </w:rPr>
              <w:t>-0.924</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1.296</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color w:val="FF0000"/>
              </w:rPr>
              <w:t>-0.764</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6</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color w:val="FF0000"/>
              </w:rPr>
              <w:t>-2.242</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0.672</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color w:val="FF0000"/>
              </w:rPr>
              <w:t>-4.929</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7</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color w:val="FF0000"/>
              </w:rPr>
              <w:t>-0.135</w:t>
            </w:r>
          </w:p>
        </w:tc>
        <w:tc>
          <w:tcPr>
            <w:tcW w:w="992" w:type="dxa"/>
            <w:tcMar>
              <w:top w:w="57" w:type="dxa"/>
              <w:left w:w="57" w:type="dxa"/>
              <w:bottom w:w="57" w:type="dxa"/>
              <w:right w:w="57" w:type="dxa"/>
            </w:tcMar>
          </w:tcPr>
          <w:p w:rsidR="001B65FF" w:rsidRDefault="003E4EF4">
            <w:pPr>
              <w:tabs>
                <w:tab w:val="num" w:pos="425"/>
              </w:tabs>
              <w:ind w:right="-94"/>
              <w:jc w:val="center"/>
              <w:rPr>
                <w:noProof/>
              </w:rPr>
            </w:pPr>
            <w:r>
              <w:rPr>
                <w:noProof/>
              </w:rPr>
              <w:t>0.648</w:t>
            </w:r>
          </w:p>
        </w:tc>
        <w:tc>
          <w:tcPr>
            <w:tcW w:w="1276" w:type="dxa"/>
            <w:tcMar>
              <w:top w:w="57" w:type="dxa"/>
              <w:left w:w="57" w:type="dxa"/>
              <w:bottom w:w="57" w:type="dxa"/>
              <w:right w:w="57" w:type="dxa"/>
            </w:tcMar>
          </w:tcPr>
          <w:p w:rsidR="001B65FF" w:rsidRDefault="003E4EF4">
            <w:pPr>
              <w:tabs>
                <w:tab w:val="num" w:pos="425"/>
              </w:tabs>
              <w:ind w:right="-94"/>
              <w:jc w:val="center"/>
              <w:rPr>
                <w:noProof/>
              </w:rPr>
            </w:pPr>
            <w:r>
              <w:rPr>
                <w:noProof/>
              </w:rPr>
              <w:t>0.113</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r w:rsidR="001B65FF">
        <w:tc>
          <w:tcPr>
            <w:tcW w:w="1134" w:type="dxa"/>
            <w:vMerge w:val="restart"/>
            <w:tcMar>
              <w:top w:w="57" w:type="dxa"/>
              <w:left w:w="57" w:type="dxa"/>
              <w:bottom w:w="57" w:type="dxa"/>
              <w:right w:w="57" w:type="dxa"/>
            </w:tcMar>
          </w:tcPr>
          <w:p w:rsidR="001B65FF" w:rsidRDefault="003E4EF4">
            <w:pPr>
              <w:tabs>
                <w:tab w:val="num" w:pos="425"/>
              </w:tabs>
              <w:ind w:right="-94"/>
              <w:rPr>
                <w:b/>
                <w:noProof/>
              </w:rPr>
            </w:pPr>
            <w:r>
              <w:rPr>
                <w:b/>
                <w:noProof/>
              </w:rPr>
              <w:t>Total preferred option</w:t>
            </w:r>
          </w:p>
        </w:tc>
        <w:tc>
          <w:tcPr>
            <w:tcW w:w="1476" w:type="dxa"/>
            <w:tcBorders>
              <w:right w:val="double" w:sz="4" w:space="0" w:color="auto"/>
            </w:tcBorders>
            <w:tcMar>
              <w:top w:w="57" w:type="dxa"/>
              <w:left w:w="57" w:type="dxa"/>
              <w:bottom w:w="57" w:type="dxa"/>
              <w:right w:w="57" w:type="dxa"/>
            </w:tcMar>
            <w:vAlign w:val="center"/>
          </w:tcPr>
          <w:p w:rsidR="001B65FF" w:rsidRDefault="003E4EF4">
            <w:pPr>
              <w:tabs>
                <w:tab w:val="num" w:pos="425"/>
              </w:tabs>
              <w:ind w:right="-94"/>
              <w:rPr>
                <w:noProof/>
              </w:rPr>
            </w:pPr>
            <w:r>
              <w:rPr>
                <w:noProof/>
              </w:rPr>
              <w:t>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3E4EF4">
            <w:pPr>
              <w:tabs>
                <w:tab w:val="num" w:pos="425"/>
              </w:tabs>
              <w:ind w:right="-94"/>
              <w:jc w:val="center"/>
              <w:rPr>
                <w:b/>
                <w:noProof/>
              </w:rPr>
            </w:pPr>
            <w:r>
              <w:rPr>
                <w:b/>
                <w:noProof/>
              </w:rPr>
              <w:t>1.680</w:t>
            </w:r>
          </w:p>
        </w:tc>
        <w:tc>
          <w:tcPr>
            <w:tcW w:w="992" w:type="dxa"/>
            <w:tcMar>
              <w:top w:w="57" w:type="dxa"/>
              <w:left w:w="57" w:type="dxa"/>
              <w:bottom w:w="57" w:type="dxa"/>
              <w:right w:w="57" w:type="dxa"/>
            </w:tcMar>
          </w:tcPr>
          <w:p w:rsidR="001B65FF" w:rsidRDefault="003E4EF4">
            <w:pPr>
              <w:tabs>
                <w:tab w:val="num" w:pos="425"/>
              </w:tabs>
              <w:ind w:right="-94"/>
              <w:jc w:val="center"/>
              <w:rPr>
                <w:b/>
                <w:noProof/>
              </w:rPr>
            </w:pPr>
            <w:r>
              <w:rPr>
                <w:b/>
                <w:noProof/>
                <w:color w:val="FF0000"/>
              </w:rPr>
              <w:t>-4.332</w:t>
            </w:r>
          </w:p>
        </w:tc>
        <w:tc>
          <w:tcPr>
            <w:tcW w:w="992" w:type="dxa"/>
            <w:tcMar>
              <w:top w:w="57" w:type="dxa"/>
              <w:left w:w="57" w:type="dxa"/>
              <w:bottom w:w="57" w:type="dxa"/>
              <w:right w:w="57" w:type="dxa"/>
            </w:tcMar>
          </w:tcPr>
          <w:p w:rsidR="001B65FF" w:rsidRDefault="003E4EF4">
            <w:pPr>
              <w:tabs>
                <w:tab w:val="num" w:pos="425"/>
              </w:tabs>
              <w:ind w:right="-94"/>
              <w:jc w:val="center"/>
              <w:rPr>
                <w:b/>
                <w:noProof/>
              </w:rPr>
            </w:pPr>
            <w:r>
              <w:rPr>
                <w:b/>
                <w:noProof/>
              </w:rPr>
              <w:t>3.309</w:t>
            </w:r>
          </w:p>
        </w:tc>
        <w:tc>
          <w:tcPr>
            <w:tcW w:w="1276" w:type="dxa"/>
            <w:tcMar>
              <w:top w:w="57" w:type="dxa"/>
              <w:left w:w="57" w:type="dxa"/>
              <w:bottom w:w="57" w:type="dxa"/>
              <w:right w:w="57" w:type="dxa"/>
            </w:tcMar>
          </w:tcPr>
          <w:p w:rsidR="001B65FF" w:rsidRDefault="003E4EF4">
            <w:pPr>
              <w:tabs>
                <w:tab w:val="num" w:pos="425"/>
              </w:tabs>
              <w:ind w:right="-94"/>
              <w:jc w:val="center"/>
              <w:rPr>
                <w:b/>
                <w:noProof/>
              </w:rPr>
            </w:pPr>
            <w:r>
              <w:rPr>
                <w:b/>
                <w:noProof/>
                <w:color w:val="FF0000"/>
              </w:rPr>
              <w:t>-7.185</w:t>
            </w:r>
          </w:p>
        </w:tc>
      </w:tr>
      <w:tr w:rsidR="001B65FF">
        <w:tc>
          <w:tcPr>
            <w:tcW w:w="1134" w:type="dxa"/>
            <w:vMerge/>
            <w:tcMar>
              <w:top w:w="57" w:type="dxa"/>
              <w:left w:w="57" w:type="dxa"/>
              <w:bottom w:w="57" w:type="dxa"/>
              <w:right w:w="57" w:type="dxa"/>
            </w:tcMar>
          </w:tcPr>
          <w:p w:rsidR="001B65FF" w:rsidRDefault="001B65FF">
            <w:pPr>
              <w:tabs>
                <w:tab w:val="num" w:pos="425"/>
              </w:tabs>
              <w:ind w:right="-94"/>
              <w:rPr>
                <w:b/>
                <w:noProof/>
              </w:rPr>
            </w:pPr>
          </w:p>
        </w:tc>
        <w:tc>
          <w:tcPr>
            <w:tcW w:w="1476" w:type="dxa"/>
            <w:tcBorders>
              <w:right w:val="double" w:sz="4" w:space="0" w:color="auto"/>
            </w:tcBorders>
            <w:tcMar>
              <w:top w:w="57" w:type="dxa"/>
              <w:left w:w="57" w:type="dxa"/>
              <w:bottom w:w="57" w:type="dxa"/>
              <w:right w:w="57" w:type="dxa"/>
            </w:tcMar>
          </w:tcPr>
          <w:p w:rsidR="001B65FF" w:rsidRDefault="003E4EF4">
            <w:pPr>
              <w:tabs>
                <w:tab w:val="num" w:pos="425"/>
              </w:tabs>
              <w:ind w:right="-94"/>
              <w:rPr>
                <w:noProof/>
              </w:rPr>
            </w:pPr>
            <w:r>
              <w:rPr>
                <w:noProof/>
              </w:rPr>
              <w:t>Indirect costs</w:t>
            </w:r>
          </w:p>
        </w:tc>
        <w:tc>
          <w:tcPr>
            <w:tcW w:w="792" w:type="dxa"/>
            <w:tcBorders>
              <w:left w:val="double" w:sz="4" w:space="0" w:color="auto"/>
            </w:tcBorders>
            <w:tcMar>
              <w:top w:w="57" w:type="dxa"/>
              <w:left w:w="57" w:type="dxa"/>
              <w:bottom w:w="57" w:type="dxa"/>
              <w:right w:w="57" w:type="dxa"/>
            </w:tcMar>
          </w:tcPr>
          <w:p w:rsidR="001B65FF" w:rsidRDefault="001B65FF">
            <w:pPr>
              <w:tabs>
                <w:tab w:val="num" w:pos="425"/>
              </w:tabs>
              <w:ind w:right="-94"/>
              <w:rPr>
                <w:noProof/>
              </w:rPr>
            </w:pPr>
          </w:p>
        </w:tc>
        <w:tc>
          <w:tcPr>
            <w:tcW w:w="993" w:type="dxa"/>
            <w:tcMar>
              <w:top w:w="57" w:type="dxa"/>
              <w:left w:w="57" w:type="dxa"/>
              <w:bottom w:w="57" w:type="dxa"/>
              <w:right w:w="57" w:type="dxa"/>
            </w:tcMar>
          </w:tcPr>
          <w:p w:rsidR="001B65FF" w:rsidRDefault="001B65FF">
            <w:pPr>
              <w:tabs>
                <w:tab w:val="num" w:pos="425"/>
              </w:tabs>
              <w:ind w:right="-94"/>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992" w:type="dxa"/>
            <w:tcMar>
              <w:top w:w="57" w:type="dxa"/>
              <w:left w:w="57" w:type="dxa"/>
              <w:bottom w:w="57" w:type="dxa"/>
              <w:right w:w="57" w:type="dxa"/>
            </w:tcMar>
          </w:tcPr>
          <w:p w:rsidR="001B65FF" w:rsidRDefault="001B65FF">
            <w:pPr>
              <w:tabs>
                <w:tab w:val="num" w:pos="425"/>
              </w:tabs>
              <w:ind w:right="-94"/>
              <w:jc w:val="center"/>
              <w:rPr>
                <w:noProof/>
              </w:rPr>
            </w:pPr>
          </w:p>
        </w:tc>
        <w:tc>
          <w:tcPr>
            <w:tcW w:w="1276" w:type="dxa"/>
            <w:tcMar>
              <w:top w:w="57" w:type="dxa"/>
              <w:left w:w="57" w:type="dxa"/>
              <w:bottom w:w="57" w:type="dxa"/>
              <w:right w:w="57" w:type="dxa"/>
            </w:tcMar>
          </w:tcPr>
          <w:p w:rsidR="001B65FF" w:rsidRDefault="001B65FF">
            <w:pPr>
              <w:tabs>
                <w:tab w:val="num" w:pos="425"/>
              </w:tabs>
              <w:ind w:right="-94"/>
              <w:jc w:val="center"/>
              <w:rPr>
                <w:noProof/>
              </w:rPr>
            </w:pPr>
          </w:p>
        </w:tc>
      </w:tr>
    </w:tbl>
    <w:p w:rsidR="001B65FF" w:rsidRDefault="001B65FF">
      <w:pPr>
        <w:ind w:right="-94"/>
        <w:jc w:val="both"/>
        <w:rPr>
          <w:rFonts w:ascii="Times New Roman" w:hAnsi="Times New Roman" w:cs="Times New Roman"/>
          <w:noProof/>
          <w:sz w:val="24"/>
          <w:szCs w:val="24"/>
          <w:u w:val="single"/>
        </w:rPr>
      </w:pPr>
    </w:p>
    <w:p w:rsidR="001B65FF" w:rsidRDefault="003E4EF4">
      <w:pPr>
        <w:spacing w:after="0"/>
        <w:ind w:right="-94"/>
        <w:jc w:val="both"/>
        <w:rPr>
          <w:rFonts w:ascii="Times New Roman" w:hAnsi="Times New Roman" w:cs="Times New Roman"/>
          <w:noProof/>
          <w:sz w:val="24"/>
          <w:szCs w:val="24"/>
        </w:rPr>
      </w:pPr>
      <w:r>
        <w:rPr>
          <w:rFonts w:ascii="Times New Roman" w:hAnsi="Times New Roman" w:cs="Times New Roman"/>
          <w:noProof/>
          <w:sz w:val="24"/>
          <w:szCs w:val="24"/>
        </w:rPr>
        <w:t xml:space="preserve">As discussed in section 6.2 (quantitative assessment), the costs for </w:t>
      </w:r>
      <w:r>
        <w:rPr>
          <w:rFonts w:ascii="Times New Roman" w:hAnsi="Times New Roman" w:cs="Times New Roman"/>
          <w:noProof/>
          <w:sz w:val="24"/>
          <w:szCs w:val="24"/>
        </w:rPr>
        <w:t>national administrations (direct) include:</w:t>
      </w:r>
    </w:p>
    <w:p w:rsidR="001B65FF" w:rsidRDefault="003E4EF4">
      <w:pPr>
        <w:numPr>
          <w:ilvl w:val="0"/>
          <w:numId w:val="155"/>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One-off costs:</w:t>
      </w:r>
    </w:p>
    <w:p w:rsidR="001B65FF" w:rsidRDefault="003E4EF4">
      <w:pPr>
        <w:numPr>
          <w:ilvl w:val="1"/>
          <w:numId w:val="155"/>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Cost of transposing EU legislation in Member States. </w:t>
      </w:r>
    </w:p>
    <w:p w:rsidR="001B65FF" w:rsidRDefault="003E4EF4">
      <w:pPr>
        <w:numPr>
          <w:ilvl w:val="0"/>
          <w:numId w:val="155"/>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Continuous costs:</w:t>
      </w:r>
    </w:p>
    <w:p w:rsidR="001B65FF" w:rsidRDefault="003E4EF4">
      <w:pPr>
        <w:numPr>
          <w:ilvl w:val="1"/>
          <w:numId w:val="155"/>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Costs of enforcing the new legislation, in particular when it leads to an increase in the attempts to access e-evidence across borders or an increase in the time that it takes to process an attempt. </w:t>
      </w:r>
    </w:p>
    <w:p w:rsidR="001B65FF" w:rsidRDefault="001B65FF">
      <w:pPr>
        <w:contextualSpacing/>
        <w:jc w:val="both"/>
        <w:rPr>
          <w:rFonts w:ascii="Times New Roman" w:hAnsi="Times New Roman" w:cs="Times New Roman"/>
          <w:noProof/>
          <w:sz w:val="24"/>
          <w:lang w:eastAsia="en-GB"/>
        </w:rPr>
      </w:pPr>
    </w:p>
    <w:p w:rsidR="001B65FF" w:rsidRDefault="003E4EF4">
      <w:p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The costs for service providers include:</w:t>
      </w:r>
    </w:p>
    <w:p w:rsidR="001B65FF" w:rsidRDefault="003E4EF4">
      <w:pPr>
        <w:numPr>
          <w:ilvl w:val="0"/>
          <w:numId w:val="155"/>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One-off costs:</w:t>
      </w:r>
    </w:p>
    <w:p w:rsidR="001B65FF" w:rsidRDefault="003E4EF4">
      <w:pPr>
        <w:numPr>
          <w:ilvl w:val="1"/>
          <w:numId w:val="155"/>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One-off expenses related to compliance with the measures introduced by the preferred option.  </w:t>
      </w:r>
    </w:p>
    <w:p w:rsidR="001B65FF" w:rsidRDefault="003E4EF4">
      <w:pPr>
        <w:numPr>
          <w:ilvl w:val="0"/>
          <w:numId w:val="155"/>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Continuous costs:</w:t>
      </w:r>
    </w:p>
    <w:p w:rsidR="001B65FF" w:rsidRDefault="003E4EF4">
      <w:pPr>
        <w:numPr>
          <w:ilvl w:val="1"/>
          <w:numId w:val="155"/>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Costs of complying with the new legislation, in particular when it leads to an increase in the attempts to access e-evidence across borders or an increase in the time that it takes to process an attempt. </w:t>
      </w:r>
    </w:p>
    <w:p w:rsidR="001B65FF" w:rsidRDefault="001B65FF">
      <w:pPr>
        <w:contextualSpacing/>
        <w:jc w:val="both"/>
        <w:rPr>
          <w:rFonts w:ascii="Times New Roman" w:hAnsi="Times New Roman" w:cs="Times New Roman"/>
          <w:noProof/>
          <w:sz w:val="24"/>
          <w:lang w:eastAsia="en-GB"/>
        </w:rPr>
      </w:pPr>
    </w:p>
    <w:p w:rsidR="001B65FF" w:rsidRDefault="003E4EF4">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No costs were identified for citizens/consumers. </w:t>
      </w:r>
    </w:p>
    <w:p w:rsidR="001B65FF" w:rsidRDefault="001B65FF">
      <w:pPr>
        <w:rPr>
          <w:rFonts w:ascii="Times New Roman" w:hAnsi="Times New Roman" w:cs="Times New Roman"/>
          <w:i/>
          <w:noProof/>
          <w:sz w:val="20"/>
        </w:rPr>
      </w:pPr>
    </w:p>
    <w:p w:rsidR="001B65FF" w:rsidRDefault="001B65FF">
      <w:pPr>
        <w:ind w:left="-624" w:right="-964"/>
        <w:rPr>
          <w:rFonts w:ascii="Times New Roman" w:hAnsi="Times New Roman" w:cs="Times New Roman"/>
          <w:i/>
          <w:noProof/>
          <w:sz w:val="20"/>
        </w:rPr>
      </w:pPr>
    </w:p>
    <w:p w:rsidR="001B65FF" w:rsidRDefault="001B65FF">
      <w:pPr>
        <w:rPr>
          <w:rFonts w:ascii="Times New Roman" w:hAnsi="Times New Roman" w:cs="Times New Roman"/>
          <w:noProof/>
        </w:rPr>
        <w:sectPr w:rsidR="001B65FF">
          <w:headerReference w:type="even" r:id="rId113"/>
          <w:headerReference w:type="default" r:id="rId114"/>
          <w:footerReference w:type="even" r:id="rId115"/>
          <w:footerReference w:type="default" r:id="rId116"/>
          <w:headerReference w:type="first" r:id="rId117"/>
          <w:footerReference w:type="first" r:id="rId118"/>
          <w:pgSz w:w="11906" w:h="16838"/>
          <w:pgMar w:top="1020" w:right="1701" w:bottom="1020" w:left="1587" w:header="601" w:footer="1077" w:gutter="0"/>
          <w:cols w:space="720"/>
          <w:titlePg/>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1936" w:name="_Toc498521171"/>
      <w:bookmarkStart w:id="1937" w:name="_Toc498521331"/>
      <w:bookmarkStart w:id="1938" w:name="_Toc498701998"/>
      <w:bookmarkStart w:id="1939" w:name="_Toc498704730"/>
      <w:bookmarkStart w:id="1940" w:name="_Toc499020485"/>
      <w:bookmarkStart w:id="1941" w:name="_Toc499030419"/>
      <w:bookmarkStart w:id="1942" w:name="_Toc499044961"/>
      <w:bookmarkStart w:id="1943" w:name="_Toc499051377"/>
      <w:bookmarkStart w:id="1944" w:name="_Toc499133333"/>
      <w:bookmarkStart w:id="1945" w:name="_Toc499142903"/>
      <w:bookmarkStart w:id="1946" w:name="_Toc510952899"/>
      <w:r>
        <w:rPr>
          <w:rFonts w:ascii="Times New Roman" w:eastAsia="Times New Roman" w:hAnsi="Times New Roman" w:cs="Times New Roman"/>
          <w:b/>
          <w:smallCaps/>
          <w:noProof/>
          <w:sz w:val="24"/>
          <w:szCs w:val="20"/>
        </w:rPr>
        <w:t>Annex 4: Analytical methods</w:t>
      </w:r>
      <w:bookmarkEnd w:id="1936"/>
      <w:bookmarkEnd w:id="1937"/>
      <w:bookmarkEnd w:id="1938"/>
      <w:bookmarkEnd w:id="1939"/>
      <w:bookmarkEnd w:id="1940"/>
      <w:bookmarkEnd w:id="1941"/>
      <w:bookmarkEnd w:id="1942"/>
      <w:bookmarkEnd w:id="1943"/>
      <w:bookmarkEnd w:id="1944"/>
      <w:bookmarkEnd w:id="1945"/>
      <w:bookmarkEnd w:id="1946"/>
    </w:p>
    <w:p w:rsidR="001B65FF" w:rsidRDefault="003E4EF4">
      <w:pPr>
        <w:pStyle w:val="Heading2"/>
        <w:numPr>
          <w:ilvl w:val="0"/>
          <w:numId w:val="136"/>
        </w:numPr>
        <w:rPr>
          <w:rFonts w:ascii="Times New Roman" w:hAnsi="Times New Roman" w:cs="Times New Roman"/>
          <w:noProof/>
        </w:rPr>
      </w:pPr>
      <w:bookmarkStart w:id="1947" w:name="_Toc492311328"/>
      <w:bookmarkStart w:id="1948" w:name="_Toc492372025"/>
      <w:bookmarkStart w:id="1949" w:name="_Toc498509783"/>
      <w:bookmarkStart w:id="1950" w:name="_Toc498521172"/>
      <w:bookmarkStart w:id="1951" w:name="_Toc498521332"/>
      <w:bookmarkStart w:id="1952" w:name="_Toc498701999"/>
      <w:bookmarkStart w:id="1953" w:name="_Toc498704731"/>
      <w:bookmarkStart w:id="1954" w:name="_Toc499020486"/>
      <w:bookmarkStart w:id="1955" w:name="_Toc499030420"/>
      <w:bookmarkStart w:id="1956" w:name="_Toc499044962"/>
      <w:bookmarkStart w:id="1957" w:name="_Toc499051378"/>
      <w:bookmarkStart w:id="1958" w:name="_Toc499133334"/>
      <w:bookmarkStart w:id="1959" w:name="_Toc499142904"/>
      <w:bookmarkStart w:id="1960" w:name="_Toc510952900"/>
      <w:r>
        <w:rPr>
          <w:rFonts w:ascii="Times New Roman" w:hAnsi="Times New Roman" w:cs="Times New Roman"/>
          <w:noProof/>
        </w:rPr>
        <w:t>Qualitative assessment</w:t>
      </w:r>
      <w:bookmarkEnd w:id="1947"/>
      <w:bookmarkEnd w:id="1948"/>
      <w:r>
        <w:rPr>
          <w:rFonts w:ascii="Times New Roman" w:hAnsi="Times New Roman" w:cs="Times New Roman"/>
          <w:noProof/>
        </w:rPr>
        <w:t xml:space="preserve"> of policy measures</w:t>
      </w:r>
      <w:bookmarkEnd w:id="1949"/>
      <w:bookmarkEnd w:id="1950"/>
      <w:bookmarkEnd w:id="1951"/>
      <w:bookmarkEnd w:id="1952"/>
      <w:bookmarkEnd w:id="1953"/>
      <w:bookmarkEnd w:id="1954"/>
      <w:bookmarkEnd w:id="1955"/>
      <w:bookmarkEnd w:id="1956"/>
      <w:bookmarkEnd w:id="1957"/>
      <w:bookmarkEnd w:id="1958"/>
      <w:bookmarkEnd w:id="1959"/>
      <w:bookmarkEnd w:id="1960"/>
    </w:p>
    <w:p w:rsidR="001B65FF" w:rsidRDefault="003E4EF4">
      <w:pPr>
        <w:keepNext/>
        <w:spacing w:before="120" w:after="120" w:line="240" w:lineRule="auto"/>
        <w:jc w:val="both"/>
        <w:outlineLvl w:val="2"/>
        <w:rPr>
          <w:rFonts w:ascii="Times New Roman" w:eastAsia="Times New Roman" w:hAnsi="Times New Roman" w:cs="Times New Roman"/>
          <w:b/>
          <w:noProof/>
          <w:sz w:val="24"/>
          <w:szCs w:val="20"/>
        </w:rPr>
      </w:pPr>
      <w:bookmarkStart w:id="1961" w:name="_Toc499130056"/>
      <w:bookmarkStart w:id="1962" w:name="_Toc499133335"/>
      <w:bookmarkStart w:id="1963" w:name="_Toc499142905"/>
      <w:bookmarkStart w:id="1964" w:name="_Toc499143350"/>
      <w:bookmarkStart w:id="1965" w:name="_Toc510952901"/>
      <w:r>
        <w:rPr>
          <w:rFonts w:ascii="Times New Roman" w:eastAsia="Times New Roman" w:hAnsi="Times New Roman" w:cs="Times New Roman"/>
          <w:b/>
          <w:noProof/>
          <w:sz w:val="24"/>
          <w:szCs w:val="20"/>
        </w:rPr>
        <w:t>Non-legislative action</w:t>
      </w:r>
      <w:bookmarkEnd w:id="1961"/>
      <w:bookmarkEnd w:id="1962"/>
      <w:bookmarkEnd w:id="1963"/>
      <w:bookmarkEnd w:id="1964"/>
      <w:bookmarkEnd w:id="1965"/>
    </w:p>
    <w:p w:rsidR="001B65FF" w:rsidRDefault="003E4EF4">
      <w:pPr>
        <w:pStyle w:val="Heading5"/>
        <w:rPr>
          <w:rFonts w:ascii="Times New Roman" w:eastAsia="Times New Roman" w:hAnsi="Times New Roman" w:cs="Times New Roman"/>
          <w:b w:val="0"/>
          <w:noProof/>
          <w:color w:val="auto"/>
          <w:sz w:val="24"/>
          <w:u w:val="single"/>
        </w:rPr>
      </w:pPr>
      <w:bookmarkStart w:id="1966" w:name="_Toc498509784"/>
      <w:r>
        <w:rPr>
          <w:rFonts w:ascii="Times New Roman" w:eastAsia="Times New Roman" w:hAnsi="Times New Roman" w:cs="Times New Roman"/>
          <w:b w:val="0"/>
          <w:noProof/>
          <w:color w:val="auto"/>
          <w:sz w:val="24"/>
          <w:u w:val="single"/>
        </w:rPr>
        <w:t xml:space="preserve">Measure 1: practical measures to enhance judicial cooperation </w:t>
      </w:r>
    </w:p>
    <w:p w:rsidR="001B65FF" w:rsidRDefault="003E4EF4">
      <w:pPr>
        <w:spacing w:before="240"/>
        <w:rPr>
          <w:rFonts w:ascii="Times New Roman" w:eastAsia="Times New Roman" w:hAnsi="Times New Roman" w:cs="Times New Roman"/>
          <w:bCs/>
          <w:i/>
          <w:noProof/>
          <w:sz w:val="24"/>
          <w:szCs w:val="26"/>
          <w:u w:val="single"/>
        </w:rPr>
      </w:pPr>
      <w:r>
        <w:rPr>
          <w:rFonts w:ascii="Times New Roman" w:eastAsia="Times New Roman" w:hAnsi="Times New Roman" w:cs="Times New Roman"/>
          <w:bCs/>
          <w:i/>
          <w:noProof/>
          <w:sz w:val="24"/>
          <w:szCs w:val="26"/>
          <w:u w:val="single"/>
        </w:rPr>
        <w:t xml:space="preserve">a) </w:t>
      </w:r>
      <w:r>
        <w:rPr>
          <w:rFonts w:ascii="Times New Roman" w:eastAsia="Times New Roman" w:hAnsi="Times New Roman" w:cs="Times New Roman"/>
          <w:bCs/>
          <w:i/>
          <w:noProof/>
          <w:sz w:val="24"/>
          <w:szCs w:val="26"/>
          <w:u w:val="single"/>
        </w:rPr>
        <w:t>Judicial cooperation with the US (MLA)</w:t>
      </w:r>
    </w:p>
    <w:p w:rsidR="001B65FF" w:rsidRDefault="003E4EF4">
      <w:pPr>
        <w:pStyle w:val="Body"/>
        <w:rPr>
          <w:rFonts w:ascii="Times New Roman" w:hAnsi="Times New Roman"/>
          <w:i/>
          <w:noProof/>
          <w:sz w:val="24"/>
          <w:szCs w:val="24"/>
          <w:u w:val="single"/>
        </w:rPr>
      </w:pPr>
      <w:bookmarkStart w:id="1967" w:name="_Toc498509785"/>
      <w:bookmarkEnd w:id="1966"/>
      <w:r>
        <w:rPr>
          <w:rFonts w:ascii="Times New Roman" w:hAnsi="Times New Roman"/>
          <w:i/>
          <w:noProof/>
          <w:sz w:val="24"/>
          <w:szCs w:val="24"/>
          <w:u w:val="single"/>
        </w:rPr>
        <w:t>Social impact</w:t>
      </w:r>
      <w:bookmarkEnd w:id="1967"/>
      <w:r>
        <w:rPr>
          <w:rFonts w:ascii="Times New Roman" w:hAnsi="Times New Roman"/>
          <w:i/>
          <w:noProof/>
          <w:sz w:val="24"/>
          <w:szCs w:val="24"/>
          <w:u w:val="single"/>
        </w:rPr>
        <w:t xml:space="preserve"> </w:t>
      </w:r>
    </w:p>
    <w:p w:rsidR="001B65FF" w:rsidRDefault="003E4EF4">
      <w:pPr>
        <w:pStyle w:val="Body"/>
        <w:rPr>
          <w:rFonts w:ascii="Times New Roman" w:hAnsi="Times New Roman"/>
          <w:noProof/>
          <w:sz w:val="24"/>
          <w:szCs w:val="24"/>
        </w:rPr>
      </w:pPr>
      <w:r>
        <w:rPr>
          <w:rFonts w:ascii="Times New Roman" w:hAnsi="Times New Roman"/>
          <w:noProof/>
          <w:sz w:val="24"/>
          <w:szCs w:val="24"/>
        </w:rPr>
        <w:t>The practical measures to enhance cooperation between public authorities in the EU and in the US, in particular the training of EU practitioners and the sharing of guidelines and best practices, would t</w:t>
      </w:r>
      <w:r>
        <w:rPr>
          <w:rFonts w:ascii="Times New Roman" w:hAnsi="Times New Roman"/>
          <w:noProof/>
          <w:sz w:val="24"/>
          <w:szCs w:val="24"/>
        </w:rPr>
        <w:t>o some extent improve the quality of MLA requests submitted by EU authorities and would therefore both accelerate the treatment of these requests and improve their success rate. On the other hand, the MLA process and the requirements of US law would remain</w:t>
      </w:r>
      <w:r>
        <w:rPr>
          <w:rFonts w:ascii="Times New Roman" w:hAnsi="Times New Roman"/>
          <w:noProof/>
          <w:sz w:val="24"/>
          <w:szCs w:val="24"/>
        </w:rPr>
        <w:t xml:space="preserve"> unchanged, which limits the possible impact.</w:t>
      </w:r>
    </w:p>
    <w:p w:rsidR="001B65FF" w:rsidRDefault="003E4EF4">
      <w:pPr>
        <w:pStyle w:val="Body"/>
        <w:rPr>
          <w:rFonts w:ascii="Times New Roman" w:hAnsi="Times New Roman"/>
          <w:i/>
          <w:noProof/>
          <w:sz w:val="24"/>
          <w:szCs w:val="24"/>
          <w:u w:val="single"/>
        </w:rPr>
      </w:pPr>
      <w:bookmarkStart w:id="1968" w:name="_Toc498509786"/>
      <w:r>
        <w:rPr>
          <w:rFonts w:ascii="Times New Roman" w:hAnsi="Times New Roman"/>
          <w:i/>
          <w:noProof/>
          <w:sz w:val="24"/>
          <w:szCs w:val="24"/>
          <w:u w:val="single"/>
        </w:rPr>
        <w:t>Economic impact</w:t>
      </w:r>
      <w:bookmarkEnd w:id="1968"/>
    </w:p>
    <w:p w:rsidR="001B65FF" w:rsidRDefault="003E4EF4">
      <w:pPr>
        <w:pStyle w:val="Body"/>
        <w:rPr>
          <w:rFonts w:ascii="Times New Roman" w:hAnsi="Times New Roman"/>
          <w:noProof/>
          <w:sz w:val="24"/>
          <w:szCs w:val="24"/>
        </w:rPr>
      </w:pPr>
      <w:r>
        <w:rPr>
          <w:rFonts w:ascii="Times New Roman" w:hAnsi="Times New Roman"/>
          <w:noProof/>
          <w:sz w:val="24"/>
          <w:szCs w:val="24"/>
        </w:rPr>
        <w:t>Compared to the baseline scenario, the practical measures to enhance cooperation between public authorities in the EU and in the US, in particular the training of EU practitioners and the sharin</w:t>
      </w:r>
      <w:r>
        <w:rPr>
          <w:rFonts w:ascii="Times New Roman" w:hAnsi="Times New Roman"/>
          <w:noProof/>
          <w:sz w:val="24"/>
          <w:szCs w:val="24"/>
        </w:rPr>
        <w:t>g of guidelines and best practices, would to some extent improve the quality of MLA requests submitted by EU authorities and would therefore save resources for EU and US authorities, in particular for Step 3 in the process depicted in Annex 6 ("</w:t>
      </w:r>
      <w:r>
        <w:rPr>
          <w:rFonts w:ascii="Times New Roman" w:hAnsi="Times New Roman"/>
          <w:i/>
          <w:noProof/>
          <w:sz w:val="24"/>
          <w:szCs w:val="24"/>
        </w:rPr>
        <w:t>The OIA wor</w:t>
      </w:r>
      <w:r>
        <w:rPr>
          <w:rFonts w:ascii="Times New Roman" w:hAnsi="Times New Roman"/>
          <w:i/>
          <w:noProof/>
          <w:sz w:val="24"/>
          <w:szCs w:val="24"/>
        </w:rPr>
        <w:t>ks with the public authorities of country A to revise the request’s format and content to meet US standards"</w:t>
      </w:r>
      <w:r>
        <w:rPr>
          <w:rFonts w:ascii="Times New Roman" w:hAnsi="Times New Roman"/>
          <w:noProof/>
          <w:sz w:val="24"/>
          <w:szCs w:val="24"/>
        </w:rPr>
        <w:t>). In addition to efficiency savings, it was assumed that the number of MLA requests from Member States to the US would also slightly increase.</w:t>
      </w:r>
    </w:p>
    <w:p w:rsidR="001B65FF" w:rsidRDefault="003E4EF4">
      <w:pPr>
        <w:pStyle w:val="Body"/>
        <w:rPr>
          <w:rFonts w:ascii="Times New Roman" w:eastAsia="Calibri" w:hAnsi="Times New Roman"/>
          <w:noProof/>
          <w:sz w:val="24"/>
          <w:szCs w:val="24"/>
          <w:lang w:eastAsia="ar-SA"/>
        </w:rPr>
      </w:pPr>
      <w:r>
        <w:rPr>
          <w:rFonts w:ascii="Times New Roman" w:eastAsia="Calibri" w:hAnsi="Times New Roman"/>
          <w:noProof/>
          <w:sz w:val="24"/>
          <w:szCs w:val="24"/>
          <w:lang w:eastAsia="ar-SA"/>
        </w:rPr>
        <w:t>There would be no impact on non-EU countries, apart from the aforementioned improvement to resources of US authorities and a slight increase in the number of requests to the US.</w:t>
      </w:r>
    </w:p>
    <w:p w:rsidR="001B65FF" w:rsidRDefault="003E4EF4">
      <w:pPr>
        <w:pStyle w:val="Body"/>
        <w:rPr>
          <w:rFonts w:ascii="Times New Roman" w:hAnsi="Times New Roman"/>
          <w:i/>
          <w:noProof/>
          <w:sz w:val="24"/>
          <w:szCs w:val="24"/>
          <w:u w:val="single"/>
        </w:rPr>
      </w:pPr>
      <w:bookmarkStart w:id="1969" w:name="_Toc498509787"/>
      <w:r>
        <w:rPr>
          <w:rFonts w:ascii="Times New Roman" w:hAnsi="Times New Roman"/>
          <w:i/>
          <w:noProof/>
          <w:sz w:val="24"/>
          <w:szCs w:val="24"/>
          <w:u w:val="single"/>
        </w:rPr>
        <w:t>Fundamental rights impact</w:t>
      </w:r>
      <w:bookmarkEnd w:id="1969"/>
    </w:p>
    <w:p w:rsidR="001B65FF" w:rsidRDefault="003E4EF4">
      <w:pPr>
        <w:pStyle w:val="Body"/>
        <w:rPr>
          <w:rFonts w:ascii="Times New Roman" w:eastAsia="Calibri" w:hAnsi="Times New Roman"/>
          <w:noProof/>
          <w:sz w:val="24"/>
          <w:szCs w:val="24"/>
          <w:lang w:eastAsia="ar-SA"/>
        </w:rPr>
      </w:pPr>
      <w:r>
        <w:rPr>
          <w:rFonts w:ascii="Times New Roman" w:eastAsia="Calibri" w:hAnsi="Times New Roman"/>
          <w:noProof/>
          <w:sz w:val="24"/>
          <w:szCs w:val="24"/>
          <w:lang w:eastAsia="ar-SA"/>
        </w:rPr>
        <w:t>There would be no impact on fundamental rights compa</w:t>
      </w:r>
      <w:r>
        <w:rPr>
          <w:rFonts w:ascii="Times New Roman" w:eastAsia="Calibri" w:hAnsi="Times New Roman"/>
          <w:noProof/>
          <w:sz w:val="24"/>
          <w:szCs w:val="24"/>
          <w:lang w:eastAsia="ar-SA"/>
        </w:rPr>
        <w:t>red to the baseline scenario. The absence of clear legal framework for direct cooperation, with the resulting sub-optimal protection of fundamental rights of the persons affected, would not be improved.</w:t>
      </w:r>
    </w:p>
    <w:p w:rsidR="001B65FF" w:rsidRDefault="003E4EF4">
      <w:pPr>
        <w:pStyle w:val="Body"/>
        <w:rPr>
          <w:rFonts w:ascii="Times New Roman" w:hAnsi="Times New Roman"/>
          <w:noProof/>
          <w:sz w:val="24"/>
          <w:szCs w:val="24"/>
        </w:rPr>
      </w:pPr>
      <w:r>
        <w:rPr>
          <w:rFonts w:ascii="Times New Roman" w:eastAsia="Calibri" w:hAnsi="Times New Roman"/>
          <w:noProof/>
          <w:sz w:val="24"/>
          <w:szCs w:val="24"/>
          <w:lang w:eastAsia="ar-SA"/>
        </w:rPr>
        <w:t>The problems affecting cross-border access to electro</w:t>
      </w:r>
      <w:r>
        <w:rPr>
          <w:rFonts w:ascii="Times New Roman" w:eastAsia="Calibri" w:hAnsi="Times New Roman"/>
          <w:noProof/>
          <w:sz w:val="24"/>
          <w:szCs w:val="24"/>
          <w:lang w:eastAsia="ar-SA"/>
        </w:rPr>
        <w:t xml:space="preserve">nic evidence would only be very partially addressed through these measures, meaning that the situation would also still negatively affect the fundamental rights of persons who are or may become victims of crime (right to security). </w:t>
      </w:r>
    </w:p>
    <w:p w:rsidR="001B65FF" w:rsidRDefault="003E4EF4">
      <w:pPr>
        <w:spacing w:before="240"/>
        <w:rPr>
          <w:rFonts w:ascii="Times New Roman" w:hAnsi="Times New Roman"/>
          <w:i/>
          <w:noProof/>
          <w:sz w:val="24"/>
          <w:u w:val="single"/>
        </w:rPr>
      </w:pPr>
      <w:bookmarkStart w:id="1970" w:name="_Toc498509788"/>
      <w:r>
        <w:rPr>
          <w:rFonts w:ascii="Times New Roman" w:eastAsia="Times New Roman" w:hAnsi="Times New Roman" w:cs="Times New Roman"/>
          <w:bCs/>
          <w:i/>
          <w:noProof/>
          <w:sz w:val="24"/>
          <w:szCs w:val="26"/>
          <w:u w:val="single"/>
        </w:rPr>
        <w:t>b) Judicial cooperation</w:t>
      </w:r>
      <w:r>
        <w:rPr>
          <w:rFonts w:ascii="Times New Roman" w:eastAsia="Times New Roman" w:hAnsi="Times New Roman" w:cs="Times New Roman"/>
          <w:bCs/>
          <w:i/>
          <w:noProof/>
          <w:sz w:val="24"/>
          <w:szCs w:val="26"/>
          <w:u w:val="single"/>
        </w:rPr>
        <w:t xml:space="preserve"> within the EU (EIO)</w:t>
      </w:r>
    </w:p>
    <w:p w:rsidR="001B65FF" w:rsidRDefault="003E4EF4">
      <w:pPr>
        <w:pStyle w:val="Body"/>
        <w:rPr>
          <w:rFonts w:ascii="Times New Roman" w:hAnsi="Times New Roman"/>
          <w:i/>
          <w:noProof/>
          <w:sz w:val="24"/>
          <w:szCs w:val="24"/>
          <w:u w:val="single"/>
        </w:rPr>
      </w:pPr>
      <w:bookmarkStart w:id="1971" w:name="_Toc498509789"/>
      <w:bookmarkEnd w:id="1970"/>
      <w:r>
        <w:rPr>
          <w:rFonts w:ascii="Times New Roman" w:hAnsi="Times New Roman"/>
          <w:i/>
          <w:noProof/>
          <w:sz w:val="24"/>
          <w:szCs w:val="24"/>
          <w:u w:val="single"/>
        </w:rPr>
        <w:t>Social impact</w:t>
      </w:r>
      <w:bookmarkEnd w:id="1971"/>
      <w:r>
        <w:rPr>
          <w:rFonts w:ascii="Times New Roman" w:hAnsi="Times New Roman"/>
          <w:i/>
          <w:noProof/>
          <w:sz w:val="24"/>
          <w:szCs w:val="24"/>
          <w:u w:val="single"/>
        </w:rPr>
        <w:t xml:space="preserve"> </w:t>
      </w:r>
    </w:p>
    <w:p w:rsidR="001B65FF" w:rsidRDefault="003E4EF4">
      <w:pPr>
        <w:pStyle w:val="Body"/>
        <w:rPr>
          <w:rFonts w:ascii="Times New Roman" w:hAnsi="Times New Roman"/>
          <w:noProof/>
          <w:sz w:val="24"/>
          <w:szCs w:val="24"/>
        </w:rPr>
      </w:pPr>
      <w:r>
        <w:rPr>
          <w:rFonts w:ascii="Times New Roman" w:hAnsi="Times New Roman"/>
          <w:noProof/>
          <w:sz w:val="24"/>
          <w:szCs w:val="24"/>
        </w:rPr>
        <w:t>The establishment of a platform for online exchange of e-evidence between EU judicial authorities and the creation of an electronic form set out in annex A of the EIO Directive is expected to facilitate judicial cooperat</w:t>
      </w:r>
      <w:r>
        <w:rPr>
          <w:rFonts w:ascii="Times New Roman" w:hAnsi="Times New Roman"/>
          <w:noProof/>
          <w:sz w:val="24"/>
          <w:szCs w:val="24"/>
        </w:rPr>
        <w:t>ion and the exchange of information between judicial authorities of Member States participating in the EIO, allowing them to secure and obtain e-evidence more quickly and effectively, whilst fulfilling the necessary security requirements in a user-friendly</w:t>
      </w:r>
      <w:r>
        <w:rPr>
          <w:rFonts w:ascii="Times New Roman" w:hAnsi="Times New Roman"/>
          <w:noProof/>
          <w:sz w:val="24"/>
          <w:szCs w:val="24"/>
        </w:rPr>
        <w:t xml:space="preserve"> manner. In other words, it would allow judicial authorities to benefit from the advantages of modern ICT tools. Furthermore, the platform could provide support to practitioners using it, including through automatic translation services and through referen</w:t>
      </w:r>
      <w:r>
        <w:rPr>
          <w:rFonts w:ascii="Times New Roman" w:hAnsi="Times New Roman"/>
          <w:noProof/>
          <w:sz w:val="24"/>
          <w:szCs w:val="24"/>
        </w:rPr>
        <w:t>ces to further materials that can help in formulating a request. It would also facilitate identifying and contacting the relevant counterpart in another Member State.</w:t>
      </w:r>
    </w:p>
    <w:p w:rsidR="001B65FF" w:rsidRDefault="003E4EF4">
      <w:pPr>
        <w:pStyle w:val="Body"/>
        <w:rPr>
          <w:rFonts w:ascii="Times New Roman" w:hAnsi="Times New Roman"/>
          <w:noProof/>
          <w:sz w:val="24"/>
          <w:szCs w:val="24"/>
        </w:rPr>
      </w:pPr>
      <w:r>
        <w:rPr>
          <w:rFonts w:ascii="Times New Roman" w:hAnsi="Times New Roman"/>
          <w:noProof/>
          <w:sz w:val="24"/>
          <w:szCs w:val="24"/>
        </w:rPr>
        <w:t>An additional benefit of the platform would be that it would allow the collection of stat</w:t>
      </w:r>
      <w:r>
        <w:rPr>
          <w:rFonts w:ascii="Times New Roman" w:hAnsi="Times New Roman"/>
          <w:noProof/>
          <w:sz w:val="24"/>
          <w:szCs w:val="24"/>
        </w:rPr>
        <w:t xml:space="preserve">istics without requiring any efforts from Member States. In the long term, this would provide a better basis for future evaluation of the instrument and for transparency measures, e.g. providing information on volumes of requests between Member States. </w:t>
      </w:r>
    </w:p>
    <w:p w:rsidR="001B65FF" w:rsidRDefault="003E4EF4">
      <w:pPr>
        <w:pStyle w:val="Body"/>
        <w:rPr>
          <w:rFonts w:ascii="Times New Roman" w:eastAsia="Calibri" w:hAnsi="Times New Roman"/>
          <w:noProof/>
          <w:sz w:val="24"/>
          <w:szCs w:val="24"/>
        </w:rPr>
      </w:pPr>
      <w:r>
        <w:rPr>
          <w:rFonts w:ascii="Times New Roman" w:hAnsi="Times New Roman"/>
          <w:noProof/>
          <w:sz w:val="24"/>
          <w:szCs w:val="24"/>
        </w:rPr>
        <w:t>Ho</w:t>
      </w:r>
      <w:r>
        <w:rPr>
          <w:rFonts w:ascii="Times New Roman" w:hAnsi="Times New Roman"/>
          <w:noProof/>
          <w:sz w:val="24"/>
          <w:szCs w:val="24"/>
        </w:rPr>
        <w:t>wever, the EIO still requires a significant investment of resources from the receiving Member State, which may not be appropriate or necessary for all cases, especially when there is no link with the receiving jurisdiction besides the seat of the service p</w:t>
      </w:r>
      <w:r>
        <w:rPr>
          <w:rFonts w:ascii="Times New Roman" w:hAnsi="Times New Roman"/>
          <w:noProof/>
          <w:sz w:val="24"/>
          <w:szCs w:val="24"/>
        </w:rPr>
        <w:t xml:space="preserve">rovider. In addition, the </w:t>
      </w:r>
      <w:r>
        <w:rPr>
          <w:rFonts w:ascii="Times New Roman" w:eastAsia="Calibri" w:hAnsi="Times New Roman"/>
          <w:noProof/>
          <w:sz w:val="24"/>
          <w:szCs w:val="24"/>
        </w:rPr>
        <w:t>EIO's scope is limited to the EU and will not cover data held by service providers headquartered in non-EU countries. Ireland, where a number of US service providers store data and have European headquarters, has not opted in. Den</w:t>
      </w:r>
      <w:r>
        <w:rPr>
          <w:rFonts w:ascii="Times New Roman" w:eastAsia="Calibri" w:hAnsi="Times New Roman"/>
          <w:noProof/>
          <w:sz w:val="24"/>
          <w:szCs w:val="24"/>
        </w:rPr>
        <w:t>mark does not participate in the EIO.</w:t>
      </w:r>
    </w:p>
    <w:p w:rsidR="001B65FF" w:rsidRDefault="003E4EF4">
      <w:pPr>
        <w:pStyle w:val="Body"/>
        <w:rPr>
          <w:rFonts w:ascii="Times New Roman" w:hAnsi="Times New Roman"/>
          <w:noProof/>
          <w:sz w:val="24"/>
          <w:szCs w:val="24"/>
        </w:rPr>
      </w:pPr>
      <w:r>
        <w:rPr>
          <w:rFonts w:ascii="Times New Roman" w:hAnsi="Times New Roman"/>
          <w:noProof/>
          <w:sz w:val="24"/>
          <w:szCs w:val="24"/>
        </w:rPr>
        <w:t>As for the mutual recognition process, besides including its deadlines, would not be fundamentally changed, meaning that the process will remain longer and more resource-intensive when compared to direct cooperation wi</w:t>
      </w:r>
      <w:r>
        <w:rPr>
          <w:rFonts w:ascii="Times New Roman" w:hAnsi="Times New Roman"/>
          <w:noProof/>
          <w:sz w:val="24"/>
          <w:szCs w:val="24"/>
        </w:rPr>
        <w:t>th service providers.</w:t>
      </w:r>
    </w:p>
    <w:p w:rsidR="001B65FF" w:rsidRDefault="003E4EF4">
      <w:pPr>
        <w:pStyle w:val="Body"/>
        <w:rPr>
          <w:rFonts w:ascii="Times New Roman" w:hAnsi="Times New Roman"/>
          <w:i/>
          <w:noProof/>
          <w:sz w:val="24"/>
          <w:szCs w:val="24"/>
          <w:u w:val="single"/>
        </w:rPr>
      </w:pPr>
      <w:bookmarkStart w:id="1972" w:name="_Toc498509790"/>
      <w:r>
        <w:rPr>
          <w:rFonts w:ascii="Times New Roman" w:hAnsi="Times New Roman"/>
          <w:i/>
          <w:noProof/>
          <w:sz w:val="24"/>
          <w:szCs w:val="24"/>
          <w:u w:val="single"/>
        </w:rPr>
        <w:t>Economic impact</w:t>
      </w:r>
      <w:bookmarkEnd w:id="1972"/>
    </w:p>
    <w:p w:rsidR="001B65FF" w:rsidRDefault="003E4EF4">
      <w:pPr>
        <w:pStyle w:val="Body"/>
        <w:rPr>
          <w:rFonts w:ascii="Times New Roman" w:hAnsi="Times New Roman"/>
          <w:noProof/>
          <w:sz w:val="24"/>
          <w:szCs w:val="24"/>
        </w:rPr>
      </w:pPr>
      <w:r>
        <w:rPr>
          <w:rFonts w:ascii="Times New Roman" w:hAnsi="Times New Roman"/>
          <w:noProof/>
          <w:sz w:val="24"/>
          <w:szCs w:val="24"/>
        </w:rPr>
        <w:t>The development of the secure online platform will generate costs for the EU budget and for Member States who will have connect to it. Funding is being made available in the form of grants to help Member States bear th</w:t>
      </w:r>
      <w:r>
        <w:rPr>
          <w:rFonts w:ascii="Times New Roman" w:hAnsi="Times New Roman"/>
          <w:noProof/>
          <w:sz w:val="24"/>
          <w:szCs w:val="24"/>
        </w:rPr>
        <w:t>ese costs. Once the platform is up and running, it will reduce costs for public authorities when requesting electronic evidence to another authority in the EU using the EIO, thanks to the benefits brought by ICT tools.</w:t>
      </w:r>
    </w:p>
    <w:p w:rsidR="001B65FF" w:rsidRDefault="003E4EF4">
      <w:pPr>
        <w:pStyle w:val="Body"/>
        <w:rPr>
          <w:rFonts w:ascii="Times New Roman" w:hAnsi="Times New Roman"/>
          <w:noProof/>
          <w:sz w:val="24"/>
          <w:szCs w:val="24"/>
        </w:rPr>
      </w:pPr>
      <w:r>
        <w:rPr>
          <w:rFonts w:ascii="Times New Roman" w:hAnsi="Times New Roman"/>
          <w:noProof/>
          <w:sz w:val="24"/>
          <w:szCs w:val="24"/>
        </w:rPr>
        <w:t>The electronic form is being develope</w:t>
      </w:r>
      <w:r>
        <w:rPr>
          <w:rFonts w:ascii="Times New Roman" w:hAnsi="Times New Roman"/>
          <w:noProof/>
          <w:sz w:val="24"/>
          <w:szCs w:val="24"/>
        </w:rPr>
        <w:t xml:space="preserve">d without creating additional costs for Member States. They will incur some limited costs when disseminating it to their judicial authorities, if it is already used before the platform is up and running. </w:t>
      </w:r>
    </w:p>
    <w:p w:rsidR="001B65FF" w:rsidRDefault="003E4EF4">
      <w:pPr>
        <w:pStyle w:val="Body"/>
        <w:rPr>
          <w:rFonts w:ascii="Times New Roman" w:hAnsi="Times New Roman"/>
          <w:noProof/>
          <w:sz w:val="24"/>
          <w:szCs w:val="24"/>
        </w:rPr>
      </w:pPr>
      <w:r>
        <w:rPr>
          <w:rFonts w:ascii="Times New Roman" w:hAnsi="Times New Roman"/>
          <w:noProof/>
          <w:sz w:val="24"/>
          <w:szCs w:val="24"/>
        </w:rPr>
        <w:t>There would be no impact on non-EU countries.</w:t>
      </w:r>
    </w:p>
    <w:p w:rsidR="001B65FF" w:rsidRDefault="003E4EF4">
      <w:pPr>
        <w:pStyle w:val="Body"/>
        <w:rPr>
          <w:rFonts w:ascii="Times New Roman" w:hAnsi="Times New Roman"/>
          <w:i/>
          <w:noProof/>
          <w:sz w:val="24"/>
          <w:szCs w:val="24"/>
          <w:u w:val="single"/>
        </w:rPr>
      </w:pPr>
      <w:bookmarkStart w:id="1973" w:name="_Toc498509791"/>
      <w:r>
        <w:rPr>
          <w:rFonts w:ascii="Times New Roman" w:hAnsi="Times New Roman"/>
          <w:i/>
          <w:noProof/>
          <w:sz w:val="24"/>
          <w:szCs w:val="24"/>
          <w:u w:val="single"/>
        </w:rPr>
        <w:t>Funda</w:t>
      </w:r>
      <w:r>
        <w:rPr>
          <w:rFonts w:ascii="Times New Roman" w:hAnsi="Times New Roman"/>
          <w:i/>
          <w:noProof/>
          <w:sz w:val="24"/>
          <w:szCs w:val="24"/>
          <w:u w:val="single"/>
        </w:rPr>
        <w:t>mental rights impact</w:t>
      </w:r>
      <w:bookmarkEnd w:id="1973"/>
    </w:p>
    <w:p w:rsidR="001B65FF" w:rsidRDefault="003E4EF4">
      <w:pPr>
        <w:pStyle w:val="Body"/>
        <w:rPr>
          <w:rFonts w:ascii="Times New Roman" w:eastAsia="Calibri" w:hAnsi="Times New Roman"/>
          <w:noProof/>
          <w:sz w:val="24"/>
          <w:szCs w:val="24"/>
          <w:lang w:eastAsia="ar-SA"/>
        </w:rPr>
      </w:pPr>
      <w:r>
        <w:rPr>
          <w:rFonts w:ascii="Times New Roman" w:eastAsia="Calibri" w:hAnsi="Times New Roman"/>
          <w:noProof/>
          <w:sz w:val="24"/>
          <w:szCs w:val="24"/>
          <w:lang w:eastAsia="ar-SA"/>
        </w:rPr>
        <w:t>Within this option, a very limited impact on fundamental rights may be expected with respect to cooperation between public authorities, if at all. The establishment of a secure online platform for authorities to exchange EIO/ MLA reque</w:t>
      </w:r>
      <w:r>
        <w:rPr>
          <w:rFonts w:ascii="Times New Roman" w:eastAsia="Calibri" w:hAnsi="Times New Roman"/>
          <w:noProof/>
          <w:sz w:val="24"/>
          <w:szCs w:val="24"/>
          <w:lang w:eastAsia="ar-SA"/>
        </w:rPr>
        <w:t>sts which ensures confidentiality of all data sets may have a positive effect on the protection of personal data. Otherwise, there would not be any impact compared to the baseline scenario, meaning the situation would not be improved.</w:t>
      </w:r>
    </w:p>
    <w:p w:rsidR="001B65FF" w:rsidRDefault="003E4EF4">
      <w:pPr>
        <w:pStyle w:val="Heading5"/>
        <w:rPr>
          <w:rFonts w:ascii="Times New Roman" w:hAnsi="Times New Roman"/>
          <w:noProof/>
          <w:sz w:val="24"/>
        </w:rPr>
      </w:pPr>
      <w:bookmarkStart w:id="1974" w:name="_Toc498509792"/>
      <w:r>
        <w:rPr>
          <w:rFonts w:ascii="Times New Roman" w:eastAsia="Times New Roman" w:hAnsi="Times New Roman" w:cs="Times New Roman"/>
          <w:b w:val="0"/>
          <w:noProof/>
          <w:color w:val="auto"/>
          <w:sz w:val="24"/>
          <w:u w:val="single"/>
        </w:rPr>
        <w:t xml:space="preserve">Measure 2: practical </w:t>
      </w:r>
      <w:r>
        <w:rPr>
          <w:rFonts w:ascii="Times New Roman" w:eastAsia="Times New Roman" w:hAnsi="Times New Roman" w:cs="Times New Roman"/>
          <w:b w:val="0"/>
          <w:noProof/>
          <w:color w:val="auto"/>
          <w:sz w:val="24"/>
          <w:u w:val="single"/>
        </w:rPr>
        <w:t>measures to enhance direct cooperation</w:t>
      </w:r>
      <w:bookmarkEnd w:id="1974"/>
    </w:p>
    <w:p w:rsidR="001B65FF" w:rsidRDefault="003E4EF4">
      <w:pPr>
        <w:pStyle w:val="Body"/>
        <w:rPr>
          <w:rFonts w:ascii="Times New Roman" w:hAnsi="Times New Roman"/>
          <w:i/>
          <w:noProof/>
          <w:sz w:val="24"/>
          <w:szCs w:val="24"/>
          <w:u w:val="single"/>
        </w:rPr>
      </w:pPr>
      <w:bookmarkStart w:id="1975" w:name="_Toc498509793"/>
      <w:r>
        <w:rPr>
          <w:rFonts w:ascii="Times New Roman" w:hAnsi="Times New Roman"/>
          <w:i/>
          <w:noProof/>
          <w:sz w:val="24"/>
          <w:szCs w:val="24"/>
          <w:u w:val="single"/>
        </w:rPr>
        <w:t>Social impact</w:t>
      </w:r>
      <w:bookmarkEnd w:id="1975"/>
      <w:r>
        <w:rPr>
          <w:rFonts w:ascii="Times New Roman" w:hAnsi="Times New Roman"/>
          <w:i/>
          <w:noProof/>
          <w:sz w:val="24"/>
          <w:szCs w:val="24"/>
          <w:u w:val="single"/>
        </w:rPr>
        <w:t xml:space="preserve"> </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Reasonable improvements in the efficiency of procedures within the existing frameworks can be expected from the practical measures to enhance cooperation between EU law enforcement authorities and </w:t>
      </w:r>
      <w:r>
        <w:rPr>
          <w:rFonts w:ascii="Times New Roman" w:hAnsi="Times New Roman"/>
          <w:noProof/>
          <w:sz w:val="24"/>
          <w:szCs w:val="24"/>
        </w:rPr>
        <w:t xml:space="preserve">service providers. The creation of SPOCs on the public authorities' side will result in more efficient cooperation channels, as can be inferred from the experience of those Member States that have such SPOCs in place. The SPOCs on the law enforcement side </w:t>
      </w:r>
      <w:r>
        <w:rPr>
          <w:rFonts w:ascii="Times New Roman" w:hAnsi="Times New Roman"/>
          <w:noProof/>
          <w:sz w:val="24"/>
          <w:szCs w:val="24"/>
        </w:rPr>
        <w:t>provide expertise on the different policies of service providers and can establish relationships with service providers, which for example facilitates the authentication of requests. The centralisation of expertise also improves the quality of outgoing req</w:t>
      </w:r>
      <w:r>
        <w:rPr>
          <w:rFonts w:ascii="Times New Roman" w:hAnsi="Times New Roman"/>
          <w:noProof/>
          <w:sz w:val="24"/>
          <w:szCs w:val="24"/>
        </w:rPr>
        <w:t>uests. In many cases, these SPOCs also act as a safeguard against futile requests, checking drafts against the various providers' different policies to determine whether or not they are likely to be answered.</w:t>
      </w:r>
    </w:p>
    <w:p w:rsidR="001B65FF" w:rsidRDefault="003E4EF4">
      <w:pPr>
        <w:pStyle w:val="Body"/>
        <w:rPr>
          <w:rFonts w:ascii="Times New Roman" w:hAnsi="Times New Roman"/>
          <w:noProof/>
          <w:sz w:val="24"/>
          <w:szCs w:val="24"/>
        </w:rPr>
      </w:pPr>
      <w:r>
        <w:rPr>
          <w:rFonts w:ascii="Times New Roman" w:hAnsi="Times New Roman"/>
          <w:noProof/>
          <w:sz w:val="24"/>
          <w:szCs w:val="24"/>
        </w:rPr>
        <w:t>Creation of a single point of entry on the serv</w:t>
      </w:r>
      <w:r>
        <w:rPr>
          <w:rFonts w:ascii="Times New Roman" w:hAnsi="Times New Roman"/>
          <w:noProof/>
          <w:sz w:val="24"/>
          <w:szCs w:val="24"/>
        </w:rPr>
        <w:t>ice provider's side could also improve direct cooperation with public authorities, both in terms of reliability and efficiency. This has been demonstrated in several successful cases.</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Standardisation and reduction of forms on public authorities' side will </w:t>
      </w:r>
      <w:r>
        <w:rPr>
          <w:rFonts w:ascii="Times New Roman" w:hAnsi="Times New Roman"/>
          <w:noProof/>
          <w:sz w:val="24"/>
          <w:szCs w:val="24"/>
        </w:rPr>
        <w:t>make it easier for law enforcement to fill them in, and for service providers to authenticate and deal with the request.</w:t>
      </w:r>
    </w:p>
    <w:p w:rsidR="001B65FF" w:rsidRDefault="003E4EF4">
      <w:pPr>
        <w:pStyle w:val="Body"/>
        <w:rPr>
          <w:rFonts w:ascii="Times New Roman" w:hAnsi="Times New Roman"/>
          <w:noProof/>
          <w:sz w:val="24"/>
          <w:szCs w:val="24"/>
        </w:rPr>
      </w:pPr>
      <w:r>
        <w:rPr>
          <w:rFonts w:ascii="Times New Roman" w:hAnsi="Times New Roman"/>
          <w:noProof/>
          <w:sz w:val="24"/>
          <w:szCs w:val="24"/>
        </w:rPr>
        <w:t>Regarding the streamlining of procedures, standards and conditions on the service providers' side would mainly benefit public authoriti</w:t>
      </w:r>
      <w:r>
        <w:rPr>
          <w:rFonts w:ascii="Times New Roman" w:hAnsi="Times New Roman"/>
          <w:noProof/>
          <w:sz w:val="24"/>
          <w:szCs w:val="24"/>
        </w:rPr>
        <w:t xml:space="preserve">es, who would be faced with less, more consistent requests and policies, and would not have to adapt to a variety of individual service providers' policies, reducing the risk of errors. </w:t>
      </w:r>
    </w:p>
    <w:p w:rsidR="001B65FF" w:rsidRDefault="003E4EF4">
      <w:pPr>
        <w:pStyle w:val="Body"/>
        <w:rPr>
          <w:rFonts w:ascii="Times New Roman" w:hAnsi="Times New Roman"/>
          <w:noProof/>
          <w:sz w:val="24"/>
          <w:szCs w:val="24"/>
        </w:rPr>
      </w:pPr>
      <w:r>
        <w:rPr>
          <w:rFonts w:ascii="Times New Roman" w:hAnsi="Times New Roman"/>
          <w:noProof/>
          <w:sz w:val="24"/>
          <w:szCs w:val="24"/>
        </w:rPr>
        <w:t>Training activities could provide for a better understanding of diffe</w:t>
      </w:r>
      <w:r>
        <w:rPr>
          <w:rFonts w:ascii="Times New Roman" w:hAnsi="Times New Roman"/>
          <w:noProof/>
          <w:sz w:val="24"/>
          <w:szCs w:val="24"/>
        </w:rPr>
        <w:t>rent policies and procedures used by service providers, and is even more important where streamlining is not achieved. It can help improve the quality of requests and thus reduce the amount of back-and-forth between the different entities involved, which i</w:t>
      </w:r>
      <w:r>
        <w:rPr>
          <w:rFonts w:ascii="Times New Roman" w:hAnsi="Times New Roman"/>
          <w:noProof/>
          <w:sz w:val="24"/>
          <w:szCs w:val="24"/>
        </w:rPr>
        <w:t xml:space="preserve">n turn could reduce the average time it takes to receive a response. </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Finally, the establishment of an online information and support portal at EU level to provide support to online investigations, including information on applicable rules and procedures, </w:t>
      </w:r>
      <w:r>
        <w:rPr>
          <w:rFonts w:ascii="Times New Roman" w:hAnsi="Times New Roman"/>
          <w:noProof/>
          <w:sz w:val="24"/>
          <w:szCs w:val="24"/>
        </w:rPr>
        <w:t>would also avoid that each authority invests in creating a repository of available information. The better public authorities are informed, the higher the quality of their requests, which would also benefit service providers. An electronic portal could als</w:t>
      </w:r>
      <w:r>
        <w:rPr>
          <w:rFonts w:ascii="Times New Roman" w:hAnsi="Times New Roman"/>
          <w:noProof/>
          <w:sz w:val="24"/>
          <w:szCs w:val="24"/>
        </w:rPr>
        <w:t>o create more transparency, for example about the volumes of requests, supplementing transparency reports by the major service providers.</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All these practical measures would to some extent improve the efficiency of the process and thereby improve access to </w:t>
      </w:r>
      <w:r>
        <w:rPr>
          <w:rFonts w:ascii="Times New Roman" w:hAnsi="Times New Roman"/>
          <w:noProof/>
          <w:sz w:val="24"/>
          <w:szCs w:val="24"/>
        </w:rPr>
        <w:t>electronic evidence. This could in turn result in more effective investigations and prosecutions and contribute to improved deterrence for criminals, better protection of victims and improved security for EU citizens.</w:t>
      </w:r>
    </w:p>
    <w:p w:rsidR="001B65FF" w:rsidRDefault="003E4EF4">
      <w:pPr>
        <w:pStyle w:val="Body"/>
        <w:rPr>
          <w:rFonts w:ascii="Times New Roman" w:hAnsi="Times New Roman"/>
          <w:noProof/>
          <w:sz w:val="24"/>
          <w:szCs w:val="24"/>
        </w:rPr>
      </w:pPr>
      <w:r>
        <w:rPr>
          <w:rFonts w:ascii="Times New Roman" w:hAnsi="Times New Roman"/>
          <w:noProof/>
          <w:sz w:val="24"/>
          <w:szCs w:val="24"/>
        </w:rPr>
        <w:t>On the other hand, the room for improv</w:t>
      </w:r>
      <w:r>
        <w:rPr>
          <w:rFonts w:ascii="Times New Roman" w:hAnsi="Times New Roman"/>
          <w:noProof/>
          <w:sz w:val="24"/>
          <w:szCs w:val="24"/>
        </w:rPr>
        <w:t xml:space="preserve">ement is limited by the shortcomings of the existing framework, or the absence of a framework. Furthermore, the extent to which these benefits can be achieved largely depends on the willingness of both public authorities and service providers to implement </w:t>
      </w:r>
      <w:r>
        <w:rPr>
          <w:rFonts w:ascii="Times New Roman" w:hAnsi="Times New Roman"/>
          <w:noProof/>
          <w:sz w:val="24"/>
          <w:szCs w:val="24"/>
        </w:rPr>
        <w:t>the measures. It cannot be expected that all of them will implement every single measure, and in particular with regard to the streamlining of procedures, it is debatable whether service providers would be willing to go very far.</w:t>
      </w:r>
    </w:p>
    <w:p w:rsidR="001B65FF" w:rsidRDefault="003E4EF4">
      <w:pPr>
        <w:pStyle w:val="Body"/>
        <w:rPr>
          <w:rFonts w:ascii="Times New Roman" w:hAnsi="Times New Roman"/>
          <w:noProof/>
          <w:color w:val="000000"/>
          <w:sz w:val="24"/>
          <w:szCs w:val="24"/>
        </w:rPr>
      </w:pPr>
      <w:r>
        <w:rPr>
          <w:rFonts w:ascii="Times New Roman" w:hAnsi="Times New Roman"/>
          <w:noProof/>
          <w:sz w:val="24"/>
          <w:szCs w:val="24"/>
        </w:rPr>
        <w:t>Moreover, the practical me</w:t>
      </w:r>
      <w:r>
        <w:rPr>
          <w:rFonts w:ascii="Times New Roman" w:hAnsi="Times New Roman"/>
          <w:noProof/>
          <w:sz w:val="24"/>
          <w:szCs w:val="24"/>
        </w:rPr>
        <w:t>asures can only partly address the identified problems, as they cannot provide solutions to fragmented legal frameworks among Member States. This fragmentation has been identified as a major challenge by service providers seeking to comply with requests ba</w:t>
      </w:r>
      <w:r>
        <w:rPr>
          <w:rFonts w:ascii="Times New Roman" w:hAnsi="Times New Roman"/>
          <w:noProof/>
          <w:sz w:val="24"/>
          <w:szCs w:val="24"/>
        </w:rPr>
        <w:t xml:space="preserve">sed on different national laws. The practical solutions would also not address the need for increased legal certainty, transparency and accountability in direct cross-border cooperation between authorities and service providers, which was highlighted as a </w:t>
      </w:r>
      <w:r>
        <w:rPr>
          <w:rFonts w:ascii="Times New Roman" w:hAnsi="Times New Roman"/>
          <w:noProof/>
          <w:sz w:val="24"/>
          <w:szCs w:val="24"/>
        </w:rPr>
        <w:t xml:space="preserve">key issue by all stakeholders in the expert process. </w:t>
      </w:r>
      <w:r>
        <w:rPr>
          <w:rFonts w:ascii="Times New Roman" w:eastAsia="Calibri" w:hAnsi="Times New Roman"/>
          <w:noProof/>
          <w:sz w:val="24"/>
          <w:szCs w:val="24"/>
          <w:lang w:eastAsia="ar-SA"/>
        </w:rPr>
        <w:t>Finally, the proposed measures on cooperation with service providers would only cover providers under US jurisdiction and be limited to non-content data.</w:t>
      </w:r>
      <w:r>
        <w:rPr>
          <w:rFonts w:ascii="Times New Roman" w:hAnsi="Times New Roman"/>
          <w:noProof/>
          <w:color w:val="000000"/>
          <w:sz w:val="24"/>
          <w:szCs w:val="24"/>
        </w:rPr>
        <w:t xml:space="preserve"> Therefore, while the overall impact on the effect</w:t>
      </w:r>
      <w:r>
        <w:rPr>
          <w:rFonts w:ascii="Times New Roman" w:hAnsi="Times New Roman"/>
          <w:noProof/>
          <w:color w:val="000000"/>
          <w:sz w:val="24"/>
          <w:szCs w:val="24"/>
        </w:rPr>
        <w:t>iveness of criminal investigations should be positive, this measure by itself would not fully address the problem.</w:t>
      </w:r>
    </w:p>
    <w:p w:rsidR="001B65FF" w:rsidRDefault="003E4EF4">
      <w:pPr>
        <w:pStyle w:val="Body"/>
        <w:rPr>
          <w:rFonts w:ascii="Times New Roman" w:hAnsi="Times New Roman"/>
          <w:i/>
          <w:noProof/>
          <w:sz w:val="24"/>
          <w:szCs w:val="24"/>
          <w:u w:val="single"/>
        </w:rPr>
      </w:pPr>
      <w:bookmarkStart w:id="1976" w:name="_Toc498509794"/>
      <w:r>
        <w:rPr>
          <w:rFonts w:ascii="Times New Roman" w:hAnsi="Times New Roman"/>
          <w:i/>
          <w:noProof/>
          <w:sz w:val="24"/>
          <w:szCs w:val="24"/>
          <w:u w:val="single"/>
        </w:rPr>
        <w:t>Economic impact</w:t>
      </w:r>
      <w:bookmarkEnd w:id="1976"/>
    </w:p>
    <w:p w:rsidR="001B65FF" w:rsidRDefault="003E4EF4">
      <w:pPr>
        <w:pStyle w:val="Body"/>
        <w:rPr>
          <w:rFonts w:ascii="Times New Roman" w:eastAsia="Calibri" w:hAnsi="Times New Roman"/>
          <w:noProof/>
          <w:sz w:val="24"/>
          <w:szCs w:val="24"/>
          <w:lang w:eastAsia="ar-SA"/>
        </w:rPr>
      </w:pPr>
      <w:r>
        <w:rPr>
          <w:rFonts w:ascii="Times New Roman" w:eastAsia="Calibri" w:hAnsi="Times New Roman"/>
          <w:noProof/>
          <w:sz w:val="24"/>
          <w:szCs w:val="24"/>
          <w:lang w:eastAsia="ar-SA"/>
        </w:rPr>
        <w:t>Regarding the practical measures to improve cooperation between public authorities in the EU and service providers, those tha</w:t>
      </w:r>
      <w:r>
        <w:rPr>
          <w:rFonts w:ascii="Times New Roman" w:eastAsia="Calibri" w:hAnsi="Times New Roman"/>
          <w:noProof/>
          <w:sz w:val="24"/>
          <w:szCs w:val="24"/>
          <w:lang w:eastAsia="ar-SA"/>
        </w:rPr>
        <w:t>t are addressed to public authorities (SPOC, training, standardised forms, online portal) would generate some moderate costs for public authorities,</w:t>
      </w:r>
      <w:r>
        <w:rPr>
          <w:rStyle w:val="FootnoteReference"/>
          <w:rFonts w:ascii="Times New Roman" w:eastAsia="Calibri" w:hAnsi="Times New Roman"/>
          <w:noProof/>
          <w:sz w:val="24"/>
          <w:szCs w:val="24"/>
          <w:lang w:eastAsia="ar-SA"/>
        </w:rPr>
        <w:footnoteReference w:id="182"/>
      </w:r>
      <w:r>
        <w:rPr>
          <w:rFonts w:ascii="Times New Roman" w:eastAsia="Calibri" w:hAnsi="Times New Roman"/>
          <w:noProof/>
          <w:sz w:val="24"/>
          <w:szCs w:val="24"/>
          <w:lang w:eastAsia="ar-SA"/>
        </w:rPr>
        <w:t xml:space="preserve"> but also improve the quality of requests and would therefore lead to a reduction of resources and costs for service providers and public authorities. Those practical measures addressed to service providers (single points of entry, streamlining of policies</w:t>
      </w:r>
      <w:r>
        <w:rPr>
          <w:rFonts w:ascii="Times New Roman" w:eastAsia="Calibri" w:hAnsi="Times New Roman"/>
          <w:noProof/>
          <w:sz w:val="24"/>
          <w:szCs w:val="24"/>
          <w:lang w:eastAsia="ar-SA"/>
        </w:rPr>
        <w:t>) would generate some moderate costs for service providers, in particular if changes to procedures and standard terms of contracts have to be implemented, but public authorities</w:t>
      </w:r>
      <w:r>
        <w:rPr>
          <w:rFonts w:ascii="Times New Roman" w:hAnsi="Times New Roman"/>
          <w:noProof/>
          <w:sz w:val="24"/>
          <w:szCs w:val="24"/>
        </w:rPr>
        <w:t xml:space="preserve"> would be faced with less, more consistent requests and policies, and would not</w:t>
      </w:r>
      <w:r>
        <w:rPr>
          <w:rFonts w:ascii="Times New Roman" w:hAnsi="Times New Roman"/>
          <w:noProof/>
          <w:sz w:val="24"/>
          <w:szCs w:val="24"/>
        </w:rPr>
        <w:t xml:space="preserve"> have to adapt to a variety of individual service providers' policies, leading </w:t>
      </w:r>
      <w:r>
        <w:rPr>
          <w:rFonts w:ascii="Times New Roman" w:eastAsia="Calibri" w:hAnsi="Times New Roman"/>
          <w:noProof/>
          <w:sz w:val="24"/>
          <w:szCs w:val="24"/>
          <w:lang w:eastAsia="ar-SA"/>
        </w:rPr>
        <w:t>to cost reductions for them. The improvements are expected to have a slightly bigger impact than the practical measures for judicial cooperation, as they will modify the process</w:t>
      </w:r>
      <w:r>
        <w:rPr>
          <w:rFonts w:ascii="Times New Roman" w:eastAsia="Calibri" w:hAnsi="Times New Roman"/>
          <w:noProof/>
          <w:sz w:val="24"/>
          <w:szCs w:val="24"/>
          <w:lang w:eastAsia="ar-SA"/>
        </w:rPr>
        <w:t>. In addition, these practical measures may also lead to a slight shift from judicial cooperation channels to direct cooperation channels based on a better understanding by practitioners of this later channel, generating further savings, and to an increase</w:t>
      </w:r>
      <w:r>
        <w:rPr>
          <w:rFonts w:ascii="Times New Roman" w:eastAsia="Calibri" w:hAnsi="Times New Roman"/>
          <w:noProof/>
          <w:sz w:val="24"/>
          <w:szCs w:val="24"/>
          <w:lang w:eastAsia="ar-SA"/>
        </w:rPr>
        <w:t xml:space="preserve"> of the total number of requests made via direct cooperation because requests that were not done previously because of the complexity of the process or a lack of knowledge about the procedure of a particular service provider would now be done.</w:t>
      </w:r>
    </w:p>
    <w:p w:rsidR="001B65FF" w:rsidRDefault="003E4EF4">
      <w:pPr>
        <w:pStyle w:val="Body"/>
        <w:rPr>
          <w:rFonts w:ascii="Times New Roman" w:eastAsia="Calibri" w:hAnsi="Times New Roman"/>
          <w:noProof/>
          <w:sz w:val="24"/>
          <w:szCs w:val="24"/>
          <w:lang w:eastAsia="ar-SA"/>
        </w:rPr>
      </w:pPr>
      <w:r>
        <w:rPr>
          <w:rFonts w:ascii="Times New Roman" w:eastAsia="Calibri" w:hAnsi="Times New Roman"/>
          <w:noProof/>
          <w:sz w:val="24"/>
          <w:szCs w:val="24"/>
          <w:lang w:eastAsia="ar-SA"/>
        </w:rPr>
        <w:t>Given that t</w:t>
      </w:r>
      <w:r>
        <w:rPr>
          <w:rFonts w:ascii="Times New Roman" w:eastAsia="Calibri" w:hAnsi="Times New Roman"/>
          <w:noProof/>
          <w:sz w:val="24"/>
          <w:szCs w:val="24"/>
          <w:lang w:eastAsia="ar-SA"/>
        </w:rPr>
        <w:t xml:space="preserve">he practical measures are largely voluntary in nature and do not require participation by all service providers, the economic impact of the practical options should not disfavour SMEs. </w:t>
      </w:r>
    </w:p>
    <w:p w:rsidR="001B65FF" w:rsidRDefault="003E4EF4">
      <w:pPr>
        <w:pStyle w:val="Body"/>
        <w:rPr>
          <w:rFonts w:ascii="Times New Roman" w:hAnsi="Times New Roman"/>
          <w:i/>
          <w:noProof/>
          <w:sz w:val="24"/>
          <w:szCs w:val="24"/>
          <w:u w:val="single"/>
        </w:rPr>
      </w:pPr>
      <w:bookmarkStart w:id="1977" w:name="_Toc498509795"/>
      <w:r>
        <w:rPr>
          <w:rFonts w:ascii="Times New Roman" w:hAnsi="Times New Roman"/>
          <w:i/>
          <w:noProof/>
          <w:sz w:val="24"/>
          <w:szCs w:val="24"/>
          <w:u w:val="single"/>
        </w:rPr>
        <w:t>Fundamental rights impact</w:t>
      </w:r>
      <w:bookmarkEnd w:id="1977"/>
    </w:p>
    <w:p w:rsidR="001B65FF" w:rsidRDefault="003E4EF4">
      <w:pPr>
        <w:pStyle w:val="Body"/>
        <w:rPr>
          <w:rFonts w:ascii="Times New Roman" w:eastAsia="Calibri" w:hAnsi="Times New Roman"/>
          <w:noProof/>
          <w:sz w:val="24"/>
          <w:szCs w:val="24"/>
          <w:lang w:eastAsia="ar-SA"/>
        </w:rPr>
      </w:pPr>
      <w:r>
        <w:rPr>
          <w:rFonts w:ascii="Times New Roman" w:eastAsia="Calibri" w:hAnsi="Times New Roman"/>
          <w:noProof/>
          <w:sz w:val="24"/>
          <w:szCs w:val="24"/>
          <w:lang w:eastAsia="ar-SA"/>
        </w:rPr>
        <w:t>There would be no impact on fundamental righ</w:t>
      </w:r>
      <w:r>
        <w:rPr>
          <w:rFonts w:ascii="Times New Roman" w:eastAsia="Calibri" w:hAnsi="Times New Roman"/>
          <w:noProof/>
          <w:sz w:val="24"/>
          <w:szCs w:val="24"/>
          <w:lang w:eastAsia="ar-SA"/>
        </w:rPr>
        <w:t xml:space="preserve">ts compared to the baseline scenario. There would be no change </w:t>
      </w:r>
      <w:r>
        <w:rPr>
          <w:rFonts w:ascii="Times New Roman" w:hAnsi="Times New Roman"/>
          <w:noProof/>
          <w:sz w:val="24"/>
          <w:szCs w:val="24"/>
        </w:rPr>
        <w:t xml:space="preserve">with regard to legal certainty and individuals' rights in the framework of voluntary cooperation with service providers. </w:t>
      </w:r>
    </w:p>
    <w:p w:rsidR="001B65FF" w:rsidRDefault="003E4EF4">
      <w:pPr>
        <w:pStyle w:val="Body"/>
        <w:spacing w:after="0"/>
        <w:rPr>
          <w:rFonts w:ascii="Times New Roman" w:eastAsia="Calibri" w:hAnsi="Times New Roman"/>
          <w:noProof/>
          <w:sz w:val="24"/>
          <w:szCs w:val="24"/>
          <w:lang w:eastAsia="ar-SA"/>
        </w:rPr>
      </w:pPr>
      <w:r>
        <w:rPr>
          <w:rFonts w:ascii="Times New Roman" w:eastAsia="Calibri" w:hAnsi="Times New Roman"/>
          <w:noProof/>
          <w:sz w:val="24"/>
          <w:szCs w:val="24"/>
          <w:lang w:eastAsia="ar-SA"/>
        </w:rPr>
        <w:t>The problems affecting cross-border access to electronic evidence would</w:t>
      </w:r>
      <w:r>
        <w:rPr>
          <w:rFonts w:ascii="Times New Roman" w:eastAsia="Calibri" w:hAnsi="Times New Roman"/>
          <w:noProof/>
          <w:sz w:val="24"/>
          <w:szCs w:val="24"/>
          <w:lang w:eastAsia="ar-SA"/>
        </w:rPr>
        <w:t xml:space="preserve"> only be partially addressed through these measures, meaning that the situation would still negatively affect the fundamental rights of persons who are or may become victims of crime (right to liberty and security). </w:t>
      </w:r>
    </w:p>
    <w:p w:rsidR="001B65FF" w:rsidRDefault="001B65FF">
      <w:pPr>
        <w:pStyle w:val="Body"/>
        <w:spacing w:before="0" w:after="0"/>
        <w:rPr>
          <w:rFonts w:ascii="Times New Roman" w:hAnsi="Times New Roman"/>
          <w:noProof/>
          <w:sz w:val="24"/>
          <w:szCs w:val="24"/>
        </w:rPr>
      </w:pPr>
    </w:p>
    <w:p w:rsidR="001B65FF" w:rsidRDefault="003E4EF4">
      <w:pPr>
        <w:keepNext/>
        <w:spacing w:before="120" w:after="120" w:line="240" w:lineRule="auto"/>
        <w:jc w:val="both"/>
        <w:outlineLvl w:val="2"/>
        <w:rPr>
          <w:rFonts w:ascii="Times New Roman" w:hAnsi="Times New Roman"/>
          <w:b/>
          <w:noProof/>
          <w:sz w:val="24"/>
        </w:rPr>
      </w:pPr>
      <w:bookmarkStart w:id="1978" w:name="_Toc499130057"/>
      <w:bookmarkStart w:id="1979" w:name="_Toc499133336"/>
      <w:bookmarkStart w:id="1980" w:name="_Toc499142906"/>
      <w:bookmarkStart w:id="1981" w:name="_Toc499143351"/>
      <w:bookmarkStart w:id="1982" w:name="_Toc510952902"/>
      <w:r>
        <w:rPr>
          <w:rFonts w:ascii="Times New Roman" w:eastAsia="Times New Roman" w:hAnsi="Times New Roman" w:cs="Times New Roman"/>
          <w:b/>
          <w:noProof/>
          <w:sz w:val="24"/>
          <w:szCs w:val="20"/>
        </w:rPr>
        <w:t>Legislative action: international agre</w:t>
      </w:r>
      <w:r>
        <w:rPr>
          <w:rFonts w:ascii="Times New Roman" w:eastAsia="Times New Roman" w:hAnsi="Times New Roman" w:cs="Times New Roman"/>
          <w:b/>
          <w:noProof/>
          <w:sz w:val="24"/>
          <w:szCs w:val="20"/>
        </w:rPr>
        <w:t>ements</w:t>
      </w:r>
      <w:bookmarkEnd w:id="1978"/>
      <w:bookmarkEnd w:id="1979"/>
      <w:bookmarkEnd w:id="1980"/>
      <w:bookmarkEnd w:id="1981"/>
      <w:bookmarkEnd w:id="1982"/>
    </w:p>
    <w:p w:rsidR="001B65FF" w:rsidRDefault="003E4EF4">
      <w:pPr>
        <w:pStyle w:val="Heading5"/>
        <w:rPr>
          <w:rFonts w:ascii="Times New Roman" w:hAnsi="Times New Roman"/>
          <w:noProof/>
          <w:sz w:val="24"/>
        </w:rPr>
      </w:pPr>
      <w:bookmarkStart w:id="1983" w:name="_Toc498509796"/>
      <w:r>
        <w:rPr>
          <w:rFonts w:ascii="Times New Roman" w:eastAsia="Times New Roman" w:hAnsi="Times New Roman" w:cs="Times New Roman"/>
          <w:b w:val="0"/>
          <w:noProof/>
          <w:color w:val="auto"/>
          <w:sz w:val="24"/>
          <w:u w:val="single"/>
        </w:rPr>
        <w:t>Measure 3: multilateral international agreements</w:t>
      </w:r>
      <w:bookmarkEnd w:id="1983"/>
    </w:p>
    <w:p w:rsidR="001B65FF" w:rsidRDefault="003E4EF4">
      <w:pPr>
        <w:pStyle w:val="Body"/>
        <w:rPr>
          <w:rFonts w:ascii="Times New Roman" w:hAnsi="Times New Roman"/>
          <w:i/>
          <w:noProof/>
          <w:sz w:val="24"/>
          <w:szCs w:val="24"/>
          <w:u w:val="single"/>
        </w:rPr>
      </w:pPr>
      <w:bookmarkStart w:id="1984" w:name="_Toc498509797"/>
      <w:r>
        <w:rPr>
          <w:rFonts w:ascii="Times New Roman" w:hAnsi="Times New Roman"/>
          <w:i/>
          <w:noProof/>
          <w:sz w:val="24"/>
          <w:szCs w:val="24"/>
          <w:u w:val="single"/>
        </w:rPr>
        <w:t>Social impact</w:t>
      </w:r>
      <w:bookmarkEnd w:id="1984"/>
      <w:r>
        <w:rPr>
          <w:rFonts w:ascii="Times New Roman" w:hAnsi="Times New Roman"/>
          <w:i/>
          <w:noProof/>
          <w:sz w:val="24"/>
          <w:szCs w:val="24"/>
          <w:u w:val="single"/>
        </w:rPr>
        <w:t xml:space="preserve"> </w:t>
      </w:r>
    </w:p>
    <w:p w:rsidR="001B65FF" w:rsidRDefault="003E4EF4">
      <w:pPr>
        <w:pStyle w:val="Body"/>
        <w:rPr>
          <w:rFonts w:ascii="Times New Roman" w:eastAsia="Calibri" w:hAnsi="Times New Roman"/>
          <w:noProof/>
          <w:sz w:val="24"/>
          <w:szCs w:val="24"/>
          <w:lang w:eastAsia="ar-SA"/>
        </w:rPr>
      </w:pPr>
      <w:r>
        <w:rPr>
          <w:rFonts w:ascii="Times New Roman" w:hAnsi="Times New Roman"/>
          <w:noProof/>
          <w:sz w:val="24"/>
          <w:szCs w:val="24"/>
        </w:rPr>
        <w:t>A multilateral solution in the framework of the Budapest Convention would have a broad geographical scope going beyond the EU and could possibly also include the U.S,</w:t>
      </w:r>
      <w:r>
        <w:rPr>
          <w:rFonts w:ascii="Times New Roman" w:eastAsia="Calibri" w:hAnsi="Times New Roman"/>
          <w:noProof/>
          <w:sz w:val="24"/>
          <w:szCs w:val="24"/>
          <w:lang w:eastAsia="ar-SA"/>
        </w:rPr>
        <w:t xml:space="preserve"> which is currently</w:t>
      </w:r>
      <w:r>
        <w:rPr>
          <w:rFonts w:ascii="Times New Roman" w:eastAsia="Calibri" w:hAnsi="Times New Roman"/>
          <w:noProof/>
          <w:sz w:val="24"/>
          <w:szCs w:val="24"/>
          <w:lang w:eastAsia="ar-SA"/>
        </w:rPr>
        <w:t xml:space="preserve"> the main addressee of requests. A broadly applicable international regime would be easier to implement for national authorities and service providers than many divergent regimes. Both judicial cooperation and direct cooperation could be improved by an add</w:t>
      </w:r>
      <w:r>
        <w:rPr>
          <w:rFonts w:ascii="Times New Roman" w:eastAsia="Calibri" w:hAnsi="Times New Roman"/>
          <w:noProof/>
          <w:sz w:val="24"/>
          <w:szCs w:val="24"/>
          <w:lang w:eastAsia="ar-SA"/>
        </w:rPr>
        <w:t xml:space="preserve">itional protocol. It would also reflect more faithfully the international dimension of the Internet, even if it would still not cover all states. </w:t>
      </w:r>
    </w:p>
    <w:p w:rsidR="001B65FF" w:rsidRDefault="003E4EF4">
      <w:pPr>
        <w:pStyle w:val="Body"/>
        <w:rPr>
          <w:rFonts w:ascii="Times New Roman" w:eastAsia="Calibri" w:hAnsi="Times New Roman"/>
          <w:noProof/>
          <w:sz w:val="24"/>
          <w:szCs w:val="24"/>
          <w:lang w:eastAsia="ar-SA"/>
        </w:rPr>
      </w:pPr>
      <w:r>
        <w:rPr>
          <w:rFonts w:ascii="Times New Roman" w:eastAsia="Calibri" w:hAnsi="Times New Roman"/>
          <w:noProof/>
          <w:sz w:val="24"/>
          <w:szCs w:val="24"/>
          <w:lang w:eastAsia="ar-SA"/>
        </w:rPr>
        <w:t xml:space="preserve">As for the impact on the ability of public authorities to investigate and prosecute crime, it will depend on </w:t>
      </w:r>
      <w:r>
        <w:rPr>
          <w:rFonts w:ascii="Times New Roman" w:eastAsia="Calibri" w:hAnsi="Times New Roman"/>
          <w:noProof/>
          <w:sz w:val="24"/>
          <w:szCs w:val="24"/>
          <w:lang w:eastAsia="ar-SA"/>
        </w:rPr>
        <w:t>the concrete provisions negotiated and on the participating countries. Once the international agreement would be open for accession, the decision to sign and ratify it would be in the hands of Member States, and they would not be bound by a certain deadlin</w:t>
      </w:r>
      <w:r>
        <w:rPr>
          <w:rFonts w:ascii="Times New Roman" w:eastAsia="Calibri" w:hAnsi="Times New Roman"/>
          <w:noProof/>
          <w:sz w:val="24"/>
          <w:szCs w:val="24"/>
          <w:lang w:eastAsia="ar-SA"/>
        </w:rPr>
        <w:t>e, as would be the case with an EU legislative instrument. For example, the Budapest Convention has been open for ratification since 2001, has been supported by the EU and has acquired recognition as the main international instrument in the field of cyberc</w:t>
      </w:r>
      <w:r>
        <w:rPr>
          <w:rFonts w:ascii="Times New Roman" w:eastAsia="Calibri" w:hAnsi="Times New Roman"/>
          <w:noProof/>
          <w:sz w:val="24"/>
          <w:szCs w:val="24"/>
          <w:lang w:eastAsia="ar-SA"/>
        </w:rPr>
        <w:t>rime, yet still two Member States have not ratified it. Furthermore, the mechanisms for ensuring the compliance by Member States with their obligations under an international agreement are arguably less strong than those provided by EU law, notably the scr</w:t>
      </w:r>
      <w:r>
        <w:rPr>
          <w:rFonts w:ascii="Times New Roman" w:eastAsia="Calibri" w:hAnsi="Times New Roman"/>
          <w:noProof/>
          <w:sz w:val="24"/>
          <w:szCs w:val="24"/>
          <w:lang w:eastAsia="ar-SA"/>
        </w:rPr>
        <w:t>utiny of the Commission as guardian of the Treaties and the jurisdiction of the ECHR.</w:t>
      </w:r>
    </w:p>
    <w:p w:rsidR="001B65FF" w:rsidRDefault="003E4EF4">
      <w:pPr>
        <w:pStyle w:val="Body"/>
        <w:rPr>
          <w:rFonts w:ascii="Times New Roman" w:hAnsi="Times New Roman"/>
          <w:i/>
          <w:noProof/>
          <w:sz w:val="24"/>
          <w:szCs w:val="24"/>
          <w:u w:val="single"/>
        </w:rPr>
      </w:pPr>
      <w:bookmarkStart w:id="1985" w:name="_Toc498509798"/>
      <w:r>
        <w:rPr>
          <w:rFonts w:ascii="Times New Roman" w:hAnsi="Times New Roman"/>
          <w:i/>
          <w:noProof/>
          <w:sz w:val="24"/>
          <w:szCs w:val="24"/>
          <w:u w:val="single"/>
        </w:rPr>
        <w:t>Economic impact</w:t>
      </w:r>
      <w:bookmarkEnd w:id="1985"/>
    </w:p>
    <w:p w:rsidR="001B65FF" w:rsidRDefault="003E4EF4">
      <w:pPr>
        <w:pStyle w:val="Body"/>
        <w:rPr>
          <w:rFonts w:ascii="Times New Roman" w:hAnsi="Times New Roman"/>
          <w:noProof/>
          <w:sz w:val="24"/>
          <w:szCs w:val="24"/>
        </w:rPr>
      </w:pPr>
      <w:r>
        <w:rPr>
          <w:rFonts w:ascii="Times New Roman" w:hAnsi="Times New Roman"/>
          <w:noProof/>
          <w:sz w:val="24"/>
          <w:szCs w:val="24"/>
        </w:rPr>
        <w:t>International solutions that would allow direct cooperation with service providers would lead to a shift from judicial cooperation procedures to direct co</w:t>
      </w:r>
      <w:r>
        <w:rPr>
          <w:rFonts w:ascii="Times New Roman" w:hAnsi="Times New Roman"/>
          <w:noProof/>
          <w:sz w:val="24"/>
          <w:szCs w:val="24"/>
        </w:rPr>
        <w:t xml:space="preserve">operation with service providers. Similar considerations regarding the economic impact on businesses and on public authorities would apply as for a measure on direct cooperation with service providers. </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Regarding the impact on non-EU countries, </w:t>
      </w:r>
      <w:r>
        <w:rPr>
          <w:rFonts w:ascii="Times New Roman" w:hAnsi="Times New Roman"/>
          <w:noProof/>
          <w:sz w:val="24"/>
          <w:szCs w:val="24"/>
        </w:rPr>
        <w:t>international solutions are certainly the most favourable options, as they allow agreement to be reached among states on a common approach.</w:t>
      </w:r>
    </w:p>
    <w:p w:rsidR="001B65FF" w:rsidRDefault="003E4EF4">
      <w:pPr>
        <w:pStyle w:val="Body"/>
        <w:rPr>
          <w:rFonts w:ascii="Times New Roman" w:hAnsi="Times New Roman"/>
          <w:i/>
          <w:noProof/>
          <w:sz w:val="24"/>
          <w:szCs w:val="24"/>
          <w:u w:val="single"/>
        </w:rPr>
      </w:pPr>
      <w:bookmarkStart w:id="1986" w:name="_Toc498509799"/>
      <w:r>
        <w:rPr>
          <w:rFonts w:ascii="Times New Roman" w:hAnsi="Times New Roman"/>
          <w:i/>
          <w:noProof/>
          <w:sz w:val="24"/>
          <w:szCs w:val="24"/>
          <w:u w:val="single"/>
        </w:rPr>
        <w:t>Fundamental rights impact</w:t>
      </w:r>
      <w:bookmarkEnd w:id="1986"/>
    </w:p>
    <w:p w:rsidR="001B65FF" w:rsidRDefault="003E4EF4">
      <w:pPr>
        <w:pStyle w:val="Body"/>
        <w:rPr>
          <w:rFonts w:ascii="Times New Roman" w:hAnsi="Times New Roman"/>
          <w:noProof/>
          <w:sz w:val="24"/>
          <w:szCs w:val="24"/>
        </w:rPr>
      </w:pPr>
      <w:r>
        <w:rPr>
          <w:rFonts w:ascii="Times New Roman" w:hAnsi="Times New Roman"/>
          <w:noProof/>
          <w:sz w:val="24"/>
          <w:szCs w:val="24"/>
        </w:rPr>
        <w:t>International agreements may be advantageous, as they might allow ensuring an adequate lev</w:t>
      </w:r>
      <w:r>
        <w:rPr>
          <w:rFonts w:ascii="Times New Roman" w:hAnsi="Times New Roman"/>
          <w:noProof/>
          <w:sz w:val="24"/>
          <w:szCs w:val="24"/>
        </w:rPr>
        <w:t>el of protection of fundamental rights, including data protection. They could allow for a joint definition of mutually acceptable conditions, thus reducing conflicts of law, and an appropriate level of fundamental rights protection. Given their wider geogr</w:t>
      </w:r>
      <w:r>
        <w:rPr>
          <w:rFonts w:ascii="Times New Roman" w:hAnsi="Times New Roman"/>
          <w:noProof/>
          <w:sz w:val="24"/>
          <w:szCs w:val="24"/>
        </w:rPr>
        <w:t xml:space="preserve">aphical coverage, they would add value compared to other options. </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The </w:t>
      </w:r>
      <w:hyperlink r:id="rId119" w:history="1">
        <w:r>
          <w:rPr>
            <w:rFonts w:ascii="Times New Roman" w:hAnsi="Times New Roman"/>
            <w:noProof/>
            <w:sz w:val="24"/>
            <w:szCs w:val="24"/>
          </w:rPr>
          <w:t xml:space="preserve">(draft) Terms of Reference for the Preparation of a the Additional </w:t>
        </w:r>
        <w:r>
          <w:rPr>
            <w:rFonts w:ascii="Times New Roman" w:hAnsi="Times New Roman"/>
            <w:noProof/>
            <w:sz w:val="24"/>
            <w:szCs w:val="24"/>
          </w:rPr>
          <w:t>Protocol to the Budapest Convention on Cybercrime</w:t>
        </w:r>
      </w:hyperlink>
      <w:r>
        <w:rPr>
          <w:rFonts w:ascii="Times New Roman" w:hAnsi="Times New Roman"/>
          <w:noProof/>
          <w:sz w:val="24"/>
          <w:szCs w:val="24"/>
        </w:rPr>
        <w:t xml:space="preserve"> contain a mandate to prepare text on safeguards (including data protection requirements) for cross-border access to information. It is, however, too early to assess the level of fundamental rights protectio</w:t>
      </w:r>
      <w:r>
        <w:rPr>
          <w:rFonts w:ascii="Times New Roman" w:hAnsi="Times New Roman"/>
          <w:noProof/>
          <w:sz w:val="24"/>
          <w:szCs w:val="24"/>
        </w:rPr>
        <w:t xml:space="preserve">n that would be achieved by the Additional Protocol. </w:t>
      </w:r>
    </w:p>
    <w:p w:rsidR="001B65FF" w:rsidRDefault="003E4EF4">
      <w:pPr>
        <w:pStyle w:val="Heading5"/>
        <w:rPr>
          <w:rFonts w:ascii="Times New Roman" w:hAnsi="Times New Roman"/>
          <w:noProof/>
          <w:sz w:val="24"/>
          <w:u w:val="single"/>
        </w:rPr>
      </w:pPr>
      <w:bookmarkStart w:id="1987" w:name="_Toc498509800"/>
      <w:r>
        <w:rPr>
          <w:rFonts w:ascii="Times New Roman" w:eastAsia="Times New Roman" w:hAnsi="Times New Roman" w:cs="Times New Roman"/>
          <w:b w:val="0"/>
          <w:noProof/>
          <w:color w:val="auto"/>
          <w:sz w:val="24"/>
          <w:u w:val="single"/>
        </w:rPr>
        <w:t>Measure 4: bilateral international agreements</w:t>
      </w:r>
      <w:bookmarkEnd w:id="1987"/>
    </w:p>
    <w:p w:rsidR="001B65FF" w:rsidRDefault="003E4EF4">
      <w:pPr>
        <w:pStyle w:val="Body"/>
        <w:rPr>
          <w:rFonts w:ascii="Times New Roman" w:hAnsi="Times New Roman"/>
          <w:i/>
          <w:noProof/>
          <w:sz w:val="24"/>
          <w:szCs w:val="24"/>
          <w:u w:val="single"/>
        </w:rPr>
      </w:pPr>
      <w:bookmarkStart w:id="1988" w:name="_Toc498509801"/>
      <w:r>
        <w:rPr>
          <w:rFonts w:ascii="Times New Roman" w:hAnsi="Times New Roman"/>
          <w:i/>
          <w:noProof/>
          <w:sz w:val="24"/>
          <w:szCs w:val="24"/>
          <w:u w:val="single"/>
        </w:rPr>
        <w:t>Social impact</w:t>
      </w:r>
      <w:bookmarkEnd w:id="1988"/>
      <w:r>
        <w:rPr>
          <w:rFonts w:ascii="Times New Roman" w:hAnsi="Times New Roman"/>
          <w:i/>
          <w:noProof/>
          <w:sz w:val="24"/>
          <w:szCs w:val="24"/>
          <w:u w:val="single"/>
        </w:rPr>
        <w:t xml:space="preserve"> </w:t>
      </w:r>
    </w:p>
    <w:p w:rsidR="001B65FF" w:rsidRDefault="003E4EF4">
      <w:pPr>
        <w:pStyle w:val="Body"/>
        <w:rPr>
          <w:rFonts w:ascii="Times New Roman" w:eastAsia="Calibri" w:hAnsi="Times New Roman"/>
          <w:noProof/>
          <w:sz w:val="24"/>
          <w:szCs w:val="24"/>
          <w:lang w:eastAsia="ar-SA"/>
        </w:rPr>
      </w:pPr>
      <w:r>
        <w:rPr>
          <w:rFonts w:ascii="Times New Roman" w:hAnsi="Times New Roman"/>
          <w:noProof/>
          <w:sz w:val="24"/>
          <w:szCs w:val="24"/>
        </w:rPr>
        <w:t>Bilateral agreements would have the advantage of creating more legal certainty on the basis and process for direct cooperation with private p</w:t>
      </w:r>
      <w:r>
        <w:rPr>
          <w:rFonts w:ascii="Times New Roman" w:hAnsi="Times New Roman"/>
          <w:noProof/>
          <w:sz w:val="24"/>
          <w:szCs w:val="24"/>
        </w:rPr>
        <w:t>arties in non-EU countries, especially if they follow parallel choices made within the EU. If one looks at the example of the draft US-UK agreement, its major benefit would be to allow service providers under US jurisdiction to provide content data to EU p</w:t>
      </w:r>
      <w:r>
        <w:rPr>
          <w:rFonts w:ascii="Times New Roman" w:hAnsi="Times New Roman"/>
          <w:noProof/>
          <w:sz w:val="24"/>
          <w:szCs w:val="24"/>
        </w:rPr>
        <w:t>ublic authorities, which is currently not possible. This in particular could not be achieved by EU legislation alone, as it would create a conflict of law with US law.  Another advantage would be that the provisions of the EU-US Umbrella Agreement would be</w:t>
      </w:r>
      <w:r>
        <w:rPr>
          <w:rFonts w:ascii="Times New Roman" w:hAnsi="Times New Roman"/>
          <w:noProof/>
          <w:sz w:val="24"/>
          <w:szCs w:val="24"/>
        </w:rPr>
        <w:t xml:space="preserve"> applicable to such an agreement.</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But both bilateral and multilateral agreements are uncertain; it could take years, if at all, to reach an agreement, and it would depend on the non-EU countries involved. </w:t>
      </w:r>
    </w:p>
    <w:p w:rsidR="001B65FF" w:rsidRDefault="003E4EF4">
      <w:pPr>
        <w:pStyle w:val="Body"/>
        <w:keepNext/>
        <w:rPr>
          <w:rFonts w:ascii="Times New Roman" w:hAnsi="Times New Roman"/>
          <w:i/>
          <w:noProof/>
          <w:sz w:val="24"/>
          <w:szCs w:val="24"/>
          <w:u w:val="single"/>
        </w:rPr>
      </w:pPr>
      <w:bookmarkStart w:id="1989" w:name="_Toc498509802"/>
      <w:r>
        <w:rPr>
          <w:rFonts w:ascii="Times New Roman" w:hAnsi="Times New Roman"/>
          <w:i/>
          <w:noProof/>
          <w:sz w:val="24"/>
          <w:szCs w:val="24"/>
          <w:u w:val="single"/>
        </w:rPr>
        <w:t>Economic impact</w:t>
      </w:r>
      <w:bookmarkEnd w:id="1989"/>
    </w:p>
    <w:p w:rsidR="001B65FF" w:rsidRDefault="003E4EF4">
      <w:pPr>
        <w:pStyle w:val="Body"/>
        <w:rPr>
          <w:rFonts w:ascii="Times New Roman" w:hAnsi="Times New Roman"/>
          <w:noProof/>
          <w:sz w:val="24"/>
          <w:szCs w:val="24"/>
        </w:rPr>
      </w:pPr>
      <w:r>
        <w:rPr>
          <w:rFonts w:ascii="Times New Roman" w:hAnsi="Times New Roman"/>
          <w:noProof/>
          <w:sz w:val="24"/>
          <w:szCs w:val="24"/>
        </w:rPr>
        <w:t>International solutions that would</w:t>
      </w:r>
      <w:r>
        <w:rPr>
          <w:rFonts w:ascii="Times New Roman" w:hAnsi="Times New Roman"/>
          <w:noProof/>
          <w:sz w:val="24"/>
          <w:szCs w:val="24"/>
        </w:rPr>
        <w:t xml:space="preserve"> allow direct cooperation with service providers would lead to a shift from judicial cooperation procedures to direct cooperation with service providers. For an EU-US agreement, this would mean content data could also be obtained via direct cooperation. Si</w:t>
      </w:r>
      <w:r>
        <w:rPr>
          <w:rFonts w:ascii="Times New Roman" w:hAnsi="Times New Roman"/>
          <w:noProof/>
          <w:sz w:val="24"/>
          <w:szCs w:val="24"/>
        </w:rPr>
        <w:t xml:space="preserve">milar considerations regarding the economic impact on businesses and on public authorities would apply as for a measure on direct cooperation with service providers. </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Regarding the impact on non-EU countries, international solutions are certainly the most </w:t>
      </w:r>
      <w:r>
        <w:rPr>
          <w:rFonts w:ascii="Times New Roman" w:hAnsi="Times New Roman"/>
          <w:noProof/>
          <w:sz w:val="24"/>
          <w:szCs w:val="24"/>
        </w:rPr>
        <w:t>favourable options, as they allow agreement to be reached among states on a common approach.</w:t>
      </w:r>
    </w:p>
    <w:p w:rsidR="001B65FF" w:rsidRDefault="003E4EF4">
      <w:pPr>
        <w:pStyle w:val="Body"/>
        <w:rPr>
          <w:rFonts w:ascii="Times New Roman" w:hAnsi="Times New Roman"/>
          <w:i/>
          <w:noProof/>
          <w:sz w:val="24"/>
          <w:szCs w:val="24"/>
          <w:u w:val="single"/>
        </w:rPr>
      </w:pPr>
      <w:bookmarkStart w:id="1990" w:name="_Toc498509803"/>
      <w:bookmarkStart w:id="1991" w:name="_Toc498518089"/>
      <w:r>
        <w:rPr>
          <w:rFonts w:ascii="Times New Roman" w:hAnsi="Times New Roman"/>
          <w:i/>
          <w:noProof/>
          <w:sz w:val="24"/>
          <w:szCs w:val="24"/>
          <w:u w:val="single"/>
        </w:rPr>
        <w:t>Fundamental rights impact</w:t>
      </w:r>
      <w:bookmarkEnd w:id="1990"/>
      <w:bookmarkEnd w:id="1991"/>
    </w:p>
    <w:p w:rsidR="001B65FF" w:rsidRDefault="003E4EF4">
      <w:pPr>
        <w:pStyle w:val="Body"/>
        <w:rPr>
          <w:rFonts w:ascii="Times New Roman" w:hAnsi="Times New Roman"/>
          <w:noProof/>
          <w:sz w:val="24"/>
          <w:szCs w:val="24"/>
        </w:rPr>
      </w:pPr>
      <w:r>
        <w:rPr>
          <w:rFonts w:ascii="Times New Roman" w:hAnsi="Times New Roman"/>
          <w:noProof/>
          <w:sz w:val="24"/>
          <w:szCs w:val="24"/>
        </w:rPr>
        <w:t>Like multilateral agreements, bilateral international agreements may be advantageous, as they might allow ensuring an adequate level of p</w:t>
      </w:r>
      <w:r>
        <w:rPr>
          <w:rFonts w:ascii="Times New Roman" w:hAnsi="Times New Roman"/>
          <w:noProof/>
          <w:sz w:val="24"/>
          <w:szCs w:val="24"/>
        </w:rPr>
        <w:t xml:space="preserve">rotection of fundamental rights, including data protection. They could allow for a joint definition of mutually acceptable conditions, thus reducing conflicts of law, and an appropriate level of fundamental rights protection. </w:t>
      </w:r>
    </w:p>
    <w:p w:rsidR="001B65FF" w:rsidRDefault="003E4EF4">
      <w:pPr>
        <w:pStyle w:val="Body"/>
        <w:spacing w:after="0"/>
        <w:rPr>
          <w:rFonts w:ascii="Times New Roman" w:hAnsi="Times New Roman"/>
          <w:noProof/>
          <w:sz w:val="24"/>
          <w:szCs w:val="24"/>
        </w:rPr>
      </w:pPr>
      <w:r>
        <w:rPr>
          <w:rFonts w:ascii="Times New Roman" w:hAnsi="Times New Roman"/>
          <w:noProof/>
          <w:sz w:val="24"/>
          <w:szCs w:val="24"/>
        </w:rPr>
        <w:t>In the framework of bilateral</w:t>
      </w:r>
      <w:r>
        <w:rPr>
          <w:rFonts w:ascii="Times New Roman" w:hAnsi="Times New Roman"/>
          <w:noProof/>
          <w:sz w:val="24"/>
          <w:szCs w:val="24"/>
        </w:rPr>
        <w:t xml:space="preserve"> agreements such as with the US, it would most likely be easier to negotiate an adequate level of fundamental rights protection. Regarding data protection, the Umbrella Agreement would apply to an EU-US agreement, ensuring an equivalent level of protection</w:t>
      </w:r>
      <w:r>
        <w:rPr>
          <w:rFonts w:ascii="Times New Roman" w:hAnsi="Times New Roman"/>
          <w:noProof/>
          <w:sz w:val="24"/>
          <w:szCs w:val="24"/>
        </w:rPr>
        <w:t xml:space="preserve"> as in the EU of the right to data protection and privacy.</w:t>
      </w:r>
    </w:p>
    <w:p w:rsidR="001B65FF" w:rsidRDefault="001B65FF">
      <w:pPr>
        <w:pStyle w:val="Body"/>
        <w:spacing w:before="0"/>
        <w:rPr>
          <w:rFonts w:ascii="Times New Roman" w:hAnsi="Times New Roman"/>
          <w:noProof/>
          <w:sz w:val="24"/>
          <w:szCs w:val="24"/>
        </w:rPr>
      </w:pPr>
    </w:p>
    <w:p w:rsidR="001B65FF" w:rsidRDefault="003E4EF4">
      <w:pPr>
        <w:keepNext/>
        <w:spacing w:before="120" w:after="120" w:line="240" w:lineRule="auto"/>
        <w:jc w:val="both"/>
        <w:outlineLvl w:val="2"/>
        <w:rPr>
          <w:rFonts w:ascii="Times New Roman" w:eastAsia="Times New Roman" w:hAnsi="Times New Roman" w:cs="Times New Roman"/>
          <w:b/>
          <w:noProof/>
          <w:sz w:val="24"/>
          <w:szCs w:val="20"/>
        </w:rPr>
      </w:pPr>
      <w:bookmarkStart w:id="1992" w:name="_Toc499130058"/>
      <w:bookmarkStart w:id="1993" w:name="_Toc499133337"/>
      <w:bookmarkStart w:id="1994" w:name="_Toc499142907"/>
      <w:bookmarkStart w:id="1995" w:name="_Toc499143352"/>
      <w:bookmarkStart w:id="1996" w:name="_Toc510952903"/>
      <w:r>
        <w:rPr>
          <w:rFonts w:ascii="Times New Roman" w:eastAsia="Times New Roman" w:hAnsi="Times New Roman" w:cs="Times New Roman"/>
          <w:b/>
          <w:noProof/>
          <w:sz w:val="24"/>
          <w:szCs w:val="20"/>
        </w:rPr>
        <w:t>Legislative action: direct cooperation</w:t>
      </w:r>
      <w:bookmarkEnd w:id="1992"/>
      <w:bookmarkEnd w:id="1993"/>
      <w:bookmarkEnd w:id="1994"/>
      <w:bookmarkEnd w:id="1995"/>
      <w:bookmarkEnd w:id="1996"/>
    </w:p>
    <w:p w:rsidR="001B65FF" w:rsidRDefault="003E4EF4">
      <w:pPr>
        <w:pStyle w:val="Heading5"/>
        <w:rPr>
          <w:rFonts w:ascii="Times New Roman" w:hAnsi="Times New Roman"/>
          <w:noProof/>
          <w:sz w:val="24"/>
        </w:rPr>
      </w:pPr>
      <w:bookmarkStart w:id="1997" w:name="_Toc498509804"/>
      <w:bookmarkStart w:id="1998" w:name="_Toc498518090"/>
      <w:r>
        <w:rPr>
          <w:rFonts w:ascii="Times New Roman" w:eastAsia="Times New Roman" w:hAnsi="Times New Roman" w:cs="Times New Roman"/>
          <w:b w:val="0"/>
          <w:noProof/>
          <w:color w:val="auto"/>
          <w:sz w:val="24"/>
          <w:u w:val="single"/>
        </w:rPr>
        <w:t>Measure 5: European Production Order</w:t>
      </w:r>
      <w:bookmarkEnd w:id="1997"/>
      <w:bookmarkEnd w:id="1998"/>
    </w:p>
    <w:p w:rsidR="001B65FF" w:rsidRDefault="003E4EF4">
      <w:pPr>
        <w:pStyle w:val="Body"/>
        <w:rPr>
          <w:rFonts w:ascii="Times New Roman" w:hAnsi="Times New Roman"/>
          <w:i/>
          <w:noProof/>
          <w:sz w:val="24"/>
          <w:szCs w:val="24"/>
          <w:u w:val="single"/>
        </w:rPr>
      </w:pPr>
      <w:bookmarkStart w:id="1999" w:name="_Toc498509805"/>
      <w:bookmarkStart w:id="2000" w:name="_Toc498518091"/>
      <w:r>
        <w:rPr>
          <w:rFonts w:ascii="Times New Roman" w:hAnsi="Times New Roman"/>
          <w:i/>
          <w:noProof/>
          <w:sz w:val="24"/>
          <w:szCs w:val="24"/>
          <w:u w:val="single"/>
        </w:rPr>
        <w:t>Social impact</w:t>
      </w:r>
      <w:bookmarkEnd w:id="1999"/>
      <w:bookmarkEnd w:id="2000"/>
      <w:r>
        <w:rPr>
          <w:rFonts w:ascii="Times New Roman" w:hAnsi="Times New Roman"/>
          <w:i/>
          <w:noProof/>
          <w:sz w:val="24"/>
          <w:szCs w:val="24"/>
          <w:u w:val="single"/>
        </w:rPr>
        <w:t xml:space="preserve"> </w:t>
      </w:r>
    </w:p>
    <w:p w:rsidR="001B65FF" w:rsidRDefault="003E4EF4">
      <w:pPr>
        <w:spacing w:after="120"/>
        <w:jc w:val="both"/>
        <w:rPr>
          <w:rFonts w:ascii="Times New Roman" w:hAnsi="Times New Roman"/>
          <w:noProof/>
          <w:sz w:val="24"/>
          <w:szCs w:val="24"/>
        </w:rPr>
      </w:pPr>
      <w:r>
        <w:rPr>
          <w:rFonts w:ascii="Times New Roman" w:hAnsi="Times New Roman"/>
          <w:noProof/>
          <w:sz w:val="24"/>
          <w:szCs w:val="24"/>
        </w:rPr>
        <w:t>This measure would create a mechanism to allow judicial authorities to compel certain foreign service providers to provide information, in a similar way to that of domestic providers, subject to specific conditions. It would bring significant benefits in t</w:t>
      </w:r>
      <w:r>
        <w:rPr>
          <w:rFonts w:ascii="Times New Roman" w:hAnsi="Times New Roman"/>
          <w:noProof/>
          <w:sz w:val="24"/>
          <w:szCs w:val="24"/>
        </w:rPr>
        <w:t xml:space="preserve">erms of efficiencies both compared to judicial cooperation channels and to voluntary cooperation that exists with US providers on non-content data. </w:t>
      </w:r>
    </w:p>
    <w:p w:rsidR="001B65FF" w:rsidRDefault="003E4EF4">
      <w:pPr>
        <w:spacing w:after="120"/>
        <w:jc w:val="both"/>
        <w:rPr>
          <w:rFonts w:ascii="Times New Roman" w:hAnsi="Times New Roman"/>
          <w:noProof/>
          <w:sz w:val="24"/>
        </w:rPr>
      </w:pPr>
      <w:r>
        <w:rPr>
          <w:rFonts w:ascii="Times New Roman" w:hAnsi="Times New Roman"/>
          <w:noProof/>
          <w:sz w:val="24"/>
        </w:rPr>
        <w:t xml:space="preserve">While the EIO Directive is expected to improve cooperation among Member States compared to the instruments </w:t>
      </w:r>
      <w:r>
        <w:rPr>
          <w:rFonts w:ascii="Times New Roman" w:hAnsi="Times New Roman"/>
          <w:noProof/>
          <w:sz w:val="24"/>
        </w:rPr>
        <w:t>replaced by it, notably the 2000 MLA Convention, it is certainly a less efficient channel to obtain electronic evidence than direct cooperation with service providers, since the EIO was not specifically made for the purpose of improving cross-border access</w:t>
      </w:r>
      <w:r>
        <w:rPr>
          <w:rFonts w:ascii="Times New Roman" w:hAnsi="Times New Roman"/>
          <w:noProof/>
          <w:sz w:val="24"/>
        </w:rPr>
        <w:t xml:space="preserve"> to e-evidence. Direct cooperation with service providers is more comparable to domestic production orders: it involves fewer actors (no executing authority) and is limited to a specific type of evidence, which means that e.g. the form that would be used i</w:t>
      </w:r>
      <w:r>
        <w:rPr>
          <w:rFonts w:ascii="Times New Roman" w:hAnsi="Times New Roman"/>
          <w:noProof/>
          <w:sz w:val="24"/>
        </w:rPr>
        <w:t xml:space="preserve">n the European Production Order could be designed for the specific needs of electronic evidence and would be much shorter than the one to be used for an EIO. Deadlines for the execution of European Production Orders would be significantly shorter than the </w:t>
      </w:r>
      <w:r>
        <w:rPr>
          <w:rFonts w:ascii="Times New Roman" w:hAnsi="Times New Roman"/>
          <w:noProof/>
          <w:sz w:val="24"/>
        </w:rPr>
        <w:t>ones for the EIO: they only need to give service providers sufficient time to obtain the evidence, while the deadlines in the EIO include the time needed for many more steps (the executing authority needs to check the EIO and the grounds for refusal, and t</w:t>
      </w:r>
      <w:r>
        <w:rPr>
          <w:rFonts w:ascii="Times New Roman" w:hAnsi="Times New Roman"/>
          <w:noProof/>
          <w:sz w:val="24"/>
        </w:rPr>
        <w:t>hen it issues a domestic production order to the service provider according to their own provisions; the service provider needs to obtain the evidence and send it to the executing authority; and the executing authority sends it to the issuing authority, po</w:t>
      </w:r>
      <w:r>
        <w:rPr>
          <w:rFonts w:ascii="Times New Roman" w:hAnsi="Times New Roman"/>
          <w:noProof/>
          <w:sz w:val="24"/>
        </w:rPr>
        <w:t xml:space="preserve">ssibly after having re-checked the grounds for refusal on the basis of the evidence obtained). </w:t>
      </w:r>
    </w:p>
    <w:p w:rsidR="001B65FF" w:rsidRDefault="003E4EF4">
      <w:pPr>
        <w:pStyle w:val="Body"/>
        <w:rPr>
          <w:rFonts w:ascii="Times New Roman" w:hAnsi="Times New Roman"/>
          <w:noProof/>
          <w:sz w:val="24"/>
          <w:szCs w:val="24"/>
        </w:rPr>
      </w:pPr>
      <w:r>
        <w:rPr>
          <w:rFonts w:ascii="Times New Roman" w:hAnsi="Times New Roman"/>
          <w:noProof/>
          <w:sz w:val="24"/>
        </w:rPr>
        <w:t>As described in the report, there is a strong demand from Member States for an EU instrument in this area, which reinforces the above arguments that the EIO can</w:t>
      </w:r>
      <w:r>
        <w:rPr>
          <w:rFonts w:ascii="Times New Roman" w:hAnsi="Times New Roman"/>
          <w:noProof/>
          <w:sz w:val="24"/>
        </w:rPr>
        <w:t>not fully address the challenges of cross-border access to e-evidence, one of which is the need to access e-evidence across borders faster. Only the creation of a new instrument for e- evidence would be able to achieve these benefits by fundamentally depar</w:t>
      </w:r>
      <w:r>
        <w:rPr>
          <w:rFonts w:ascii="Times New Roman" w:hAnsi="Times New Roman"/>
          <w:noProof/>
          <w:sz w:val="24"/>
        </w:rPr>
        <w:t xml:space="preserve">ting from the traditional mutual recognition procedure on which the EIO is based, which involves an issuing authority and an executing authority in the Member State in which the investigative measure is to be carried out. Because the direct cooperation is </w:t>
      </w:r>
      <w:r>
        <w:rPr>
          <w:rFonts w:ascii="Times New Roman" w:hAnsi="Times New Roman"/>
          <w:noProof/>
          <w:sz w:val="24"/>
        </w:rPr>
        <w:t xml:space="preserve">inspired by the existing voluntary cooperation with US service providers, which has de facto become the main channel to obtain electronic evidence nowadays, the creation of an additional instrument would not bring more complexity to the current situation, </w:t>
      </w:r>
      <w:r>
        <w:rPr>
          <w:rFonts w:ascii="Times New Roman" w:hAnsi="Times New Roman"/>
          <w:noProof/>
          <w:sz w:val="24"/>
        </w:rPr>
        <w:t xml:space="preserve">but, on the contrary, provide for a clear legal framework for the direct cooperation channel. Furthermore, the new instrument would be </w:t>
      </w:r>
      <w:r>
        <w:rPr>
          <w:rFonts w:ascii="Times New Roman" w:hAnsi="Times New Roman"/>
          <w:b/>
          <w:noProof/>
          <w:sz w:val="24"/>
        </w:rPr>
        <w:t>complementary</w:t>
      </w:r>
      <w:r>
        <w:rPr>
          <w:rFonts w:ascii="Times New Roman" w:hAnsi="Times New Roman"/>
          <w:noProof/>
          <w:sz w:val="24"/>
        </w:rPr>
        <w:t xml:space="preserve"> to the EIO. There may be situations, e.g. when several investigative measures need to be carried out in the</w:t>
      </w:r>
      <w:r>
        <w:rPr>
          <w:rFonts w:ascii="Times New Roman" w:hAnsi="Times New Roman"/>
          <w:noProof/>
          <w:sz w:val="24"/>
        </w:rPr>
        <w:t xml:space="preserve"> executing Member State, where the EIO may be the preferred choice for public authorities.</w:t>
      </w:r>
    </w:p>
    <w:p w:rsidR="001B65FF" w:rsidRDefault="003E4EF4">
      <w:pPr>
        <w:pStyle w:val="ListBullet3"/>
        <w:numPr>
          <w:ilvl w:val="0"/>
          <w:numId w:val="0"/>
        </w:numPr>
        <w:jc w:val="both"/>
        <w:rPr>
          <w:rFonts w:ascii="Times New Roman" w:hAnsi="Times New Roman"/>
          <w:noProof/>
          <w:sz w:val="24"/>
          <w:szCs w:val="24"/>
        </w:rPr>
      </w:pPr>
      <w:r>
        <w:rPr>
          <w:rFonts w:ascii="Times New Roman" w:hAnsi="Times New Roman"/>
          <w:noProof/>
          <w:sz w:val="24"/>
          <w:szCs w:val="24"/>
        </w:rPr>
        <w:t>The major benefits of such a mechanism would be to provide a direct channel for the large majority of cases where the interest of the receiving country in the invest</w:t>
      </w:r>
      <w:r>
        <w:rPr>
          <w:rFonts w:ascii="Times New Roman" w:hAnsi="Times New Roman"/>
          <w:noProof/>
          <w:sz w:val="24"/>
          <w:szCs w:val="24"/>
        </w:rPr>
        <w:t>igation is small to non-existent, to accelerate the process compared to formal judicial cooperation tools, and to create a mandatory framework compared to the voluntary cooperation with US providers. The Production Order would be enforceable vis-à-vis serv</w:t>
      </w:r>
      <w:r>
        <w:rPr>
          <w:rFonts w:ascii="Times New Roman" w:hAnsi="Times New Roman"/>
          <w:noProof/>
          <w:sz w:val="24"/>
          <w:szCs w:val="24"/>
        </w:rPr>
        <w:t>ice providers, meaning that the success rate would be significantly higher than under the current voluntary framework (where it is currently estimated to be below 50%). Because of the conflict with US law, it would not allow EU judicial authorities to obta</w:t>
      </w:r>
      <w:r>
        <w:rPr>
          <w:rFonts w:ascii="Times New Roman" w:hAnsi="Times New Roman"/>
          <w:noProof/>
          <w:sz w:val="24"/>
          <w:szCs w:val="24"/>
        </w:rPr>
        <w:t>in content data. This measure would take some pressure off the MLA channel, by establishing a separate formal route for requests relating to non-content data. It is therefore expected that it would also have a positive effect on the quality of requests and</w:t>
      </w:r>
      <w:r>
        <w:rPr>
          <w:rFonts w:ascii="Times New Roman" w:hAnsi="Times New Roman"/>
          <w:noProof/>
          <w:sz w:val="24"/>
          <w:szCs w:val="24"/>
        </w:rPr>
        <w:t xml:space="preserve"> the response time for MLA requests.</w:t>
      </w:r>
    </w:p>
    <w:p w:rsidR="001B65FF" w:rsidRDefault="003E4EF4">
      <w:pPr>
        <w:pStyle w:val="Body"/>
        <w:rPr>
          <w:rFonts w:ascii="Times New Roman" w:hAnsi="Times New Roman"/>
          <w:noProof/>
          <w:sz w:val="24"/>
          <w:szCs w:val="24"/>
        </w:rPr>
      </w:pPr>
      <w:r>
        <w:rPr>
          <w:rFonts w:ascii="Times New Roman" w:hAnsi="Times New Roman"/>
          <w:noProof/>
          <w:sz w:val="24"/>
          <w:szCs w:val="24"/>
        </w:rPr>
        <w:t>With regard to EU providers, it would introduce a new mechanism that does not currently exist in most Member States, leading to a significant shift from judicial cooperation channels to more efficient direct cooperation</w:t>
      </w:r>
      <w:r>
        <w:rPr>
          <w:rFonts w:ascii="Times New Roman" w:hAnsi="Times New Roman"/>
          <w:noProof/>
          <w:sz w:val="24"/>
          <w:szCs w:val="24"/>
        </w:rPr>
        <w:t xml:space="preserve"> channels. Creating such an EU framework would provide greater legal certainty for all stakeholders and reduce the level of complexity and fragmentation for US service providers. Service providers would have legal certainty as to their duties, and their us</w:t>
      </w:r>
      <w:r>
        <w:rPr>
          <w:rFonts w:ascii="Times New Roman" w:hAnsi="Times New Roman"/>
          <w:noProof/>
          <w:sz w:val="24"/>
          <w:szCs w:val="24"/>
        </w:rPr>
        <w:t>ers would have clarity as to the service providers' obligations.</w:t>
      </w:r>
    </w:p>
    <w:p w:rsidR="001B65FF" w:rsidRDefault="003E4EF4">
      <w:pPr>
        <w:pStyle w:val="Body"/>
        <w:rPr>
          <w:rFonts w:ascii="Times New Roman" w:hAnsi="Times New Roman"/>
          <w:noProof/>
          <w:sz w:val="24"/>
          <w:szCs w:val="24"/>
        </w:rPr>
      </w:pPr>
      <w:r>
        <w:rPr>
          <w:rFonts w:ascii="Times New Roman" w:hAnsi="Times New Roman"/>
          <w:noProof/>
          <w:sz w:val="24"/>
          <w:szCs w:val="24"/>
        </w:rPr>
        <w:t>The change in procedure as compared to MLA is illustrated below:</w:t>
      </w:r>
    </w:p>
    <w:p w:rsidR="001B65FF" w:rsidRDefault="003E4EF4">
      <w:pPr>
        <w:pStyle w:val="Body"/>
        <w:rPr>
          <w:rFonts w:ascii="Times New Roman" w:hAnsi="Times New Roman"/>
          <w:noProof/>
          <w:sz w:val="24"/>
          <w:szCs w:val="24"/>
        </w:rPr>
      </w:pPr>
      <w:r>
        <w:rPr>
          <w:rFonts w:ascii="Times New Roman" w:hAnsi="Times New Roman"/>
          <w:noProof/>
          <w:sz w:val="24"/>
          <w:szCs w:val="24"/>
        </w:rPr>
        <w:t>Diagram 1: MLA</w:t>
      </w:r>
    </w:p>
    <w:p w:rsidR="001B65FF" w:rsidRDefault="003E4EF4">
      <w:pPr>
        <w:pStyle w:val="Body"/>
        <w:rPr>
          <w:rFonts w:ascii="Times New Roman" w:hAnsi="Times New Roman"/>
          <w:noProof/>
          <w:sz w:val="24"/>
          <w:szCs w:val="24"/>
        </w:rPr>
      </w:pPr>
      <w:r>
        <w:rPr>
          <w:rFonts w:ascii="Times New Roman" w:hAnsi="Times New Roman"/>
          <w:noProof/>
          <w:sz w:val="24"/>
          <w:szCs w:val="24"/>
          <w:lang w:eastAsia="en-GB"/>
        </w:rPr>
        <w:drawing>
          <wp:inline distT="0" distB="0" distL="0" distR="0" wp14:anchorId="12476C84" wp14:editId="591AC6DD">
            <wp:extent cx="5472430" cy="410464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 flowcharts.jpg"/>
                    <pic:cNvPicPr/>
                  </pic:nvPicPr>
                  <pic:blipFill>
                    <a:blip r:embed="rId120">
                      <a:extLst>
                        <a:ext uri="{28A0092B-C50C-407E-A947-70E740481C1C}">
                          <a14:useLocalDpi xmlns:a14="http://schemas.microsoft.com/office/drawing/2010/main" val="0"/>
                        </a:ext>
                      </a:extLst>
                    </a:blip>
                    <a:stretch>
                      <a:fillRect/>
                    </a:stretch>
                  </pic:blipFill>
                  <pic:spPr>
                    <a:xfrm>
                      <a:off x="0" y="0"/>
                      <a:ext cx="5472430" cy="4104640"/>
                    </a:xfrm>
                    <a:prstGeom prst="rect">
                      <a:avLst/>
                    </a:prstGeom>
                  </pic:spPr>
                </pic:pic>
              </a:graphicData>
            </a:graphic>
          </wp:inline>
        </w:drawing>
      </w:r>
    </w:p>
    <w:p w:rsidR="001B65FF" w:rsidRDefault="003E4EF4">
      <w:pPr>
        <w:pStyle w:val="Body"/>
        <w:rPr>
          <w:rFonts w:ascii="Times New Roman" w:hAnsi="Times New Roman"/>
          <w:noProof/>
          <w:sz w:val="24"/>
          <w:szCs w:val="24"/>
        </w:rPr>
      </w:pPr>
      <w:r>
        <w:rPr>
          <w:rFonts w:ascii="Times New Roman" w:hAnsi="Times New Roman"/>
          <w:noProof/>
          <w:sz w:val="24"/>
          <w:szCs w:val="24"/>
        </w:rPr>
        <w:t>As evident from the diagram, the law enforcement request cycles through a number of actors and the evidence (</w:t>
      </w:r>
      <w:r>
        <w:rPr>
          <w:rFonts w:ascii="Times New Roman" w:hAnsi="Times New Roman"/>
          <w:noProof/>
          <w:sz w:val="24"/>
          <w:szCs w:val="24"/>
        </w:rPr>
        <w:t>if any) follows the same process in reverse order (not shown here).</w:t>
      </w:r>
    </w:p>
    <w:p w:rsidR="001B65FF" w:rsidRDefault="003E4EF4">
      <w:pPr>
        <w:pStyle w:val="Body"/>
        <w:keepNext/>
        <w:rPr>
          <w:rFonts w:ascii="Times New Roman" w:hAnsi="Times New Roman"/>
          <w:noProof/>
          <w:sz w:val="24"/>
          <w:szCs w:val="24"/>
        </w:rPr>
      </w:pPr>
      <w:r>
        <w:rPr>
          <w:rFonts w:ascii="Times New Roman" w:hAnsi="Times New Roman"/>
          <w:noProof/>
          <w:sz w:val="24"/>
          <w:szCs w:val="24"/>
        </w:rPr>
        <w:t>Diagram 2: European Production Order</w:t>
      </w:r>
    </w:p>
    <w:p w:rsidR="001B65FF" w:rsidRDefault="003E4EF4">
      <w:pPr>
        <w:pStyle w:val="Body"/>
        <w:rPr>
          <w:rFonts w:ascii="Times New Roman" w:hAnsi="Times New Roman"/>
          <w:noProof/>
          <w:sz w:val="24"/>
          <w:szCs w:val="24"/>
        </w:rPr>
      </w:pPr>
      <w:r>
        <w:rPr>
          <w:rFonts w:ascii="Times New Roman" w:hAnsi="Times New Roman"/>
          <w:noProof/>
          <w:sz w:val="24"/>
          <w:szCs w:val="24"/>
          <w:lang w:eastAsia="en-GB"/>
        </w:rPr>
        <w:drawing>
          <wp:inline distT="0" distB="0" distL="0" distR="0" wp14:anchorId="734BEDFD" wp14:editId="42F5FDB8">
            <wp:extent cx="5472430" cy="41046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new process.jpg"/>
                    <pic:cNvPicPr/>
                  </pic:nvPicPr>
                  <pic:blipFill>
                    <a:blip r:embed="rId121">
                      <a:extLst>
                        <a:ext uri="{28A0092B-C50C-407E-A947-70E740481C1C}">
                          <a14:useLocalDpi xmlns:a14="http://schemas.microsoft.com/office/drawing/2010/main" val="0"/>
                        </a:ext>
                      </a:extLst>
                    </a:blip>
                    <a:stretch>
                      <a:fillRect/>
                    </a:stretch>
                  </pic:blipFill>
                  <pic:spPr>
                    <a:xfrm>
                      <a:off x="0" y="0"/>
                      <a:ext cx="5472430" cy="4104640"/>
                    </a:xfrm>
                    <a:prstGeom prst="rect">
                      <a:avLst/>
                    </a:prstGeom>
                  </pic:spPr>
                </pic:pic>
              </a:graphicData>
            </a:graphic>
          </wp:inline>
        </w:drawing>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Measure 5 would provide for a direct service of the order on a service provider and direct response with the evidence (if any). Overall, this may </w:t>
      </w:r>
      <w:r>
        <w:rPr>
          <w:rFonts w:ascii="Times New Roman" w:hAnsi="Times New Roman"/>
          <w:noProof/>
          <w:sz w:val="24"/>
          <w:szCs w:val="24"/>
        </w:rPr>
        <w:t>result in evidence being obtained more swiftly and also in cases in which public authorities would not even have tried to obtain it currently because of the cumbersomeness and duration of formal judicial cooperation procedures. It would also be based on ag</w:t>
      </w:r>
      <w:r>
        <w:rPr>
          <w:rFonts w:ascii="Times New Roman" w:hAnsi="Times New Roman"/>
          <w:noProof/>
          <w:sz w:val="24"/>
          <w:szCs w:val="24"/>
        </w:rPr>
        <w:t>reed connecting factors (being established in the EU or offering services in the EU). If the new instrument provides for an effective way to obtain e-evidence in cross-border situations, this would also reduce Member States’ incentives to use diverging con</w:t>
      </w:r>
      <w:r>
        <w:rPr>
          <w:rFonts w:ascii="Times New Roman" w:hAnsi="Times New Roman"/>
          <w:noProof/>
          <w:sz w:val="24"/>
          <w:szCs w:val="24"/>
        </w:rPr>
        <w:t>necting factors, to the benefit of both other States and of service providers.</w:t>
      </w:r>
    </w:p>
    <w:p w:rsidR="001B65FF" w:rsidRDefault="003E4EF4">
      <w:pPr>
        <w:pStyle w:val="Body"/>
        <w:rPr>
          <w:rFonts w:ascii="Times New Roman" w:hAnsi="Times New Roman"/>
          <w:noProof/>
          <w:sz w:val="24"/>
          <w:szCs w:val="24"/>
        </w:rPr>
      </w:pPr>
      <w:r>
        <w:rPr>
          <w:rFonts w:ascii="Times New Roman" w:hAnsi="Times New Roman"/>
          <w:noProof/>
          <w:sz w:val="24"/>
          <w:szCs w:val="24"/>
        </w:rPr>
        <w:t>The framework could also reduce issues experienced by authorities in some Member States with the admissibility in court proceedings of electronic evidence obtained through direc</w:t>
      </w:r>
      <w:r>
        <w:rPr>
          <w:rFonts w:ascii="Times New Roman" w:hAnsi="Times New Roman"/>
          <w:noProof/>
          <w:sz w:val="24"/>
          <w:szCs w:val="24"/>
        </w:rPr>
        <w:t>t cooperation with service providers.</w:t>
      </w:r>
    </w:p>
    <w:p w:rsidR="001B65FF" w:rsidRDefault="001B65FF">
      <w:pPr>
        <w:pStyle w:val="Body"/>
        <w:rPr>
          <w:rFonts w:ascii="Times New Roman" w:hAnsi="Times New Roman"/>
          <w:i/>
          <w:noProof/>
          <w:sz w:val="24"/>
          <w:szCs w:val="24"/>
          <w:u w:val="single"/>
        </w:rPr>
      </w:pPr>
    </w:p>
    <w:p w:rsidR="001B65FF" w:rsidRDefault="003E4EF4">
      <w:pPr>
        <w:pStyle w:val="Body"/>
        <w:rPr>
          <w:rFonts w:ascii="Times New Roman" w:hAnsi="Times New Roman"/>
          <w:i/>
          <w:noProof/>
          <w:sz w:val="24"/>
          <w:szCs w:val="24"/>
          <w:u w:val="single"/>
        </w:rPr>
      </w:pPr>
      <w:r>
        <w:rPr>
          <w:rFonts w:ascii="Times New Roman" w:hAnsi="Times New Roman"/>
          <w:i/>
          <w:noProof/>
          <w:sz w:val="24"/>
          <w:szCs w:val="24"/>
          <w:u w:val="single"/>
        </w:rPr>
        <w:t>Economic impact</w:t>
      </w:r>
    </w:p>
    <w:p w:rsidR="001B65FF" w:rsidRDefault="003E4EF4">
      <w:pPr>
        <w:pStyle w:val="Body"/>
        <w:numPr>
          <w:ilvl w:val="0"/>
          <w:numId w:val="219"/>
        </w:numPr>
        <w:rPr>
          <w:rFonts w:ascii="Times New Roman" w:hAnsi="Times New Roman"/>
          <w:noProof/>
          <w:sz w:val="24"/>
          <w:szCs w:val="24"/>
        </w:rPr>
      </w:pPr>
      <w:r>
        <w:rPr>
          <w:rFonts w:ascii="Times New Roman" w:hAnsi="Times New Roman"/>
          <w:noProof/>
          <w:sz w:val="24"/>
          <w:szCs w:val="24"/>
        </w:rPr>
        <w:t>General economic impact of legislation on direct cooperation (EPO, EPR, EPRO)</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If an efficient procedure is implemented to obtain cross-border access to electronic evidence, a significant proportion of </w:t>
      </w:r>
      <w:r>
        <w:rPr>
          <w:rFonts w:ascii="Times New Roman" w:hAnsi="Times New Roman"/>
          <w:noProof/>
          <w:sz w:val="24"/>
          <w:szCs w:val="24"/>
        </w:rPr>
        <w:t>judicial cooperation requests would shift to direct cooperation as the more efficient instrument. This concerns predominantly intra-EU requests, as direct cooperation was previously not possible here, whereas a change in numbers regarding direct cooperatio</w:t>
      </w:r>
      <w:r>
        <w:rPr>
          <w:rFonts w:ascii="Times New Roman" w:hAnsi="Times New Roman"/>
          <w:noProof/>
          <w:sz w:val="24"/>
          <w:szCs w:val="24"/>
        </w:rPr>
        <w:t>n with US providers is not expected. In addition, public authorities will attempt to obtain such data also in cases where today they may have been discouraged even to try due to the cumbersome procedure required. As a result, an increase in the total numbe</w:t>
      </w:r>
      <w:r>
        <w:rPr>
          <w:rFonts w:ascii="Times New Roman" w:hAnsi="Times New Roman"/>
          <w:noProof/>
          <w:sz w:val="24"/>
          <w:szCs w:val="24"/>
        </w:rPr>
        <w:t>r of direct cooperation requests being issued by public authorities could therefore be expected from a measure on direct cooperation with service providers.</w:t>
      </w:r>
    </w:p>
    <w:p w:rsidR="001B65FF" w:rsidRDefault="003E4EF4">
      <w:pPr>
        <w:pStyle w:val="Body"/>
        <w:rPr>
          <w:rFonts w:ascii="Times New Roman" w:hAnsi="Times New Roman"/>
          <w:noProof/>
          <w:sz w:val="24"/>
          <w:szCs w:val="24"/>
        </w:rPr>
      </w:pPr>
      <w:r>
        <w:rPr>
          <w:rFonts w:ascii="Times New Roman" w:hAnsi="Times New Roman"/>
          <w:noProof/>
          <w:sz w:val="24"/>
          <w:szCs w:val="24"/>
        </w:rPr>
        <w:t>In addition to this increased number of requests for data for the purpose of criminal investigation</w:t>
      </w:r>
      <w:r>
        <w:rPr>
          <w:rFonts w:ascii="Times New Roman" w:hAnsi="Times New Roman"/>
          <w:noProof/>
          <w:sz w:val="24"/>
          <w:szCs w:val="24"/>
        </w:rPr>
        <w:t xml:space="preserve">s or procedures, European service providers would also receive such requests directly from public authorities from other Member States, instead of from their own public authorities. They would be subject to two sets of requests, domestic ones and European </w:t>
      </w:r>
      <w:r>
        <w:rPr>
          <w:rFonts w:ascii="Times New Roman" w:hAnsi="Times New Roman"/>
          <w:noProof/>
          <w:sz w:val="24"/>
          <w:szCs w:val="24"/>
        </w:rPr>
        <w:t>ones. This could possibly create some distrust on their side, and uncertainty as to the applicable legal framework. To mitigate such risks, the proposal would introduce a unique form used by all public authorities throughout the Union for cross-border case</w:t>
      </w:r>
      <w:r>
        <w:rPr>
          <w:rFonts w:ascii="Times New Roman" w:hAnsi="Times New Roman"/>
          <w:noProof/>
          <w:sz w:val="24"/>
          <w:szCs w:val="24"/>
        </w:rPr>
        <w:t>s, putting an obligation on issuing authorities to translate requests into the local language of the service provider (which should be facilitated by the form), helping to ensure authenticity of requests and providing clarity as to the applicable condition</w:t>
      </w:r>
      <w:r>
        <w:rPr>
          <w:rFonts w:ascii="Times New Roman" w:hAnsi="Times New Roman"/>
          <w:noProof/>
          <w:sz w:val="24"/>
          <w:szCs w:val="24"/>
        </w:rPr>
        <w:t>s for issuing, safeguards and legal remedies. US service providers, which are currently already replying to direct requests from Member States' authorities, and other non-EU service providers would benefit from a more harmonised legal framework for cross-b</w:t>
      </w:r>
      <w:r>
        <w:rPr>
          <w:rFonts w:ascii="Times New Roman" w:hAnsi="Times New Roman"/>
          <w:noProof/>
          <w:sz w:val="24"/>
          <w:szCs w:val="24"/>
        </w:rPr>
        <w:t xml:space="preserve">order requests, instead of 28 different ones. </w:t>
      </w:r>
    </w:p>
    <w:p w:rsidR="001B65FF" w:rsidRDefault="003E4EF4">
      <w:pPr>
        <w:pStyle w:val="Body"/>
        <w:rPr>
          <w:rFonts w:ascii="Times New Roman" w:hAnsi="Times New Roman"/>
          <w:noProof/>
          <w:sz w:val="24"/>
          <w:szCs w:val="24"/>
        </w:rPr>
      </w:pPr>
      <w:r>
        <w:rPr>
          <w:rFonts w:ascii="Times New Roman" w:hAnsi="Times New Roman"/>
          <w:noProof/>
          <w:sz w:val="24"/>
          <w:szCs w:val="24"/>
        </w:rPr>
        <w:t>SMEs would be be faced with a relatively higher administrative burden when faced with production orders from other Member States (see Annex 13). On the other hand, they would benefit more from a clear legal fr</w:t>
      </w:r>
      <w:r>
        <w:rPr>
          <w:rFonts w:ascii="Times New Roman" w:hAnsi="Times New Roman"/>
          <w:noProof/>
          <w:sz w:val="24"/>
          <w:szCs w:val="24"/>
        </w:rPr>
        <w:t xml:space="preserve">amework in the EU and a unique procedure and form applied by all Member States. </w:t>
      </w:r>
    </w:p>
    <w:p w:rsidR="001B65FF" w:rsidRDefault="003E4EF4">
      <w:pPr>
        <w:pStyle w:val="Body"/>
        <w:rPr>
          <w:rFonts w:ascii="Times New Roman" w:hAnsi="Times New Roman"/>
          <w:noProof/>
          <w:sz w:val="24"/>
          <w:szCs w:val="24"/>
        </w:rPr>
      </w:pPr>
      <w:r>
        <w:rPr>
          <w:rFonts w:ascii="Times New Roman" w:hAnsi="Times New Roman"/>
          <w:noProof/>
          <w:sz w:val="24"/>
          <w:szCs w:val="24"/>
        </w:rPr>
        <w:t>For both the public and the private sector, administrative and compliance costs arise from implementing new legislation. Service providers would also have to adapt their stand</w:t>
      </w:r>
      <w:r>
        <w:rPr>
          <w:rFonts w:ascii="Times New Roman" w:hAnsi="Times New Roman"/>
          <w:noProof/>
          <w:sz w:val="24"/>
          <w:szCs w:val="24"/>
        </w:rPr>
        <w:t>ard terms and conditions to the new legal framework.</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For public authorities, a legal framework for direct cooperation with service providers would introduce many efficiencies </w:t>
      </w:r>
      <w:r>
        <w:rPr>
          <w:rFonts w:ascii="Times New Roman" w:hAnsi="Times New Roman"/>
          <w:noProof/>
          <w:sz w:val="24"/>
          <w:u w:val="single"/>
        </w:rPr>
        <w:t>compared to judicial cooperation channels</w:t>
      </w:r>
      <w:r>
        <w:rPr>
          <w:rFonts w:ascii="Times New Roman" w:hAnsi="Times New Roman"/>
          <w:noProof/>
          <w:sz w:val="24"/>
          <w:szCs w:val="24"/>
        </w:rPr>
        <w:t>. When acting as issuing authority, they would apply the same procedure, whether the service provider is established inside or outside of the Union. But the direct cooperation would also limit the role of the executing authority to situations of sanctionin</w:t>
      </w:r>
      <w:r>
        <w:rPr>
          <w:rFonts w:ascii="Times New Roman" w:hAnsi="Times New Roman"/>
          <w:noProof/>
          <w:sz w:val="24"/>
          <w:szCs w:val="24"/>
        </w:rPr>
        <w:t>g in cases of non-compliance with a Production Order; for the request for data, there would only be one public authority involved in the issuing State, instead of two, as for judicial cooperation channels. This will reduce the costs for those authorities t</w:t>
      </w:r>
      <w:r>
        <w:rPr>
          <w:rFonts w:ascii="Times New Roman" w:hAnsi="Times New Roman"/>
          <w:noProof/>
          <w:sz w:val="24"/>
          <w:szCs w:val="24"/>
        </w:rPr>
        <w:t xml:space="preserve">hat would otherwise have been asked to recognise and execute judicial cooperation requests. </w:t>
      </w:r>
      <w:r>
        <w:rPr>
          <w:rFonts w:ascii="Times New Roman" w:hAnsi="Times New Roman"/>
          <w:noProof/>
          <w:sz w:val="24"/>
          <w:szCs w:val="24"/>
          <w:u w:val="single"/>
        </w:rPr>
        <w:t>Compared to the current direct cooperation</w:t>
      </w:r>
      <w:r>
        <w:rPr>
          <w:rFonts w:ascii="Times New Roman" w:hAnsi="Times New Roman"/>
          <w:noProof/>
          <w:sz w:val="24"/>
          <w:szCs w:val="24"/>
        </w:rPr>
        <w:t xml:space="preserve">, the additional safeguards such as judicial authorisation will slightly increase the costs to issue one request compared </w:t>
      </w:r>
      <w:r>
        <w:rPr>
          <w:rFonts w:ascii="Times New Roman" w:hAnsi="Times New Roman"/>
          <w:noProof/>
          <w:sz w:val="24"/>
          <w:szCs w:val="24"/>
        </w:rPr>
        <w:t>to the current practice with US providers.</w:t>
      </w:r>
    </w:p>
    <w:p w:rsidR="001B65FF" w:rsidRDefault="003E4EF4">
      <w:pPr>
        <w:pStyle w:val="Body"/>
        <w:rPr>
          <w:rFonts w:ascii="Times New Roman" w:hAnsi="Times New Roman"/>
          <w:noProof/>
          <w:sz w:val="24"/>
          <w:szCs w:val="24"/>
        </w:rPr>
      </w:pPr>
      <w:r>
        <w:rPr>
          <w:rFonts w:ascii="Times New Roman" w:hAnsi="Times New Roman"/>
          <w:noProof/>
          <w:sz w:val="24"/>
          <w:szCs w:val="24"/>
        </w:rPr>
        <w:t>Both the public and the private sector would benefit from a common framework creating more legal certainty and mutual trust between the public and the private sector, and reducing the number of applicable laws. Ha</w:t>
      </w:r>
      <w:r>
        <w:rPr>
          <w:rFonts w:ascii="Times New Roman" w:hAnsi="Times New Roman"/>
          <w:noProof/>
          <w:sz w:val="24"/>
          <w:szCs w:val="24"/>
        </w:rPr>
        <w:t>rmonised definitions of types of electronic evidence would provide for a common understanding and legal certainty for all stakeholders concerned by the instrument.</w:t>
      </w:r>
    </w:p>
    <w:p w:rsidR="001B65FF" w:rsidRDefault="003E4EF4">
      <w:pPr>
        <w:pStyle w:val="Body"/>
        <w:numPr>
          <w:ilvl w:val="0"/>
          <w:numId w:val="219"/>
        </w:numPr>
        <w:rPr>
          <w:rFonts w:ascii="Times New Roman" w:hAnsi="Times New Roman"/>
          <w:noProof/>
          <w:sz w:val="24"/>
          <w:szCs w:val="24"/>
        </w:rPr>
      </w:pPr>
      <w:r>
        <w:rPr>
          <w:rFonts w:ascii="Times New Roman" w:hAnsi="Times New Roman"/>
          <w:noProof/>
          <w:sz w:val="24"/>
          <w:szCs w:val="24"/>
        </w:rPr>
        <w:t>Economic impact specific to European Production Orders (sub-options EPO and EPRO)</w:t>
      </w:r>
    </w:p>
    <w:p w:rsidR="001B65FF" w:rsidRDefault="003E4EF4">
      <w:pPr>
        <w:pStyle w:val="Body"/>
        <w:rPr>
          <w:rFonts w:ascii="Times New Roman" w:hAnsi="Times New Roman"/>
          <w:noProof/>
          <w:sz w:val="24"/>
          <w:szCs w:val="24"/>
        </w:rPr>
      </w:pPr>
      <w:r>
        <w:rPr>
          <w:rFonts w:ascii="Times New Roman" w:hAnsi="Times New Roman"/>
          <w:noProof/>
          <w:sz w:val="24"/>
          <w:szCs w:val="24"/>
        </w:rPr>
        <w:t>A major di</w:t>
      </w:r>
      <w:r>
        <w:rPr>
          <w:rFonts w:ascii="Times New Roman" w:hAnsi="Times New Roman"/>
          <w:noProof/>
          <w:sz w:val="24"/>
          <w:szCs w:val="24"/>
        </w:rPr>
        <w:t>fference for US providers compared to the current situation would be the mandatory nature of production orders. It would no longer be up to them to decide whether or not to provide the requested data. Arguably, this should reduce the costs they currently i</w:t>
      </w:r>
      <w:r>
        <w:rPr>
          <w:rFonts w:ascii="Times New Roman" w:hAnsi="Times New Roman"/>
          <w:noProof/>
          <w:sz w:val="24"/>
          <w:szCs w:val="24"/>
        </w:rPr>
        <w:t>ncur in checking the legality of requests obtained from foreign public authorities, but the number of requests they would reply to would increase. As the measure would also include deadlines for service providers to respond, this may require service provid</w:t>
      </w:r>
      <w:r>
        <w:rPr>
          <w:rFonts w:ascii="Times New Roman" w:hAnsi="Times New Roman"/>
          <w:noProof/>
          <w:sz w:val="24"/>
          <w:szCs w:val="24"/>
        </w:rPr>
        <w:t xml:space="preserve">ers to allocate additional resources to the task. The costs and administrative burden for the public sector relating to requests to service providers that are not replied to or replied with a notable delay will be significantly diminished. </w:t>
      </w:r>
    </w:p>
    <w:p w:rsidR="001B65FF" w:rsidRDefault="003E4EF4">
      <w:pPr>
        <w:pStyle w:val="Body"/>
        <w:rPr>
          <w:rFonts w:ascii="Times New Roman" w:hAnsi="Times New Roman"/>
          <w:noProof/>
          <w:sz w:val="24"/>
          <w:szCs w:val="24"/>
        </w:rPr>
      </w:pPr>
      <w:r>
        <w:rPr>
          <w:rFonts w:ascii="Times New Roman" w:hAnsi="Times New Roman"/>
          <w:noProof/>
          <w:sz w:val="24"/>
          <w:szCs w:val="24"/>
        </w:rPr>
        <w:t>An inherent ris</w:t>
      </w:r>
      <w:r>
        <w:rPr>
          <w:rFonts w:ascii="Times New Roman" w:hAnsi="Times New Roman"/>
          <w:noProof/>
          <w:sz w:val="24"/>
          <w:szCs w:val="24"/>
        </w:rPr>
        <w:t>k of introducing a mandatory framework with a large scope would be the  creation of conflicts of laws for non-EU service providers: between the obligation to comply with the production order, and the obligation to comply with domestic law provisions prohib</w:t>
      </w:r>
      <w:r>
        <w:rPr>
          <w:rFonts w:ascii="Times New Roman" w:hAnsi="Times New Roman"/>
          <w:noProof/>
          <w:sz w:val="24"/>
          <w:szCs w:val="24"/>
        </w:rPr>
        <w:t>iting the disclosure of data to foreign public authorities outside of an MLA procedure. This can result from the law of a non-EU country applicable to the data and/or the service provider, which may prohibit or restrict/condition such disclosure of data to</w:t>
      </w:r>
      <w:r>
        <w:rPr>
          <w:rFonts w:ascii="Times New Roman" w:hAnsi="Times New Roman"/>
          <w:noProof/>
          <w:sz w:val="24"/>
          <w:szCs w:val="24"/>
        </w:rPr>
        <w:t xml:space="preserve"> foreign law enforcement. For example, the US Electronic Communication and Privacy Act prevents US companies from sharing content data directly with foreign law enforcement. The need to avoid creating new conflicts of laws was raised repeatedly by service </w:t>
      </w:r>
      <w:r>
        <w:rPr>
          <w:rFonts w:ascii="Times New Roman" w:hAnsi="Times New Roman"/>
          <w:noProof/>
          <w:sz w:val="24"/>
          <w:szCs w:val="24"/>
        </w:rPr>
        <w:t xml:space="preserve">providers, civil society and some Member States during the consultation phase of this initiative. This issue could be addressed by means of a dedicated procedure for reviewing such conflicting obligations in the issuing Member State. In case of a conflict </w:t>
      </w:r>
      <w:r>
        <w:rPr>
          <w:rFonts w:ascii="Times New Roman" w:hAnsi="Times New Roman"/>
          <w:noProof/>
          <w:sz w:val="24"/>
          <w:szCs w:val="24"/>
        </w:rPr>
        <w:t>situation with the laws of a non-EU country the service provider could invoke that conflict on the basis of a reasoned refusal to comply. In case of disagreement, a court could be asked to review the case. This could also trigger a procedure involving cons</w:t>
      </w:r>
      <w:r>
        <w:rPr>
          <w:rFonts w:ascii="Times New Roman" w:hAnsi="Times New Roman"/>
          <w:noProof/>
          <w:sz w:val="24"/>
          <w:szCs w:val="24"/>
        </w:rPr>
        <w:t>ultation with the non-EU country’s authorities. In the context of such a procedure, the judge could  uphold the order or order preservation of the data while awaiting mutual legal assistance from the authorities of the non-EU country.</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A one-off cost would </w:t>
      </w:r>
      <w:r>
        <w:rPr>
          <w:rFonts w:ascii="Times New Roman" w:hAnsi="Times New Roman"/>
          <w:noProof/>
          <w:sz w:val="24"/>
          <w:szCs w:val="24"/>
        </w:rPr>
        <w:t>be generated by the obligation to designate a legal representative in the Union. For service providers already established in the Union, this would amount to little more than to designate a single point of entry. Service providers not established in the Un</w:t>
      </w:r>
      <w:r>
        <w:rPr>
          <w:rFonts w:ascii="Times New Roman" w:hAnsi="Times New Roman"/>
          <w:noProof/>
          <w:sz w:val="24"/>
          <w:szCs w:val="24"/>
        </w:rPr>
        <w:t xml:space="preserve">ion would have to mandate somebody in the Union to carry out this task.  In particular for SMEs, there is a fear that this could represent an important burden. On the other hand, this legal representative could be shared between service providers, and the </w:t>
      </w:r>
      <w:r>
        <w:rPr>
          <w:rFonts w:ascii="Times New Roman" w:hAnsi="Times New Roman"/>
          <w:noProof/>
          <w:sz w:val="24"/>
          <w:szCs w:val="24"/>
        </w:rPr>
        <w:t xml:space="preserve">legal representative may accumulate different functions (e.g. GDPR or ePrivacy representatives in addition to the production order legal representative). </w:t>
      </w:r>
    </w:p>
    <w:p w:rsidR="001B65FF" w:rsidRDefault="003E4EF4">
      <w:pPr>
        <w:pStyle w:val="Body"/>
        <w:rPr>
          <w:rFonts w:ascii="Times New Roman" w:hAnsi="Times New Roman"/>
          <w:noProof/>
          <w:sz w:val="24"/>
          <w:szCs w:val="24"/>
        </w:rPr>
      </w:pPr>
      <w:r>
        <w:rPr>
          <w:rFonts w:ascii="Times New Roman" w:hAnsi="Times New Roman"/>
          <w:noProof/>
          <w:sz w:val="24"/>
          <w:szCs w:val="24"/>
        </w:rPr>
        <w:t>Improved access by EU authorities to e-evidence could affect business models chosen by service provid</w:t>
      </w:r>
      <w:r>
        <w:rPr>
          <w:rFonts w:ascii="Times New Roman" w:hAnsi="Times New Roman"/>
          <w:noProof/>
          <w:sz w:val="24"/>
          <w:szCs w:val="24"/>
        </w:rPr>
        <w:t>ers, in particular where data location and access to this data is an important factor for customers. Differentiation can be made between B2B customer business models (e.g. Microsoft's corporate services) and B2C models (Google and Facebook's provision of i</w:t>
      </w:r>
      <w:r>
        <w:rPr>
          <w:rFonts w:ascii="Times New Roman" w:hAnsi="Times New Roman"/>
          <w:noProof/>
          <w:sz w:val="24"/>
          <w:szCs w:val="24"/>
        </w:rPr>
        <w:t>ndividual accounts), the latter's customers would have less at stake with regard to data localisation issues. To mitigate this risk, the principle of “controller first” could be introduced in the instrument, which means that the business customers would be</w:t>
      </w:r>
      <w:r>
        <w:rPr>
          <w:rFonts w:ascii="Times New Roman" w:hAnsi="Times New Roman"/>
          <w:noProof/>
          <w:sz w:val="24"/>
          <w:szCs w:val="24"/>
        </w:rPr>
        <w:t xml:space="preserve"> asked first to provide the data.</w:t>
      </w:r>
    </w:p>
    <w:p w:rsidR="001B65FF" w:rsidRDefault="003E4EF4">
      <w:pPr>
        <w:pStyle w:val="Body"/>
        <w:rPr>
          <w:rFonts w:ascii="Times New Roman" w:hAnsi="Times New Roman"/>
          <w:i/>
          <w:noProof/>
          <w:sz w:val="24"/>
          <w:szCs w:val="24"/>
          <w:u w:val="single"/>
        </w:rPr>
      </w:pPr>
      <w:bookmarkStart w:id="2001" w:name="_Toc498509807"/>
      <w:bookmarkStart w:id="2002" w:name="_Toc498518093"/>
      <w:r>
        <w:rPr>
          <w:rFonts w:ascii="Times New Roman" w:hAnsi="Times New Roman"/>
          <w:i/>
          <w:noProof/>
          <w:sz w:val="24"/>
          <w:szCs w:val="24"/>
          <w:u w:val="single"/>
        </w:rPr>
        <w:t>Fundamental rights impact</w:t>
      </w:r>
      <w:bookmarkEnd w:id="2001"/>
      <w:bookmarkEnd w:id="2002"/>
    </w:p>
    <w:p w:rsidR="001B65FF" w:rsidRDefault="003E4EF4">
      <w:pPr>
        <w:pStyle w:val="Body"/>
        <w:numPr>
          <w:ilvl w:val="0"/>
          <w:numId w:val="219"/>
        </w:numPr>
        <w:rPr>
          <w:rFonts w:ascii="Times New Roman" w:hAnsi="Times New Roman"/>
          <w:noProof/>
          <w:sz w:val="24"/>
          <w:szCs w:val="24"/>
        </w:rPr>
      </w:pPr>
      <w:r>
        <w:rPr>
          <w:rFonts w:ascii="Times New Roman" w:hAnsi="Times New Roman"/>
          <w:noProof/>
          <w:sz w:val="24"/>
          <w:szCs w:val="24"/>
        </w:rPr>
        <w:t>General fundamental rights impact of legislation on direct cooperation (EPO, EPR, EPRO)</w:t>
      </w:r>
    </w:p>
    <w:p w:rsidR="001B65FF" w:rsidRDefault="003E4EF4">
      <w:pPr>
        <w:pStyle w:val="Body"/>
        <w:rPr>
          <w:rFonts w:ascii="Times New Roman" w:hAnsi="Times New Roman"/>
          <w:noProof/>
          <w:sz w:val="24"/>
          <w:szCs w:val="24"/>
        </w:rPr>
      </w:pPr>
      <w:r>
        <w:rPr>
          <w:rFonts w:ascii="Times New Roman" w:hAnsi="Times New Roman"/>
          <w:noProof/>
          <w:sz w:val="24"/>
          <w:szCs w:val="24"/>
        </w:rPr>
        <w:t>Measures to facilitate direct cooperation of public authorities with service providers may have a considerab</w:t>
      </w:r>
      <w:r>
        <w:rPr>
          <w:rFonts w:ascii="Times New Roman" w:hAnsi="Times New Roman"/>
          <w:noProof/>
          <w:sz w:val="24"/>
          <w:szCs w:val="24"/>
        </w:rPr>
        <w:t>le impact on fundamental rights, as it would allow public authorities to access data that is not publicly available and that is, in most cases, personal data. However, it has to be noted that, contrary to data retention frameworks, access to data for the i</w:t>
      </w:r>
      <w:r>
        <w:rPr>
          <w:rFonts w:ascii="Times New Roman" w:hAnsi="Times New Roman"/>
          <w:noProof/>
          <w:sz w:val="24"/>
          <w:szCs w:val="24"/>
        </w:rPr>
        <w:t>nitiative at hand should always take place in the framework of a concrete criminal investigation or concrete criminal proceedings, which is a very different starting point in terms of the fundamental rights impact.</w:t>
      </w:r>
    </w:p>
    <w:p w:rsidR="001B65FF" w:rsidRDefault="003E4EF4">
      <w:pPr>
        <w:pStyle w:val="Body"/>
        <w:rPr>
          <w:rFonts w:ascii="Times New Roman" w:hAnsi="Times New Roman"/>
          <w:noProof/>
          <w:sz w:val="24"/>
          <w:szCs w:val="24"/>
        </w:rPr>
      </w:pPr>
      <w:r>
        <w:rPr>
          <w:rFonts w:ascii="Times New Roman" w:hAnsi="Times New Roman"/>
          <w:noProof/>
          <w:sz w:val="24"/>
          <w:szCs w:val="24"/>
        </w:rPr>
        <w:t>As regards the protection of the rights o</w:t>
      </w:r>
      <w:r>
        <w:rPr>
          <w:rFonts w:ascii="Times New Roman" w:hAnsi="Times New Roman"/>
          <w:noProof/>
          <w:sz w:val="24"/>
          <w:szCs w:val="24"/>
        </w:rPr>
        <w:t>f the person whose data is sought, the protection of fundamental rights would be ensured primarily by the procedure in the issuing Member State, which is subject to national law and to applicable EU law (notably the acquis on the rights of accused and susp</w:t>
      </w:r>
      <w:r>
        <w:rPr>
          <w:rFonts w:ascii="Times New Roman" w:hAnsi="Times New Roman"/>
          <w:noProof/>
          <w:sz w:val="24"/>
          <w:szCs w:val="24"/>
        </w:rPr>
        <w:t xml:space="preserve">ected persons, in particular Directive 2012/13/EU on the right to information in criminal proceedings). </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To ensure the protection of the rights of the persons affected, the </w:t>
      </w:r>
      <w:r>
        <w:rPr>
          <w:rFonts w:ascii="Times New Roman" w:hAnsi="Times New Roman"/>
          <w:noProof/>
          <w:sz w:val="24"/>
        </w:rPr>
        <w:t>European Production Request</w:t>
      </w:r>
      <w:r>
        <w:rPr>
          <w:rFonts w:ascii="Times New Roman" w:hAnsi="Times New Roman"/>
          <w:noProof/>
          <w:sz w:val="24"/>
          <w:szCs w:val="24"/>
        </w:rPr>
        <w:t xml:space="preserve"> and the </w:t>
      </w:r>
      <w:r>
        <w:rPr>
          <w:rFonts w:ascii="Times New Roman" w:hAnsi="Times New Roman"/>
          <w:noProof/>
          <w:sz w:val="24"/>
        </w:rPr>
        <w:t>European Production Order</w:t>
      </w:r>
      <w:r>
        <w:rPr>
          <w:rFonts w:ascii="Times New Roman" w:hAnsi="Times New Roman"/>
          <w:noProof/>
          <w:sz w:val="24"/>
          <w:szCs w:val="24"/>
        </w:rPr>
        <w:t xml:space="preserve"> would include additio</w:t>
      </w:r>
      <w:r>
        <w:rPr>
          <w:rFonts w:ascii="Times New Roman" w:hAnsi="Times New Roman"/>
          <w:noProof/>
          <w:sz w:val="24"/>
          <w:szCs w:val="24"/>
        </w:rPr>
        <w:t>nal safeguards mentioned in section 5. The intervention of a judicial authority when the request or order is issued will ensure that the legality of the measure has been checked and that the order does not infringe on fundamental rights. As the measure wou</w:t>
      </w:r>
      <w:r>
        <w:rPr>
          <w:rFonts w:ascii="Times New Roman" w:hAnsi="Times New Roman"/>
          <w:noProof/>
          <w:sz w:val="24"/>
          <w:szCs w:val="24"/>
        </w:rPr>
        <w:t>ld not include any limitation to serious forms of crime, the issuing judicial authority should be required to ensure in the individual case that the European Production Order is necessary and proportionate, including in view of the gravity of the offence u</w:t>
      </w:r>
      <w:r>
        <w:rPr>
          <w:rFonts w:ascii="Times New Roman" w:hAnsi="Times New Roman"/>
          <w:noProof/>
          <w:sz w:val="24"/>
          <w:szCs w:val="24"/>
        </w:rPr>
        <w:t>nder investigation. This will prevent that a European Production Order is issued in a situation where it would be disproportionate in view of the lack of seriousness of the offence, but avoiding at the same time that the instrument could not be used at all</w:t>
      </w:r>
      <w:r>
        <w:rPr>
          <w:rFonts w:ascii="Times New Roman" w:hAnsi="Times New Roman"/>
          <w:noProof/>
          <w:sz w:val="24"/>
          <w:szCs w:val="24"/>
        </w:rPr>
        <w:t xml:space="preserve"> for certain types of crimes which may become important for other reasons in specific cases, e.g. because affecting a high number of victims. Depending on the data category, the definition of "judicial authority" could be further restricted, as illustrated</w:t>
      </w:r>
      <w:r>
        <w:rPr>
          <w:rFonts w:ascii="Times New Roman" w:hAnsi="Times New Roman"/>
          <w:noProof/>
          <w:sz w:val="24"/>
          <w:szCs w:val="24"/>
        </w:rPr>
        <w:t xml:space="preserve"> below:</w:t>
      </w:r>
    </w:p>
    <w:p w:rsidR="001B65FF" w:rsidRDefault="003E4EF4">
      <w:pPr>
        <w:pStyle w:val="Body"/>
        <w:rPr>
          <w:rFonts w:ascii="Times New Roman" w:hAnsi="Times New Roman"/>
          <w:noProof/>
          <w:sz w:val="24"/>
          <w:szCs w:val="24"/>
        </w:rPr>
      </w:pPr>
      <w:r>
        <w:rPr>
          <w:rFonts w:ascii="Times New Roman" w:hAnsi="Times New Roman"/>
          <w:noProof/>
          <w:sz w:val="24"/>
          <w:szCs w:val="24"/>
        </w:rPr>
        <w:t>Illustration 1: For subscriber and access data, an order could be validated also by a prosecutor:</w:t>
      </w:r>
    </w:p>
    <w:p w:rsidR="001B65FF" w:rsidRDefault="003E4EF4">
      <w:pPr>
        <w:pStyle w:val="Body"/>
        <w:rPr>
          <w:rFonts w:ascii="Times New Roman" w:hAnsi="Times New Roman"/>
          <w:noProof/>
          <w:sz w:val="24"/>
          <w:szCs w:val="24"/>
        </w:rPr>
      </w:pPr>
      <w:r>
        <w:rPr>
          <w:rFonts w:ascii="Times New Roman" w:hAnsi="Times New Roman"/>
          <w:noProof/>
          <w:sz w:val="24"/>
          <w:szCs w:val="24"/>
          <w:lang w:eastAsia="en-GB"/>
        </w:rPr>
        <w:drawing>
          <wp:inline distT="0" distB="0" distL="0" distR="0" wp14:anchorId="72134A97" wp14:editId="69217F62">
            <wp:extent cx="5472430" cy="5249545"/>
            <wp:effectExtent l="0" t="0" r="0" b="825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subscriber data v2.jpg"/>
                    <pic:cNvPicPr/>
                  </pic:nvPicPr>
                  <pic:blipFill>
                    <a:blip r:embed="rId122">
                      <a:extLst>
                        <a:ext uri="{28A0092B-C50C-407E-A947-70E740481C1C}">
                          <a14:useLocalDpi xmlns:a14="http://schemas.microsoft.com/office/drawing/2010/main" val="0"/>
                        </a:ext>
                      </a:extLst>
                    </a:blip>
                    <a:stretch>
                      <a:fillRect/>
                    </a:stretch>
                  </pic:blipFill>
                  <pic:spPr>
                    <a:xfrm>
                      <a:off x="0" y="0"/>
                      <a:ext cx="5472430" cy="5249545"/>
                    </a:xfrm>
                    <a:prstGeom prst="rect">
                      <a:avLst/>
                    </a:prstGeom>
                  </pic:spPr>
                </pic:pic>
              </a:graphicData>
            </a:graphic>
          </wp:inline>
        </w:drawing>
      </w:r>
    </w:p>
    <w:p w:rsidR="001B65FF" w:rsidRDefault="003E4EF4">
      <w:pPr>
        <w:pStyle w:val="Body"/>
        <w:keepNext/>
        <w:rPr>
          <w:rFonts w:ascii="Times New Roman" w:hAnsi="Times New Roman"/>
          <w:noProof/>
          <w:sz w:val="24"/>
          <w:szCs w:val="24"/>
        </w:rPr>
      </w:pPr>
      <w:r>
        <w:rPr>
          <w:rFonts w:ascii="Times New Roman" w:hAnsi="Times New Roman"/>
          <w:noProof/>
          <w:sz w:val="24"/>
          <w:szCs w:val="24"/>
        </w:rPr>
        <w:t>For meta and content data, prosecutors would not be able to validate orders, as shown in Illustration 2:</w:t>
      </w:r>
    </w:p>
    <w:p w:rsidR="001B65FF" w:rsidRDefault="003E4EF4">
      <w:pPr>
        <w:pStyle w:val="Body"/>
        <w:rPr>
          <w:rFonts w:ascii="Times New Roman" w:hAnsi="Times New Roman"/>
          <w:noProof/>
          <w:sz w:val="24"/>
          <w:szCs w:val="24"/>
        </w:rPr>
      </w:pPr>
      <w:r>
        <w:rPr>
          <w:rFonts w:ascii="Times New Roman" w:hAnsi="Times New Roman"/>
          <w:noProof/>
          <w:sz w:val="24"/>
          <w:szCs w:val="24"/>
          <w:lang w:eastAsia="en-GB"/>
        </w:rPr>
        <w:drawing>
          <wp:inline distT="0" distB="0" distL="0" distR="0" wp14:anchorId="4520CE75" wp14:editId="169D4203">
            <wp:extent cx="5472430" cy="543814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content data v2.jpg"/>
                    <pic:cNvPicPr/>
                  </pic:nvPicPr>
                  <pic:blipFill>
                    <a:blip r:embed="rId123">
                      <a:extLst>
                        <a:ext uri="{28A0092B-C50C-407E-A947-70E740481C1C}">
                          <a14:useLocalDpi xmlns:a14="http://schemas.microsoft.com/office/drawing/2010/main" val="0"/>
                        </a:ext>
                      </a:extLst>
                    </a:blip>
                    <a:stretch>
                      <a:fillRect/>
                    </a:stretch>
                  </pic:blipFill>
                  <pic:spPr>
                    <a:xfrm>
                      <a:off x="0" y="0"/>
                      <a:ext cx="5472430" cy="5438140"/>
                    </a:xfrm>
                    <a:prstGeom prst="rect">
                      <a:avLst/>
                    </a:prstGeom>
                  </pic:spPr>
                </pic:pic>
              </a:graphicData>
            </a:graphic>
          </wp:inline>
        </w:drawing>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The possibilities of an effective remedy </w:t>
      </w:r>
      <w:r>
        <w:rPr>
          <w:rFonts w:ascii="Times New Roman" w:hAnsi="Times New Roman"/>
          <w:noProof/>
          <w:sz w:val="24"/>
          <w:szCs w:val="24"/>
        </w:rPr>
        <w:t xml:space="preserve">for persons whose data is being requested would also have to be addressed. Some provisions of the receiving State, e.g. on immunities and privileges of certain professions such as lawyers and the principle of double criminality would also have to be taken </w:t>
      </w:r>
      <w:r>
        <w:rPr>
          <w:rFonts w:ascii="Times New Roman" w:hAnsi="Times New Roman"/>
          <w:noProof/>
          <w:sz w:val="24"/>
          <w:szCs w:val="24"/>
        </w:rPr>
        <w:t xml:space="preserve">into account during trial in the issuing State. </w:t>
      </w:r>
    </w:p>
    <w:p w:rsidR="001B65FF" w:rsidRDefault="003E4EF4">
      <w:pPr>
        <w:pStyle w:val="Body"/>
        <w:rPr>
          <w:rFonts w:ascii="Times New Roman" w:hAnsi="Times New Roman"/>
          <w:noProof/>
          <w:color w:val="000000"/>
          <w:sz w:val="24"/>
          <w:szCs w:val="24"/>
        </w:rPr>
      </w:pPr>
      <w:r>
        <w:rPr>
          <w:rFonts w:ascii="Times New Roman" w:hAnsi="Times New Roman"/>
          <w:noProof/>
          <w:sz w:val="24"/>
          <w:szCs w:val="24"/>
        </w:rPr>
        <w:t>Of particular importance, given the type of measure, is the need to guarantee the fundamental rights to data protection and privacy. Subscriber information, metadata and content data are, at least in the majority of cases, personal data, and are thus cover</w:t>
      </w:r>
      <w:r>
        <w:rPr>
          <w:rFonts w:ascii="Times New Roman" w:hAnsi="Times New Roman"/>
          <w:noProof/>
          <w:sz w:val="24"/>
          <w:szCs w:val="24"/>
        </w:rPr>
        <w:t>ed by the safeguards under the EU data protection acquis. In the context of the possible measures, the type of data – as well as other factors such as for instance the volume of data to be accessed or the type of investigative measure – may be relevant for</w:t>
      </w:r>
      <w:r>
        <w:rPr>
          <w:rFonts w:ascii="Times New Roman" w:hAnsi="Times New Roman"/>
          <w:noProof/>
          <w:sz w:val="24"/>
          <w:szCs w:val="24"/>
        </w:rPr>
        <w:t xml:space="preserve"> assessing the intensity of the interference with the fundamental right to data protection, and therefore for determining whether such interference respects the principle of proportionality. The judicial authority would be required to check that the data s</w:t>
      </w:r>
      <w:r>
        <w:rPr>
          <w:rFonts w:ascii="Times New Roman" w:hAnsi="Times New Roman"/>
          <w:noProof/>
          <w:sz w:val="24"/>
          <w:szCs w:val="24"/>
        </w:rPr>
        <w:t>ought is necessary for and is limited to what is necessary and proportionate to the purpose of the proceedings, also in view of the nature and gravity of the offence under investigation (petty crime versus more serious offences) and in view of the data cat</w:t>
      </w:r>
      <w:r>
        <w:rPr>
          <w:rFonts w:ascii="Times New Roman" w:hAnsi="Times New Roman"/>
          <w:noProof/>
          <w:sz w:val="24"/>
          <w:szCs w:val="24"/>
        </w:rPr>
        <w:t xml:space="preserve">egory. </w:t>
      </w:r>
      <w:r>
        <w:rPr>
          <w:rFonts w:ascii="Times New Roman" w:hAnsi="Times New Roman"/>
          <w:noProof/>
          <w:color w:val="000000"/>
          <w:sz w:val="24"/>
          <w:szCs w:val="24"/>
        </w:rPr>
        <w:t>Additionally, as for the right of the data subject to be personally informed about the measure, any restriction of such right would have to take into account the requirements of Article 13 of the Police Directive.</w:t>
      </w:r>
    </w:p>
    <w:p w:rsidR="001B65FF" w:rsidRDefault="003E4EF4">
      <w:pPr>
        <w:pStyle w:val="Body"/>
        <w:numPr>
          <w:ilvl w:val="0"/>
          <w:numId w:val="219"/>
        </w:numPr>
        <w:rPr>
          <w:rFonts w:ascii="Times New Roman" w:hAnsi="Times New Roman"/>
          <w:noProof/>
          <w:sz w:val="24"/>
          <w:szCs w:val="24"/>
        </w:rPr>
      </w:pPr>
      <w:r>
        <w:rPr>
          <w:rFonts w:ascii="Times New Roman" w:hAnsi="Times New Roman"/>
          <w:noProof/>
          <w:sz w:val="24"/>
          <w:szCs w:val="24"/>
        </w:rPr>
        <w:t xml:space="preserve">Fundamental rights impact specific </w:t>
      </w:r>
      <w:r>
        <w:rPr>
          <w:rFonts w:ascii="Times New Roman" w:hAnsi="Times New Roman"/>
          <w:noProof/>
          <w:sz w:val="24"/>
          <w:szCs w:val="24"/>
        </w:rPr>
        <w:t>to European Production Orders (sub-options EPO and EPRO)</w:t>
      </w:r>
    </w:p>
    <w:p w:rsidR="001B65FF" w:rsidRDefault="003E4EF4">
      <w:pPr>
        <w:pStyle w:val="Body"/>
        <w:rPr>
          <w:rFonts w:ascii="Times New Roman" w:hAnsi="Times New Roman"/>
          <w:noProof/>
          <w:sz w:val="24"/>
          <w:szCs w:val="24"/>
        </w:rPr>
      </w:pPr>
      <w:r>
        <w:rPr>
          <w:rFonts w:ascii="Times New Roman" w:hAnsi="Times New Roman"/>
          <w:noProof/>
          <w:sz w:val="24"/>
          <w:szCs w:val="24"/>
        </w:rPr>
        <w:t>Because the production order would be a mandatory measure, and it would also encompass the obligation to designate a legal representative, the measure could also affect the rights of service provider</w:t>
      </w:r>
      <w:r>
        <w:rPr>
          <w:rFonts w:ascii="Times New Roman" w:hAnsi="Times New Roman"/>
          <w:noProof/>
          <w:sz w:val="24"/>
          <w:szCs w:val="24"/>
        </w:rPr>
        <w:t>s, in particular the right to freedom to conduct a business. The fact that third parties such as service providers, who hold evidence that may be relevant for a criminal investigation, have to cooperate with public authorities is widely recognised. To prot</w:t>
      </w:r>
      <w:r>
        <w:rPr>
          <w:rFonts w:ascii="Times New Roman" w:hAnsi="Times New Roman"/>
          <w:noProof/>
          <w:sz w:val="24"/>
          <w:szCs w:val="24"/>
        </w:rPr>
        <w:t>ect them from requests that are erroneous, the proposal could include a right for the service provider to raise certain types of errors, e.g. if the order has not been issued by a judicial authority. The obligation to nominate a legal representative mainly</w:t>
      </w:r>
      <w:r>
        <w:rPr>
          <w:rFonts w:ascii="Times New Roman" w:hAnsi="Times New Roman"/>
          <w:noProof/>
          <w:sz w:val="24"/>
          <w:szCs w:val="24"/>
        </w:rPr>
        <w:t xml:space="preserve"> affects service providers which offer their services in Europe, but have no physical presence here. For service providers established in the EU, this obligation would not have any far-reaching impact, as it would at most oblige them to reorganise their in</w:t>
      </w:r>
      <w:r>
        <w:rPr>
          <w:rFonts w:ascii="Times New Roman" w:hAnsi="Times New Roman"/>
          <w:noProof/>
          <w:sz w:val="24"/>
          <w:szCs w:val="24"/>
        </w:rPr>
        <w:t>ternal business processes to have all requests transit through the legal representative. The legal representative already exists in other instruments, e.g. the GDPR and the ePrivacy proposal, and is necessary to allow for the instrument to work with regard</w:t>
      </w:r>
      <w:r>
        <w:rPr>
          <w:rFonts w:ascii="Times New Roman" w:hAnsi="Times New Roman"/>
          <w:noProof/>
          <w:sz w:val="24"/>
          <w:szCs w:val="24"/>
        </w:rPr>
        <w:t xml:space="preserve"> to foreign service providers not established in the EU. </w:t>
      </w:r>
    </w:p>
    <w:p w:rsidR="001B65FF" w:rsidRDefault="003E4EF4">
      <w:pPr>
        <w:pStyle w:val="Body"/>
        <w:rPr>
          <w:rFonts w:ascii="Times New Roman" w:eastAsia="Calibri" w:hAnsi="Times New Roman"/>
          <w:noProof/>
          <w:sz w:val="24"/>
          <w:szCs w:val="24"/>
          <w:lang w:eastAsia="ar-SA"/>
        </w:rPr>
      </w:pPr>
      <w:r>
        <w:rPr>
          <w:rFonts w:ascii="Times New Roman" w:eastAsia="Calibri" w:hAnsi="Times New Roman"/>
          <w:noProof/>
          <w:sz w:val="24"/>
          <w:szCs w:val="24"/>
          <w:lang w:eastAsia="ar-SA"/>
        </w:rPr>
        <w:t>Because a measure on production orders would significantly improve cross-border access to electronic evidence, it would also improve the rights of persons who are or may become victims of crime.</w:t>
      </w:r>
    </w:p>
    <w:p w:rsidR="001B65FF" w:rsidRDefault="003E4EF4">
      <w:pPr>
        <w:jc w:val="both"/>
        <w:rPr>
          <w:noProof/>
        </w:rPr>
      </w:pPr>
      <w:r>
        <w:rPr>
          <w:rFonts w:ascii="Times New Roman" w:hAnsi="Times New Roman"/>
          <w:noProof/>
          <w:sz w:val="24"/>
          <w:szCs w:val="24"/>
        </w:rPr>
        <w:t>One</w:t>
      </w:r>
      <w:r>
        <w:rPr>
          <w:rFonts w:ascii="Times New Roman" w:hAnsi="Times New Roman"/>
          <w:noProof/>
          <w:sz w:val="24"/>
          <w:szCs w:val="24"/>
        </w:rPr>
        <w:t xml:space="preserve"> of the risks of a mandatory approach would be that it could inspire non-EU countries which do not have fundamental rights safeguards in place that can be considered comparable to ours, including in the field of data protection, to introduce a reciprocal o</w:t>
      </w:r>
      <w:r>
        <w:rPr>
          <w:rFonts w:ascii="Times New Roman" w:hAnsi="Times New Roman"/>
          <w:noProof/>
          <w:sz w:val="24"/>
          <w:szCs w:val="24"/>
        </w:rPr>
        <w:t xml:space="preserve">bligation for EU service providers active on their territory. The potential consequences of such measures is that it could undermine the high level of protection ensured by the EU acquis for data subject to it, by making this data potentially available to </w:t>
      </w:r>
      <w:r>
        <w:rPr>
          <w:rFonts w:ascii="Times New Roman" w:hAnsi="Times New Roman"/>
          <w:noProof/>
          <w:sz w:val="24"/>
          <w:szCs w:val="24"/>
        </w:rPr>
        <w:t xml:space="preserve">such non-EU countries. Providers would find themselves in a conflict of obligations between the data protection prohibition to share the data and a possible production order issued by the authorities of the non-EU country. This could be mitigated first by </w:t>
      </w:r>
      <w:r>
        <w:rPr>
          <w:rFonts w:ascii="Times New Roman" w:hAnsi="Times New Roman"/>
          <w:noProof/>
          <w:sz w:val="24"/>
          <w:szCs w:val="24"/>
        </w:rPr>
        <w:t xml:space="preserve">providing for a high level of fundamental rights protection in the instrument (leading by example), and second by complementing the requirement of production orders with an international framework to channel similar requests from non-EU countries, through </w:t>
      </w:r>
      <w:r>
        <w:rPr>
          <w:rFonts w:ascii="Times New Roman" w:hAnsi="Times New Roman"/>
          <w:noProof/>
          <w:sz w:val="24"/>
          <w:szCs w:val="24"/>
        </w:rPr>
        <w:t>the Additional Protocol to the Budapest Convention under negotiation, and ensuring that the necessary safeguards are put in place in that process. However, the outcome of the negotiations are not yet clear. Another, more controllable solution would be to p</w:t>
      </w:r>
      <w:r>
        <w:rPr>
          <w:rFonts w:ascii="Times New Roman" w:hAnsi="Times New Roman"/>
          <w:noProof/>
          <w:sz w:val="24"/>
          <w:szCs w:val="24"/>
        </w:rPr>
        <w:t xml:space="preserve">rovide for a conflicts of law clause that would give a role to the law of the non-EU country. If that were to be put in place reciprocally as well, it would allow providers to raise conflicting obligations as a possible obstacle to compliance. This clause </w:t>
      </w:r>
      <w:r>
        <w:rPr>
          <w:rFonts w:ascii="Times New Roman" w:hAnsi="Times New Roman"/>
          <w:noProof/>
          <w:sz w:val="24"/>
          <w:szCs w:val="24"/>
        </w:rPr>
        <w:t>would also be a means to achieve international comity (see Box 4). Because the conflicting laws of non-EU countries would be taken into account, the Union and Member States could claim that these countries should do the same when requesting electronic evid</w:t>
      </w:r>
      <w:r>
        <w:rPr>
          <w:rFonts w:ascii="Times New Roman" w:hAnsi="Times New Roman"/>
          <w:noProof/>
          <w:sz w:val="24"/>
          <w:szCs w:val="24"/>
        </w:rPr>
        <w:t>ence from an EU service provider, e.g. when there is a conflict with the EU data protection regime. This would mitigate the risk that our data protection acquis is undermined by non-EU countries</w:t>
      </w:r>
      <w:r>
        <w:rPr>
          <w:noProof/>
          <w:color w:val="1F497D" w:themeColor="text2"/>
        </w:rPr>
        <w:t>.</w:t>
      </w:r>
      <w:bookmarkStart w:id="2003" w:name="_Toc498509808"/>
      <w:bookmarkStart w:id="2004" w:name="_Toc498518094"/>
    </w:p>
    <w:p w:rsidR="001B65FF" w:rsidRDefault="003E4EF4">
      <w:pPr>
        <w:pStyle w:val="Heading5"/>
        <w:rPr>
          <w:rFonts w:ascii="Times New Roman" w:hAnsi="Times New Roman"/>
          <w:noProof/>
          <w:sz w:val="24"/>
        </w:rPr>
      </w:pPr>
      <w:r>
        <w:rPr>
          <w:rFonts w:ascii="Times New Roman" w:eastAsia="Times New Roman" w:hAnsi="Times New Roman" w:cs="Times New Roman"/>
          <w:b w:val="0"/>
          <w:noProof/>
          <w:color w:val="auto"/>
          <w:sz w:val="24"/>
          <w:u w:val="single"/>
        </w:rPr>
        <w:t>Measure 5*: European Production Request</w:t>
      </w:r>
      <w:bookmarkEnd w:id="2003"/>
      <w:bookmarkEnd w:id="2004"/>
    </w:p>
    <w:p w:rsidR="001B65FF" w:rsidRDefault="003E4EF4">
      <w:pPr>
        <w:pStyle w:val="Body"/>
        <w:rPr>
          <w:rFonts w:ascii="Times New Roman" w:hAnsi="Times New Roman"/>
          <w:i/>
          <w:noProof/>
          <w:sz w:val="24"/>
          <w:szCs w:val="24"/>
          <w:u w:val="single"/>
        </w:rPr>
      </w:pPr>
      <w:bookmarkStart w:id="2005" w:name="_Toc498509809"/>
      <w:bookmarkStart w:id="2006" w:name="_Toc498518095"/>
      <w:r>
        <w:rPr>
          <w:rFonts w:ascii="Times New Roman" w:hAnsi="Times New Roman"/>
          <w:i/>
          <w:noProof/>
          <w:sz w:val="24"/>
          <w:szCs w:val="24"/>
          <w:u w:val="single"/>
        </w:rPr>
        <w:t>Social impact</w:t>
      </w:r>
      <w:bookmarkEnd w:id="2005"/>
      <w:bookmarkEnd w:id="2006"/>
      <w:r>
        <w:rPr>
          <w:rFonts w:ascii="Times New Roman" w:hAnsi="Times New Roman"/>
          <w:i/>
          <w:noProof/>
          <w:sz w:val="24"/>
          <w:szCs w:val="24"/>
          <w:u w:val="single"/>
        </w:rPr>
        <w:t xml:space="preserve"> </w:t>
      </w:r>
    </w:p>
    <w:p w:rsidR="001B65FF" w:rsidRDefault="003E4EF4">
      <w:pPr>
        <w:pStyle w:val="Body"/>
        <w:rPr>
          <w:rFonts w:ascii="Times New Roman" w:hAnsi="Times New Roman"/>
          <w:noProof/>
          <w:sz w:val="24"/>
          <w:szCs w:val="24"/>
        </w:rPr>
      </w:pPr>
      <w:r>
        <w:rPr>
          <w:rFonts w:ascii="Times New Roman" w:hAnsi="Times New Roman"/>
          <w:noProof/>
          <w:sz w:val="24"/>
          <w:szCs w:val="24"/>
        </w:rPr>
        <w:t>A mea</w:t>
      </w:r>
      <w:r>
        <w:rPr>
          <w:rFonts w:ascii="Times New Roman" w:hAnsi="Times New Roman"/>
          <w:noProof/>
          <w:sz w:val="24"/>
          <w:szCs w:val="24"/>
        </w:rPr>
        <w:t>sure on Production Requests would increase legal certainty for requests on non-content data addressed to service providers in the US, compared to existing voluntary cooperation channels. For content data, as long as the US law does not permit direct cooper</w:t>
      </w:r>
      <w:r>
        <w:rPr>
          <w:rFonts w:ascii="Times New Roman" w:hAnsi="Times New Roman"/>
          <w:noProof/>
          <w:sz w:val="24"/>
          <w:szCs w:val="24"/>
        </w:rPr>
        <w:t>ation, the production request would not change the current situation. For other situations, the production request would clarify that this form of cooperation is possible and turn it into a legitimate tool, creating legal certainty and expanding swift acce</w:t>
      </w:r>
      <w:r>
        <w:rPr>
          <w:rFonts w:ascii="Times New Roman" w:hAnsi="Times New Roman"/>
          <w:noProof/>
          <w:sz w:val="24"/>
          <w:szCs w:val="24"/>
        </w:rPr>
        <w:t>ss. Notably for EU providers, the measure would allow them voluntarily to provide non-content and content data to law enforcement authorities from other Member States upon request, thereby creating a new, faster channel to access data.</w:t>
      </w:r>
    </w:p>
    <w:p w:rsidR="001B65FF" w:rsidRDefault="003E4EF4">
      <w:pPr>
        <w:pStyle w:val="Body"/>
        <w:rPr>
          <w:rFonts w:ascii="Times New Roman" w:hAnsi="Times New Roman"/>
          <w:noProof/>
          <w:sz w:val="24"/>
          <w:szCs w:val="24"/>
        </w:rPr>
      </w:pPr>
      <w:r>
        <w:rPr>
          <w:rFonts w:ascii="Times New Roman" w:hAnsi="Times New Roman"/>
          <w:noProof/>
          <w:sz w:val="24"/>
          <w:szCs w:val="24"/>
        </w:rPr>
        <w:t>The competence for s</w:t>
      </w:r>
      <w:r>
        <w:rPr>
          <w:rFonts w:ascii="Times New Roman" w:hAnsi="Times New Roman"/>
          <w:noProof/>
          <w:sz w:val="24"/>
          <w:szCs w:val="24"/>
        </w:rPr>
        <w:t xml:space="preserve">ervice providers to reply to requests would also provide for improved conditions for cross-border cooperation with service providers to obtain electronic evidence within the EU. </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However, the measure would still depend on the willingness and commitment of </w:t>
      </w:r>
      <w:r>
        <w:rPr>
          <w:rFonts w:ascii="Times New Roman" w:hAnsi="Times New Roman"/>
          <w:noProof/>
          <w:sz w:val="24"/>
          <w:szCs w:val="24"/>
        </w:rPr>
        <w:t>service providers to cooperate, as production requests are a voluntary mechanism. Extrapolating from the current success rate for voluntary cooperation of the large service providers, it would at maximum allow getting the data in about 50% of cases: the se</w:t>
      </w:r>
      <w:r>
        <w:rPr>
          <w:rFonts w:ascii="Times New Roman" w:hAnsi="Times New Roman"/>
          <w:noProof/>
          <w:sz w:val="24"/>
          <w:szCs w:val="24"/>
        </w:rPr>
        <w:t>rvice providers which already provide access that is voluntary from the perspective of US law do so on the basis of a very large market share in Europe and many requests, allowing for economies of scale and at the same time creating a larger motivation for</w:t>
      </w:r>
      <w:r>
        <w:rPr>
          <w:rFonts w:ascii="Times New Roman" w:hAnsi="Times New Roman"/>
          <w:noProof/>
          <w:sz w:val="24"/>
          <w:szCs w:val="24"/>
        </w:rPr>
        <w:t xml:space="preserve"> compliance with EU Member States' law enforcement. The same cannot be said for smaller, EU-based providers who would be faced with difficult choices about how to position themselves and about investment if presented with a voluntary instrument.</w:t>
      </w:r>
    </w:p>
    <w:p w:rsidR="001B65FF" w:rsidRDefault="003E4EF4">
      <w:pPr>
        <w:pStyle w:val="Body"/>
        <w:rPr>
          <w:rFonts w:ascii="Times New Roman" w:hAnsi="Times New Roman"/>
          <w:noProof/>
          <w:sz w:val="24"/>
          <w:szCs w:val="24"/>
        </w:rPr>
      </w:pPr>
      <w:r>
        <w:rPr>
          <w:rFonts w:ascii="Times New Roman" w:hAnsi="Times New Roman"/>
          <w:noProof/>
          <w:sz w:val="24"/>
          <w:szCs w:val="24"/>
        </w:rPr>
        <w:t>The lack o</w:t>
      </w:r>
      <w:r>
        <w:rPr>
          <w:rFonts w:ascii="Times New Roman" w:hAnsi="Times New Roman"/>
          <w:noProof/>
          <w:sz w:val="24"/>
          <w:szCs w:val="24"/>
        </w:rPr>
        <w:t xml:space="preserve">f enforceability would require further action through traditional channels if service providers did not cooperate with a request. Creating a legal basis for a competence to initiate production requests and to allow service providers to respond to requests </w:t>
      </w:r>
      <w:r>
        <w:rPr>
          <w:rFonts w:ascii="Times New Roman" w:hAnsi="Times New Roman"/>
          <w:noProof/>
          <w:sz w:val="24"/>
          <w:szCs w:val="24"/>
        </w:rPr>
        <w:t>alone is thus not likely to fully address all identified problems and objectives.</w:t>
      </w:r>
    </w:p>
    <w:p w:rsidR="001B65FF" w:rsidRDefault="003E4EF4">
      <w:pPr>
        <w:pStyle w:val="Body"/>
        <w:rPr>
          <w:rFonts w:ascii="Times New Roman" w:hAnsi="Times New Roman"/>
          <w:i/>
          <w:noProof/>
          <w:sz w:val="24"/>
          <w:szCs w:val="24"/>
          <w:u w:val="single"/>
        </w:rPr>
      </w:pPr>
      <w:bookmarkStart w:id="2007" w:name="_Toc498509810"/>
      <w:bookmarkStart w:id="2008" w:name="_Toc498518096"/>
      <w:r>
        <w:rPr>
          <w:rFonts w:ascii="Times New Roman" w:hAnsi="Times New Roman"/>
          <w:i/>
          <w:noProof/>
          <w:sz w:val="24"/>
          <w:szCs w:val="24"/>
          <w:u w:val="single"/>
        </w:rPr>
        <w:t>Economic impact</w:t>
      </w:r>
      <w:bookmarkEnd w:id="2007"/>
      <w:bookmarkEnd w:id="2008"/>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See the analysis above on the general economic impact of legislation on direct cooperation. </w:t>
      </w:r>
    </w:p>
    <w:p w:rsidR="001B65FF" w:rsidRDefault="003E4EF4">
      <w:pPr>
        <w:pStyle w:val="Body"/>
        <w:rPr>
          <w:rFonts w:ascii="Times New Roman" w:hAnsi="Times New Roman"/>
          <w:i/>
          <w:noProof/>
          <w:sz w:val="24"/>
          <w:szCs w:val="24"/>
          <w:u w:val="single"/>
        </w:rPr>
      </w:pPr>
      <w:bookmarkStart w:id="2009" w:name="_Toc498509811"/>
      <w:bookmarkStart w:id="2010" w:name="_Toc498518097"/>
      <w:r>
        <w:rPr>
          <w:rFonts w:ascii="Times New Roman" w:hAnsi="Times New Roman"/>
          <w:i/>
          <w:noProof/>
          <w:sz w:val="24"/>
          <w:szCs w:val="24"/>
          <w:u w:val="single"/>
        </w:rPr>
        <w:t>Fundamental rights impact</w:t>
      </w:r>
      <w:bookmarkEnd w:id="2009"/>
      <w:bookmarkEnd w:id="2010"/>
    </w:p>
    <w:p w:rsidR="001B65FF" w:rsidRDefault="003E4EF4">
      <w:pPr>
        <w:pStyle w:val="Body"/>
        <w:rPr>
          <w:rFonts w:ascii="Times New Roman" w:hAnsi="Times New Roman"/>
          <w:noProof/>
          <w:sz w:val="24"/>
          <w:szCs w:val="24"/>
        </w:rPr>
      </w:pPr>
      <w:r>
        <w:rPr>
          <w:rFonts w:ascii="Times New Roman" w:hAnsi="Times New Roman"/>
          <w:noProof/>
          <w:sz w:val="24"/>
          <w:szCs w:val="24"/>
        </w:rPr>
        <w:t>See the analysis above on the general i</w:t>
      </w:r>
      <w:r>
        <w:rPr>
          <w:rFonts w:ascii="Times New Roman" w:hAnsi="Times New Roman"/>
          <w:noProof/>
          <w:sz w:val="24"/>
          <w:szCs w:val="24"/>
        </w:rPr>
        <w:t>mpact on fundamental rights of legislation on direct cooperation. In addition, because there would be no obligation on service providers to comply with a EPR or to nominate a legal representative, they would not be affected in their right to conduct a busi</w:t>
      </w:r>
      <w:r>
        <w:rPr>
          <w:rFonts w:ascii="Times New Roman" w:hAnsi="Times New Roman"/>
          <w:noProof/>
          <w:sz w:val="24"/>
          <w:szCs w:val="24"/>
        </w:rPr>
        <w:t>ness.</w:t>
      </w:r>
    </w:p>
    <w:p w:rsidR="001B65FF" w:rsidRDefault="003E4EF4">
      <w:pPr>
        <w:pStyle w:val="Body"/>
        <w:spacing w:after="0"/>
        <w:rPr>
          <w:rFonts w:ascii="Times New Roman" w:hAnsi="Times New Roman"/>
          <w:noProof/>
          <w:sz w:val="24"/>
          <w:szCs w:val="24"/>
        </w:rPr>
      </w:pPr>
      <w:r>
        <w:rPr>
          <w:rFonts w:ascii="Times New Roman" w:hAnsi="Times New Roman"/>
          <w:noProof/>
          <w:sz w:val="24"/>
          <w:szCs w:val="24"/>
        </w:rPr>
        <w:t>The above analysis suggests that, if applied with proportionality and complemented with the proposed safeguards, all sub-options of the measure in this policy option are compatible with fundamental rights requirements.</w:t>
      </w:r>
    </w:p>
    <w:p w:rsidR="001B65FF" w:rsidRDefault="001B65FF">
      <w:pPr>
        <w:pStyle w:val="Body"/>
        <w:spacing w:before="0" w:after="0"/>
        <w:rPr>
          <w:rFonts w:ascii="Times New Roman" w:hAnsi="Times New Roman"/>
          <w:noProof/>
          <w:sz w:val="24"/>
          <w:szCs w:val="24"/>
        </w:rPr>
      </w:pPr>
      <w:bookmarkStart w:id="2011" w:name="_Toc498509812"/>
      <w:bookmarkStart w:id="2012" w:name="_Toc498518098"/>
    </w:p>
    <w:p w:rsidR="001B65FF" w:rsidRDefault="003E4EF4">
      <w:pPr>
        <w:pStyle w:val="Body"/>
        <w:spacing w:before="0"/>
        <w:rPr>
          <w:rFonts w:ascii="Times New Roman" w:hAnsi="Times New Roman"/>
          <w:noProof/>
          <w:sz w:val="24"/>
          <w:szCs w:val="24"/>
        </w:rPr>
      </w:pPr>
      <w:r>
        <w:rPr>
          <w:rFonts w:ascii="Times New Roman" w:hAnsi="Times New Roman"/>
          <w:noProof/>
          <w:sz w:val="24"/>
          <w:szCs w:val="24"/>
        </w:rPr>
        <w:t>Discarding of measure 5*</w:t>
      </w:r>
      <w:bookmarkEnd w:id="2011"/>
      <w:bookmarkEnd w:id="2012"/>
      <w:r>
        <w:rPr>
          <w:rFonts w:ascii="Times New Roman" w:hAnsi="Times New Roman"/>
          <w:noProof/>
          <w:sz w:val="24"/>
          <w:szCs w:val="24"/>
        </w:rPr>
        <w:t>:</w:t>
      </w:r>
    </w:p>
    <w:p w:rsidR="001B65FF" w:rsidRDefault="003E4EF4">
      <w:pPr>
        <w:pStyle w:val="Body"/>
        <w:rPr>
          <w:rFonts w:ascii="Times New Roman" w:hAnsi="Times New Roman"/>
          <w:noProof/>
          <w:sz w:val="24"/>
          <w:szCs w:val="24"/>
        </w:rPr>
      </w:pPr>
      <w:r>
        <w:rPr>
          <w:rFonts w:ascii="Times New Roman" w:hAnsi="Times New Roman"/>
          <w:noProof/>
          <w:sz w:val="24"/>
          <w:szCs w:val="24"/>
        </w:rPr>
        <w:t>Comp</w:t>
      </w:r>
      <w:r>
        <w:rPr>
          <w:rFonts w:ascii="Times New Roman" w:hAnsi="Times New Roman"/>
          <w:noProof/>
          <w:sz w:val="24"/>
          <w:szCs w:val="24"/>
        </w:rPr>
        <w:t>ared to the European Production Order, this measure is less effective, in particular because of the lack of a possibility to execute it. At the same time, it does not bring additional benefits compared to the European Production Order. This measure is ther</w:t>
      </w:r>
      <w:r>
        <w:rPr>
          <w:rFonts w:ascii="Times New Roman" w:hAnsi="Times New Roman"/>
          <w:noProof/>
          <w:sz w:val="24"/>
          <w:szCs w:val="24"/>
        </w:rPr>
        <w:t>efore discarded. This is also in line with the preference expressed by Member States’ experts for a mandatory measure.</w:t>
      </w:r>
    </w:p>
    <w:p w:rsidR="001B65FF" w:rsidRDefault="003E4EF4">
      <w:pPr>
        <w:pStyle w:val="Heading5"/>
        <w:rPr>
          <w:rFonts w:ascii="Times New Roman" w:hAnsi="Times New Roman"/>
          <w:noProof/>
          <w:sz w:val="24"/>
        </w:rPr>
      </w:pPr>
      <w:bookmarkStart w:id="2013" w:name="_Toc498509813"/>
      <w:bookmarkStart w:id="2014" w:name="_Toc498518099"/>
      <w:r>
        <w:rPr>
          <w:rFonts w:ascii="Times New Roman" w:eastAsia="Times New Roman" w:hAnsi="Times New Roman" w:cs="Times New Roman"/>
          <w:b w:val="0"/>
          <w:noProof/>
          <w:color w:val="auto"/>
          <w:sz w:val="24"/>
          <w:u w:val="single"/>
        </w:rPr>
        <w:t>Measure 5**: European Production Request and Order</w:t>
      </w:r>
      <w:bookmarkEnd w:id="2013"/>
      <w:bookmarkEnd w:id="2014"/>
    </w:p>
    <w:p w:rsidR="001B65FF" w:rsidRDefault="003E4EF4">
      <w:pPr>
        <w:pStyle w:val="Body"/>
        <w:rPr>
          <w:rFonts w:ascii="Times New Roman" w:hAnsi="Times New Roman"/>
          <w:i/>
          <w:noProof/>
          <w:sz w:val="24"/>
          <w:szCs w:val="24"/>
          <w:u w:val="single"/>
        </w:rPr>
      </w:pPr>
      <w:bookmarkStart w:id="2015" w:name="_Toc498509814"/>
      <w:bookmarkStart w:id="2016" w:name="_Toc498518100"/>
      <w:r>
        <w:rPr>
          <w:rFonts w:ascii="Times New Roman" w:hAnsi="Times New Roman"/>
          <w:i/>
          <w:noProof/>
          <w:sz w:val="24"/>
          <w:szCs w:val="24"/>
          <w:u w:val="single"/>
        </w:rPr>
        <w:t>Social impact</w:t>
      </w:r>
      <w:bookmarkEnd w:id="2015"/>
      <w:bookmarkEnd w:id="2016"/>
      <w:r>
        <w:rPr>
          <w:rFonts w:ascii="Times New Roman" w:hAnsi="Times New Roman"/>
          <w:i/>
          <w:noProof/>
          <w:sz w:val="24"/>
          <w:szCs w:val="24"/>
          <w:u w:val="single"/>
        </w:rPr>
        <w:t xml:space="preserve"> </w:t>
      </w:r>
    </w:p>
    <w:p w:rsidR="001B65FF" w:rsidRDefault="003E4EF4">
      <w:pPr>
        <w:pStyle w:val="Body"/>
        <w:rPr>
          <w:rFonts w:ascii="Times New Roman" w:hAnsi="Times New Roman"/>
          <w:noProof/>
          <w:sz w:val="24"/>
          <w:szCs w:val="24"/>
        </w:rPr>
      </w:pPr>
      <w:r>
        <w:rPr>
          <w:rFonts w:ascii="Times New Roman" w:hAnsi="Times New Roman"/>
          <w:noProof/>
          <w:sz w:val="24"/>
          <w:szCs w:val="24"/>
        </w:rPr>
        <w:t>A combination of Production Orders for non-content data and Production Requests for content data would combine the benefits and limits of the EPO and the EPR. It is a less efficient option compared to the EPO, but a more efficient solution compared to EPR.</w:t>
      </w:r>
      <w:r>
        <w:rPr>
          <w:rFonts w:ascii="Times New Roman" w:hAnsi="Times New Roman"/>
          <w:noProof/>
          <w:sz w:val="24"/>
          <w:szCs w:val="24"/>
        </w:rPr>
        <w:t xml:space="preserve"> </w:t>
      </w:r>
    </w:p>
    <w:p w:rsidR="001B65FF" w:rsidRDefault="003E4EF4">
      <w:pPr>
        <w:pStyle w:val="Body"/>
        <w:rPr>
          <w:rFonts w:ascii="Times New Roman" w:hAnsi="Times New Roman"/>
          <w:i/>
          <w:noProof/>
          <w:sz w:val="24"/>
          <w:szCs w:val="24"/>
          <w:u w:val="single"/>
        </w:rPr>
      </w:pPr>
      <w:bookmarkStart w:id="2017" w:name="_Toc498509815"/>
      <w:bookmarkStart w:id="2018" w:name="_Toc498518101"/>
      <w:r>
        <w:rPr>
          <w:rFonts w:ascii="Times New Roman" w:hAnsi="Times New Roman"/>
          <w:i/>
          <w:noProof/>
          <w:sz w:val="24"/>
          <w:szCs w:val="24"/>
          <w:u w:val="single"/>
        </w:rPr>
        <w:t>Economic impact</w:t>
      </w:r>
      <w:bookmarkEnd w:id="2017"/>
      <w:bookmarkEnd w:id="2018"/>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See the analysis above on the general economic impact of legislation on direct cooperation and the specific aspects to European Production Orders. </w:t>
      </w:r>
    </w:p>
    <w:p w:rsidR="001B65FF" w:rsidRDefault="003E4EF4">
      <w:pPr>
        <w:pStyle w:val="Body"/>
        <w:rPr>
          <w:rFonts w:ascii="Times New Roman" w:hAnsi="Times New Roman"/>
          <w:i/>
          <w:noProof/>
          <w:sz w:val="24"/>
          <w:szCs w:val="24"/>
          <w:u w:val="single"/>
        </w:rPr>
      </w:pPr>
      <w:bookmarkStart w:id="2019" w:name="_Toc498509816"/>
      <w:bookmarkStart w:id="2020" w:name="_Toc498518102"/>
      <w:r>
        <w:rPr>
          <w:rFonts w:ascii="Times New Roman" w:hAnsi="Times New Roman"/>
          <w:i/>
          <w:noProof/>
          <w:sz w:val="24"/>
          <w:szCs w:val="24"/>
          <w:u w:val="single"/>
        </w:rPr>
        <w:t>Fundamental rights impact</w:t>
      </w:r>
      <w:bookmarkEnd w:id="2019"/>
      <w:bookmarkEnd w:id="2020"/>
    </w:p>
    <w:p w:rsidR="001B65FF" w:rsidRDefault="003E4EF4">
      <w:pPr>
        <w:pStyle w:val="Body"/>
        <w:spacing w:after="0"/>
        <w:rPr>
          <w:rFonts w:ascii="Times New Roman" w:hAnsi="Times New Roman"/>
          <w:noProof/>
          <w:sz w:val="24"/>
          <w:szCs w:val="24"/>
        </w:rPr>
      </w:pPr>
      <w:r>
        <w:rPr>
          <w:rFonts w:ascii="Times New Roman" w:hAnsi="Times New Roman"/>
          <w:noProof/>
          <w:sz w:val="24"/>
          <w:szCs w:val="24"/>
        </w:rPr>
        <w:t>See the analysis above on the general impact on fundamental righ</w:t>
      </w:r>
      <w:r>
        <w:rPr>
          <w:rFonts w:ascii="Times New Roman" w:hAnsi="Times New Roman"/>
          <w:noProof/>
          <w:sz w:val="24"/>
          <w:szCs w:val="24"/>
        </w:rPr>
        <w:t xml:space="preserve">ts of legislation on direct cooperation and the specific aspects to European Production Orders. </w:t>
      </w:r>
    </w:p>
    <w:p w:rsidR="001B65FF" w:rsidRDefault="001B65FF">
      <w:pPr>
        <w:pStyle w:val="Body"/>
        <w:spacing w:before="0" w:after="0"/>
        <w:rPr>
          <w:rFonts w:ascii="Times New Roman" w:hAnsi="Times New Roman"/>
          <w:noProof/>
          <w:sz w:val="24"/>
          <w:szCs w:val="24"/>
        </w:rPr>
      </w:pPr>
    </w:p>
    <w:p w:rsidR="001B65FF" w:rsidRDefault="003E4EF4">
      <w:pPr>
        <w:pStyle w:val="Body"/>
        <w:rPr>
          <w:rFonts w:ascii="Times New Roman" w:hAnsi="Times New Roman"/>
          <w:noProof/>
          <w:sz w:val="24"/>
          <w:szCs w:val="24"/>
        </w:rPr>
      </w:pPr>
      <w:bookmarkStart w:id="2021" w:name="_Toc498509817"/>
      <w:bookmarkStart w:id="2022" w:name="_Toc498518103"/>
      <w:r>
        <w:rPr>
          <w:rFonts w:ascii="Times New Roman" w:hAnsi="Times New Roman"/>
          <w:noProof/>
          <w:sz w:val="24"/>
          <w:szCs w:val="24"/>
        </w:rPr>
        <w:t>Discarding of measure 5***</w:t>
      </w:r>
      <w:bookmarkEnd w:id="2021"/>
      <w:bookmarkEnd w:id="2022"/>
      <w:r>
        <w:rPr>
          <w:rFonts w:ascii="Times New Roman" w:hAnsi="Times New Roman"/>
          <w:noProof/>
          <w:sz w:val="24"/>
          <w:szCs w:val="24"/>
        </w:rPr>
        <w:t>:</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Even if this measure is more efficient than the European Production Request, it is still less effective than the European Production Order, while not bringing additional benefits. </w:t>
      </w:r>
      <w:r>
        <w:rPr>
          <w:rFonts w:ascii="Times New Roman" w:hAnsi="Times New Roman"/>
          <w:b/>
          <w:noProof/>
          <w:sz w:val="24"/>
          <w:szCs w:val="24"/>
        </w:rPr>
        <w:t>This measure is therefore discarded</w:t>
      </w:r>
      <w:r>
        <w:rPr>
          <w:rFonts w:ascii="Times New Roman" w:hAnsi="Times New Roman"/>
          <w:noProof/>
          <w:sz w:val="24"/>
          <w:szCs w:val="24"/>
        </w:rPr>
        <w:t>. This is also in line with the preferenc</w:t>
      </w:r>
      <w:r>
        <w:rPr>
          <w:rFonts w:ascii="Times New Roman" w:hAnsi="Times New Roman"/>
          <w:noProof/>
          <w:sz w:val="24"/>
          <w:szCs w:val="24"/>
        </w:rPr>
        <w:t>e expressed by Member States’ experts for a mandatory measure.</w:t>
      </w:r>
    </w:p>
    <w:p w:rsidR="001B65FF" w:rsidRDefault="003E4EF4">
      <w:pPr>
        <w:pStyle w:val="Heading5"/>
        <w:rPr>
          <w:rFonts w:ascii="Times New Roman" w:hAnsi="Times New Roman"/>
          <w:noProof/>
          <w:sz w:val="24"/>
        </w:rPr>
      </w:pPr>
      <w:bookmarkStart w:id="2023" w:name="_Toc498509818"/>
      <w:bookmarkStart w:id="2024" w:name="_Toc498518104"/>
      <w:r>
        <w:rPr>
          <w:rFonts w:ascii="Times New Roman" w:eastAsia="Times New Roman" w:hAnsi="Times New Roman" w:cs="Times New Roman"/>
          <w:b w:val="0"/>
          <w:noProof/>
          <w:color w:val="auto"/>
          <w:sz w:val="24"/>
          <w:u w:val="single"/>
        </w:rPr>
        <w:t>Measure 6: access to data without individualised review</w:t>
      </w:r>
      <w:bookmarkEnd w:id="2023"/>
      <w:bookmarkEnd w:id="2024"/>
      <w:r>
        <w:rPr>
          <w:rFonts w:ascii="Times New Roman" w:eastAsia="Times New Roman" w:hAnsi="Times New Roman" w:cs="Times New Roman"/>
          <w:b w:val="0"/>
          <w:noProof/>
          <w:color w:val="auto"/>
          <w:sz w:val="24"/>
          <w:u w:val="single"/>
        </w:rPr>
        <w:t xml:space="preserve"> (WHOIS)</w:t>
      </w:r>
    </w:p>
    <w:p w:rsidR="001B65FF" w:rsidRDefault="003E4EF4">
      <w:pPr>
        <w:pStyle w:val="Body"/>
        <w:rPr>
          <w:rFonts w:ascii="Times New Roman" w:hAnsi="Times New Roman"/>
          <w:i/>
          <w:noProof/>
          <w:sz w:val="24"/>
          <w:szCs w:val="24"/>
          <w:u w:val="single"/>
        </w:rPr>
      </w:pPr>
      <w:bookmarkStart w:id="2025" w:name="_Toc498509819"/>
      <w:bookmarkStart w:id="2026" w:name="_Toc498518105"/>
      <w:r>
        <w:rPr>
          <w:rFonts w:ascii="Times New Roman" w:hAnsi="Times New Roman"/>
          <w:i/>
          <w:noProof/>
          <w:sz w:val="24"/>
          <w:szCs w:val="24"/>
          <w:u w:val="single"/>
        </w:rPr>
        <w:t>Social impact</w:t>
      </w:r>
      <w:bookmarkEnd w:id="2025"/>
      <w:bookmarkEnd w:id="2026"/>
      <w:r>
        <w:rPr>
          <w:rFonts w:ascii="Times New Roman" w:hAnsi="Times New Roman"/>
          <w:i/>
          <w:noProof/>
          <w:sz w:val="24"/>
          <w:szCs w:val="24"/>
          <w:u w:val="single"/>
        </w:rPr>
        <w:t xml:space="preserve"> </w:t>
      </w:r>
    </w:p>
    <w:p w:rsidR="001B65FF" w:rsidRDefault="003E4EF4">
      <w:pPr>
        <w:pStyle w:val="Body"/>
        <w:rPr>
          <w:rFonts w:ascii="Times New Roman" w:hAnsi="Times New Roman"/>
          <w:noProof/>
          <w:sz w:val="24"/>
          <w:szCs w:val="24"/>
          <w:u w:val="single"/>
        </w:rPr>
      </w:pPr>
      <w:r>
        <w:rPr>
          <w:rFonts w:ascii="Times New Roman" w:hAnsi="Times New Roman"/>
          <w:noProof/>
          <w:sz w:val="24"/>
          <w:szCs w:val="24"/>
        </w:rPr>
        <w:t>For WHOIS data that service providers make available specifically for access by authorities through a system of da</w:t>
      </w:r>
      <w:r>
        <w:rPr>
          <w:rFonts w:ascii="Times New Roman" w:hAnsi="Times New Roman"/>
          <w:noProof/>
          <w:sz w:val="24"/>
          <w:szCs w:val="24"/>
        </w:rPr>
        <w:t>tabases without individual review by the service provider, legislation on direct cooperation could provide for a legal basis to perform searches in the system. Such a legislative basis would enable authorities to continue to access the system in the same m</w:t>
      </w:r>
      <w:r>
        <w:rPr>
          <w:rFonts w:ascii="Times New Roman" w:hAnsi="Times New Roman"/>
          <w:noProof/>
          <w:sz w:val="24"/>
          <w:szCs w:val="24"/>
        </w:rPr>
        <w:t>anner even when it is password-protected and no longer publicly available. Providing a new legal basis for the changed circumstances would preserve an essential tool in online investigations and would prevent a significant decrease in effectiveness of inve</w:t>
      </w:r>
      <w:r>
        <w:rPr>
          <w:rFonts w:ascii="Times New Roman" w:hAnsi="Times New Roman"/>
          <w:noProof/>
          <w:sz w:val="24"/>
          <w:szCs w:val="24"/>
        </w:rPr>
        <w:t>stigations in view of the high frequency of these look-ups.</w:t>
      </w:r>
    </w:p>
    <w:p w:rsidR="001B65FF" w:rsidRDefault="003E4EF4">
      <w:pPr>
        <w:pStyle w:val="Body"/>
        <w:rPr>
          <w:rFonts w:ascii="Times New Roman" w:hAnsi="Times New Roman"/>
          <w:i/>
          <w:noProof/>
          <w:sz w:val="24"/>
          <w:szCs w:val="24"/>
          <w:u w:val="single"/>
        </w:rPr>
      </w:pPr>
      <w:bookmarkStart w:id="2027" w:name="_Toc498509820"/>
      <w:bookmarkStart w:id="2028" w:name="_Toc498518106"/>
      <w:r>
        <w:rPr>
          <w:rFonts w:ascii="Times New Roman" w:hAnsi="Times New Roman"/>
          <w:i/>
          <w:noProof/>
          <w:sz w:val="24"/>
          <w:szCs w:val="24"/>
          <w:u w:val="single"/>
        </w:rPr>
        <w:t>Economic impact</w:t>
      </w:r>
      <w:bookmarkEnd w:id="2027"/>
      <w:bookmarkEnd w:id="2028"/>
    </w:p>
    <w:p w:rsidR="001B65FF" w:rsidRDefault="003E4EF4">
      <w:pPr>
        <w:pStyle w:val="Body"/>
        <w:rPr>
          <w:rFonts w:ascii="Times New Roman" w:hAnsi="Times New Roman"/>
          <w:noProof/>
          <w:sz w:val="24"/>
          <w:szCs w:val="24"/>
        </w:rPr>
      </w:pPr>
      <w:r>
        <w:rPr>
          <w:rFonts w:ascii="Times New Roman" w:hAnsi="Times New Roman"/>
          <w:noProof/>
          <w:sz w:val="24"/>
          <w:szCs w:val="24"/>
        </w:rPr>
        <w:t>If a legal basis and framework is provided for access to the WHOIS, authorities might be able to maintain the level of access they benefit from today, generating no new costs for t</w:t>
      </w:r>
      <w:r>
        <w:rPr>
          <w:rFonts w:ascii="Times New Roman" w:hAnsi="Times New Roman"/>
          <w:noProof/>
          <w:sz w:val="24"/>
          <w:szCs w:val="24"/>
        </w:rPr>
        <w:t>he authorities aside from the cost of implementing new legislation. Similarly, such a legal basis would be cost-neutral for the provider side. This measure would also prevent an avalanche of orders to service providers to produce the data, which might othe</w:t>
      </w:r>
      <w:r>
        <w:rPr>
          <w:rFonts w:ascii="Times New Roman" w:hAnsi="Times New Roman"/>
          <w:noProof/>
          <w:sz w:val="24"/>
          <w:szCs w:val="24"/>
        </w:rPr>
        <w:t>rwise generate significant costs for both sides due to the resulting increase in volume of total requests.</w:t>
      </w:r>
    </w:p>
    <w:p w:rsidR="001B65FF" w:rsidRDefault="003E4EF4">
      <w:pPr>
        <w:pStyle w:val="Body"/>
        <w:rPr>
          <w:rFonts w:ascii="Times New Roman" w:hAnsi="Times New Roman"/>
          <w:i/>
          <w:noProof/>
          <w:sz w:val="24"/>
          <w:szCs w:val="24"/>
          <w:u w:val="single"/>
        </w:rPr>
      </w:pPr>
      <w:bookmarkStart w:id="2029" w:name="_Toc498509821"/>
      <w:bookmarkStart w:id="2030" w:name="_Toc498518107"/>
      <w:r>
        <w:rPr>
          <w:rFonts w:ascii="Times New Roman" w:hAnsi="Times New Roman"/>
          <w:i/>
          <w:noProof/>
          <w:sz w:val="24"/>
          <w:szCs w:val="24"/>
          <w:u w:val="single"/>
        </w:rPr>
        <w:t>Fundamental rights impact</w:t>
      </w:r>
      <w:bookmarkEnd w:id="2029"/>
      <w:bookmarkEnd w:id="2030"/>
    </w:p>
    <w:p w:rsidR="001B65FF" w:rsidRDefault="003E4EF4">
      <w:pPr>
        <w:pStyle w:val="Body"/>
        <w:rPr>
          <w:rFonts w:ascii="Times New Roman" w:hAnsi="Times New Roman"/>
          <w:noProof/>
          <w:sz w:val="24"/>
          <w:szCs w:val="24"/>
        </w:rPr>
      </w:pPr>
      <w:r>
        <w:rPr>
          <w:rFonts w:ascii="Times New Roman" w:hAnsi="Times New Roman"/>
          <w:noProof/>
          <w:sz w:val="24"/>
          <w:szCs w:val="24"/>
        </w:rPr>
        <w:t>The impact on fundamental rights of the legal base for access to the WHOIS would be small. Creating such a legal base would</w:t>
      </w:r>
      <w:r>
        <w:rPr>
          <w:rFonts w:ascii="Times New Roman" w:hAnsi="Times New Roman"/>
          <w:noProof/>
          <w:sz w:val="24"/>
          <w:szCs w:val="24"/>
        </w:rPr>
        <w:t xml:space="preserve"> also indirectly allow the system to move to a tiered-access model as it could still ensure the vital public policy interests at stake. This in turn would have a positive effect on individuals' fundamental right to privacy, as their personal data is no lon</w:t>
      </w:r>
      <w:r>
        <w:rPr>
          <w:rFonts w:ascii="Times New Roman" w:hAnsi="Times New Roman"/>
          <w:noProof/>
          <w:sz w:val="24"/>
          <w:szCs w:val="24"/>
        </w:rPr>
        <w:t>ger publicly available.</w:t>
      </w:r>
    </w:p>
    <w:p w:rsidR="001B65FF" w:rsidRDefault="003E4EF4">
      <w:pPr>
        <w:keepNext/>
        <w:spacing w:before="120" w:after="120" w:line="240" w:lineRule="auto"/>
        <w:jc w:val="both"/>
        <w:outlineLvl w:val="2"/>
        <w:rPr>
          <w:rFonts w:ascii="Times New Roman" w:hAnsi="Times New Roman"/>
          <w:b/>
          <w:noProof/>
          <w:sz w:val="24"/>
        </w:rPr>
      </w:pPr>
      <w:bookmarkStart w:id="2031" w:name="_Toc499130059"/>
      <w:bookmarkStart w:id="2032" w:name="_Toc499133338"/>
      <w:bookmarkStart w:id="2033" w:name="_Toc499142908"/>
      <w:bookmarkStart w:id="2034" w:name="_Toc499143353"/>
      <w:bookmarkStart w:id="2035" w:name="_Toc510952904"/>
      <w:r>
        <w:rPr>
          <w:rFonts w:ascii="Times New Roman" w:eastAsia="Times New Roman" w:hAnsi="Times New Roman" w:cs="Times New Roman"/>
          <w:b/>
          <w:noProof/>
          <w:sz w:val="24"/>
          <w:szCs w:val="20"/>
        </w:rPr>
        <w:t>Legislative action: direct access</w:t>
      </w:r>
      <w:bookmarkEnd w:id="2031"/>
      <w:bookmarkEnd w:id="2032"/>
      <w:bookmarkEnd w:id="2033"/>
      <w:bookmarkEnd w:id="2034"/>
      <w:bookmarkEnd w:id="2035"/>
    </w:p>
    <w:p w:rsidR="001B65FF" w:rsidRDefault="003E4EF4">
      <w:pPr>
        <w:pStyle w:val="Heading5"/>
        <w:rPr>
          <w:rFonts w:ascii="Times New Roman" w:hAnsi="Times New Roman"/>
          <w:noProof/>
          <w:sz w:val="24"/>
        </w:rPr>
      </w:pPr>
      <w:bookmarkStart w:id="2036" w:name="_Toc498509822"/>
      <w:bookmarkStart w:id="2037" w:name="_Toc498518108"/>
      <w:r>
        <w:rPr>
          <w:rFonts w:ascii="Times New Roman" w:eastAsia="Times New Roman" w:hAnsi="Times New Roman" w:cs="Times New Roman"/>
          <w:b w:val="0"/>
          <w:noProof/>
          <w:color w:val="auto"/>
          <w:sz w:val="24"/>
          <w:u w:val="single"/>
        </w:rPr>
        <w:t>Measure 7: legislation on harmonised safeguards for direct access</w:t>
      </w:r>
      <w:bookmarkEnd w:id="2036"/>
      <w:bookmarkEnd w:id="2037"/>
    </w:p>
    <w:p w:rsidR="001B65FF" w:rsidRDefault="003E4EF4">
      <w:pPr>
        <w:pStyle w:val="Body"/>
        <w:rPr>
          <w:rFonts w:ascii="Times New Roman" w:hAnsi="Times New Roman"/>
          <w:i/>
          <w:noProof/>
          <w:sz w:val="24"/>
          <w:szCs w:val="24"/>
          <w:u w:val="single"/>
        </w:rPr>
      </w:pPr>
      <w:bookmarkStart w:id="2038" w:name="_Toc498509823"/>
      <w:bookmarkStart w:id="2039" w:name="_Toc498518109"/>
      <w:r>
        <w:rPr>
          <w:rFonts w:ascii="Times New Roman" w:hAnsi="Times New Roman"/>
          <w:i/>
          <w:noProof/>
          <w:sz w:val="24"/>
          <w:szCs w:val="24"/>
          <w:u w:val="single"/>
        </w:rPr>
        <w:t>Social impact</w:t>
      </w:r>
      <w:bookmarkEnd w:id="2038"/>
      <w:bookmarkEnd w:id="2039"/>
      <w:r>
        <w:rPr>
          <w:rFonts w:ascii="Times New Roman" w:hAnsi="Times New Roman"/>
          <w:i/>
          <w:noProof/>
          <w:sz w:val="24"/>
          <w:szCs w:val="24"/>
          <w:u w:val="single"/>
        </w:rPr>
        <w:t xml:space="preserve"> </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The option to legislate on direct access, including a set of conditions and safeguards, as described above, could </w:t>
      </w:r>
      <w:r>
        <w:rPr>
          <w:rFonts w:ascii="Times New Roman" w:hAnsi="Times New Roman"/>
          <w:noProof/>
          <w:sz w:val="24"/>
          <w:szCs w:val="24"/>
        </w:rPr>
        <w:t>improve the capacity of public authorities to investigate and prosecute crimes according to the following considerations:</w:t>
      </w:r>
    </w:p>
    <w:p w:rsidR="001B65FF" w:rsidRDefault="003E4EF4">
      <w:pPr>
        <w:pStyle w:val="Body"/>
        <w:rPr>
          <w:rFonts w:ascii="Times New Roman" w:hAnsi="Times New Roman"/>
          <w:noProof/>
          <w:sz w:val="24"/>
          <w:szCs w:val="24"/>
        </w:rPr>
      </w:pPr>
      <w:r>
        <w:rPr>
          <w:rFonts w:ascii="Times New Roman" w:hAnsi="Times New Roman"/>
          <w:noProof/>
          <w:sz w:val="24"/>
          <w:szCs w:val="24"/>
        </w:rPr>
        <w:t>Enabling Member States to put in place a legal base for direct access with a harmonised system of conditions and safeguards would prov</w:t>
      </w:r>
      <w:r>
        <w:rPr>
          <w:rFonts w:ascii="Times New Roman" w:hAnsi="Times New Roman"/>
          <w:noProof/>
          <w:sz w:val="24"/>
          <w:szCs w:val="24"/>
        </w:rPr>
        <w:t xml:space="preserve">ide a basis for those Member States who have chosen to enable direct access to adapt them – where necessary – to be mutually acceptable among Member States. It would furthermore provide for clarity on the conditions and safeguards that apply regardless of </w:t>
      </w:r>
      <w:r>
        <w:rPr>
          <w:rFonts w:ascii="Times New Roman" w:hAnsi="Times New Roman"/>
          <w:noProof/>
          <w:sz w:val="24"/>
          <w:szCs w:val="24"/>
        </w:rPr>
        <w:t xml:space="preserve">EU Member State. </w:t>
      </w:r>
    </w:p>
    <w:p w:rsidR="001B65FF" w:rsidRDefault="003E4EF4">
      <w:pPr>
        <w:pStyle w:val="Body"/>
        <w:rPr>
          <w:rFonts w:ascii="Times New Roman" w:hAnsi="Times New Roman"/>
          <w:noProof/>
          <w:sz w:val="24"/>
          <w:szCs w:val="24"/>
        </w:rPr>
      </w:pPr>
      <w:r>
        <w:rPr>
          <w:rFonts w:ascii="Times New Roman" w:hAnsi="Times New Roman"/>
          <w:noProof/>
          <w:sz w:val="24"/>
          <w:szCs w:val="24"/>
        </w:rPr>
        <w:t>It would also contribute to avoiding tensions and increasing mutual trust among Member States and therefore improve judicial cooperation in general.</w:t>
      </w:r>
    </w:p>
    <w:p w:rsidR="001B65FF" w:rsidRDefault="003E4EF4">
      <w:pPr>
        <w:pStyle w:val="Body"/>
        <w:rPr>
          <w:rFonts w:ascii="Times New Roman" w:hAnsi="Times New Roman"/>
          <w:noProof/>
          <w:sz w:val="24"/>
          <w:szCs w:val="24"/>
        </w:rPr>
      </w:pPr>
      <w:r>
        <w:rPr>
          <w:rFonts w:ascii="Times New Roman" w:hAnsi="Times New Roman"/>
          <w:noProof/>
          <w:sz w:val="24"/>
          <w:szCs w:val="24"/>
        </w:rPr>
        <w:t>Those Member States where such direct access to data is currently not possible when the l</w:t>
      </w:r>
      <w:r>
        <w:rPr>
          <w:rFonts w:ascii="Times New Roman" w:hAnsi="Times New Roman"/>
          <w:noProof/>
          <w:sz w:val="24"/>
          <w:szCs w:val="24"/>
        </w:rPr>
        <w:t>ocation of the data is not known</w:t>
      </w:r>
      <w:r>
        <w:rPr>
          <w:rStyle w:val="FootnoteReference"/>
          <w:rFonts w:ascii="Times New Roman" w:hAnsi="Times New Roman"/>
          <w:noProof/>
          <w:sz w:val="24"/>
          <w:szCs w:val="24"/>
        </w:rPr>
        <w:footnoteReference w:id="183"/>
      </w:r>
      <w:r>
        <w:rPr>
          <w:rFonts w:ascii="Times New Roman" w:hAnsi="Times New Roman"/>
          <w:noProof/>
          <w:sz w:val="24"/>
          <w:szCs w:val="24"/>
        </w:rPr>
        <w:t xml:space="preserve"> would be free to introduce national measures to regulate direct access to data. A slight increase in the number of direct access attempts could therefore be expected. This could improve the effectiveness of investigations,</w:t>
      </w:r>
      <w:r>
        <w:rPr>
          <w:rFonts w:ascii="Times New Roman" w:hAnsi="Times New Roman"/>
          <w:noProof/>
          <w:sz w:val="24"/>
          <w:szCs w:val="24"/>
        </w:rPr>
        <w:t xml:space="preserve"> as alternative judicial cooperation channels are only possible if the location of the data or of the service provider is known, and would not in all cases allow receipt of the data because of longer procedures. </w:t>
      </w:r>
    </w:p>
    <w:p w:rsidR="001B65FF" w:rsidRDefault="003E4EF4">
      <w:pPr>
        <w:pStyle w:val="Body"/>
        <w:rPr>
          <w:rFonts w:ascii="Times New Roman" w:hAnsi="Times New Roman"/>
          <w:noProof/>
          <w:sz w:val="24"/>
          <w:szCs w:val="24"/>
        </w:rPr>
      </w:pPr>
      <w:r>
        <w:rPr>
          <w:rFonts w:ascii="Times New Roman" w:hAnsi="Times New Roman"/>
          <w:noProof/>
          <w:sz w:val="24"/>
          <w:szCs w:val="24"/>
        </w:rPr>
        <w:t>The conditions and safeguards would further</w:t>
      </w:r>
      <w:r>
        <w:rPr>
          <w:rFonts w:ascii="Times New Roman" w:hAnsi="Times New Roman"/>
          <w:noProof/>
          <w:sz w:val="24"/>
          <w:szCs w:val="24"/>
        </w:rPr>
        <w:t>more help provide legal clarity to those Member States where the legal situation is unclear or subject to divergent interpretation.</w:t>
      </w:r>
    </w:p>
    <w:p w:rsidR="001B65FF" w:rsidRDefault="003E4EF4">
      <w:pPr>
        <w:pStyle w:val="Body"/>
        <w:rPr>
          <w:rFonts w:ascii="Times New Roman" w:hAnsi="Times New Roman"/>
          <w:noProof/>
          <w:sz w:val="24"/>
          <w:szCs w:val="24"/>
        </w:rPr>
      </w:pPr>
      <w:r>
        <w:rPr>
          <w:rFonts w:ascii="Times New Roman" w:hAnsi="Times New Roman"/>
          <w:noProof/>
          <w:sz w:val="24"/>
          <w:szCs w:val="24"/>
        </w:rPr>
        <w:t>Implementing conditions and safeguards in the context of already existing national solutions might lead to additional time f</w:t>
      </w:r>
      <w:r>
        <w:rPr>
          <w:rFonts w:ascii="Times New Roman" w:hAnsi="Times New Roman"/>
          <w:noProof/>
          <w:sz w:val="24"/>
          <w:szCs w:val="24"/>
        </w:rPr>
        <w:t>or public authorities to ensure compliance. This could have an adverse effect on the effectiveness of investigations. However, based on the expert input received during the consultation process, any decrease in effectiveness was regarded as being outweighe</w:t>
      </w:r>
      <w:r>
        <w:rPr>
          <w:rFonts w:ascii="Times New Roman" w:hAnsi="Times New Roman"/>
          <w:noProof/>
          <w:sz w:val="24"/>
          <w:szCs w:val="24"/>
        </w:rPr>
        <w:t>d by the harmonised framework for conditions and safeguards that would ensure the mutual acceptance of Member States.</w:t>
      </w:r>
    </w:p>
    <w:p w:rsidR="001B65FF" w:rsidRDefault="003E4EF4">
      <w:pPr>
        <w:pStyle w:val="Body"/>
        <w:rPr>
          <w:rFonts w:ascii="Times New Roman" w:hAnsi="Times New Roman"/>
          <w:noProof/>
          <w:sz w:val="24"/>
          <w:szCs w:val="24"/>
        </w:rPr>
      </w:pPr>
      <w:r>
        <w:rPr>
          <w:rFonts w:ascii="Times New Roman" w:hAnsi="Times New Roman"/>
          <w:noProof/>
          <w:sz w:val="24"/>
          <w:szCs w:val="24"/>
        </w:rPr>
        <w:t>Some non-EU countries may however object to foreign law enforcement accessing data that later can be identified as having been stored in t</w:t>
      </w:r>
      <w:r>
        <w:rPr>
          <w:rFonts w:ascii="Times New Roman" w:hAnsi="Times New Roman"/>
          <w:noProof/>
          <w:sz w:val="24"/>
          <w:szCs w:val="24"/>
        </w:rPr>
        <w:t>heir territory at the time of copying.</w:t>
      </w:r>
    </w:p>
    <w:p w:rsidR="001B65FF" w:rsidRDefault="003E4EF4">
      <w:pPr>
        <w:pStyle w:val="Body"/>
        <w:rPr>
          <w:rFonts w:ascii="Times New Roman" w:hAnsi="Times New Roman"/>
          <w:i/>
          <w:noProof/>
          <w:sz w:val="24"/>
          <w:szCs w:val="24"/>
          <w:u w:val="single"/>
        </w:rPr>
      </w:pPr>
      <w:bookmarkStart w:id="2040" w:name="_Toc498509824"/>
      <w:bookmarkStart w:id="2041" w:name="_Toc498518110"/>
      <w:r>
        <w:rPr>
          <w:rFonts w:ascii="Times New Roman" w:hAnsi="Times New Roman"/>
          <w:i/>
          <w:noProof/>
          <w:sz w:val="24"/>
          <w:szCs w:val="24"/>
          <w:u w:val="single"/>
        </w:rPr>
        <w:t>Economic impact</w:t>
      </w:r>
      <w:bookmarkEnd w:id="2040"/>
      <w:bookmarkEnd w:id="2041"/>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A legislative measure on direct access will not impose any new obligations or administrative burdens on service providers, as they are not involved during direct access.  </w:t>
      </w:r>
    </w:p>
    <w:p w:rsidR="001B65FF" w:rsidRDefault="003E4EF4">
      <w:pPr>
        <w:pStyle w:val="Body"/>
        <w:rPr>
          <w:rFonts w:ascii="Times New Roman" w:hAnsi="Times New Roman"/>
          <w:noProof/>
          <w:sz w:val="24"/>
          <w:szCs w:val="24"/>
        </w:rPr>
      </w:pPr>
      <w:r>
        <w:rPr>
          <w:rFonts w:ascii="Times New Roman" w:hAnsi="Times New Roman"/>
          <w:noProof/>
          <w:sz w:val="24"/>
          <w:szCs w:val="24"/>
        </w:rPr>
        <w:t>For public authorities, admin</w:t>
      </w:r>
      <w:r>
        <w:rPr>
          <w:rFonts w:ascii="Times New Roman" w:hAnsi="Times New Roman"/>
          <w:noProof/>
          <w:sz w:val="24"/>
          <w:szCs w:val="24"/>
        </w:rPr>
        <w:t>istrative and compliance costs arise from implementing new legislation. Alternative judicial cooperation channels are only possible if the location of the data or of the service provider is known. However, because of the specific conditions for these kinds</w:t>
      </w:r>
      <w:r>
        <w:rPr>
          <w:rFonts w:ascii="Times New Roman" w:hAnsi="Times New Roman"/>
          <w:noProof/>
          <w:sz w:val="24"/>
          <w:szCs w:val="24"/>
        </w:rPr>
        <w:t xml:space="preserve"> of measures, it is not expected that the cases will be numerous. Therefore the impact should be moderate.</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This measure should not have any cost effect on non-EU countries. </w:t>
      </w:r>
    </w:p>
    <w:p w:rsidR="001B65FF" w:rsidRDefault="003E4EF4">
      <w:pPr>
        <w:pStyle w:val="Body"/>
        <w:rPr>
          <w:rFonts w:ascii="Times New Roman" w:hAnsi="Times New Roman"/>
          <w:i/>
          <w:noProof/>
          <w:sz w:val="24"/>
          <w:szCs w:val="24"/>
          <w:u w:val="single"/>
        </w:rPr>
      </w:pPr>
      <w:bookmarkStart w:id="2042" w:name="_Toc498509825"/>
      <w:bookmarkStart w:id="2043" w:name="_Toc498518111"/>
      <w:r>
        <w:rPr>
          <w:rFonts w:ascii="Times New Roman" w:hAnsi="Times New Roman"/>
          <w:i/>
          <w:noProof/>
          <w:sz w:val="24"/>
          <w:szCs w:val="24"/>
          <w:u w:val="single"/>
        </w:rPr>
        <w:t>Fundamental rights impact</w:t>
      </w:r>
      <w:bookmarkEnd w:id="2042"/>
      <w:bookmarkEnd w:id="2043"/>
    </w:p>
    <w:p w:rsidR="001B65FF" w:rsidRDefault="003E4EF4">
      <w:pPr>
        <w:pStyle w:val="Body"/>
        <w:rPr>
          <w:rFonts w:ascii="Times New Roman" w:hAnsi="Times New Roman"/>
          <w:noProof/>
          <w:sz w:val="24"/>
          <w:szCs w:val="24"/>
          <w:bdr w:val="none" w:sz="0" w:space="0" w:color="auto" w:frame="1"/>
        </w:rPr>
      </w:pPr>
      <w:r>
        <w:rPr>
          <w:rFonts w:ascii="Times New Roman" w:hAnsi="Times New Roman"/>
          <w:noProof/>
          <w:sz w:val="24"/>
          <w:szCs w:val="24"/>
          <w:bdr w:val="none" w:sz="0" w:space="0" w:color="auto" w:frame="1"/>
        </w:rPr>
        <w:t xml:space="preserve">This option </w:t>
      </w:r>
      <w:r>
        <w:rPr>
          <w:rFonts w:ascii="Times New Roman" w:hAnsi="Times New Roman"/>
          <w:noProof/>
          <w:sz w:val="24"/>
          <w:szCs w:val="24"/>
        </w:rPr>
        <w:t>would allow public authorities to access dat</w:t>
      </w:r>
      <w:r>
        <w:rPr>
          <w:rFonts w:ascii="Times New Roman" w:hAnsi="Times New Roman"/>
          <w:noProof/>
          <w:sz w:val="24"/>
          <w:szCs w:val="24"/>
        </w:rPr>
        <w:t>a that is not publicly available and that is, in most cases, personal data.</w:t>
      </w:r>
      <w:r>
        <w:rPr>
          <w:rFonts w:ascii="Times New Roman" w:hAnsi="Times New Roman"/>
          <w:noProof/>
          <w:sz w:val="24"/>
          <w:szCs w:val="24"/>
          <w:bdr w:val="none" w:sz="0" w:space="0" w:color="auto" w:frame="1"/>
        </w:rPr>
        <w:t xml:space="preserve"> However, the intrusiveness is already inherent to the national investigative measure, such as the search and seizure measure. The EU legislation would allow public authorities to a</w:t>
      </w:r>
      <w:r>
        <w:rPr>
          <w:rFonts w:ascii="Times New Roman" w:hAnsi="Times New Roman"/>
          <w:noProof/>
          <w:sz w:val="24"/>
          <w:szCs w:val="24"/>
          <w:bdr w:val="none" w:sz="0" w:space="0" w:color="auto" w:frame="1"/>
        </w:rPr>
        <w:t>lso access data stored remotely if it is not clear whether it is stored on their territory, where this is not yet provided for in national law, i.e. it would widen the scope of the measure to data to which they may not necessarily have had access until now</w:t>
      </w:r>
      <w:r>
        <w:rPr>
          <w:rFonts w:ascii="Times New Roman" w:hAnsi="Times New Roman"/>
          <w:noProof/>
          <w:sz w:val="24"/>
          <w:szCs w:val="24"/>
          <w:bdr w:val="none" w:sz="0" w:space="0" w:color="auto" w:frame="1"/>
        </w:rPr>
        <w:t xml:space="preserve">. But whether the data is stored on a device or remotely in the cloud, on the territory of the investigating Member State or in a non-EU country, should not be a relevant factor regarding the fundamental rights protection of the data subject (which should </w:t>
      </w:r>
      <w:r>
        <w:rPr>
          <w:rFonts w:ascii="Times New Roman" w:hAnsi="Times New Roman"/>
          <w:noProof/>
          <w:sz w:val="24"/>
          <w:szCs w:val="24"/>
          <w:bdr w:val="none" w:sz="0" w:space="0" w:color="auto" w:frame="1"/>
        </w:rPr>
        <w:t>be adequate), nor regarding the sensitivity of access by public authorities.</w:t>
      </w:r>
    </w:p>
    <w:p w:rsidR="001B65FF" w:rsidRDefault="003E4EF4">
      <w:pPr>
        <w:pStyle w:val="Body"/>
        <w:rPr>
          <w:rFonts w:ascii="Times New Roman" w:hAnsi="Times New Roman"/>
          <w:noProof/>
          <w:sz w:val="24"/>
          <w:szCs w:val="24"/>
        </w:rPr>
      </w:pPr>
      <w:r>
        <w:rPr>
          <w:rFonts w:ascii="Times New Roman" w:hAnsi="Times New Roman"/>
          <w:noProof/>
          <w:sz w:val="24"/>
          <w:szCs w:val="24"/>
        </w:rPr>
        <w:t>The protection of fundamental rights of the person whose data is sought is ensured by the procedure in the issuing Member State, which is subject to national law and to applicable</w:t>
      </w:r>
      <w:r>
        <w:rPr>
          <w:rFonts w:ascii="Times New Roman" w:hAnsi="Times New Roman"/>
          <w:noProof/>
          <w:sz w:val="24"/>
          <w:szCs w:val="24"/>
        </w:rPr>
        <w:t xml:space="preserve"> EU law (including the acquis on the rights of accused and suspected persons, in particular Directive 2012/13/EU on the right to information in criminal proceedings). As the measure would</w:t>
      </w:r>
      <w:r>
        <w:rPr>
          <w:rFonts w:ascii="Times New Roman" w:hAnsi="Times New Roman"/>
          <w:noProof/>
          <w:sz w:val="24"/>
          <w:szCs w:val="24"/>
          <w:bdr w:val="none" w:sz="0" w:space="0" w:color="auto" w:frame="1"/>
        </w:rPr>
        <w:t xml:space="preserve"> preserve the competence basis for any such measure in national law, </w:t>
      </w:r>
      <w:r>
        <w:rPr>
          <w:rFonts w:ascii="Times New Roman" w:hAnsi="Times New Roman"/>
          <w:noProof/>
          <w:sz w:val="24"/>
          <w:szCs w:val="24"/>
          <w:bdr w:val="none" w:sz="0" w:space="0" w:color="auto" w:frame="1"/>
        </w:rPr>
        <w:t>all safeguards and conditions set out by the respective national law would be preserved by this instrument (including thresholds, privileges etc.).</w:t>
      </w:r>
    </w:p>
    <w:p w:rsidR="001B65FF" w:rsidRDefault="003E4EF4">
      <w:pPr>
        <w:pStyle w:val="Body"/>
        <w:rPr>
          <w:rFonts w:ascii="Times New Roman" w:hAnsi="Times New Roman"/>
          <w:noProof/>
          <w:sz w:val="24"/>
          <w:szCs w:val="24"/>
          <w:bdr w:val="none" w:sz="0" w:space="0" w:color="auto" w:frame="1"/>
        </w:rPr>
      </w:pPr>
      <w:r>
        <w:rPr>
          <w:rFonts w:ascii="Times New Roman" w:hAnsi="Times New Roman"/>
          <w:noProof/>
          <w:sz w:val="24"/>
          <w:szCs w:val="24"/>
        </w:rPr>
        <w:t xml:space="preserve">The measure would include additional conditions and safeguards mentioned in section 5 </w:t>
      </w:r>
      <w:r>
        <w:rPr>
          <w:rFonts w:ascii="Times New Roman" w:hAnsi="Times New Roman"/>
          <w:noProof/>
          <w:sz w:val="24"/>
          <w:szCs w:val="24"/>
          <w:bdr w:val="none" w:sz="0" w:space="0" w:color="auto" w:frame="1"/>
        </w:rPr>
        <w:t>to ensure that the use</w:t>
      </w:r>
      <w:r>
        <w:rPr>
          <w:rFonts w:ascii="Times New Roman" w:hAnsi="Times New Roman"/>
          <w:noProof/>
          <w:sz w:val="24"/>
          <w:szCs w:val="24"/>
          <w:bdr w:val="none" w:sz="0" w:space="0" w:color="auto" w:frame="1"/>
        </w:rPr>
        <w:t xml:space="preserve"> of this measure remains exceptional, such as the requirement that the data sought is necessary for the investigation and the measure is limited to what is necessary and proportionate to the purpose of the proceedings, also in view of the nature and gravit</w:t>
      </w:r>
      <w:r>
        <w:rPr>
          <w:rFonts w:ascii="Times New Roman" w:hAnsi="Times New Roman"/>
          <w:noProof/>
          <w:sz w:val="24"/>
          <w:szCs w:val="24"/>
          <w:bdr w:val="none" w:sz="0" w:space="0" w:color="auto" w:frame="1"/>
        </w:rPr>
        <w:t>y of the offence under investigation.</w:t>
      </w:r>
    </w:p>
    <w:p w:rsidR="001B65FF" w:rsidRDefault="003E4EF4">
      <w:pPr>
        <w:pStyle w:val="Body"/>
        <w:rPr>
          <w:rFonts w:ascii="Times New Roman" w:hAnsi="Times New Roman"/>
          <w:noProof/>
          <w:sz w:val="24"/>
          <w:szCs w:val="24"/>
          <w:bdr w:val="none" w:sz="0" w:space="0" w:color="auto" w:frame="1"/>
        </w:rPr>
      </w:pPr>
      <w:r>
        <w:rPr>
          <w:rFonts w:ascii="Times New Roman" w:hAnsi="Times New Roman"/>
          <w:noProof/>
          <w:sz w:val="24"/>
          <w:szCs w:val="24"/>
          <w:bdr w:val="none" w:sz="0" w:space="0" w:color="auto" w:frame="1"/>
        </w:rPr>
        <w:t>Where direct access takes place without the knowledge of the user concerned, user notification needs to be ensured when not already provided for by the national investigative measure and national legislation implementi</w:t>
      </w:r>
      <w:r>
        <w:rPr>
          <w:rFonts w:ascii="Times New Roman" w:hAnsi="Times New Roman"/>
          <w:noProof/>
          <w:sz w:val="24"/>
          <w:szCs w:val="24"/>
          <w:bdr w:val="none" w:sz="0" w:space="0" w:color="auto" w:frame="1"/>
        </w:rPr>
        <w:t xml:space="preserve">ng the Data Protection Directive. </w:t>
      </w:r>
    </w:p>
    <w:p w:rsidR="001B65FF" w:rsidRDefault="003E4EF4">
      <w:pPr>
        <w:pStyle w:val="Body"/>
        <w:rPr>
          <w:rFonts w:ascii="Times New Roman" w:hAnsi="Times New Roman"/>
          <w:noProof/>
          <w:sz w:val="24"/>
          <w:szCs w:val="24"/>
        </w:rPr>
      </w:pPr>
      <w:r>
        <w:rPr>
          <w:rFonts w:ascii="Times New Roman" w:hAnsi="Times New Roman"/>
          <w:noProof/>
          <w:sz w:val="24"/>
          <w:szCs w:val="24"/>
        </w:rPr>
        <w:t>The above analysis suggests that, if applied with proportionality and complemented with minimum conditions and safeguards, the measure in this policy option is compatible with fundamental rights requirements.</w:t>
      </w:r>
    </w:p>
    <w:p w:rsidR="001B65FF" w:rsidRDefault="003E4EF4">
      <w:pPr>
        <w:pStyle w:val="Body"/>
        <w:rPr>
          <w:rFonts w:ascii="Times New Roman" w:hAnsi="Times New Roman"/>
          <w:noProof/>
          <w:sz w:val="24"/>
          <w:szCs w:val="24"/>
        </w:rPr>
      </w:pPr>
      <w:r>
        <w:rPr>
          <w:rFonts w:ascii="Times New Roman" w:hAnsi="Times New Roman"/>
          <w:noProof/>
          <w:sz w:val="24"/>
          <w:szCs w:val="24"/>
        </w:rPr>
        <w:t>It should be</w:t>
      </w:r>
      <w:r>
        <w:rPr>
          <w:rFonts w:ascii="Times New Roman" w:hAnsi="Times New Roman"/>
          <w:noProof/>
          <w:sz w:val="24"/>
          <w:szCs w:val="24"/>
        </w:rPr>
        <w:t xml:space="preserve"> noted that this approach could also inspire non-EU countries to introduce a similar possibility for their law enforcement authorities. This may lead to fundamental rights issues resulting from non-EU country access to personal data of EU citizens without </w:t>
      </w:r>
      <w:r>
        <w:rPr>
          <w:rFonts w:ascii="Times New Roman" w:hAnsi="Times New Roman"/>
          <w:noProof/>
          <w:sz w:val="24"/>
          <w:szCs w:val="24"/>
        </w:rPr>
        <w:t xml:space="preserve">ensuring due process and legal safeguards comparable to EU standards. Contrary to the EPO, it is not possible to address this issue with a provision like the conflicts of law clause. </w:t>
      </w:r>
    </w:p>
    <w:p w:rsidR="001B65FF" w:rsidRDefault="003E4EF4">
      <w:pPr>
        <w:pStyle w:val="Body"/>
        <w:rPr>
          <w:rFonts w:ascii="Times New Roman" w:hAnsi="Times New Roman"/>
          <w:noProof/>
          <w:sz w:val="24"/>
          <w:szCs w:val="24"/>
        </w:rPr>
      </w:pPr>
      <w:r>
        <w:rPr>
          <w:rFonts w:ascii="Times New Roman" w:hAnsi="Times New Roman"/>
          <w:noProof/>
          <w:sz w:val="24"/>
          <w:szCs w:val="24"/>
        </w:rPr>
        <w:t>At the same time, a number of non-EU countries would not need to rely on</w:t>
      </w:r>
      <w:r>
        <w:rPr>
          <w:rFonts w:ascii="Times New Roman" w:hAnsi="Times New Roman"/>
          <w:noProof/>
          <w:sz w:val="24"/>
          <w:szCs w:val="24"/>
        </w:rPr>
        <w:t xml:space="preserve"> EU legislation, as they may have already put in place other approaches to ensure access to data, such as data localisation obligations or a more expansive set of investigative measures, including possibilities for investigators to directly access data, go</w:t>
      </w:r>
      <w:r>
        <w:rPr>
          <w:rFonts w:ascii="Times New Roman" w:hAnsi="Times New Roman"/>
          <w:noProof/>
          <w:sz w:val="24"/>
          <w:szCs w:val="24"/>
        </w:rPr>
        <w:t>ing further than what is proposed here. In that light, creating a framework for access to electronic evidence that builds on the robust protections already provided for under EU law and including specific safeguards could also set a positive example.</w:t>
      </w:r>
    </w:p>
    <w:p w:rsidR="001B65FF" w:rsidRDefault="003E4EF4">
      <w:pPr>
        <w:pStyle w:val="Heading5"/>
        <w:rPr>
          <w:rFonts w:ascii="Times New Roman" w:hAnsi="Times New Roman"/>
          <w:noProof/>
          <w:sz w:val="24"/>
          <w:u w:val="single"/>
        </w:rPr>
      </w:pPr>
      <w:bookmarkStart w:id="2044" w:name="_Toc498509826"/>
      <w:bookmarkStart w:id="2045" w:name="_Toc498518112"/>
      <w:r>
        <w:rPr>
          <w:rFonts w:ascii="Times New Roman" w:eastAsia="Times New Roman" w:hAnsi="Times New Roman" w:cs="Times New Roman"/>
          <w:b w:val="0"/>
          <w:noProof/>
          <w:color w:val="auto"/>
          <w:sz w:val="24"/>
          <w:u w:val="single"/>
        </w:rPr>
        <w:t>Measu</w:t>
      </w:r>
      <w:r>
        <w:rPr>
          <w:rFonts w:ascii="Times New Roman" w:eastAsia="Times New Roman" w:hAnsi="Times New Roman" w:cs="Times New Roman"/>
          <w:b w:val="0"/>
          <w:noProof/>
          <w:color w:val="auto"/>
          <w:sz w:val="24"/>
          <w:u w:val="single"/>
        </w:rPr>
        <w:t>re 7*: Recommendation on cross-border online searches</w:t>
      </w:r>
      <w:bookmarkEnd w:id="2044"/>
      <w:bookmarkEnd w:id="2045"/>
    </w:p>
    <w:p w:rsidR="001B65FF" w:rsidRDefault="003E4EF4">
      <w:pPr>
        <w:pStyle w:val="Body"/>
        <w:rPr>
          <w:rFonts w:ascii="Times New Roman" w:hAnsi="Times New Roman"/>
          <w:i/>
          <w:noProof/>
          <w:sz w:val="24"/>
          <w:szCs w:val="24"/>
          <w:u w:val="single"/>
        </w:rPr>
      </w:pPr>
      <w:bookmarkStart w:id="2046" w:name="_Toc498509827"/>
      <w:bookmarkStart w:id="2047" w:name="_Toc498518113"/>
      <w:r>
        <w:rPr>
          <w:rFonts w:ascii="Times New Roman" w:hAnsi="Times New Roman"/>
          <w:i/>
          <w:noProof/>
          <w:sz w:val="24"/>
          <w:szCs w:val="24"/>
          <w:u w:val="single"/>
        </w:rPr>
        <w:t>Social impact</w:t>
      </w:r>
      <w:bookmarkEnd w:id="2046"/>
      <w:bookmarkEnd w:id="2047"/>
      <w:r>
        <w:rPr>
          <w:rFonts w:ascii="Times New Roman" w:hAnsi="Times New Roman"/>
          <w:i/>
          <w:noProof/>
          <w:sz w:val="24"/>
          <w:szCs w:val="24"/>
          <w:u w:val="single"/>
        </w:rPr>
        <w:t xml:space="preserve"> </w:t>
      </w:r>
    </w:p>
    <w:p w:rsidR="001B65FF" w:rsidRDefault="003E4EF4">
      <w:pPr>
        <w:pStyle w:val="Body"/>
        <w:rPr>
          <w:rFonts w:ascii="Times New Roman" w:hAnsi="Times New Roman"/>
          <w:noProof/>
          <w:sz w:val="24"/>
          <w:szCs w:val="24"/>
        </w:rPr>
      </w:pPr>
      <w:r>
        <w:rPr>
          <w:rFonts w:ascii="Times New Roman" w:hAnsi="Times New Roman"/>
          <w:noProof/>
          <w:sz w:val="24"/>
          <w:szCs w:val="24"/>
        </w:rPr>
        <w:t xml:space="preserve">Providing conditions and safeguards for direct access, as described above, could provide a basis for those Member States who have chosen to enable direct access to do so in a manner that is mutually acceptable among Member States. </w:t>
      </w:r>
    </w:p>
    <w:p w:rsidR="001B65FF" w:rsidRDefault="003E4EF4">
      <w:pPr>
        <w:pStyle w:val="Body"/>
        <w:rPr>
          <w:rFonts w:ascii="Times New Roman" w:hAnsi="Times New Roman"/>
          <w:noProof/>
          <w:sz w:val="24"/>
          <w:szCs w:val="24"/>
        </w:rPr>
      </w:pPr>
      <w:r>
        <w:rPr>
          <w:rFonts w:ascii="Times New Roman" w:hAnsi="Times New Roman"/>
          <w:noProof/>
          <w:sz w:val="24"/>
          <w:szCs w:val="24"/>
        </w:rPr>
        <w:t>It could also contribute</w:t>
      </w:r>
      <w:r>
        <w:rPr>
          <w:rFonts w:ascii="Times New Roman" w:hAnsi="Times New Roman"/>
          <w:noProof/>
          <w:sz w:val="24"/>
          <w:szCs w:val="24"/>
        </w:rPr>
        <w:t xml:space="preserve"> to avoiding tensions and increasing mutual trust among Member States and therefore improve judicial cooperation in general.</w:t>
      </w:r>
    </w:p>
    <w:p w:rsidR="001B65FF" w:rsidRDefault="003E4EF4">
      <w:pPr>
        <w:pStyle w:val="Body"/>
        <w:rPr>
          <w:rFonts w:ascii="Times New Roman" w:hAnsi="Times New Roman"/>
          <w:noProof/>
          <w:sz w:val="24"/>
          <w:szCs w:val="24"/>
        </w:rPr>
      </w:pPr>
      <w:r>
        <w:rPr>
          <w:rFonts w:ascii="Times New Roman" w:hAnsi="Times New Roman"/>
          <w:noProof/>
          <w:sz w:val="24"/>
          <w:szCs w:val="24"/>
        </w:rPr>
        <w:t>Those Member States where such direct access to data is currently not possible when the location of the data is not known</w:t>
      </w:r>
      <w:r>
        <w:rPr>
          <w:rStyle w:val="FootnoteReference"/>
          <w:rFonts w:ascii="Times New Roman" w:hAnsi="Times New Roman"/>
          <w:noProof/>
          <w:sz w:val="24"/>
          <w:szCs w:val="24"/>
        </w:rPr>
        <w:footnoteReference w:id="184"/>
      </w:r>
      <w:r>
        <w:rPr>
          <w:rFonts w:ascii="Times New Roman" w:hAnsi="Times New Roman"/>
          <w:noProof/>
          <w:sz w:val="24"/>
          <w:szCs w:val="24"/>
        </w:rPr>
        <w:t xml:space="preserve"> would be</w:t>
      </w:r>
      <w:r>
        <w:rPr>
          <w:rFonts w:ascii="Times New Roman" w:hAnsi="Times New Roman"/>
          <w:noProof/>
          <w:sz w:val="24"/>
          <w:szCs w:val="24"/>
        </w:rPr>
        <w:t xml:space="preserve"> free to introduce national measures to regulate direct access to data and could take into account the recommended conditions and safeguards in doing so. The conditions and safeguards could furthermore provide support to those Member States where the legal</w:t>
      </w:r>
      <w:r>
        <w:rPr>
          <w:rFonts w:ascii="Times New Roman" w:hAnsi="Times New Roman"/>
          <w:noProof/>
          <w:sz w:val="24"/>
          <w:szCs w:val="24"/>
        </w:rPr>
        <w:t xml:space="preserve"> situation is unclear or subject to divergent interpretation.</w:t>
      </w:r>
    </w:p>
    <w:p w:rsidR="001B65FF" w:rsidRDefault="003E4EF4">
      <w:pPr>
        <w:pStyle w:val="Body"/>
        <w:rPr>
          <w:rFonts w:ascii="Times New Roman" w:hAnsi="Times New Roman"/>
          <w:noProof/>
          <w:sz w:val="24"/>
          <w:szCs w:val="24"/>
        </w:rPr>
      </w:pPr>
      <w:r>
        <w:rPr>
          <w:rFonts w:ascii="Times New Roman" w:hAnsi="Times New Roman"/>
          <w:noProof/>
          <w:sz w:val="24"/>
          <w:szCs w:val="24"/>
        </w:rPr>
        <w:t>However, these positive impacts would only apply to the extent to which Member States choose to implement the recommendation. Any positive impact would be limited if only a small number of Membe</w:t>
      </w:r>
      <w:r>
        <w:rPr>
          <w:rFonts w:ascii="Times New Roman" w:hAnsi="Times New Roman"/>
          <w:noProof/>
          <w:sz w:val="24"/>
          <w:szCs w:val="24"/>
        </w:rPr>
        <w:t>r States follow the recommendation as they would not be able to rely on a common framework applying to all Member States that make use of direct access. These same considerations also apply when it comes to increasing mutual trust, as a recommendation migh</w:t>
      </w:r>
      <w:r>
        <w:rPr>
          <w:rFonts w:ascii="Times New Roman" w:hAnsi="Times New Roman"/>
          <w:noProof/>
          <w:sz w:val="24"/>
          <w:szCs w:val="24"/>
        </w:rPr>
        <w:t>t not be successful in addressing disparities between Member States. It might indeed contribute to further fragmentation if implemented only partially or in a disparate or inconsistent manner.</w:t>
      </w:r>
    </w:p>
    <w:p w:rsidR="001B65FF" w:rsidRDefault="003E4EF4">
      <w:pPr>
        <w:pStyle w:val="Body"/>
        <w:rPr>
          <w:rFonts w:ascii="Times New Roman" w:hAnsi="Times New Roman"/>
          <w:i/>
          <w:noProof/>
          <w:sz w:val="24"/>
          <w:szCs w:val="24"/>
          <w:u w:val="single"/>
        </w:rPr>
      </w:pPr>
      <w:bookmarkStart w:id="2048" w:name="_Toc498509828"/>
      <w:bookmarkStart w:id="2049" w:name="_Toc498518114"/>
      <w:r>
        <w:rPr>
          <w:rFonts w:ascii="Times New Roman" w:hAnsi="Times New Roman"/>
          <w:i/>
          <w:noProof/>
          <w:sz w:val="24"/>
          <w:szCs w:val="24"/>
          <w:u w:val="single"/>
        </w:rPr>
        <w:t>Economic impact</w:t>
      </w:r>
      <w:bookmarkEnd w:id="2048"/>
      <w:bookmarkEnd w:id="2049"/>
    </w:p>
    <w:p w:rsidR="001B65FF" w:rsidRDefault="003E4EF4">
      <w:pPr>
        <w:pStyle w:val="Body"/>
        <w:rPr>
          <w:rFonts w:ascii="Times New Roman" w:hAnsi="Times New Roman"/>
          <w:noProof/>
          <w:sz w:val="24"/>
          <w:szCs w:val="24"/>
        </w:rPr>
      </w:pPr>
      <w:r>
        <w:rPr>
          <w:rFonts w:ascii="Times New Roman" w:hAnsi="Times New Roman"/>
          <w:noProof/>
          <w:sz w:val="24"/>
          <w:szCs w:val="24"/>
        </w:rPr>
        <w:t>A recommendation will not impose any new obliga</w:t>
      </w:r>
      <w:r>
        <w:rPr>
          <w:rFonts w:ascii="Times New Roman" w:hAnsi="Times New Roman"/>
          <w:noProof/>
          <w:sz w:val="24"/>
          <w:szCs w:val="24"/>
        </w:rPr>
        <w:t xml:space="preserve">tions or administrative burdens on service providers or authorities. </w:t>
      </w:r>
    </w:p>
    <w:p w:rsidR="001B65FF" w:rsidRDefault="003E4EF4">
      <w:pPr>
        <w:pStyle w:val="Body"/>
        <w:rPr>
          <w:rFonts w:ascii="Times New Roman" w:hAnsi="Times New Roman"/>
          <w:noProof/>
          <w:sz w:val="24"/>
          <w:szCs w:val="24"/>
        </w:rPr>
      </w:pPr>
      <w:r>
        <w:rPr>
          <w:rFonts w:ascii="Times New Roman" w:hAnsi="Times New Roman"/>
          <w:noProof/>
          <w:sz w:val="24"/>
          <w:szCs w:val="24"/>
        </w:rPr>
        <w:t>For Member States choosing to implement (parts of) the recommendation, administrative and compliance costs arise from implementing new legislation or adapting existing legislation, in li</w:t>
      </w:r>
      <w:r>
        <w:rPr>
          <w:rFonts w:ascii="Times New Roman" w:hAnsi="Times New Roman"/>
          <w:noProof/>
          <w:sz w:val="24"/>
          <w:szCs w:val="24"/>
        </w:rPr>
        <w:t xml:space="preserve">ne with the recommendation. </w:t>
      </w:r>
    </w:p>
    <w:p w:rsidR="001B65FF" w:rsidRDefault="003E4EF4">
      <w:pPr>
        <w:pStyle w:val="Body"/>
        <w:rPr>
          <w:rFonts w:ascii="Times New Roman" w:hAnsi="Times New Roman"/>
          <w:noProof/>
          <w:sz w:val="24"/>
          <w:szCs w:val="24"/>
        </w:rPr>
      </w:pPr>
      <w:r>
        <w:rPr>
          <w:rFonts w:ascii="Times New Roman" w:hAnsi="Times New Roman"/>
          <w:noProof/>
          <w:sz w:val="24"/>
          <w:szCs w:val="24"/>
        </w:rPr>
        <w:t>This measure should not have any effect on non-EU countries.</w:t>
      </w:r>
    </w:p>
    <w:p w:rsidR="001B65FF" w:rsidRDefault="003E4EF4">
      <w:pPr>
        <w:pStyle w:val="Body"/>
        <w:rPr>
          <w:rFonts w:ascii="Times New Roman" w:hAnsi="Times New Roman"/>
          <w:i/>
          <w:noProof/>
          <w:sz w:val="24"/>
          <w:szCs w:val="24"/>
          <w:u w:val="single"/>
        </w:rPr>
      </w:pPr>
      <w:bookmarkStart w:id="2050" w:name="_Toc498509829"/>
      <w:bookmarkStart w:id="2051" w:name="_Toc498518115"/>
      <w:r>
        <w:rPr>
          <w:rFonts w:ascii="Times New Roman" w:hAnsi="Times New Roman"/>
          <w:i/>
          <w:noProof/>
          <w:sz w:val="24"/>
          <w:szCs w:val="24"/>
          <w:u w:val="single"/>
        </w:rPr>
        <w:t>Fundamental rights impact</w:t>
      </w:r>
      <w:bookmarkEnd w:id="2050"/>
      <w:bookmarkEnd w:id="2051"/>
    </w:p>
    <w:p w:rsidR="001B65FF" w:rsidRDefault="003E4EF4">
      <w:pPr>
        <w:pStyle w:val="Body"/>
        <w:rPr>
          <w:rFonts w:ascii="Times New Roman" w:hAnsi="Times New Roman"/>
          <w:noProof/>
          <w:sz w:val="24"/>
          <w:szCs w:val="24"/>
          <w:bdr w:val="none" w:sz="0" w:space="0" w:color="auto" w:frame="1"/>
        </w:rPr>
      </w:pPr>
      <w:r>
        <w:rPr>
          <w:rFonts w:ascii="Times New Roman" w:hAnsi="Times New Roman"/>
          <w:noProof/>
          <w:sz w:val="24"/>
          <w:szCs w:val="24"/>
          <w:bdr w:val="none" w:sz="0" w:space="0" w:color="auto" w:frame="1"/>
        </w:rPr>
        <w:t xml:space="preserve">This measure </w:t>
      </w:r>
      <w:r>
        <w:rPr>
          <w:rFonts w:ascii="Times New Roman" w:hAnsi="Times New Roman"/>
          <w:noProof/>
          <w:sz w:val="24"/>
          <w:szCs w:val="24"/>
        </w:rPr>
        <w:t>would not introduce any new legal basis for direct access but rather provide a non-binding list of conditions and safeguards me</w:t>
      </w:r>
      <w:r>
        <w:rPr>
          <w:rFonts w:ascii="Times New Roman" w:hAnsi="Times New Roman"/>
          <w:noProof/>
          <w:sz w:val="24"/>
          <w:szCs w:val="24"/>
        </w:rPr>
        <w:t xml:space="preserve">ntioned in section 5 </w:t>
      </w:r>
      <w:r>
        <w:rPr>
          <w:rFonts w:ascii="Times New Roman" w:hAnsi="Times New Roman"/>
          <w:noProof/>
          <w:sz w:val="24"/>
          <w:szCs w:val="24"/>
          <w:bdr w:val="none" w:sz="0" w:space="0" w:color="auto" w:frame="1"/>
        </w:rPr>
        <w:t>to ensure that the use of direct access remains exceptional, such as the requirement that the data sought is necessary for the investigation and the measure is limited to what is necessary and proportionate to the purpose of the procee</w:t>
      </w:r>
      <w:r>
        <w:rPr>
          <w:rFonts w:ascii="Times New Roman" w:hAnsi="Times New Roman"/>
          <w:noProof/>
          <w:sz w:val="24"/>
          <w:szCs w:val="24"/>
          <w:bdr w:val="none" w:sz="0" w:space="0" w:color="auto" w:frame="1"/>
        </w:rPr>
        <w:t>dings, also in view of the nature and gravity of the offence under investigation.</w:t>
      </w:r>
    </w:p>
    <w:p w:rsidR="001B65FF" w:rsidRDefault="003E4EF4">
      <w:pPr>
        <w:pStyle w:val="Body"/>
        <w:rPr>
          <w:rFonts w:ascii="Times New Roman" w:hAnsi="Times New Roman"/>
          <w:noProof/>
          <w:sz w:val="24"/>
          <w:szCs w:val="24"/>
          <w:bdr w:val="none" w:sz="0" w:space="0" w:color="auto" w:frame="1"/>
        </w:rPr>
      </w:pPr>
      <w:r>
        <w:rPr>
          <w:rFonts w:ascii="Times New Roman" w:hAnsi="Times New Roman"/>
          <w:noProof/>
          <w:sz w:val="24"/>
          <w:szCs w:val="24"/>
          <w:bdr w:val="none" w:sz="0" w:space="0" w:color="auto" w:frame="1"/>
        </w:rPr>
        <w:t>Where direct access takes place without the knowledge of the user concerned (remote access), the recommendation would furthermore suggest that user notification needs to be e</w:t>
      </w:r>
      <w:r>
        <w:rPr>
          <w:rFonts w:ascii="Times New Roman" w:hAnsi="Times New Roman"/>
          <w:noProof/>
          <w:sz w:val="24"/>
          <w:szCs w:val="24"/>
          <w:bdr w:val="none" w:sz="0" w:space="0" w:color="auto" w:frame="1"/>
        </w:rPr>
        <w:t xml:space="preserve">nsured when not already provided for by the national investigative measure. </w:t>
      </w:r>
    </w:p>
    <w:p w:rsidR="001B65FF" w:rsidRDefault="003E4EF4">
      <w:pPr>
        <w:pStyle w:val="Body"/>
        <w:rPr>
          <w:rFonts w:ascii="Times New Roman" w:hAnsi="Times New Roman"/>
          <w:noProof/>
          <w:sz w:val="24"/>
          <w:szCs w:val="24"/>
        </w:rPr>
      </w:pPr>
      <w:r>
        <w:rPr>
          <w:rFonts w:ascii="Times New Roman" w:hAnsi="Times New Roman"/>
          <w:noProof/>
          <w:sz w:val="24"/>
          <w:szCs w:val="24"/>
        </w:rPr>
        <w:t>Such conditions and safeguards could have a positive impact on the fundamental rights impacted by national measures allowing for direct access. However, given the non-binding natu</w:t>
      </w:r>
      <w:r>
        <w:rPr>
          <w:rFonts w:ascii="Times New Roman" w:hAnsi="Times New Roman"/>
          <w:noProof/>
          <w:sz w:val="24"/>
          <w:szCs w:val="24"/>
        </w:rPr>
        <w:t>re, the impact of the measure would largely depend on Member States' willingness to adopt the proposed conditions and safeguards. Its effectiveness in further reducing the fundamental rights impact of any national legal basis for direct access could thus b</w:t>
      </w:r>
      <w:r>
        <w:rPr>
          <w:rFonts w:ascii="Times New Roman" w:hAnsi="Times New Roman"/>
          <w:noProof/>
          <w:sz w:val="24"/>
          <w:szCs w:val="24"/>
        </w:rPr>
        <w:t xml:space="preserve">e limited. </w:t>
      </w:r>
    </w:p>
    <w:p w:rsidR="001B65FF" w:rsidRDefault="003E4EF4">
      <w:pPr>
        <w:pStyle w:val="Body"/>
        <w:rPr>
          <w:rFonts w:ascii="Times New Roman" w:hAnsi="Times New Roman"/>
          <w:noProof/>
          <w:sz w:val="24"/>
          <w:szCs w:val="24"/>
        </w:rPr>
      </w:pPr>
      <w:bookmarkStart w:id="2052" w:name="_Toc498509830"/>
      <w:bookmarkStart w:id="2053" w:name="_Toc498518116"/>
      <w:r>
        <w:rPr>
          <w:rFonts w:ascii="Times New Roman" w:hAnsi="Times New Roman"/>
          <w:noProof/>
          <w:sz w:val="24"/>
          <w:szCs w:val="24"/>
        </w:rPr>
        <w:t>Discarding Measure 7*</w:t>
      </w:r>
      <w:bookmarkEnd w:id="2052"/>
      <w:bookmarkEnd w:id="2053"/>
      <w:r>
        <w:rPr>
          <w:rFonts w:ascii="Times New Roman" w:hAnsi="Times New Roman"/>
          <w:noProof/>
          <w:sz w:val="24"/>
          <w:szCs w:val="24"/>
        </w:rPr>
        <w:t>:</w:t>
      </w:r>
    </w:p>
    <w:p w:rsidR="001B65FF" w:rsidRDefault="003E4EF4">
      <w:pPr>
        <w:pStyle w:val="Body"/>
        <w:rPr>
          <w:rFonts w:ascii="Times New Roman" w:hAnsi="Times New Roman"/>
          <w:noProof/>
          <w:sz w:val="24"/>
          <w:szCs w:val="24"/>
        </w:rPr>
      </w:pPr>
      <w:r>
        <w:rPr>
          <w:rFonts w:ascii="Times New Roman" w:hAnsi="Times New Roman"/>
          <w:noProof/>
          <w:sz w:val="24"/>
          <w:szCs w:val="24"/>
        </w:rPr>
        <w:t>Given its nonbinding nature, the effectiveness of this measure would likely be limited. Its main benefit would lie in further increasing fundamental rights protections; however, these possible benefits are outweighed by t</w:t>
      </w:r>
      <w:r>
        <w:rPr>
          <w:rFonts w:ascii="Times New Roman" w:hAnsi="Times New Roman"/>
          <w:noProof/>
          <w:sz w:val="24"/>
          <w:szCs w:val="24"/>
        </w:rPr>
        <w:t>he lack of legal certainty and the added risk of fragmentation. The measure is therefore discarded.</w:t>
      </w:r>
    </w:p>
    <w:p w:rsidR="001B65FF" w:rsidRDefault="001B65FF">
      <w:pPr>
        <w:pStyle w:val="Body"/>
        <w:rPr>
          <w:rFonts w:ascii="Times New Roman" w:hAnsi="Times New Roman"/>
          <w:noProof/>
        </w:rPr>
      </w:pPr>
    </w:p>
    <w:p w:rsidR="001B65FF" w:rsidRDefault="003E4EF4">
      <w:pPr>
        <w:pStyle w:val="Heading2"/>
        <w:numPr>
          <w:ilvl w:val="0"/>
          <w:numId w:val="136"/>
        </w:numPr>
        <w:rPr>
          <w:rFonts w:ascii="Times New Roman" w:hAnsi="Times New Roman" w:cs="Times New Roman"/>
          <w:noProof/>
        </w:rPr>
      </w:pPr>
      <w:bookmarkStart w:id="2054" w:name="_Toc498509831"/>
      <w:bookmarkStart w:id="2055" w:name="_Toc498518117"/>
      <w:bookmarkStart w:id="2056" w:name="_Toc498521173"/>
      <w:bookmarkStart w:id="2057" w:name="_Toc498521333"/>
      <w:bookmarkStart w:id="2058" w:name="_Toc498702000"/>
      <w:bookmarkStart w:id="2059" w:name="_Toc498704732"/>
      <w:bookmarkStart w:id="2060" w:name="_Toc499020487"/>
      <w:bookmarkStart w:id="2061" w:name="_Toc499030421"/>
      <w:bookmarkStart w:id="2062" w:name="_Toc499044963"/>
      <w:bookmarkStart w:id="2063" w:name="_Toc499051379"/>
      <w:bookmarkStart w:id="2064" w:name="_Toc499133339"/>
      <w:bookmarkStart w:id="2065" w:name="_Toc499142909"/>
      <w:bookmarkStart w:id="2066" w:name="_Toc510952905"/>
      <w:bookmarkStart w:id="2067" w:name="_Toc492311331"/>
      <w:bookmarkStart w:id="2068" w:name="_Toc492372028"/>
      <w:r>
        <w:rPr>
          <w:rFonts w:ascii="Times New Roman" w:hAnsi="Times New Roman" w:cs="Times New Roman"/>
          <w:noProof/>
        </w:rPr>
        <w:t>Qualitative comparison of policy options</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rPr>
        <w:t xml:space="preserve">The options are compared below through listing positive (+), negative (-) and 'no-change' (0) impacts compared to </w:t>
      </w:r>
      <w:r>
        <w:rPr>
          <w:rFonts w:ascii="Times New Roman" w:hAnsi="Times New Roman" w:cs="Times New Roman"/>
          <w:noProof/>
          <w:sz w:val="24"/>
        </w:rPr>
        <w:t>the baseline, and in absolute terms, to allow scoring the baseline too. The score system ranges from -3 to +3.</w:t>
      </w:r>
    </w:p>
    <w:p w:rsidR="001B65FF" w:rsidRDefault="003E4EF4">
      <w:pPr>
        <w:rPr>
          <w:rFonts w:ascii="Times New Roman" w:hAnsi="Times New Roman" w:cs="Times New Roman"/>
          <w:b/>
          <w:noProof/>
          <w:sz w:val="24"/>
          <w:szCs w:val="24"/>
          <w:u w:val="single"/>
        </w:rPr>
      </w:pPr>
      <w:bookmarkStart w:id="2069" w:name="_Toc498509832"/>
      <w:bookmarkStart w:id="2070" w:name="_Toc498518118"/>
      <w:bookmarkStart w:id="2071" w:name="_Toc498521174"/>
      <w:bookmarkStart w:id="2072" w:name="_Toc498521334"/>
      <w:r>
        <w:rPr>
          <w:rFonts w:ascii="Times New Roman" w:hAnsi="Times New Roman" w:cs="Times New Roman"/>
          <w:b/>
          <w:noProof/>
          <w:sz w:val="24"/>
          <w:szCs w:val="24"/>
          <w:u w:val="single"/>
        </w:rPr>
        <w:t>Option 0: baseline</w:t>
      </w:r>
      <w:bookmarkEnd w:id="2069"/>
      <w:bookmarkEnd w:id="2070"/>
      <w:bookmarkEnd w:id="2071"/>
      <w:bookmarkEnd w:id="2072"/>
    </w:p>
    <w:tbl>
      <w:tblPr>
        <w:tblStyle w:val="ListTable3-Accent51"/>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85"/>
        <w:gridCol w:w="5455"/>
        <w:gridCol w:w="1080"/>
      </w:tblGrid>
      <w:tr w:rsidR="001B65FF" w:rsidTr="001B65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auto"/>
            </w:tcBorders>
            <w:shd w:val="clear" w:color="auto" w:fill="FFFFFF" w:themeFill="background1"/>
            <w:hideMark/>
          </w:tcPr>
          <w:p w:rsidR="001B65FF" w:rsidRDefault="003E4EF4">
            <w:pPr>
              <w:pStyle w:val="Boxtext"/>
              <w:spacing w:before="0"/>
              <w:jc w:val="center"/>
              <w:rPr>
                <w:rFonts w:ascii="Times New Roman" w:hAnsi="Times New Roman" w:cs="Times New Roman"/>
                <w:noProof/>
                <w:color w:val="auto"/>
                <w:sz w:val="22"/>
                <w:szCs w:val="24"/>
              </w:rPr>
            </w:pPr>
            <w:r>
              <w:rPr>
                <w:rFonts w:ascii="Times New Roman" w:hAnsi="Times New Roman" w:cs="Times New Roman"/>
                <w:noProof/>
                <w:color w:val="auto"/>
                <w:sz w:val="22"/>
                <w:szCs w:val="24"/>
              </w:rPr>
              <w:t>Criteria</w:t>
            </w:r>
          </w:p>
        </w:tc>
        <w:tc>
          <w:tcPr>
            <w:tcW w:w="5455" w:type="dxa"/>
            <w:tcBorders>
              <w:bottom w:val="single" w:sz="4" w:space="0" w:color="auto"/>
            </w:tcBorders>
            <w:shd w:val="clear" w:color="auto" w:fill="FFFFFF" w:themeFill="background1"/>
            <w:hideMark/>
          </w:tcPr>
          <w:p w:rsidR="001B65FF" w:rsidRDefault="003E4EF4">
            <w:pPr>
              <w:pStyle w:val="Box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Pr>
                <w:rFonts w:ascii="Times New Roman" w:hAnsi="Times New Roman" w:cs="Times New Roman"/>
                <w:noProof/>
                <w:color w:val="auto"/>
                <w:sz w:val="22"/>
                <w:szCs w:val="24"/>
              </w:rPr>
              <w:t>Assessment</w:t>
            </w:r>
          </w:p>
        </w:tc>
        <w:tc>
          <w:tcPr>
            <w:tcW w:w="1080" w:type="dxa"/>
            <w:tcBorders>
              <w:bottom w:val="single" w:sz="4" w:space="0" w:color="auto"/>
            </w:tcBorders>
            <w:shd w:val="clear" w:color="auto" w:fill="FFFFFF" w:themeFill="background1"/>
          </w:tcPr>
          <w:p w:rsidR="001B65FF" w:rsidRDefault="003E4EF4">
            <w:pPr>
              <w:pStyle w:val="Box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Pr>
                <w:rFonts w:ascii="Times New Roman" w:hAnsi="Times New Roman" w:cs="Times New Roman"/>
                <w:noProof/>
                <w:color w:val="auto"/>
                <w:sz w:val="22"/>
                <w:szCs w:val="24"/>
              </w:rPr>
              <w:t>Score</w:t>
            </w:r>
          </w:p>
        </w:tc>
      </w:tr>
      <w:tr w:rsidR="001B65FF" w:rsidTr="001B65FF">
        <w:trPr>
          <w:cnfStyle w:val="000000100000" w:firstRow="0" w:lastRow="0" w:firstColumn="0" w:lastColumn="0" w:oddVBand="0" w:evenVBand="0" w:oddHBand="1" w:evenHBand="0" w:firstRowFirstColumn="0" w:firstRowLastColumn="0" w:lastRowFirstColumn="0" w:lastRowLastColumn="0"/>
          <w:trHeight w:val="2102"/>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hideMark/>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Effectiveness/</w:t>
            </w:r>
          </w:p>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social impact</w:t>
            </w:r>
          </w:p>
        </w:tc>
        <w:tc>
          <w:tcPr>
            <w:tcW w:w="5455" w:type="dxa"/>
            <w:tcBorders>
              <w:top w:val="single" w:sz="4" w:space="0" w:color="auto"/>
              <w:bottom w:val="single" w:sz="4" w:space="0" w:color="auto"/>
            </w:tcBorders>
            <w:shd w:val="clear" w:color="auto" w:fill="FFFFFF" w:themeFill="background1"/>
            <w:hideMark/>
          </w:tcPr>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xml:space="preserve">Law enforcement authorities' capacity to investigate and prosecute </w:t>
            </w:r>
            <w:r>
              <w:rPr>
                <w:rFonts w:ascii="Times New Roman" w:hAnsi="Times New Roman" w:cs="Times New Roman"/>
                <w:noProof/>
                <w:lang w:val="en-GB"/>
              </w:rPr>
              <w:t>crime will not improve, but is rather expected to be reduced due to growth of electronic data and the move away from publicly available data, requiring judicial cooperation procedures where formerly a direct lookup sufficed. Even more time would be spent t</w:t>
            </w:r>
            <w:r>
              <w:rPr>
                <w:rFonts w:ascii="Times New Roman" w:hAnsi="Times New Roman" w:cs="Times New Roman"/>
                <w:noProof/>
                <w:lang w:val="en-GB"/>
              </w:rPr>
              <w:t>o access e-evidence across borders, and the number of cases which could not rely on electronic evidence would increase.</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xml:space="preserve"> - Cooperation between public authorities would probably take longer, given the unlikelihood of a growth in resources to deal with the i</w:t>
            </w:r>
            <w:r>
              <w:rPr>
                <w:rFonts w:ascii="Times New Roman" w:hAnsi="Times New Roman" w:cs="Times New Roman"/>
                <w:noProof/>
                <w:lang w:val="en-GB"/>
              </w:rPr>
              <w:t xml:space="preserve">ncreased number of MLAT/EIO requests. </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xml:space="preserve"> - In the absence of a mandatory legal framework, direct cooperation between service providers and public authorities is likely to suffer under the strain of the increasing number of requests. </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lang w:val="en-GB"/>
              </w:rPr>
              <w:t xml:space="preserve"> - Without a clear EU framework defining jurisdiction in cross-border access to e-evidence, Member States are likely to introduce different practices and legislative instruments at national level which would lead to fragmentation and more conflicts of laws</w:t>
            </w:r>
            <w:r>
              <w:rPr>
                <w:rFonts w:ascii="Times New Roman" w:hAnsi="Times New Roman" w:cs="Times New Roman"/>
                <w:noProof/>
                <w:lang w:val="en-GB"/>
              </w:rPr>
              <w:t xml:space="preserve">. </w:t>
            </w:r>
            <w:r>
              <w:rPr>
                <w:rFonts w:ascii="Times New Roman" w:hAnsi="Times New Roman" w:cs="Times New Roman"/>
                <w:noProof/>
              </w:rPr>
              <w:t>This would hamper effective cross-border cooperation.</w:t>
            </w:r>
          </w:p>
          <w:p w:rsidR="001B65FF" w:rsidRDefault="001B65F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tc>
        <w:tc>
          <w:tcPr>
            <w:tcW w:w="1080" w:type="dxa"/>
            <w:tcBorders>
              <w:top w:val="single" w:sz="4" w:space="0" w:color="auto"/>
              <w:bottom w:val="single" w:sz="4" w:space="0" w:color="auto"/>
            </w:tcBorders>
            <w:shd w:val="clear" w:color="auto" w:fill="FFFFFF" w:themeFill="background1"/>
          </w:tcPr>
          <w:p w:rsidR="001B65FF" w:rsidRDefault="003E4E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rPr>
            </w:pPr>
            <w:r>
              <w:rPr>
                <w:rFonts w:ascii="Times New Roman" w:eastAsia="Calibri" w:hAnsi="Times New Roman" w:cs="Times New Roman"/>
                <w:b/>
                <w:noProof/>
              </w:rPr>
              <w:t>-3</w:t>
            </w:r>
          </w:p>
        </w:tc>
      </w:tr>
      <w:tr w:rsidR="001B65FF" w:rsidTr="001B65FF">
        <w:trPr>
          <w:trHeight w:val="765"/>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hideMark/>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Efficiency</w:t>
            </w:r>
          </w:p>
        </w:tc>
        <w:tc>
          <w:tcPr>
            <w:tcW w:w="5455" w:type="dxa"/>
            <w:tcBorders>
              <w:top w:val="single" w:sz="4" w:space="0" w:color="auto"/>
            </w:tcBorders>
            <w:shd w:val="clear" w:color="auto" w:fill="FFFFFF" w:themeFill="background1"/>
            <w:hideMark/>
          </w:tcPr>
          <w:p w:rsidR="001B65FF" w:rsidRDefault="003E4EF4">
            <w:pPr>
              <w:pStyle w:val="Bullettables"/>
              <w:tabs>
                <w:tab w:val="clear" w:pos="360"/>
              </w:tabs>
              <w:spacing w:before="0"/>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Expected increase in number of requests will put increased burden and costs on both public authorities and service providers.</w:t>
            </w:r>
          </w:p>
        </w:tc>
        <w:tc>
          <w:tcPr>
            <w:tcW w:w="1080" w:type="dxa"/>
            <w:tcBorders>
              <w:top w:val="single" w:sz="4" w:space="0" w:color="auto"/>
            </w:tcBorders>
            <w:shd w:val="clear" w:color="auto" w:fill="FFFFFF" w:themeFill="background1"/>
          </w:tcPr>
          <w:p w:rsidR="001B65FF" w:rsidRDefault="003E4E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rPr>
            </w:pPr>
            <w:r>
              <w:rPr>
                <w:rFonts w:ascii="Times New Roman" w:eastAsia="Calibri" w:hAnsi="Times New Roman" w:cs="Times New Roman"/>
                <w:b/>
                <w:noProof/>
              </w:rPr>
              <w:t>-1</w:t>
            </w:r>
          </w:p>
        </w:tc>
      </w:tr>
      <w:tr w:rsidR="001B65FF" w:rsidTr="001B65FF">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985" w:type="dxa"/>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Competitiveness</w:t>
            </w:r>
          </w:p>
        </w:tc>
        <w:tc>
          <w:tcPr>
            <w:tcW w:w="5455" w:type="dxa"/>
            <w:shd w:val="clear" w:color="auto" w:fill="FFFFFF" w:themeFill="background1"/>
          </w:tcPr>
          <w:p w:rsidR="001B65FF" w:rsidRDefault="003E4EF4">
            <w:pPr>
              <w:pStyle w:val="Bullettables"/>
              <w:tabs>
                <w:tab w:val="clear" w:pos="360"/>
              </w:tabs>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b/>
                <w:noProof/>
                <w:sz w:val="22"/>
                <w:lang w:val="en-GB"/>
              </w:rPr>
              <w:t>-</w:t>
            </w:r>
            <w:r>
              <w:rPr>
                <w:rFonts w:ascii="Times New Roman" w:hAnsi="Times New Roman" w:cs="Times New Roman"/>
                <w:noProof/>
                <w:sz w:val="22"/>
                <w:lang w:val="en-GB"/>
              </w:rPr>
              <w:t xml:space="preserve"> Lack of legal certainty imposes burden on companies, in particular SMEs, </w:t>
            </w:r>
            <w:r>
              <w:rPr>
                <w:rFonts w:ascii="Times New Roman" w:eastAsia="Calibri" w:hAnsi="Times New Roman" w:cs="Times New Roman"/>
                <w:noProof/>
                <w:sz w:val="22"/>
                <w:lang w:val="en-GB" w:eastAsia="ar-SA"/>
              </w:rPr>
              <w:t>in which they must discern which law governs in the context of cross-border requests and where they may be liable to their users.</w:t>
            </w:r>
          </w:p>
        </w:tc>
        <w:tc>
          <w:tcPr>
            <w:tcW w:w="1080" w:type="dxa"/>
            <w:shd w:val="clear" w:color="auto" w:fill="FFFFFF" w:themeFill="background1"/>
          </w:tcPr>
          <w:p w:rsidR="001B65FF" w:rsidRDefault="003E4E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rPr>
            </w:pPr>
            <w:r>
              <w:rPr>
                <w:rFonts w:ascii="Times New Roman" w:eastAsia="Calibri" w:hAnsi="Times New Roman" w:cs="Times New Roman"/>
                <w:b/>
                <w:noProof/>
              </w:rPr>
              <w:t>-1</w:t>
            </w:r>
          </w:p>
        </w:tc>
      </w:tr>
      <w:tr w:rsidR="001B65FF" w:rsidTr="001B65FF">
        <w:trPr>
          <w:trHeight w:val="1358"/>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Fundamental rights and freedoms</w:t>
            </w:r>
          </w:p>
        </w:tc>
        <w:tc>
          <w:tcPr>
            <w:tcW w:w="5455" w:type="dxa"/>
            <w:shd w:val="clear" w:color="auto" w:fill="FFFFFF" w:themeFill="background1"/>
            <w:hideMark/>
          </w:tcPr>
          <w:p w:rsidR="001B65FF" w:rsidRDefault="003E4EF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cs="Times New Roman"/>
                <w:noProof/>
                <w:color w:val="000000"/>
                <w:lang w:val="en-GB"/>
              </w:rPr>
              <w:t>.</w:t>
            </w:r>
            <w:r>
              <w:rPr>
                <w:rFonts w:ascii="Times New Roman" w:hAnsi="Times New Roman" w:cs="Times New Roman"/>
                <w:noProof/>
                <w:lang w:val="en-GB"/>
              </w:rPr>
              <w:t>++ For judicial</w:t>
            </w:r>
            <w:r>
              <w:rPr>
                <w:rFonts w:ascii="Times New Roman" w:hAnsi="Times New Roman" w:cs="Times New Roman"/>
                <w:noProof/>
                <w:lang w:val="en-GB"/>
              </w:rPr>
              <w:t xml:space="preserve"> cooperation, a double check takes place by issuing authority and executing authority.</w:t>
            </w:r>
          </w:p>
          <w:p w:rsidR="001B65FF" w:rsidRDefault="003E4EF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Absence of legal framework for direct cooperation with service providers for non-content data may interfere with fundamental rights of the data subject</w:t>
            </w:r>
            <w:r>
              <w:rPr>
                <w:rFonts w:ascii="Times New Roman" w:eastAsia="Calibri" w:hAnsi="Times New Roman" w:cs="Times New Roman"/>
                <w:noProof/>
                <w:lang w:val="en-GB" w:eastAsia="ar-SA"/>
              </w:rPr>
              <w:t>; some service p</w:t>
            </w:r>
            <w:r>
              <w:rPr>
                <w:rFonts w:ascii="Times New Roman" w:eastAsia="Calibri" w:hAnsi="Times New Roman" w:cs="Times New Roman"/>
                <w:noProof/>
                <w:lang w:val="en-GB" w:eastAsia="ar-SA"/>
              </w:rPr>
              <w:t>roviders check legality of request for data according to law of issuing State.</w:t>
            </w:r>
          </w:p>
          <w:p w:rsidR="001B65FF" w:rsidRDefault="003E4EF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val="en-GB"/>
              </w:rPr>
            </w:pPr>
            <w:r>
              <w:rPr>
                <w:rFonts w:ascii="Times New Roman" w:eastAsia="Calibri" w:hAnsi="Times New Roman" w:cs="Times New Roman"/>
                <w:noProof/>
                <w:lang w:val="en-GB" w:eastAsia="ar-SA"/>
              </w:rPr>
              <w:t xml:space="preserve">0 </w:t>
            </w:r>
            <w:r>
              <w:rPr>
                <w:rFonts w:ascii="Times New Roman" w:hAnsi="Times New Roman" w:cs="Times New Roman"/>
                <w:noProof/>
                <w:color w:val="000000"/>
                <w:lang w:val="en-GB"/>
              </w:rPr>
              <w:t xml:space="preserve">In the absence of a mandatory regime, the rights of service providers are not affected. </w:t>
            </w:r>
          </w:p>
          <w:p w:rsidR="001B65FF" w:rsidRDefault="003E4EF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val="en-GB"/>
              </w:rPr>
            </w:pPr>
            <w:r>
              <w:rPr>
                <w:rFonts w:ascii="Times New Roman" w:hAnsi="Times New Roman" w:cs="Times New Roman"/>
                <w:noProof/>
                <w:color w:val="000000"/>
                <w:lang w:val="en-GB"/>
              </w:rPr>
              <w:t>+ Direct access takes place based on national law, high level of protection.</w:t>
            </w:r>
          </w:p>
          <w:p w:rsidR="001B65FF" w:rsidRDefault="003E4EF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lang w:val="en-GB" w:eastAsia="ar-SA"/>
              </w:rPr>
            </w:pPr>
            <w:r>
              <w:rPr>
                <w:rFonts w:ascii="Times New Roman" w:hAnsi="Times New Roman" w:cs="Times New Roman"/>
                <w:noProof/>
                <w:color w:val="000000"/>
                <w:lang w:val="en-GB"/>
              </w:rPr>
              <w:t xml:space="preserve"> - </w:t>
            </w:r>
            <w:r>
              <w:rPr>
                <w:rFonts w:ascii="Times New Roman" w:eastAsia="Calibri" w:hAnsi="Times New Roman" w:cs="Times New Roman"/>
                <w:noProof/>
                <w:lang w:val="en-GB" w:eastAsia="ar-SA"/>
              </w:rPr>
              <w:t>The pr</w:t>
            </w:r>
            <w:r>
              <w:rPr>
                <w:rFonts w:ascii="Times New Roman" w:eastAsia="Calibri" w:hAnsi="Times New Roman" w:cs="Times New Roman"/>
                <w:noProof/>
                <w:lang w:val="en-GB" w:eastAsia="ar-SA"/>
              </w:rPr>
              <w:t xml:space="preserve">oblems affecting cross-border access to electronic evidence negatively affect the fundamental rights of persons who are or may become victims of crime (right to security). </w:t>
            </w:r>
          </w:p>
        </w:tc>
        <w:tc>
          <w:tcPr>
            <w:tcW w:w="1080" w:type="dxa"/>
            <w:shd w:val="clear" w:color="auto" w:fill="FFFFFF" w:themeFill="background1"/>
          </w:tcPr>
          <w:p w:rsidR="001B65FF" w:rsidRDefault="003E4E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rPr>
            </w:pPr>
            <w:r>
              <w:rPr>
                <w:rFonts w:ascii="Times New Roman" w:eastAsia="Calibri" w:hAnsi="Times New Roman" w:cs="Times New Roman"/>
                <w:b/>
                <w:noProof/>
              </w:rPr>
              <w:t>0</w:t>
            </w:r>
          </w:p>
        </w:tc>
      </w:tr>
      <w:tr w:rsidR="001B65FF" w:rsidTr="001B65F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985" w:type="dxa"/>
          </w:tcPr>
          <w:p w:rsidR="001B65FF" w:rsidRDefault="003E4EF4">
            <w:pPr>
              <w:pStyle w:val="Boxtext"/>
              <w:spacing w:before="0" w:after="0"/>
              <w:jc w:val="left"/>
              <w:rPr>
                <w:rFonts w:ascii="Times New Roman" w:hAnsi="Times New Roman"/>
                <w:noProof/>
                <w:color w:val="auto"/>
                <w:sz w:val="22"/>
                <w:lang w:val="en-GB"/>
              </w:rPr>
            </w:pPr>
            <w:r>
              <w:rPr>
                <w:rFonts w:ascii="Times New Roman" w:hAnsi="Times New Roman" w:cs="Times New Roman"/>
                <w:noProof/>
                <w:color w:val="auto"/>
                <w:sz w:val="22"/>
                <w:lang w:val="en-GB"/>
              </w:rPr>
              <w:t>Impact on 3rd countries and international relations</w:t>
            </w:r>
          </w:p>
        </w:tc>
        <w:tc>
          <w:tcPr>
            <w:tcW w:w="5455" w:type="dxa"/>
            <w:shd w:val="clear" w:color="auto" w:fill="FFFFFF" w:themeFill="background1"/>
          </w:tcPr>
          <w:p w:rsidR="001B65FF" w:rsidRDefault="003E4EF4">
            <w:pPr>
              <w:pStyle w:val="Bullettables"/>
              <w:tabs>
                <w:tab w:val="clear" w:pos="360"/>
              </w:tabs>
              <w:spacing w:before="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xml:space="preserve">- Increased burden also for </w:t>
            </w:r>
            <w:r>
              <w:rPr>
                <w:rFonts w:ascii="Times New Roman" w:hAnsi="Times New Roman" w:cs="Times New Roman"/>
                <w:noProof/>
                <w:sz w:val="22"/>
                <w:lang w:val="en-GB"/>
              </w:rPr>
              <w:t>non-EU countries’authorities as number of MLA procedures increase.</w:t>
            </w:r>
          </w:p>
          <w:p w:rsidR="001B65FF" w:rsidRDefault="003E4EF4">
            <w:pPr>
              <w:pStyle w:val="Bullettables"/>
              <w:tabs>
                <w:tab w:val="clear" w:pos="360"/>
              </w:tabs>
              <w:spacing w:before="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Increased risk of conflicts of law for service providers due to diverging national solutions.</w:t>
            </w:r>
          </w:p>
          <w:p w:rsidR="001B65FF" w:rsidRDefault="003E4EF4">
            <w:pPr>
              <w:pStyle w:val="Bullettables"/>
              <w:tabs>
                <w:tab w:val="clear" w:pos="360"/>
              </w:tabs>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0 No impact on reciprocity.</w:t>
            </w:r>
          </w:p>
          <w:p w:rsidR="001B65FF" w:rsidRDefault="001B65FF">
            <w:pPr>
              <w:pStyle w:val="Bullettables"/>
              <w:tabs>
                <w:tab w:val="clear" w:pos="360"/>
              </w:tabs>
              <w:spacing w:before="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p>
        </w:tc>
        <w:tc>
          <w:tcPr>
            <w:tcW w:w="1080" w:type="dxa"/>
            <w:shd w:val="clear" w:color="auto" w:fill="FFFFFF" w:themeFill="background1"/>
          </w:tcPr>
          <w:p w:rsidR="001B65FF" w:rsidRDefault="003E4E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rPr>
            </w:pPr>
            <w:r>
              <w:rPr>
                <w:rFonts w:ascii="Times New Roman" w:eastAsia="Calibri" w:hAnsi="Times New Roman" w:cs="Times New Roman"/>
                <w:b/>
                <w:noProof/>
              </w:rPr>
              <w:t>-1</w:t>
            </w:r>
          </w:p>
        </w:tc>
      </w:tr>
    </w:tbl>
    <w:p w:rsidR="001B65FF" w:rsidRDefault="001B65FF">
      <w:pPr>
        <w:rPr>
          <w:rFonts w:ascii="Times New Roman" w:hAnsi="Times New Roman" w:cs="Times New Roman"/>
          <w:noProof/>
        </w:rPr>
      </w:pPr>
    </w:p>
    <w:p w:rsidR="001B65FF" w:rsidRDefault="003E4EF4">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 </w:t>
      </w:r>
      <w:bookmarkStart w:id="2073" w:name="_Toc498509833"/>
      <w:bookmarkStart w:id="2074" w:name="_Toc498518119"/>
      <w:bookmarkStart w:id="2075" w:name="_Toc498521175"/>
      <w:bookmarkStart w:id="2076" w:name="_Toc498521335"/>
      <w:r>
        <w:rPr>
          <w:rFonts w:ascii="Times New Roman" w:hAnsi="Times New Roman" w:cs="Times New Roman"/>
          <w:b/>
          <w:noProof/>
          <w:sz w:val="24"/>
          <w:szCs w:val="24"/>
          <w:u w:val="single"/>
        </w:rPr>
        <w:t>Option A: non-legislative action</w:t>
      </w:r>
      <w:bookmarkEnd w:id="2073"/>
      <w:bookmarkEnd w:id="2074"/>
      <w:bookmarkEnd w:id="2075"/>
      <w:bookmarkEnd w:id="2076"/>
    </w:p>
    <w:tbl>
      <w:tblPr>
        <w:tblStyle w:val="ListTable3-Accent51"/>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85"/>
        <w:gridCol w:w="5455"/>
        <w:gridCol w:w="1065"/>
      </w:tblGrid>
      <w:tr w:rsidR="001B65FF" w:rsidTr="001B65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shd w:val="clear" w:color="auto" w:fill="FFFFFF" w:themeFill="background1"/>
            <w:hideMark/>
          </w:tcPr>
          <w:p w:rsidR="001B65FF" w:rsidRDefault="003E4EF4">
            <w:pPr>
              <w:pStyle w:val="Boxtext"/>
              <w:spacing w:before="0" w:after="0"/>
              <w:rPr>
                <w:rFonts w:ascii="Times New Roman" w:hAnsi="Times New Roman" w:cs="Times New Roman"/>
                <w:noProof/>
                <w:color w:val="auto"/>
                <w:sz w:val="22"/>
                <w:szCs w:val="24"/>
              </w:rPr>
            </w:pPr>
            <w:r>
              <w:rPr>
                <w:rFonts w:ascii="Times New Roman" w:hAnsi="Times New Roman" w:cs="Times New Roman"/>
                <w:noProof/>
                <w:color w:val="auto"/>
                <w:sz w:val="22"/>
                <w:szCs w:val="24"/>
              </w:rPr>
              <w:t>Criteria</w:t>
            </w:r>
          </w:p>
        </w:tc>
        <w:tc>
          <w:tcPr>
            <w:tcW w:w="5455" w:type="dxa"/>
            <w:shd w:val="clear" w:color="auto" w:fill="FFFFFF" w:themeFill="background1"/>
            <w:hideMark/>
          </w:tcPr>
          <w:p w:rsidR="001B65FF" w:rsidRDefault="003E4EF4">
            <w:pPr>
              <w:pStyle w:val="Boxtext"/>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Pr>
                <w:rFonts w:ascii="Times New Roman" w:hAnsi="Times New Roman" w:cs="Times New Roman"/>
                <w:noProof/>
                <w:color w:val="auto"/>
                <w:sz w:val="22"/>
                <w:szCs w:val="24"/>
              </w:rPr>
              <w:t>Assessment</w:t>
            </w:r>
          </w:p>
        </w:tc>
        <w:tc>
          <w:tcPr>
            <w:tcW w:w="1065" w:type="dxa"/>
            <w:shd w:val="clear" w:color="auto" w:fill="FFFFFF" w:themeFill="background1"/>
          </w:tcPr>
          <w:p w:rsidR="001B65FF" w:rsidRDefault="003E4EF4">
            <w:pPr>
              <w:pStyle w:val="Boxtext"/>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Pr>
                <w:rFonts w:ascii="Times New Roman" w:hAnsi="Times New Roman" w:cs="Times New Roman"/>
                <w:noProof/>
                <w:color w:val="auto"/>
                <w:sz w:val="22"/>
                <w:szCs w:val="24"/>
              </w:rPr>
              <w:t>Score</w:t>
            </w:r>
          </w:p>
        </w:tc>
      </w:tr>
      <w:tr w:rsidR="001B65FF" w:rsidTr="001B65FF">
        <w:trPr>
          <w:cnfStyle w:val="000000100000" w:firstRow="0" w:lastRow="0" w:firstColumn="0" w:lastColumn="0" w:oddVBand="0" w:evenVBand="0" w:oddHBand="1" w:evenHBand="0" w:firstRowFirstColumn="0" w:firstRowLastColumn="0" w:lastRowFirstColumn="0" w:lastRowLastColumn="0"/>
          <w:trHeight w:val="2102"/>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rPr>
                <w:rFonts w:ascii="Times New Roman" w:hAnsi="Times New Roman" w:cs="Times New Roman"/>
                <w:noProof/>
                <w:color w:val="auto"/>
                <w:sz w:val="22"/>
              </w:rPr>
            </w:pPr>
            <w:r>
              <w:rPr>
                <w:rFonts w:ascii="Times New Roman" w:hAnsi="Times New Roman" w:cs="Times New Roman"/>
                <w:noProof/>
                <w:color w:val="auto"/>
                <w:sz w:val="22"/>
              </w:rPr>
              <w:t>Effectiveness/</w:t>
            </w:r>
          </w:p>
          <w:p w:rsidR="001B65FF" w:rsidRDefault="003E4EF4">
            <w:pPr>
              <w:pStyle w:val="Boxtext"/>
              <w:spacing w:before="0" w:after="0"/>
              <w:rPr>
                <w:rFonts w:ascii="Times New Roman" w:hAnsi="Times New Roman" w:cs="Times New Roman"/>
                <w:noProof/>
                <w:color w:val="auto"/>
                <w:sz w:val="24"/>
              </w:rPr>
            </w:pPr>
            <w:r>
              <w:rPr>
                <w:rFonts w:ascii="Times New Roman" w:hAnsi="Times New Roman" w:cs="Times New Roman"/>
                <w:noProof/>
                <w:color w:val="auto"/>
                <w:sz w:val="22"/>
              </w:rPr>
              <w:t>social impact</w:t>
            </w:r>
          </w:p>
        </w:tc>
        <w:tc>
          <w:tcPr>
            <w:tcW w:w="5455" w:type="dxa"/>
            <w:shd w:val="clear" w:color="auto" w:fill="FFFFFF" w:themeFill="background1"/>
            <w:hideMark/>
          </w:tcPr>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More effective investigations and prosecutions, savings for both public authorities and service providers.</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xml:space="preserve">+ Foreseen training and sharing of guidelines and best practices as well as creation of SPOCs or single points of </w:t>
            </w:r>
            <w:r>
              <w:rPr>
                <w:rFonts w:ascii="Times New Roman" w:hAnsi="Times New Roman" w:cs="Times New Roman"/>
                <w:noProof/>
                <w:lang w:val="en-GB"/>
              </w:rPr>
              <w:t>entry should improve the quality and the treatment of requests, to the benefit of both for judicial cooperation channels and for voluntary cooperation.</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Streamlining of procedures and standards could increase effectiveness of voluntary cooperation channel</w:t>
            </w:r>
            <w:r>
              <w:rPr>
                <w:rFonts w:ascii="Times New Roman" w:hAnsi="Times New Roman" w:cs="Times New Roman"/>
                <w:noProof/>
                <w:lang w:val="en-GB"/>
              </w:rPr>
              <w:t>s.</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Increase in total number of requests because requests that were not done previously because of the complexity/ lack of knowledge about the procedure would now be done, i.e. more evidence available for investigations and prosecutions.</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lang w:val="en-GB" w:eastAsia="ar-SA"/>
              </w:rPr>
            </w:pPr>
            <w:r>
              <w:rPr>
                <w:rFonts w:ascii="Times New Roman" w:hAnsi="Times New Roman" w:cs="Times New Roman"/>
                <w:b/>
                <w:noProof/>
                <w:lang w:val="en-GB"/>
              </w:rPr>
              <w:t>-</w:t>
            </w:r>
            <w:r>
              <w:rPr>
                <w:rFonts w:ascii="Times New Roman" w:hAnsi="Times New Roman" w:cs="Times New Roman"/>
                <w:noProof/>
                <w:lang w:val="en-GB"/>
              </w:rPr>
              <w:t xml:space="preserve"> Effectiveness o</w:t>
            </w:r>
            <w:r>
              <w:rPr>
                <w:rFonts w:ascii="Times New Roman" w:hAnsi="Times New Roman" w:cs="Times New Roman"/>
                <w:noProof/>
                <w:lang w:val="en-GB"/>
              </w:rPr>
              <w:t xml:space="preserve">f measures will depend on willingness to implement them. </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lang w:val="en-GB" w:eastAsia="ar-SA"/>
              </w:rPr>
            </w:pPr>
            <w:r>
              <w:rPr>
                <w:rFonts w:ascii="Times New Roman" w:eastAsia="Calibri" w:hAnsi="Times New Roman" w:cs="Times New Roman"/>
                <w:noProof/>
                <w:lang w:val="en-GB" w:eastAsia="ar-SA"/>
              </w:rPr>
              <w:t xml:space="preserve">But improvements will not affect shortcomings of legal framework. </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b/>
                <w:noProof/>
                <w:lang w:val="en-GB"/>
              </w:rPr>
              <w:t>--</w:t>
            </w:r>
            <w:r>
              <w:rPr>
                <w:rFonts w:ascii="Times New Roman" w:hAnsi="Times New Roman" w:cs="Times New Roman"/>
                <w:noProof/>
                <w:lang w:val="en-GB"/>
              </w:rPr>
              <w:t xml:space="preserve"> None of the proposed practical measures solve the issue of fragmentation linked to the divergent legislation EU Member States: t</w:t>
            </w:r>
            <w:r>
              <w:rPr>
                <w:rFonts w:ascii="Times New Roman" w:hAnsi="Times New Roman" w:cs="Times New Roman"/>
                <w:noProof/>
                <w:lang w:val="en-GB"/>
              </w:rPr>
              <w:t>hey will not be sufficient: i) to provide to EU citizens/residents the same standard of transparency and rule of law regarding the disclosure of their data, which depend on the conclusion and the content of agreements between their Member State(s) and thei</w:t>
            </w:r>
            <w:r>
              <w:rPr>
                <w:rFonts w:ascii="Times New Roman" w:hAnsi="Times New Roman" w:cs="Times New Roman"/>
                <w:noProof/>
                <w:lang w:val="en-GB"/>
              </w:rPr>
              <w:t>r provider(s); ii) to reduce the different approaches among private companies offering the same services, as the legal framework and obligations vis-à-vis law enforcement/judicial authorities depend on their nationality (EU or US) and their statute (intern</w:t>
            </w:r>
            <w:r>
              <w:rPr>
                <w:rFonts w:ascii="Times New Roman" w:hAnsi="Times New Roman" w:cs="Times New Roman"/>
                <w:noProof/>
                <w:lang w:val="en-GB"/>
              </w:rPr>
              <w:t>et providers or telecom).</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lang w:val="en-GB" w:eastAsia="ar-SA"/>
              </w:rPr>
            </w:pPr>
            <w:r>
              <w:rPr>
                <w:rFonts w:ascii="Times New Roman" w:eastAsia="Calibri" w:hAnsi="Times New Roman" w:cs="Times New Roman"/>
                <w:noProof/>
                <w:lang w:val="en-GB" w:eastAsia="ar-SA"/>
              </w:rPr>
              <w:t>--The issue of transparency and accountability of service providers and law enforcement in the context of direct requests is not addressed.</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eastAsia="Calibri" w:hAnsi="Times New Roman" w:cs="Times New Roman"/>
                <w:noProof/>
                <w:lang w:val="en-GB"/>
              </w:rPr>
              <w:t xml:space="preserve">+ The platform and form to exchange EIO requests will </w:t>
            </w:r>
            <w:r>
              <w:rPr>
                <w:rFonts w:ascii="Times New Roman" w:hAnsi="Times New Roman" w:cs="Times New Roman"/>
                <w:noProof/>
                <w:lang w:val="en-GB"/>
              </w:rPr>
              <w:t>allow public authorities to secure a</w:t>
            </w:r>
            <w:r>
              <w:rPr>
                <w:rFonts w:ascii="Times New Roman" w:hAnsi="Times New Roman" w:cs="Times New Roman"/>
                <w:noProof/>
                <w:lang w:val="en-GB"/>
              </w:rPr>
              <w:t>nd obtain e-evidence more quickly and effectively, whilst fulfilling the necessary security requirements;</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lang w:val="en-GB"/>
              </w:rPr>
            </w:pPr>
            <w:r>
              <w:rPr>
                <w:rFonts w:ascii="Times New Roman" w:eastAsia="Calibri" w:hAnsi="Times New Roman" w:cs="Times New Roman"/>
                <w:noProof/>
                <w:lang w:val="en-GB"/>
              </w:rPr>
              <w:t>+ The platform would enable better collection of statistics, indicators and evaluation of the instrument.</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lang w:val="en-GB"/>
              </w:rPr>
            </w:pPr>
            <w:r>
              <w:rPr>
                <w:rFonts w:ascii="Times New Roman" w:eastAsia="Calibri" w:hAnsi="Times New Roman" w:cs="Times New Roman"/>
                <w:noProof/>
                <w:lang w:val="en-GB"/>
              </w:rPr>
              <w:t>- EIO's scope is limited to EU territory, an</w:t>
            </w:r>
            <w:r>
              <w:rPr>
                <w:rFonts w:ascii="Times New Roman" w:eastAsia="Calibri" w:hAnsi="Times New Roman" w:cs="Times New Roman"/>
                <w:noProof/>
                <w:lang w:val="en-GB"/>
              </w:rPr>
              <w:t>d will not cover service providers headquartered in non-EU countries, nor in Ireland and Denmark.</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xml:space="preserve">- The mutual recognition process would not be fundamentally changed, meaning that the process will remain longer and more resource-intensive when compared to </w:t>
            </w:r>
            <w:r>
              <w:rPr>
                <w:rFonts w:ascii="Times New Roman" w:hAnsi="Times New Roman" w:cs="Times New Roman"/>
                <w:noProof/>
                <w:lang w:val="en-GB"/>
              </w:rPr>
              <w:t>direct cooperation with service providers.</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The issue linked to access to the WHOIS database would not be solved.</w:t>
            </w:r>
          </w:p>
        </w:tc>
        <w:tc>
          <w:tcPr>
            <w:tcW w:w="1065" w:type="dxa"/>
            <w:shd w:val="clear" w:color="auto" w:fill="FFFFFF" w:themeFill="background1"/>
          </w:tcPr>
          <w:p w:rsidR="001B65FF" w:rsidRDefault="003E4E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rPr>
            </w:pPr>
            <w:r>
              <w:rPr>
                <w:rFonts w:ascii="Times New Roman" w:eastAsia="Calibri" w:hAnsi="Times New Roman" w:cs="Times New Roman"/>
                <w:b/>
                <w:noProof/>
              </w:rPr>
              <w:t>-2</w:t>
            </w:r>
          </w:p>
        </w:tc>
      </w:tr>
      <w:tr w:rsidR="001B65FF" w:rsidTr="001B65FF">
        <w:trPr>
          <w:trHeight w:val="1142"/>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rPr>
                <w:rFonts w:ascii="Times New Roman" w:hAnsi="Times New Roman" w:cs="Times New Roman"/>
                <w:noProof/>
                <w:color w:val="auto"/>
                <w:sz w:val="24"/>
              </w:rPr>
            </w:pPr>
            <w:r>
              <w:rPr>
                <w:rFonts w:ascii="Times New Roman" w:hAnsi="Times New Roman" w:cs="Times New Roman"/>
                <w:noProof/>
                <w:color w:val="auto"/>
                <w:sz w:val="22"/>
              </w:rPr>
              <w:t>Efficiency</w:t>
            </w:r>
          </w:p>
        </w:tc>
        <w:tc>
          <w:tcPr>
            <w:tcW w:w="5455" w:type="dxa"/>
            <w:shd w:val="clear" w:color="auto" w:fill="FFFFFF" w:themeFill="background1"/>
            <w:hideMark/>
          </w:tcPr>
          <w:p w:rsidR="001B65FF" w:rsidRDefault="003E4EF4">
            <w:pPr>
              <w:pStyle w:val="Bullettables"/>
              <w:tabs>
                <w:tab w:val="clear" w:pos="360"/>
              </w:tabs>
              <w:spacing w:before="0"/>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Administrative costs would be incurred by public authorities and service providers for implementing practical measures.</w:t>
            </w:r>
          </w:p>
          <w:p w:rsidR="001B65FF" w:rsidRDefault="003E4EF4">
            <w:pPr>
              <w:pStyle w:val="Bullettables"/>
              <w:tabs>
                <w:tab w:val="clear" w:pos="360"/>
              </w:tabs>
              <w:spacing w:before="0"/>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xml:space="preserve">+ </w:t>
            </w:r>
            <w:r>
              <w:rPr>
                <w:rFonts w:ascii="Times New Roman" w:hAnsi="Times New Roman" w:cs="Times New Roman"/>
                <w:noProof/>
                <w:sz w:val="22"/>
                <w:lang w:val="en-GB"/>
              </w:rPr>
              <w:t>Practical measures may lead to a slight shift from judicial cooperation channels to direct cooperation channels, generating savings</w:t>
            </w:r>
          </w:p>
          <w:p w:rsidR="001B65FF" w:rsidRDefault="003E4EF4">
            <w:pPr>
              <w:pStyle w:val="Bullettables"/>
              <w:tabs>
                <w:tab w:val="clear" w:pos="360"/>
              </w:tabs>
              <w:spacing w:before="0"/>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2"/>
                <w:lang w:val="en-GB"/>
              </w:rPr>
            </w:pPr>
            <w:r>
              <w:rPr>
                <w:rFonts w:ascii="Times New Roman" w:hAnsi="Times New Roman" w:cs="Times New Roman"/>
                <w:noProof/>
                <w:sz w:val="22"/>
                <w:lang w:val="en-GB"/>
              </w:rPr>
              <w:t>+ Carrying out the measures would improve the quality of requests, leading to a reduction in resources for both public and p</w:t>
            </w:r>
            <w:r>
              <w:rPr>
                <w:rFonts w:ascii="Times New Roman" w:hAnsi="Times New Roman" w:cs="Times New Roman"/>
                <w:noProof/>
                <w:sz w:val="22"/>
                <w:lang w:val="en-GB"/>
              </w:rPr>
              <w:t>rivate entities.</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SPOC system and standardised procedures could reduce burden on service providers and public authorities.</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EIO platform and form:</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b/>
                <w:noProof/>
                <w:sz w:val="22"/>
                <w:lang w:val="en-GB"/>
              </w:rPr>
              <w:t>-</w:t>
            </w:r>
            <w:r>
              <w:rPr>
                <w:rFonts w:ascii="Times New Roman" w:hAnsi="Times New Roman" w:cs="Times New Roman"/>
                <w:noProof/>
                <w:sz w:val="22"/>
                <w:lang w:val="en-GB"/>
              </w:rPr>
              <w:t xml:space="preserve"> Initial increase to baseline costs for EU budget and Member States in developing and connecting to the secure online secure platform.</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Once platform is up and running, costs will be reduced compared to the baseline.</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xml:space="preserve"> - Member States public authorities w</w:t>
            </w:r>
            <w:r>
              <w:rPr>
                <w:rFonts w:ascii="Times New Roman" w:hAnsi="Times New Roman" w:cs="Times New Roman"/>
                <w:noProof/>
                <w:sz w:val="22"/>
                <w:lang w:val="en-GB"/>
              </w:rPr>
              <w:t xml:space="preserve">ill incur some costs in disseminating the electronic form to their judicial authorities, if it is already used before the platform is up and running. </w:t>
            </w:r>
          </w:p>
        </w:tc>
        <w:tc>
          <w:tcPr>
            <w:tcW w:w="1065" w:type="dxa"/>
            <w:shd w:val="clear" w:color="auto" w:fill="FFFFFF" w:themeFill="background1"/>
          </w:tcPr>
          <w:p w:rsidR="001B65FF" w:rsidRDefault="003E4E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rPr>
            </w:pPr>
            <w:r>
              <w:rPr>
                <w:rFonts w:ascii="Times New Roman" w:eastAsia="Calibri" w:hAnsi="Times New Roman" w:cs="Times New Roman"/>
                <w:b/>
                <w:noProof/>
              </w:rPr>
              <w:t>-0,5</w:t>
            </w:r>
          </w:p>
        </w:tc>
      </w:tr>
      <w:tr w:rsidR="001B65FF" w:rsidTr="001B65FF">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985" w:type="dxa"/>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Competitiveness</w:t>
            </w:r>
          </w:p>
        </w:tc>
        <w:tc>
          <w:tcPr>
            <w:tcW w:w="5455" w:type="dxa"/>
            <w:shd w:val="clear" w:color="auto" w:fill="FFFFFF" w:themeFill="background1"/>
          </w:tcPr>
          <w:p w:rsidR="001B65FF" w:rsidRDefault="003E4EF4">
            <w:pPr>
              <w:pStyle w:val="Bullettables"/>
              <w:tabs>
                <w:tab w:val="clear" w:pos="360"/>
              </w:tabs>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0 No impact compared to baseline scenario</w:t>
            </w:r>
          </w:p>
        </w:tc>
        <w:tc>
          <w:tcPr>
            <w:tcW w:w="1065" w:type="dxa"/>
            <w:shd w:val="clear" w:color="auto" w:fill="FFFFFF" w:themeFill="background1"/>
          </w:tcPr>
          <w:p w:rsidR="001B65FF" w:rsidRDefault="003E4E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rPr>
            </w:pPr>
            <w:r>
              <w:rPr>
                <w:rFonts w:ascii="Times New Roman" w:eastAsia="Calibri" w:hAnsi="Times New Roman" w:cs="Times New Roman"/>
                <w:b/>
                <w:noProof/>
              </w:rPr>
              <w:t>-1</w:t>
            </w:r>
          </w:p>
        </w:tc>
      </w:tr>
      <w:tr w:rsidR="001B65FF" w:rsidTr="001B65FF">
        <w:trPr>
          <w:trHeight w:val="981"/>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Fundamental rights and freedoms</w:t>
            </w:r>
          </w:p>
        </w:tc>
        <w:tc>
          <w:tcPr>
            <w:tcW w:w="5455" w:type="dxa"/>
            <w:shd w:val="clear" w:color="auto" w:fill="FFFFFF" w:themeFill="background1"/>
            <w:hideMark/>
          </w:tcPr>
          <w:p w:rsidR="001B65FF" w:rsidRDefault="003E4EF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lang w:val="en-GB" w:eastAsia="ar-SA"/>
              </w:rPr>
            </w:pPr>
            <w:r>
              <w:rPr>
                <w:rFonts w:ascii="Times New Roman" w:hAnsi="Times New Roman" w:cs="Times New Roman"/>
                <w:noProof/>
                <w:lang w:val="en-GB"/>
              </w:rPr>
              <w:t xml:space="preserve">0 </w:t>
            </w:r>
            <w:r>
              <w:rPr>
                <w:rFonts w:ascii="Times New Roman" w:eastAsia="Calibri" w:hAnsi="Times New Roman" w:cs="Times New Roman"/>
                <w:noProof/>
                <w:lang w:val="en-GB" w:eastAsia="ar-SA"/>
              </w:rPr>
              <w:t xml:space="preserve">Only limited impact can be expected from platform compared to the baseline, no impact from the other practical measures. </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eastAsia="Calibri" w:hAnsi="Times New Roman" w:cs="Times New Roman"/>
                <w:noProof/>
                <w:lang w:val="en-GB" w:eastAsia="ar-SA"/>
              </w:rPr>
              <w:t xml:space="preserve">(+) </w:t>
            </w:r>
            <w:r>
              <w:rPr>
                <w:rFonts w:ascii="Times New Roman" w:hAnsi="Times New Roman" w:cs="Times New Roman"/>
                <w:noProof/>
                <w:sz w:val="22"/>
                <w:lang w:val="en-GB"/>
              </w:rPr>
              <w:t>Setting up a secure online platform for authorities to exchange EIO/ MLA requests which ensures confidentiality of all data assets</w:t>
            </w:r>
            <w:r>
              <w:rPr>
                <w:rFonts w:ascii="Times New Roman" w:hAnsi="Times New Roman" w:cs="Times New Roman"/>
                <w:noProof/>
                <w:sz w:val="22"/>
                <w:lang w:val="en-GB"/>
              </w:rPr>
              <w:t xml:space="preserve"> may have a positive effect on the protection of personal data</w:t>
            </w:r>
            <w:r>
              <w:rPr>
                <w:rFonts w:ascii="Times New Roman" w:eastAsiaTheme="minorHAnsi" w:hAnsi="Times New Roman" w:cs="Times New Roman"/>
                <w:noProof/>
                <w:sz w:val="22"/>
                <w:lang w:val="en-GB"/>
              </w:rPr>
              <w:t>.</w:t>
            </w:r>
            <w:r>
              <w:rPr>
                <w:rFonts w:ascii="Times New Roman" w:hAnsi="Times New Roman" w:cs="Times New Roman"/>
                <w:noProof/>
                <w:sz w:val="22"/>
                <w:lang w:val="en-GB"/>
              </w:rPr>
              <w:t xml:space="preserve"> </w:t>
            </w:r>
          </w:p>
        </w:tc>
        <w:tc>
          <w:tcPr>
            <w:tcW w:w="1065" w:type="dxa"/>
            <w:shd w:val="clear" w:color="auto" w:fill="FFFFFF" w:themeFill="background1"/>
          </w:tcPr>
          <w:p w:rsidR="001B65FF" w:rsidRDefault="003E4EF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rPr>
            </w:pPr>
            <w:r>
              <w:rPr>
                <w:rFonts w:ascii="Times New Roman" w:eastAsia="Calibri" w:hAnsi="Times New Roman" w:cs="Times New Roman"/>
                <w:b/>
                <w:noProof/>
              </w:rPr>
              <w:t>0</w:t>
            </w:r>
          </w:p>
        </w:tc>
      </w:tr>
      <w:tr w:rsidR="001B65FF" w:rsidTr="001B65F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5" w:type="dxa"/>
          </w:tcPr>
          <w:p w:rsidR="001B65FF" w:rsidRDefault="003E4EF4">
            <w:pPr>
              <w:pStyle w:val="Boxtext"/>
              <w:spacing w:before="0" w:after="0"/>
              <w:jc w:val="left"/>
              <w:rPr>
                <w:rFonts w:ascii="Times New Roman" w:hAnsi="Times New Roman"/>
                <w:noProof/>
                <w:color w:val="auto"/>
                <w:sz w:val="22"/>
                <w:lang w:val="en-GB"/>
              </w:rPr>
            </w:pPr>
            <w:r>
              <w:rPr>
                <w:rFonts w:ascii="Times New Roman" w:hAnsi="Times New Roman" w:cs="Times New Roman"/>
                <w:noProof/>
                <w:color w:val="auto"/>
                <w:sz w:val="22"/>
                <w:lang w:val="en-GB"/>
              </w:rPr>
              <w:t>Impact on 3rd countries and international relations</w:t>
            </w:r>
          </w:p>
        </w:tc>
        <w:tc>
          <w:tcPr>
            <w:tcW w:w="5455" w:type="dxa"/>
            <w:shd w:val="clear" w:color="auto" w:fill="FFFFFF" w:themeFill="background1"/>
          </w:tcPr>
          <w:p w:rsidR="001B65FF" w:rsidRDefault="003E4EF4">
            <w:pPr>
              <w:pStyle w:val="Bullettables"/>
              <w:tabs>
                <w:tab w:val="clear" w:pos="360"/>
              </w:tabs>
              <w:spacing w:before="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0 Limited impact compared to baseline scenario</w:t>
            </w:r>
          </w:p>
          <w:p w:rsidR="001B65FF" w:rsidRDefault="003E4EF4">
            <w:pPr>
              <w:pStyle w:val="Bullettables"/>
              <w:tabs>
                <w:tab w:val="clear" w:pos="360"/>
              </w:tabs>
              <w:spacing w:before="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xml:space="preserve">(+)Training of EU practitioners in US law requirements will reduce costs also for US </w:t>
            </w:r>
            <w:r>
              <w:rPr>
                <w:rFonts w:ascii="Times New Roman" w:hAnsi="Times New Roman" w:cs="Times New Roman"/>
                <w:noProof/>
                <w:sz w:val="22"/>
                <w:lang w:val="en-GB"/>
              </w:rPr>
              <w:t>authorities involved in MLA procedures</w:t>
            </w:r>
          </w:p>
        </w:tc>
        <w:tc>
          <w:tcPr>
            <w:tcW w:w="1065" w:type="dxa"/>
            <w:shd w:val="clear" w:color="auto" w:fill="FFFFFF" w:themeFill="background1"/>
          </w:tcPr>
          <w:p w:rsidR="001B65FF" w:rsidRDefault="003E4E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rPr>
            </w:pPr>
            <w:r>
              <w:rPr>
                <w:rFonts w:ascii="Times New Roman" w:eastAsia="Calibri" w:hAnsi="Times New Roman" w:cs="Times New Roman"/>
                <w:b/>
                <w:noProof/>
              </w:rPr>
              <w:t>-0,5</w:t>
            </w:r>
          </w:p>
        </w:tc>
      </w:tr>
    </w:tbl>
    <w:p w:rsidR="001B65FF" w:rsidRDefault="001B65FF">
      <w:pPr>
        <w:rPr>
          <w:rFonts w:ascii="Times New Roman" w:hAnsi="Times New Roman" w:cs="Times New Roman"/>
          <w:noProof/>
        </w:rPr>
      </w:pPr>
    </w:p>
    <w:p w:rsidR="001B65FF" w:rsidRDefault="003E4EF4">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 </w:t>
      </w:r>
      <w:bookmarkStart w:id="2077" w:name="_Toc498509834"/>
      <w:bookmarkStart w:id="2078" w:name="_Toc498518120"/>
      <w:bookmarkStart w:id="2079" w:name="_Toc498521176"/>
      <w:bookmarkStart w:id="2080" w:name="_Toc498521336"/>
      <w:r>
        <w:rPr>
          <w:rFonts w:ascii="Times New Roman" w:hAnsi="Times New Roman" w:cs="Times New Roman"/>
          <w:b/>
          <w:noProof/>
          <w:sz w:val="24"/>
          <w:szCs w:val="24"/>
          <w:u w:val="single"/>
        </w:rPr>
        <w:t>Option B: Option A + international agreements</w:t>
      </w:r>
      <w:bookmarkEnd w:id="2077"/>
      <w:bookmarkEnd w:id="2078"/>
      <w:bookmarkEnd w:id="2079"/>
      <w:bookmarkEnd w:id="2080"/>
    </w:p>
    <w:tbl>
      <w:tblPr>
        <w:tblStyle w:val="ListTable3-Accent51"/>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85"/>
        <w:gridCol w:w="5455"/>
        <w:gridCol w:w="1065"/>
      </w:tblGrid>
      <w:tr w:rsidR="001B65FF" w:rsidTr="001B65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shd w:val="clear" w:color="auto" w:fill="FFFFFF" w:themeFill="background1"/>
            <w:hideMark/>
          </w:tcPr>
          <w:p w:rsidR="001B65FF" w:rsidRDefault="003E4EF4">
            <w:pPr>
              <w:pStyle w:val="Boxtext"/>
              <w:spacing w:before="0" w:after="0"/>
              <w:rPr>
                <w:rFonts w:ascii="Times New Roman" w:hAnsi="Times New Roman" w:cs="Times New Roman"/>
                <w:noProof/>
                <w:color w:val="auto"/>
                <w:sz w:val="22"/>
                <w:szCs w:val="24"/>
              </w:rPr>
            </w:pPr>
            <w:r>
              <w:rPr>
                <w:rFonts w:ascii="Times New Roman" w:hAnsi="Times New Roman" w:cs="Times New Roman"/>
                <w:noProof/>
                <w:color w:val="auto"/>
                <w:sz w:val="22"/>
                <w:szCs w:val="24"/>
              </w:rPr>
              <w:t>Criteria</w:t>
            </w:r>
          </w:p>
        </w:tc>
        <w:tc>
          <w:tcPr>
            <w:tcW w:w="5455" w:type="dxa"/>
            <w:shd w:val="clear" w:color="auto" w:fill="FFFFFF" w:themeFill="background1"/>
            <w:hideMark/>
          </w:tcPr>
          <w:p w:rsidR="001B65FF" w:rsidRDefault="003E4EF4">
            <w:pPr>
              <w:pStyle w:val="Boxtext"/>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Pr>
                <w:rFonts w:ascii="Times New Roman" w:hAnsi="Times New Roman" w:cs="Times New Roman"/>
                <w:noProof/>
                <w:color w:val="auto"/>
                <w:sz w:val="22"/>
                <w:szCs w:val="24"/>
              </w:rPr>
              <w:t>Assessment</w:t>
            </w:r>
          </w:p>
        </w:tc>
        <w:tc>
          <w:tcPr>
            <w:tcW w:w="1065" w:type="dxa"/>
            <w:shd w:val="clear" w:color="auto" w:fill="FFFFFF" w:themeFill="background1"/>
          </w:tcPr>
          <w:p w:rsidR="001B65FF" w:rsidRDefault="003E4EF4">
            <w:pPr>
              <w:pStyle w:val="Boxtext"/>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Pr>
                <w:rFonts w:ascii="Times New Roman" w:hAnsi="Times New Roman" w:cs="Times New Roman"/>
                <w:noProof/>
                <w:color w:val="auto"/>
                <w:sz w:val="22"/>
                <w:szCs w:val="24"/>
              </w:rPr>
              <w:t>Score</w:t>
            </w:r>
          </w:p>
        </w:tc>
      </w:tr>
      <w:tr w:rsidR="001B65FF" w:rsidTr="001B65FF">
        <w:trPr>
          <w:cnfStyle w:val="000000100000" w:firstRow="0" w:lastRow="0" w:firstColumn="0" w:lastColumn="0" w:oddVBand="0" w:evenVBand="0" w:oddHBand="1" w:evenHBand="0" w:firstRowFirstColumn="0" w:firstRowLastColumn="0" w:lastRowFirstColumn="0" w:lastRowLastColumn="0"/>
          <w:trHeight w:val="2102"/>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rPr>
                <w:rFonts w:ascii="Times New Roman" w:hAnsi="Times New Roman" w:cs="Times New Roman"/>
                <w:noProof/>
                <w:color w:val="auto"/>
                <w:sz w:val="22"/>
              </w:rPr>
            </w:pPr>
            <w:r>
              <w:rPr>
                <w:rFonts w:ascii="Times New Roman" w:hAnsi="Times New Roman" w:cs="Times New Roman"/>
                <w:noProof/>
                <w:color w:val="auto"/>
                <w:sz w:val="22"/>
              </w:rPr>
              <w:t>Effectiveness/</w:t>
            </w:r>
          </w:p>
          <w:p w:rsidR="001B65FF" w:rsidRDefault="003E4EF4">
            <w:pPr>
              <w:pStyle w:val="Boxtext"/>
              <w:spacing w:before="0" w:after="0"/>
              <w:rPr>
                <w:rFonts w:ascii="Times New Roman" w:hAnsi="Times New Roman" w:cs="Times New Roman"/>
                <w:noProof/>
                <w:color w:val="auto"/>
                <w:sz w:val="24"/>
              </w:rPr>
            </w:pPr>
            <w:r>
              <w:rPr>
                <w:rFonts w:ascii="Times New Roman" w:hAnsi="Times New Roman" w:cs="Times New Roman"/>
                <w:noProof/>
                <w:color w:val="auto"/>
                <w:sz w:val="22"/>
              </w:rPr>
              <w:t>social impact</w:t>
            </w:r>
          </w:p>
        </w:tc>
        <w:tc>
          <w:tcPr>
            <w:tcW w:w="5455" w:type="dxa"/>
            <w:shd w:val="clear" w:color="auto" w:fill="FFFFFF" w:themeFill="background1"/>
          </w:tcPr>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More effective investigations and prosecutions, savings for both public authorities and service providers.</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Foreseen training and sharing of guidelines and best practices as well as creation of SPOCs or single points of entry should improve the quality and the treatment of requests, to the benefit of both for judicial cooperation channels and for voluntary coo</w:t>
            </w:r>
            <w:r>
              <w:rPr>
                <w:rFonts w:ascii="Times New Roman" w:hAnsi="Times New Roman" w:cs="Times New Roman"/>
                <w:noProof/>
                <w:lang w:val="en-GB"/>
              </w:rPr>
              <w:t>peration.</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Streamlining of procedures and standards could increase effectiveness of voluntary cooperation channels.</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Increase in total number of requests because requests that were not done previously because of the complexity/ lack of knowledge about th</w:t>
            </w:r>
            <w:r>
              <w:rPr>
                <w:rFonts w:ascii="Times New Roman" w:hAnsi="Times New Roman" w:cs="Times New Roman"/>
                <w:noProof/>
                <w:lang w:val="en-GB"/>
              </w:rPr>
              <w:t>e procedure would now be done, i.e. more evidence available for investigations and prosecutions.</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lang w:val="en-GB" w:eastAsia="ar-SA"/>
              </w:rPr>
            </w:pPr>
            <w:r>
              <w:rPr>
                <w:rFonts w:ascii="Times New Roman" w:hAnsi="Times New Roman" w:cs="Times New Roman"/>
                <w:b/>
                <w:noProof/>
                <w:lang w:val="en-GB"/>
              </w:rPr>
              <w:t>-</w:t>
            </w:r>
            <w:r>
              <w:rPr>
                <w:rFonts w:ascii="Times New Roman" w:hAnsi="Times New Roman" w:cs="Times New Roman"/>
                <w:noProof/>
                <w:lang w:val="en-GB"/>
              </w:rPr>
              <w:t xml:space="preserve"> Effectiveness of measures will depend on willingness to implement them. </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eastAsia="Calibri" w:hAnsi="Times New Roman" w:cs="Times New Roman"/>
                <w:noProof/>
                <w:lang w:val="en-GB"/>
              </w:rPr>
              <w:t xml:space="preserve">+ The platform and form to exchange EIO requests will </w:t>
            </w:r>
            <w:r>
              <w:rPr>
                <w:rFonts w:ascii="Times New Roman" w:hAnsi="Times New Roman" w:cs="Times New Roman"/>
                <w:noProof/>
                <w:lang w:val="en-GB"/>
              </w:rPr>
              <w:t xml:space="preserve">allow public authorities to </w:t>
            </w:r>
            <w:r>
              <w:rPr>
                <w:rFonts w:ascii="Times New Roman" w:hAnsi="Times New Roman" w:cs="Times New Roman"/>
                <w:noProof/>
                <w:lang w:val="en-GB"/>
              </w:rPr>
              <w:t>secure and obtain e-evidence more quickly and effectively, whilst fulfilling the necessary security requirements;</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lang w:val="en-GB"/>
              </w:rPr>
            </w:pPr>
            <w:r>
              <w:rPr>
                <w:rFonts w:ascii="Times New Roman" w:eastAsia="Calibri" w:hAnsi="Times New Roman" w:cs="Times New Roman"/>
                <w:noProof/>
                <w:lang w:val="en-GB"/>
              </w:rPr>
              <w:t>+ The platform would enable better collection of statistics, indicators and evaluation of the instrument.</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lang w:val="en-GB" w:eastAsia="ar-SA"/>
              </w:rPr>
            </w:pPr>
            <w:r>
              <w:rPr>
                <w:rFonts w:ascii="Times New Roman" w:eastAsia="Calibri" w:hAnsi="Times New Roman" w:cs="Times New Roman"/>
                <w:noProof/>
                <w:lang w:val="en-GB"/>
              </w:rPr>
              <w:t>- EIO's scope is limited to EU terri</w:t>
            </w:r>
            <w:r>
              <w:rPr>
                <w:rFonts w:ascii="Times New Roman" w:eastAsia="Calibri" w:hAnsi="Times New Roman" w:cs="Times New Roman"/>
                <w:noProof/>
                <w:lang w:val="en-GB"/>
              </w:rPr>
              <w:t>tory, and will not cover service providers headquartered in non-EU countries, nor in Ireland and Denmark.</w:t>
            </w:r>
            <w:r>
              <w:rPr>
                <w:rFonts w:ascii="Times New Roman" w:eastAsia="Calibri" w:hAnsi="Times New Roman" w:cs="Times New Roman"/>
                <w:noProof/>
                <w:lang w:val="en-GB" w:eastAsia="ar-SA"/>
              </w:rPr>
              <w:t xml:space="preserve"> </w:t>
            </w:r>
          </w:p>
          <w:p w:rsidR="001B65FF" w:rsidRDefault="001B65F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lang w:val="en-GB" w:eastAsia="ar-SA"/>
              </w:rPr>
            </w:pP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lang w:val="en-GB" w:eastAsia="ar-SA"/>
              </w:rPr>
            </w:pPr>
            <w:r>
              <w:rPr>
                <w:rFonts w:ascii="Times New Roman" w:eastAsia="Calibri" w:hAnsi="Times New Roman" w:cs="Times New Roman"/>
                <w:noProof/>
                <w:lang w:val="en-GB" w:eastAsia="ar-SA"/>
              </w:rPr>
              <w:t xml:space="preserve">International solutions can bring some improvements to the shortcomings of the legal framework, depending on what is agreed. </w:t>
            </w:r>
          </w:p>
          <w:p w:rsidR="001B65FF" w:rsidRDefault="001B65F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u w:val="single"/>
                <w:lang w:val="en-GB"/>
              </w:rPr>
            </w:pPr>
            <w:r>
              <w:rPr>
                <w:rFonts w:ascii="Times New Roman" w:hAnsi="Times New Roman" w:cs="Times New Roman"/>
                <w:noProof/>
                <w:u w:val="single"/>
                <w:lang w:val="en-GB"/>
              </w:rPr>
              <w:t>Budapest</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eastAsia="Calibri" w:hAnsi="Times New Roman" w:cs="Times New Roman"/>
                <w:noProof/>
                <w:lang w:val="en-GB" w:eastAsia="ar-SA"/>
              </w:rPr>
              <w:t xml:space="preserve">+ </w:t>
            </w:r>
            <w:r>
              <w:rPr>
                <w:rFonts w:ascii="Times New Roman" w:hAnsi="Times New Roman" w:cs="Times New Roman"/>
                <w:noProof/>
                <w:lang w:val="en-GB"/>
              </w:rPr>
              <w:t xml:space="preserve">A </w:t>
            </w:r>
            <w:r>
              <w:rPr>
                <w:rFonts w:ascii="Times New Roman" w:hAnsi="Times New Roman" w:cs="Times New Roman"/>
                <w:noProof/>
                <w:lang w:val="en-GB"/>
              </w:rPr>
              <w:t>multilateral solution in the framework of the Budapest Convention (Additional Protocol) would have a broad geographical scope and could possibly also include the US.</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lang w:val="en-GB"/>
              </w:rPr>
            </w:pPr>
            <w:r>
              <w:rPr>
                <w:rFonts w:ascii="Times New Roman" w:hAnsi="Times New Roman" w:cs="Times New Roman"/>
                <w:noProof/>
                <w:lang w:val="en-GB"/>
              </w:rPr>
              <w:t xml:space="preserve">+/- </w:t>
            </w:r>
            <w:r>
              <w:rPr>
                <w:rFonts w:ascii="Times New Roman" w:hAnsi="Times New Roman"/>
                <w:noProof/>
                <w:lang w:val="en-GB"/>
              </w:rPr>
              <w:t>The large group of parties of the Budapest Convention is an advantage and a disadvanta</w:t>
            </w:r>
            <w:r>
              <w:rPr>
                <w:rFonts w:ascii="Times New Roman" w:hAnsi="Times New Roman"/>
                <w:noProof/>
                <w:lang w:val="en-GB"/>
              </w:rPr>
              <w:t>ge in this context. It is an advantage insofar as any common solution applies to a large number of partner countries of the EU. The downside of the large number of parties lies in the smaller common denominator that exists across a diverse group such as th</w:t>
            </w:r>
            <w:r>
              <w:rPr>
                <w:rFonts w:ascii="Times New Roman" w:hAnsi="Times New Roman"/>
                <w:noProof/>
                <w:lang w:val="en-GB"/>
              </w:rPr>
              <w:t>is one. This may create a risk for the drafting process and may also result in a reduced scope of any such protocol. In any case, it appears evident that the new protocol, while certainly helpful beyond the EU, would not be able to match the level of integ</w:t>
            </w:r>
            <w:r>
              <w:rPr>
                <w:rFonts w:ascii="Times New Roman" w:hAnsi="Times New Roman"/>
                <w:noProof/>
                <w:lang w:val="en-GB"/>
              </w:rPr>
              <w:t>ration within the EU because of a lack of a common and harmonised framework of safeguards across all the countries that are party to the Budapest Convention.</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The potential effectiveness is however difficult to assess, as it will depend on provisions negoti</w:t>
            </w:r>
            <w:r>
              <w:rPr>
                <w:rFonts w:ascii="Times New Roman" w:hAnsi="Times New Roman" w:cs="Times New Roman"/>
                <w:noProof/>
                <w:lang w:val="en-GB"/>
              </w:rPr>
              <w:t>ated and participating states. Negotiations would be long.</w:t>
            </w:r>
          </w:p>
          <w:p w:rsidR="001B65FF" w:rsidRDefault="001B65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u w:val="single"/>
                <w:lang w:val="en-GB"/>
              </w:rPr>
            </w:pPr>
            <w:r>
              <w:rPr>
                <w:rFonts w:ascii="Times New Roman" w:hAnsi="Times New Roman" w:cs="Times New Roman"/>
                <w:noProof/>
                <w:u w:val="single"/>
                <w:lang w:val="en-GB"/>
              </w:rPr>
              <w:t>Bilateral agreements</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xml:space="preserve">+ Bilateral agreements would create more legal certainty on the basis and process for cooperation with private parties in non-EU countries. </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lang w:val="en-GB" w:eastAsia="ar-SA"/>
              </w:rPr>
            </w:pPr>
            <w:r>
              <w:rPr>
                <w:rFonts w:ascii="Times New Roman" w:hAnsi="Times New Roman" w:cs="Times New Roman"/>
                <w:noProof/>
                <w:lang w:val="en-GB"/>
              </w:rPr>
              <w:t xml:space="preserve">++ Bilateral EU-US agreements </w:t>
            </w:r>
            <w:r>
              <w:rPr>
                <w:rFonts w:ascii="Times New Roman" w:hAnsi="Times New Roman" w:cs="Times New Roman"/>
                <w:noProof/>
                <w:lang w:val="en-GB"/>
              </w:rPr>
              <w:t>would allow US service providers to provide content data.</w:t>
            </w: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Bi- or multilateral agreements are uncertain; it could take years, if at all, to reach an agreement, be it on a multilateral agreement or on a bilateral one, and it would depend on the non-EU coun</w:t>
            </w:r>
            <w:r>
              <w:rPr>
                <w:rFonts w:ascii="Times New Roman" w:hAnsi="Times New Roman" w:cs="Times New Roman"/>
                <w:noProof/>
                <w:lang w:val="en-GB"/>
              </w:rPr>
              <w:t xml:space="preserve">tries involved. </w:t>
            </w:r>
          </w:p>
          <w:p w:rsidR="001B65FF" w:rsidRDefault="001B65F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p w:rsidR="001B65FF" w:rsidRDefault="003E4EF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The issue linked to access to the WHOIS database would not be solved</w:t>
            </w:r>
          </w:p>
        </w:tc>
        <w:tc>
          <w:tcPr>
            <w:tcW w:w="1065" w:type="dxa"/>
            <w:shd w:val="clear" w:color="auto" w:fill="FFFFFF" w:themeFill="background1"/>
          </w:tcPr>
          <w:p w:rsidR="001B65FF" w:rsidRDefault="003E4EF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rPr>
            </w:pPr>
            <w:r>
              <w:rPr>
                <w:rFonts w:ascii="Times New Roman" w:hAnsi="Times New Roman" w:cs="Times New Roman"/>
                <w:b/>
                <w:noProof/>
              </w:rPr>
              <w:t>-1</w:t>
            </w:r>
          </w:p>
        </w:tc>
      </w:tr>
      <w:tr w:rsidR="001B65FF" w:rsidTr="001B65FF">
        <w:trPr>
          <w:trHeight w:val="1142"/>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jc w:val="left"/>
              <w:rPr>
                <w:rFonts w:ascii="Times New Roman" w:hAnsi="Times New Roman" w:cs="Times New Roman"/>
                <w:noProof/>
                <w:color w:val="auto"/>
                <w:sz w:val="24"/>
              </w:rPr>
            </w:pPr>
            <w:r>
              <w:rPr>
                <w:rFonts w:ascii="Times New Roman" w:hAnsi="Times New Roman" w:cs="Times New Roman"/>
                <w:noProof/>
                <w:color w:val="auto"/>
                <w:sz w:val="22"/>
              </w:rPr>
              <w:t>Efficiency</w:t>
            </w:r>
          </w:p>
        </w:tc>
        <w:tc>
          <w:tcPr>
            <w:tcW w:w="5455" w:type="dxa"/>
            <w:shd w:val="clear" w:color="auto" w:fill="FFFFFF" w:themeFill="background1"/>
          </w:tcPr>
          <w:p w:rsidR="001B65FF" w:rsidRDefault="003E4EF4">
            <w:pPr>
              <w:pStyle w:val="Bullettables"/>
              <w:tabs>
                <w:tab w:val="clear" w:pos="360"/>
              </w:tabs>
              <w:spacing w:before="0"/>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Administrative costs would be incurred by public authorities and service providers for implementing practical measures.</w:t>
            </w:r>
          </w:p>
          <w:p w:rsidR="001B65FF" w:rsidRDefault="003E4EF4">
            <w:pPr>
              <w:pStyle w:val="Bullettables"/>
              <w:tabs>
                <w:tab w:val="clear" w:pos="360"/>
              </w:tabs>
              <w:spacing w:before="0"/>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xml:space="preserve">+ Practical measures may lead </w:t>
            </w:r>
            <w:r>
              <w:rPr>
                <w:rFonts w:ascii="Times New Roman" w:hAnsi="Times New Roman" w:cs="Times New Roman"/>
                <w:noProof/>
                <w:sz w:val="22"/>
                <w:lang w:val="en-GB"/>
              </w:rPr>
              <w:t>to a slight shift from judicial cooperation channels to direct cooperation channels, generating savings.</w:t>
            </w:r>
          </w:p>
          <w:p w:rsidR="001B65FF" w:rsidRDefault="003E4EF4">
            <w:pPr>
              <w:pStyle w:val="Bullettables"/>
              <w:tabs>
                <w:tab w:val="clear" w:pos="360"/>
              </w:tabs>
              <w:spacing w:before="0"/>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2"/>
                <w:lang w:val="en-GB"/>
              </w:rPr>
            </w:pPr>
            <w:r>
              <w:rPr>
                <w:rFonts w:ascii="Times New Roman" w:hAnsi="Times New Roman" w:cs="Times New Roman"/>
                <w:noProof/>
                <w:sz w:val="22"/>
                <w:lang w:val="en-GB"/>
              </w:rPr>
              <w:t>+ Carrying out the measures would improve the quality of requests, leading to a reduction in resources for both public and private entities.</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xml:space="preserve">+ SPOC </w:t>
            </w:r>
            <w:r>
              <w:rPr>
                <w:rFonts w:ascii="Times New Roman" w:hAnsi="Times New Roman" w:cs="Times New Roman"/>
                <w:noProof/>
                <w:sz w:val="22"/>
                <w:lang w:val="en-GB"/>
              </w:rPr>
              <w:t>system and standardised procedures could reduce burden on service providers and public authorities.</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EIO platform and form:</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b/>
                <w:noProof/>
                <w:sz w:val="22"/>
                <w:lang w:val="en-GB"/>
              </w:rPr>
              <w:t>-</w:t>
            </w:r>
            <w:r>
              <w:rPr>
                <w:rFonts w:ascii="Times New Roman" w:hAnsi="Times New Roman" w:cs="Times New Roman"/>
                <w:noProof/>
                <w:sz w:val="22"/>
                <w:lang w:val="en-GB"/>
              </w:rPr>
              <w:t xml:space="preserve"> Initial increase to baseline costs for EU budget and Member States in developing and connecting to the secure online secure platfor</w:t>
            </w:r>
            <w:r>
              <w:rPr>
                <w:rFonts w:ascii="Times New Roman" w:hAnsi="Times New Roman" w:cs="Times New Roman"/>
                <w:noProof/>
                <w:sz w:val="22"/>
                <w:lang w:val="en-GB"/>
              </w:rPr>
              <w:t>m.</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Once platform is up and running, costs will be reduced compared to the baseline.</w:t>
            </w:r>
          </w:p>
          <w:p w:rsidR="001B65FF" w:rsidRDefault="003E4EF4">
            <w:pPr>
              <w:pStyle w:val="Bullettables"/>
              <w:tabs>
                <w:tab w:val="clear" w:pos="360"/>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xml:space="preserve"> - Member States public authorities will incur some costs in disseminating the electronic form to their judicial authorities, if it is already used before the platform i</w:t>
            </w:r>
            <w:r>
              <w:rPr>
                <w:rFonts w:ascii="Times New Roman" w:hAnsi="Times New Roman" w:cs="Times New Roman"/>
                <w:noProof/>
                <w:sz w:val="22"/>
                <w:lang w:val="en-GB"/>
              </w:rPr>
              <w:t xml:space="preserve">s up and running. </w:t>
            </w:r>
          </w:p>
          <w:p w:rsidR="001B65FF" w:rsidRDefault="003E4EF4">
            <w:pPr>
              <w:suppressAutoHyphens/>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xml:space="preserve">+ International solutions allowing direct cooperation with service providers would have similar advantages for businesses and for public authorities as legislative measures on direct cooperation detailed below. </w:t>
            </w: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lang w:val="en-GB"/>
              </w:rPr>
            </w:pPr>
            <w:r>
              <w:rPr>
                <w:rFonts w:ascii="Times New Roman" w:hAnsi="Times New Roman" w:cs="Times New Roman"/>
                <w:b/>
                <w:noProof/>
                <w:sz w:val="22"/>
                <w:lang w:val="en-GB"/>
              </w:rPr>
              <w:t>+0,5</w:t>
            </w:r>
          </w:p>
        </w:tc>
      </w:tr>
      <w:tr w:rsidR="001B65FF" w:rsidTr="001B65FF">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985" w:type="dxa"/>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Competitiveness</w:t>
            </w:r>
          </w:p>
        </w:tc>
        <w:tc>
          <w:tcPr>
            <w:tcW w:w="5455" w:type="dxa"/>
            <w:shd w:val="clear" w:color="auto" w:fill="FFFFFF" w:themeFill="background1"/>
          </w:tcPr>
          <w:p w:rsidR="001B65FF" w:rsidRDefault="003E4EF4">
            <w:pPr>
              <w:pStyle w:val="Bullettables"/>
              <w:tabs>
                <w:tab w:val="clear" w:pos="360"/>
              </w:tabs>
              <w:spacing w:before="0"/>
              <w:ind w:left="17"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r>
              <w:rPr>
                <w:rFonts w:ascii="Times New Roman" w:hAnsi="Times New Roman" w:cs="Times New Roman"/>
                <w:noProof/>
                <w:sz w:val="22"/>
                <w:lang w:val="en-GB"/>
              </w:rPr>
              <w:t>With international agreements, whether bilateral or multilateral, legal certainty would be improved and conflicts of law avoided in relation to the states that are party to the agreement.</w:t>
            </w: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2"/>
                <w:lang w:val="en-GB"/>
              </w:rPr>
            </w:pPr>
            <w:r>
              <w:rPr>
                <w:rFonts w:ascii="Times New Roman" w:hAnsi="Times New Roman" w:cs="Times New Roman"/>
                <w:b/>
                <w:noProof/>
                <w:sz w:val="22"/>
                <w:lang w:val="en-GB"/>
              </w:rPr>
              <w:t>0</w:t>
            </w:r>
          </w:p>
        </w:tc>
      </w:tr>
      <w:tr w:rsidR="001B65FF" w:rsidTr="001B65FF">
        <w:trPr>
          <w:trHeight w:val="1358"/>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Fundamental rights and freedoms</w:t>
            </w:r>
          </w:p>
        </w:tc>
        <w:tc>
          <w:tcPr>
            <w:tcW w:w="5455" w:type="dxa"/>
            <w:shd w:val="clear" w:color="auto" w:fill="FFFFFF" w:themeFill="background1"/>
          </w:tcPr>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xml:space="preserve">Impact on fundamental righst </w:t>
            </w:r>
            <w:r>
              <w:rPr>
                <w:rFonts w:ascii="Times New Roman" w:hAnsi="Times New Roman" w:cs="Times New Roman"/>
                <w:noProof/>
                <w:lang w:val="en-GB"/>
              </w:rPr>
              <w:t>stems from international measures only:</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International agreements may be advantageous in terms of ensuring an adequate level of protection of fundamental rights, including data protection. They could allow to ensure appropriate level of fundamental rights</w:t>
            </w:r>
            <w:r>
              <w:rPr>
                <w:rFonts w:ascii="Times New Roman" w:hAnsi="Times New Roman" w:cs="Times New Roman"/>
                <w:noProof/>
                <w:lang w:val="en-GB"/>
              </w:rPr>
              <w:t xml:space="preserve"> protection comparable to that of the EU-internal solution. Given wider geographical coverage, they could have added value compared to other options. </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sz w:val="24"/>
                <w:szCs w:val="24"/>
                <w:lang w:val="en-GB"/>
              </w:rPr>
              <w:t xml:space="preserve">- </w:t>
            </w:r>
            <w:r>
              <w:rPr>
                <w:rFonts w:ascii="Times New Roman" w:hAnsi="Times New Roman" w:cs="Times New Roman"/>
                <w:noProof/>
                <w:lang w:val="en-GB"/>
              </w:rPr>
              <w:t>It is debatable, however, whether the same level of fundamental rights protection would be ensured by a</w:t>
            </w:r>
            <w:r>
              <w:rPr>
                <w:rFonts w:ascii="Times New Roman" w:hAnsi="Times New Roman" w:cs="Times New Roman"/>
                <w:noProof/>
                <w:lang w:val="en-GB"/>
              </w:rPr>
              <w:t xml:space="preserve"> multirateral solution compared to a bilateral one, given a </w:t>
            </w:r>
            <w:r>
              <w:rPr>
                <w:rFonts w:ascii="Times New Roman" w:hAnsi="Times New Roman"/>
                <w:noProof/>
                <w:lang w:val="en-GB"/>
              </w:rPr>
              <w:t xml:space="preserve">broader geographical approach and thus more varying levels of safeguards in different countries. </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noProof/>
                <w:lang w:val="en-GB"/>
              </w:rPr>
              <w:t xml:space="preserve">0 The </w:t>
            </w:r>
            <w:hyperlink r:id="rId124" w:history="1">
              <w:r>
                <w:rPr>
                  <w:rFonts w:ascii="Times New Roman" w:hAnsi="Times New Roman"/>
                  <w:noProof/>
                  <w:lang w:val="en-GB"/>
                </w:rPr>
                <w:t>(draft) Terms of Reference for the Preparation of a the Additional Protocol to the Budapest Convention on Cybercrime</w:t>
              </w:r>
            </w:hyperlink>
            <w:r>
              <w:rPr>
                <w:rFonts w:ascii="Times New Roman" w:hAnsi="Times New Roman"/>
                <w:noProof/>
                <w:lang w:val="en-GB"/>
              </w:rPr>
              <w:t xml:space="preserve"> contain a mandate to prepare text on safeguards (including data protection requirements) for cross-border access t</w:t>
            </w:r>
            <w:r>
              <w:rPr>
                <w:rFonts w:ascii="Times New Roman" w:hAnsi="Times New Roman"/>
                <w:noProof/>
                <w:lang w:val="en-GB"/>
              </w:rPr>
              <w:t xml:space="preserve">o information. It is too early to assess the level of fundamental rights protection that would be achieved by the Additional Protocol. </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noProof/>
                <w:lang w:val="en-GB"/>
              </w:rPr>
              <w:t xml:space="preserve">- In the framework of bilateral agreements such as with the US, it would most likely be easier to negotiate an adequate </w:t>
            </w:r>
            <w:r>
              <w:rPr>
                <w:rFonts w:ascii="Times New Roman" w:hAnsi="Times New Roman"/>
                <w:noProof/>
                <w:lang w:val="en-GB"/>
              </w:rPr>
              <w:t xml:space="preserve">level of fundamental rights protection. </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noProof/>
                <w:lang w:val="en-GB"/>
              </w:rPr>
              <w:t>+ Regarding data protection, the Umbrella Agreement would apply to an EU-US agreement, ensuring a high level of protection.</w:t>
            </w:r>
          </w:p>
          <w:p w:rsidR="001B65FF" w:rsidRDefault="001B65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sz w:val="22"/>
                <w:lang w:val="en-GB"/>
              </w:rPr>
              <w:t>+2</w:t>
            </w:r>
          </w:p>
        </w:tc>
      </w:tr>
      <w:tr w:rsidR="001B65FF" w:rsidTr="001B65F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985" w:type="dxa"/>
          </w:tcPr>
          <w:p w:rsidR="001B65FF" w:rsidRDefault="003E4EF4">
            <w:pPr>
              <w:pStyle w:val="Boxtext"/>
              <w:spacing w:before="0" w:after="0"/>
              <w:jc w:val="left"/>
              <w:rPr>
                <w:rFonts w:ascii="Times New Roman" w:hAnsi="Times New Roman"/>
                <w:noProof/>
                <w:color w:val="auto"/>
                <w:sz w:val="22"/>
                <w:lang w:val="en-GB"/>
              </w:rPr>
            </w:pPr>
            <w:r>
              <w:rPr>
                <w:rFonts w:ascii="Times New Roman" w:hAnsi="Times New Roman" w:cs="Times New Roman"/>
                <w:noProof/>
                <w:color w:val="auto"/>
                <w:sz w:val="22"/>
                <w:lang w:val="en-GB"/>
              </w:rPr>
              <w:t>Impact on 3rd countries and international relations</w:t>
            </w:r>
          </w:p>
        </w:tc>
        <w:tc>
          <w:tcPr>
            <w:tcW w:w="5455" w:type="dxa"/>
            <w:shd w:val="clear" w:color="auto" w:fill="FFFFFF" w:themeFill="background1"/>
          </w:tcPr>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(+)Training of EU practitioners in</w:t>
            </w:r>
            <w:r>
              <w:rPr>
                <w:rFonts w:ascii="Times New Roman" w:hAnsi="Times New Roman" w:cs="Times New Roman"/>
                <w:noProof/>
                <w:lang w:val="en-GB"/>
              </w:rPr>
              <w:t xml:space="preserve"> US law requirements will reduce costs also for US authorities involved in MLA procedures</w:t>
            </w:r>
          </w:p>
          <w:p w:rsidR="001B65FF" w:rsidRDefault="003E4EF4">
            <w:pPr>
              <w:pStyle w:val="Bullettables"/>
              <w:tabs>
                <w:tab w:val="clear" w:pos="360"/>
              </w:tabs>
              <w:spacing w:before="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By ensuring mutual understanding on conditions for direct cooperation with service providers, with a wide geographical scope, this option offers considerable advant</w:t>
            </w:r>
            <w:r>
              <w:rPr>
                <w:rFonts w:ascii="Times New Roman" w:hAnsi="Times New Roman" w:cs="Times New Roman"/>
                <w:noProof/>
                <w:sz w:val="22"/>
                <w:lang w:val="en-GB"/>
              </w:rPr>
              <w:t>ages on the potential issues of extra-territoriality (intrusion on the sovereignty of another country).</w:t>
            </w:r>
          </w:p>
          <w:p w:rsidR="001B65FF" w:rsidRDefault="003E4EF4">
            <w:pPr>
              <w:pStyle w:val="Bullettables"/>
              <w:tabs>
                <w:tab w:val="clear" w:pos="360"/>
              </w:tabs>
              <w:spacing w:before="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International agreements could allow for a joint definition of mutually acceptable conditions, thus reducing conflicts of law.</w:t>
            </w:r>
          </w:p>
          <w:p w:rsidR="001B65FF" w:rsidRDefault="003E4EF4">
            <w:pPr>
              <w:pStyle w:val="Bullettables"/>
              <w:tabs>
                <w:tab w:val="clear" w:pos="360"/>
              </w:tabs>
              <w:spacing w:before="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lang w:val="en-GB"/>
              </w:rPr>
            </w:pPr>
            <w:r>
              <w:rPr>
                <w:rFonts w:ascii="Times New Roman" w:hAnsi="Times New Roman" w:cs="Times New Roman"/>
                <w:noProof/>
                <w:sz w:val="22"/>
                <w:lang w:val="en-GB"/>
              </w:rPr>
              <w:t>+ International agreeme</w:t>
            </w:r>
            <w:r>
              <w:rPr>
                <w:rFonts w:ascii="Times New Roman" w:hAnsi="Times New Roman" w:cs="Times New Roman"/>
                <w:noProof/>
                <w:sz w:val="22"/>
                <w:lang w:val="en-GB"/>
              </w:rPr>
              <w:t>nts, in particular multirateral ones, would reduce to a minimum the risk of reciprocal responces from non-EU countries, even if they would never cover all states worlwide.</w:t>
            </w:r>
          </w:p>
          <w:p w:rsidR="001B65FF" w:rsidRDefault="001B65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3"/>
                <w:lang w:val="en-GB"/>
              </w:rPr>
            </w:pP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2"/>
                <w:lang w:val="en-GB"/>
              </w:rPr>
            </w:pPr>
            <w:r>
              <w:rPr>
                <w:rFonts w:ascii="Times New Roman" w:hAnsi="Times New Roman" w:cs="Times New Roman"/>
                <w:b/>
                <w:noProof/>
                <w:sz w:val="22"/>
                <w:lang w:val="en-GB"/>
              </w:rPr>
              <w:t>+2</w:t>
            </w:r>
          </w:p>
        </w:tc>
      </w:tr>
    </w:tbl>
    <w:p w:rsidR="001B65FF" w:rsidRDefault="001B65FF">
      <w:pPr>
        <w:rPr>
          <w:rFonts w:ascii="Times New Roman" w:hAnsi="Times New Roman" w:cs="Times New Roman"/>
          <w:noProof/>
        </w:rPr>
      </w:pPr>
    </w:p>
    <w:p w:rsidR="001B65FF" w:rsidRDefault="003E4EF4">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 </w:t>
      </w:r>
      <w:bookmarkStart w:id="2081" w:name="_Toc498509835"/>
      <w:bookmarkStart w:id="2082" w:name="_Toc498518121"/>
      <w:bookmarkStart w:id="2083" w:name="_Toc498521177"/>
      <w:bookmarkStart w:id="2084" w:name="_Toc498521337"/>
      <w:r>
        <w:rPr>
          <w:rFonts w:ascii="Times New Roman" w:hAnsi="Times New Roman" w:cs="Times New Roman"/>
          <w:b/>
          <w:noProof/>
          <w:sz w:val="24"/>
          <w:szCs w:val="24"/>
          <w:u w:val="single"/>
        </w:rPr>
        <w:t xml:space="preserve">Option C: Option B + direct cooperation legislation (access to databases + </w:t>
      </w:r>
      <w:r>
        <w:rPr>
          <w:rFonts w:ascii="Times New Roman" w:hAnsi="Times New Roman" w:cs="Times New Roman"/>
          <w:b/>
          <w:noProof/>
          <w:sz w:val="24"/>
          <w:szCs w:val="24"/>
          <w:u w:val="single"/>
        </w:rPr>
        <w:t>EPO)</w:t>
      </w:r>
      <w:bookmarkEnd w:id="2081"/>
      <w:bookmarkEnd w:id="2082"/>
      <w:bookmarkEnd w:id="2083"/>
      <w:bookmarkEnd w:id="2084"/>
    </w:p>
    <w:tbl>
      <w:tblPr>
        <w:tblStyle w:val="ListTable3-Accent51"/>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85"/>
        <w:gridCol w:w="5455"/>
        <w:gridCol w:w="1065"/>
      </w:tblGrid>
      <w:tr w:rsidR="001B65FF" w:rsidTr="001B65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shd w:val="clear" w:color="auto" w:fill="FFFFFF" w:themeFill="background1"/>
            <w:hideMark/>
          </w:tcPr>
          <w:p w:rsidR="001B65FF" w:rsidRDefault="003E4EF4">
            <w:pPr>
              <w:pStyle w:val="Boxtext"/>
              <w:spacing w:before="0" w:after="0"/>
              <w:rPr>
                <w:rFonts w:ascii="Times New Roman" w:hAnsi="Times New Roman" w:cs="Times New Roman"/>
                <w:noProof/>
                <w:color w:val="auto"/>
                <w:sz w:val="22"/>
                <w:szCs w:val="24"/>
              </w:rPr>
            </w:pPr>
            <w:r>
              <w:rPr>
                <w:rFonts w:ascii="Times New Roman" w:hAnsi="Times New Roman" w:cs="Times New Roman"/>
                <w:noProof/>
                <w:color w:val="auto"/>
                <w:sz w:val="22"/>
                <w:szCs w:val="24"/>
              </w:rPr>
              <w:t>Criteria</w:t>
            </w:r>
          </w:p>
        </w:tc>
        <w:tc>
          <w:tcPr>
            <w:tcW w:w="5455" w:type="dxa"/>
            <w:shd w:val="clear" w:color="auto" w:fill="FFFFFF" w:themeFill="background1"/>
            <w:hideMark/>
          </w:tcPr>
          <w:p w:rsidR="001B65FF" w:rsidRDefault="003E4EF4">
            <w:pPr>
              <w:pStyle w:val="Boxtext"/>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Pr>
                <w:rFonts w:ascii="Times New Roman" w:hAnsi="Times New Roman" w:cs="Times New Roman"/>
                <w:noProof/>
                <w:color w:val="auto"/>
                <w:sz w:val="22"/>
                <w:szCs w:val="24"/>
              </w:rPr>
              <w:t>Assessment</w:t>
            </w:r>
          </w:p>
        </w:tc>
        <w:tc>
          <w:tcPr>
            <w:tcW w:w="1065" w:type="dxa"/>
            <w:shd w:val="clear" w:color="auto" w:fill="FFFFFF" w:themeFill="background1"/>
          </w:tcPr>
          <w:p w:rsidR="001B65FF" w:rsidRDefault="003E4EF4">
            <w:pPr>
              <w:pStyle w:val="Boxtext"/>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Pr>
                <w:rFonts w:ascii="Times New Roman" w:hAnsi="Times New Roman" w:cs="Times New Roman"/>
                <w:noProof/>
                <w:color w:val="auto"/>
                <w:sz w:val="22"/>
                <w:szCs w:val="24"/>
              </w:rPr>
              <w:t>Score</w:t>
            </w:r>
          </w:p>
        </w:tc>
      </w:tr>
      <w:tr w:rsidR="001B65FF" w:rsidTr="001B65FF">
        <w:trPr>
          <w:cnfStyle w:val="000000100000" w:firstRow="0" w:lastRow="0" w:firstColumn="0" w:lastColumn="0" w:oddVBand="0" w:evenVBand="0" w:oddHBand="1" w:evenHBand="0" w:firstRowFirstColumn="0" w:firstRowLastColumn="0" w:lastRowFirstColumn="0" w:lastRowLastColumn="0"/>
          <w:trHeight w:val="2102"/>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rPr>
                <w:rFonts w:ascii="Times New Roman" w:hAnsi="Times New Roman" w:cs="Times New Roman"/>
                <w:noProof/>
                <w:color w:val="auto"/>
                <w:sz w:val="22"/>
              </w:rPr>
            </w:pPr>
            <w:r>
              <w:rPr>
                <w:rFonts w:ascii="Times New Roman" w:hAnsi="Times New Roman" w:cs="Times New Roman"/>
                <w:noProof/>
                <w:color w:val="auto"/>
                <w:sz w:val="22"/>
              </w:rPr>
              <w:t>Effectiveness/</w:t>
            </w:r>
          </w:p>
          <w:p w:rsidR="001B65FF" w:rsidRDefault="003E4EF4">
            <w:pPr>
              <w:pStyle w:val="Boxtext"/>
              <w:spacing w:before="0" w:after="0"/>
              <w:rPr>
                <w:rFonts w:ascii="Times New Roman" w:hAnsi="Times New Roman" w:cs="Times New Roman"/>
                <w:noProof/>
                <w:color w:val="auto"/>
                <w:sz w:val="22"/>
              </w:rPr>
            </w:pPr>
            <w:r>
              <w:rPr>
                <w:rFonts w:ascii="Times New Roman" w:hAnsi="Times New Roman" w:cs="Times New Roman"/>
                <w:noProof/>
                <w:color w:val="auto"/>
                <w:sz w:val="22"/>
              </w:rPr>
              <w:t>social impact</w:t>
            </w:r>
          </w:p>
        </w:tc>
        <w:tc>
          <w:tcPr>
            <w:tcW w:w="5455" w:type="dxa"/>
            <w:shd w:val="clear" w:color="auto" w:fill="FFFFFF" w:themeFill="background1"/>
            <w:hideMark/>
          </w:tcPr>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A combination of all measures proposed, excluding a measure on direct access, would bring important gains in terms of improving the capacity of public authorities to investigate and prosecute crimes. It would allow combining the benefits described above fo</w:t>
            </w:r>
            <w:r>
              <w:rPr>
                <w:rFonts w:ascii="Times New Roman" w:hAnsi="Times New Roman" w:cs="Times New Roman"/>
                <w:noProof/>
                <w:lang w:val="en-GB"/>
              </w:rPr>
              <w:t xml:space="preserve">r 6 measures (based on measure 5), as the options are complementary. </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xml:space="preserve">The legislative measure on EPO would bring significant improvements; </w:t>
            </w:r>
          </w:p>
          <w:p w:rsidR="001B65FF" w:rsidRDefault="001B65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+++A significant shift from judicial cooperation channels to the European Production Order can be expected, which w</w:t>
            </w:r>
            <w:r>
              <w:rPr>
                <w:rFonts w:ascii="Times New Roman" w:hAnsi="Times New Roman" w:cs="Times New Roman"/>
                <w:noProof/>
                <w:lang w:val="en-GB"/>
              </w:rPr>
              <w:t>ould make access to e-evidence faster and more efficient. This concerns predominantly intra-EU requests, as direct cooperation was previously not possible here. A significant change in numbers regarding direct cooperation with US providers is not expected,</w:t>
            </w:r>
            <w:r>
              <w:rPr>
                <w:rFonts w:ascii="Times New Roman" w:hAnsi="Times New Roman" w:cs="Times New Roman"/>
                <w:noProof/>
                <w:lang w:val="en-GB"/>
              </w:rPr>
              <w:t xml:space="preserve"> but for other third-country providers which offer services in the EU, this could also take pressure off the MLA channels. In addition, public authorities will attempt to obtain such data also in cases where today they may have been discouraged even to try</w:t>
            </w:r>
            <w:r>
              <w:rPr>
                <w:rFonts w:ascii="Times New Roman" w:hAnsi="Times New Roman" w:cs="Times New Roman"/>
                <w:noProof/>
                <w:lang w:val="en-GB"/>
              </w:rPr>
              <w:t xml:space="preserve"> due to the cumbersome procedure required. As a result, an increase in the total number of direct cooperation requests being issued by public authorities could therefore be expected.</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Improvements of judicial cooperation channels will still be useful: whe</w:t>
            </w:r>
            <w:r>
              <w:rPr>
                <w:rFonts w:ascii="Times New Roman" w:hAnsi="Times New Roman" w:cs="Times New Roman"/>
                <w:noProof/>
                <w:lang w:val="en-GB"/>
              </w:rPr>
              <w:t>re the EPO would not help, e.g. in conflicts of law situations (content data with the US), judicial cooperation will prevail. For judicial cooperation among Member States, EIOs may still be issued to obtain e-evidence, even where direct cooperation provide</w:t>
            </w:r>
            <w:r>
              <w:rPr>
                <w:rFonts w:ascii="Times New Roman" w:hAnsi="Times New Roman" w:cs="Times New Roman"/>
                <w:noProof/>
                <w:lang w:val="en-GB"/>
              </w:rPr>
              <w:t xml:space="preserve">s for a faster access, e.g. when an investigating State needs different types of evidence from another Member State at the same time. </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Legislation providing for a legal basis to perform searches in the WHOIS database would enable authorities to continue</w:t>
            </w:r>
            <w:r>
              <w:rPr>
                <w:rFonts w:ascii="Times New Roman" w:hAnsi="Times New Roman" w:cs="Times New Roman"/>
                <w:noProof/>
                <w:lang w:val="en-GB"/>
              </w:rPr>
              <w:t xml:space="preserve"> to access the system in much the same manner as they currently do, even if some of its data elements should become password-protected and no longer publicly available. Authorities specialised in cybercrime make look-ups to the WHOIS many times a day. Prov</w:t>
            </w:r>
            <w:r>
              <w:rPr>
                <w:rFonts w:ascii="Times New Roman" w:hAnsi="Times New Roman" w:cs="Times New Roman"/>
                <w:noProof/>
                <w:lang w:val="en-GB"/>
              </w:rPr>
              <w:t>iding a new legal basis for the changed circumstances would preserve an essential tool in online investigations and would prevent a significant decrease in effectiveness of investigations.</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However, issues to access data directly would not be addressed an</w:t>
            </w:r>
            <w:r>
              <w:rPr>
                <w:rFonts w:ascii="Times New Roman" w:hAnsi="Times New Roman" w:cs="Times New Roman"/>
                <w:noProof/>
                <w:lang w:val="en-GB"/>
              </w:rPr>
              <w:t>d would therefore likely remain, unless an international solution is found in the context of the additional protocol to the Budapest Convention. - + Some of the practical measures to improve cooperation between public authorities and service providers woul</w:t>
            </w:r>
            <w:r>
              <w:rPr>
                <w:rFonts w:ascii="Times New Roman" w:hAnsi="Times New Roman" w:cs="Times New Roman"/>
                <w:noProof/>
                <w:lang w:val="en-GB"/>
              </w:rPr>
              <w:t>d to some extent become superfluous once a legislative measure on EPO or EPR comes into force, as the legislation would establish a procedure, standard forms and an obligation to designate a legal representative. As this may still take many years, there wo</w:t>
            </w:r>
            <w:r>
              <w:rPr>
                <w:rFonts w:ascii="Times New Roman" w:hAnsi="Times New Roman" w:cs="Times New Roman"/>
                <w:noProof/>
                <w:lang w:val="en-GB"/>
              </w:rPr>
              <w:t xml:space="preserve">uld still be a benefit in the short term from introducing these practical measures on a voluntary basis. </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xml:space="preserve">+++ The international solutions would complement legislative measures. In particular, once an agreement with the US would be in place, the measure on </w:t>
            </w:r>
            <w:r>
              <w:rPr>
                <w:rFonts w:ascii="Times New Roman" w:hAnsi="Times New Roman" w:cs="Times New Roman"/>
                <w:noProof/>
                <w:lang w:val="en-GB"/>
              </w:rPr>
              <w:t>cooperation with service providers would also allow public authorities to obtain access to content data, as the conflict would no longer exist.</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However, international solutions remain uncertain and long-term.</w:t>
            </w:r>
          </w:p>
          <w:p w:rsidR="001B65FF" w:rsidRDefault="001B65F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sz w:val="22"/>
                <w:lang w:val="en-GB"/>
              </w:rPr>
              <w:t>+2,5</w:t>
            </w:r>
          </w:p>
        </w:tc>
      </w:tr>
      <w:tr w:rsidR="001B65FF" w:rsidTr="001B65FF">
        <w:trPr>
          <w:trHeight w:val="1142"/>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rPr>
                <w:rFonts w:ascii="Times New Roman" w:hAnsi="Times New Roman" w:cs="Times New Roman"/>
                <w:noProof/>
                <w:color w:val="auto"/>
                <w:sz w:val="22"/>
              </w:rPr>
            </w:pPr>
            <w:r>
              <w:rPr>
                <w:rFonts w:ascii="Times New Roman" w:hAnsi="Times New Roman" w:cs="Times New Roman"/>
                <w:noProof/>
                <w:color w:val="auto"/>
                <w:sz w:val="22"/>
              </w:rPr>
              <w:t>Efficiency</w:t>
            </w:r>
          </w:p>
        </w:tc>
        <w:tc>
          <w:tcPr>
            <w:tcW w:w="5455" w:type="dxa"/>
            <w:shd w:val="clear" w:color="auto" w:fill="FFFFFF" w:themeFill="background1"/>
            <w:hideMark/>
          </w:tcPr>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xml:space="preserve">+++ A combination of 6 </w:t>
            </w:r>
            <w:r>
              <w:rPr>
                <w:rFonts w:ascii="Times New Roman" w:hAnsi="Times New Roman" w:cs="Times New Roman"/>
                <w:noProof/>
                <w:lang w:val="en-GB"/>
              </w:rPr>
              <w:t>measures would result in cumulated cost reductions for both service providers and public authorities compared to the baseline scenario. The expected significant shift from judicial cooperation channels to cooperation with service providers (see above under</w:t>
            </w:r>
            <w:r>
              <w:rPr>
                <w:rFonts w:ascii="Times New Roman" w:hAnsi="Times New Roman" w:cs="Times New Roman"/>
                <w:noProof/>
                <w:lang w:val="en-GB"/>
              </w:rPr>
              <w:t xml:space="preserve"> Effectiveness) would lead to important cost savings for judicial authorities both in the issuing and in the receiving State. Improvements in judicial cooperation channels, which would remain relevant in certain cases, would also result in some cost saving</w:t>
            </w:r>
            <w:r>
              <w:rPr>
                <w:rFonts w:ascii="Times New Roman" w:hAnsi="Times New Roman" w:cs="Times New Roman"/>
                <w:noProof/>
                <w:lang w:val="en-GB"/>
              </w:rPr>
              <w:t>s. Implementation of both practical and legislative measure would generate some costs for Member States, but these would probably be offset by the cost savings described above.</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The biggest change for service providers is that they would receive more requ</w:t>
            </w:r>
            <w:r>
              <w:rPr>
                <w:rFonts w:ascii="Times New Roman" w:hAnsi="Times New Roman" w:cs="Times New Roman"/>
                <w:noProof/>
                <w:lang w:val="en-GB"/>
              </w:rPr>
              <w:t xml:space="preserve">ests directly from public authorities in another Member State, rather than from their own public authorities via MLA or EIO channels. </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The main benefit for them would be the legal certainty and the harmonisation of procedures and forms of requests.</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If</w:t>
            </w:r>
            <w:r>
              <w:rPr>
                <w:rFonts w:ascii="Times New Roman" w:hAnsi="Times New Roman" w:cs="Times New Roman"/>
                <w:noProof/>
                <w:lang w:val="en-GB"/>
              </w:rPr>
              <w:t xml:space="preserve"> a solution is provided for access to WHOIS, authorities might be able to maintain the level of access they benefit from today, as the databases concerned are already in place. Therefore, costs would remain the same; there would be no additional costs gene</w:t>
            </w:r>
            <w:r>
              <w:rPr>
                <w:rFonts w:ascii="Times New Roman" w:hAnsi="Times New Roman" w:cs="Times New Roman"/>
                <w:noProof/>
                <w:lang w:val="en-GB"/>
              </w:rPr>
              <w:t>rated by this proposal on the providers' side, and the same would be true for authorities. Costs generated by the planned changes to the WHOIS database system are independent of this proposal. The proposal would also prevent an avalanche of individual orde</w:t>
            </w:r>
            <w:r>
              <w:rPr>
                <w:rFonts w:ascii="Times New Roman" w:hAnsi="Times New Roman" w:cs="Times New Roman"/>
                <w:noProof/>
                <w:lang w:val="en-GB"/>
              </w:rPr>
              <w:t>rs to service providers to produce the data, which might otherwise generate significant costs for both sides.</w:t>
            </w:r>
          </w:p>
          <w:p w:rsidR="001B65FF" w:rsidRDefault="001B65FF">
            <w:pPr>
              <w:pStyle w:val="Bullettables"/>
              <w:tabs>
                <w:tab w:val="clear" w:pos="360"/>
              </w:tabs>
              <w:spacing w:before="0"/>
              <w:ind w:left="456"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2"/>
                <w:lang w:val="en-GB"/>
              </w:rPr>
            </w:pPr>
            <w:r>
              <w:rPr>
                <w:rFonts w:ascii="Times New Roman" w:hAnsi="Times New Roman" w:cs="Times New Roman"/>
                <w:b/>
                <w:noProof/>
                <w:sz w:val="22"/>
                <w:lang w:val="en-GB"/>
              </w:rPr>
              <w:t>+1,5</w:t>
            </w:r>
          </w:p>
        </w:tc>
      </w:tr>
      <w:tr w:rsidR="001B65FF" w:rsidTr="001B65FF">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985" w:type="dxa"/>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Competitiveness</w:t>
            </w:r>
          </w:p>
        </w:tc>
        <w:tc>
          <w:tcPr>
            <w:tcW w:w="5455" w:type="dxa"/>
            <w:shd w:val="clear" w:color="auto" w:fill="FFFFFF" w:themeFill="background1"/>
          </w:tcPr>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xml:space="preserve">+ Improved legal certainty deriving from legislation on EPO and from international agreements will benefit service providers. Clear obligations on their side will no longer make it necessary to assess legality of requests for data. </w:t>
            </w:r>
          </w:p>
          <w:p w:rsidR="001B65FF" w:rsidRDefault="003E4EF4">
            <w:pPr>
              <w:pStyle w:val="Bullettables"/>
              <w:tabs>
                <w:tab w:val="clear" w:pos="360"/>
              </w:tabs>
              <w:spacing w:before="0"/>
              <w:ind w:left="17"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GB"/>
              </w:rPr>
            </w:pPr>
            <w:r>
              <w:rPr>
                <w:rFonts w:ascii="Times New Roman" w:hAnsi="Times New Roman" w:cs="Times New Roman"/>
                <w:noProof/>
                <w:sz w:val="22"/>
                <w:lang w:val="en-GB"/>
              </w:rPr>
              <w:t>- Improved access by EU</w:t>
            </w:r>
            <w:r>
              <w:rPr>
                <w:rFonts w:ascii="Times New Roman" w:hAnsi="Times New Roman" w:cs="Times New Roman"/>
                <w:noProof/>
                <w:sz w:val="22"/>
                <w:lang w:val="en-GB"/>
              </w:rPr>
              <w:t xml:space="preserve"> authorities to e-evidence could affect business models chosen by service providers, in particular where data location and access to this data is an important factor for customers. This is specifically the case for some corporate clients. This would be mit</w:t>
            </w:r>
            <w:r>
              <w:rPr>
                <w:rFonts w:ascii="Times New Roman" w:hAnsi="Times New Roman" w:cs="Times New Roman"/>
                <w:noProof/>
                <w:sz w:val="22"/>
                <w:lang w:val="en-GB"/>
              </w:rPr>
              <w:t>igated by a "controller first" principle.</w:t>
            </w: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2"/>
                <w:lang w:val="en-GB"/>
              </w:rPr>
            </w:pPr>
            <w:r>
              <w:rPr>
                <w:rFonts w:ascii="Times New Roman" w:hAnsi="Times New Roman" w:cs="Times New Roman"/>
                <w:b/>
                <w:noProof/>
                <w:sz w:val="22"/>
                <w:lang w:val="en-GB"/>
              </w:rPr>
              <w:t>-1,5</w:t>
            </w:r>
          </w:p>
        </w:tc>
      </w:tr>
      <w:tr w:rsidR="001B65FF" w:rsidTr="001B65FF">
        <w:trPr>
          <w:trHeight w:val="1358"/>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Fundamental rights and freedoms</w:t>
            </w:r>
          </w:p>
        </w:tc>
        <w:tc>
          <w:tcPr>
            <w:tcW w:w="5455" w:type="dxa"/>
            <w:shd w:val="clear" w:color="auto" w:fill="FFFFFF" w:themeFill="background1"/>
            <w:hideMark/>
          </w:tcPr>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xml:space="preserve">When assessing a combination of all measures, the main measure impacting fundamental rights is the legislative measure on a European Production Order. The measure would create </w:t>
            </w:r>
            <w:r>
              <w:rPr>
                <w:rFonts w:ascii="Times New Roman" w:hAnsi="Times New Roman" w:cs="Times New Roman"/>
                <w:noProof/>
                <w:lang w:val="en-GB"/>
              </w:rPr>
              <w:t>a legal framework including sufficient safeguards to make it compatible with fundamental rights.</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noProof/>
                <w:lang w:val="en-GB"/>
              </w:rPr>
              <w:t>On the other hand, by not including a measure on direct access, or delaying its adoption, option C would leave the direct access to diverging national regimes,</w:t>
            </w:r>
            <w:r>
              <w:rPr>
                <w:rFonts w:ascii="Times New Roman" w:hAnsi="Times New Roman"/>
                <w:noProof/>
                <w:lang w:val="en-GB"/>
              </w:rPr>
              <w:t xml:space="preserve"> thereby not ensuring a similar high level of protection in the Union of direct access measures; safeguards would remain a national issue. Minimum safeguards could potentially stem from the additional protocol to the Budapest Convention, but it is too earl</w:t>
            </w:r>
            <w:r>
              <w:rPr>
                <w:rFonts w:ascii="Times New Roman" w:hAnsi="Times New Roman"/>
                <w:noProof/>
                <w:lang w:val="en-GB"/>
              </w:rPr>
              <w:t>y to say. With a functioning mechanism to obtain data from service providers, it can be assumed that there would be fewer incentives for Member States to use direct access also in situations where they could instead go to a service provider.</w:t>
            </w: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sz w:val="22"/>
                <w:lang w:val="en-GB"/>
              </w:rPr>
              <w:t>+1</w:t>
            </w:r>
          </w:p>
        </w:tc>
      </w:tr>
      <w:tr w:rsidR="001B65FF" w:rsidTr="001B65F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985" w:type="dxa"/>
          </w:tcPr>
          <w:p w:rsidR="001B65FF" w:rsidRDefault="003E4EF4">
            <w:pPr>
              <w:pStyle w:val="Boxtext"/>
              <w:spacing w:before="0" w:after="0"/>
              <w:jc w:val="left"/>
              <w:rPr>
                <w:rFonts w:ascii="Times New Roman" w:hAnsi="Times New Roman"/>
                <w:noProof/>
                <w:color w:val="auto"/>
                <w:sz w:val="22"/>
                <w:lang w:val="en-GB"/>
              </w:rPr>
            </w:pPr>
            <w:r>
              <w:rPr>
                <w:rFonts w:ascii="Times New Roman" w:hAnsi="Times New Roman" w:cs="Times New Roman"/>
                <w:noProof/>
                <w:color w:val="auto"/>
                <w:sz w:val="22"/>
                <w:lang w:val="en-GB"/>
              </w:rPr>
              <w:t xml:space="preserve">Impact on </w:t>
            </w:r>
            <w:r>
              <w:rPr>
                <w:rFonts w:ascii="Times New Roman" w:hAnsi="Times New Roman" w:cs="Times New Roman"/>
                <w:noProof/>
                <w:color w:val="auto"/>
                <w:sz w:val="22"/>
                <w:lang w:val="en-GB"/>
              </w:rPr>
              <w:t>3rd countries and international relations</w:t>
            </w:r>
          </w:p>
        </w:tc>
        <w:tc>
          <w:tcPr>
            <w:tcW w:w="5455" w:type="dxa"/>
            <w:shd w:val="clear" w:color="auto" w:fill="FFFFFF" w:themeFill="background1"/>
          </w:tcPr>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The main impact on non-EU countries stems from extraterritorial effects of the legislative measure on a European Production Order, even if steps are taken to mitigate those, notably with the conflicts of law clause</w:t>
            </w:r>
            <w:r>
              <w:rPr>
                <w:rFonts w:ascii="Times New Roman" w:hAnsi="Times New Roman" w:cs="Times New Roman"/>
                <w:noProof/>
                <w:lang w:val="en-GB"/>
              </w:rPr>
              <w:t>.</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3"/>
                <w:lang w:val="en-GB"/>
              </w:rPr>
            </w:pPr>
            <w:r>
              <w:rPr>
                <w:rFonts w:ascii="Times New Roman" w:hAnsi="Times New Roman" w:cs="Times New Roman"/>
                <w:noProof/>
                <w:lang w:val="en-GB"/>
              </w:rPr>
              <w:t>If these measures are combined with international solutions, for which they could serve as a source of inspiration, this would greatly contribute to achieving acceptance of these measures.</w:t>
            </w:r>
            <w:r>
              <w:rPr>
                <w:rFonts w:ascii="Times New Roman" w:hAnsi="Times New Roman" w:cs="Times New Roman"/>
                <w:noProof/>
                <w:sz w:val="23"/>
                <w:lang w:val="en-GB"/>
              </w:rPr>
              <w:t xml:space="preserve"> </w:t>
            </w: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2"/>
                <w:lang w:val="en-GB"/>
              </w:rPr>
            </w:pPr>
            <w:r>
              <w:rPr>
                <w:rFonts w:ascii="Times New Roman" w:hAnsi="Times New Roman" w:cs="Times New Roman"/>
                <w:b/>
                <w:noProof/>
                <w:sz w:val="22"/>
                <w:lang w:val="en-GB"/>
              </w:rPr>
              <w:t>+1</w:t>
            </w:r>
          </w:p>
        </w:tc>
      </w:tr>
    </w:tbl>
    <w:p w:rsidR="001B65FF" w:rsidRDefault="001B65FF">
      <w:pPr>
        <w:rPr>
          <w:rFonts w:ascii="Times New Roman" w:hAnsi="Times New Roman" w:cs="Times New Roman"/>
          <w:noProof/>
        </w:rPr>
      </w:pPr>
    </w:p>
    <w:p w:rsidR="001B65FF" w:rsidRDefault="001B65FF">
      <w:pPr>
        <w:rPr>
          <w:rFonts w:ascii="Times New Roman" w:hAnsi="Times New Roman" w:cs="Times New Roman"/>
          <w:noProof/>
        </w:rPr>
      </w:pPr>
    </w:p>
    <w:p w:rsidR="001B65FF" w:rsidRDefault="003E4EF4">
      <w:pPr>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 </w:t>
      </w:r>
      <w:bookmarkStart w:id="2085" w:name="_Toc498509836"/>
      <w:bookmarkStart w:id="2086" w:name="_Toc498518122"/>
      <w:bookmarkStart w:id="2087" w:name="_Toc498521178"/>
      <w:bookmarkStart w:id="2088" w:name="_Toc498521338"/>
      <w:r>
        <w:rPr>
          <w:rFonts w:ascii="Times New Roman" w:hAnsi="Times New Roman" w:cs="Times New Roman"/>
          <w:b/>
          <w:noProof/>
          <w:sz w:val="24"/>
          <w:szCs w:val="24"/>
          <w:u w:val="single"/>
        </w:rPr>
        <w:t>Option D: option C + direct access</w:t>
      </w:r>
      <w:bookmarkEnd w:id="2085"/>
      <w:bookmarkEnd w:id="2086"/>
      <w:bookmarkEnd w:id="2087"/>
      <w:bookmarkEnd w:id="2088"/>
    </w:p>
    <w:tbl>
      <w:tblPr>
        <w:tblStyle w:val="ListTable3-Accent51"/>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85"/>
        <w:gridCol w:w="5455"/>
        <w:gridCol w:w="1065"/>
      </w:tblGrid>
      <w:tr w:rsidR="001B65FF" w:rsidTr="001B65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shd w:val="clear" w:color="auto" w:fill="FFFFFF" w:themeFill="background1"/>
            <w:hideMark/>
          </w:tcPr>
          <w:p w:rsidR="001B65FF" w:rsidRDefault="003E4EF4">
            <w:pPr>
              <w:pStyle w:val="Boxtext"/>
              <w:spacing w:before="0" w:after="0"/>
              <w:rPr>
                <w:rFonts w:ascii="Times New Roman" w:hAnsi="Times New Roman" w:cs="Times New Roman"/>
                <w:noProof/>
                <w:color w:val="auto"/>
                <w:sz w:val="22"/>
                <w:szCs w:val="24"/>
              </w:rPr>
            </w:pPr>
            <w:r>
              <w:rPr>
                <w:rFonts w:ascii="Times New Roman" w:hAnsi="Times New Roman" w:cs="Times New Roman"/>
                <w:noProof/>
                <w:color w:val="auto"/>
                <w:sz w:val="22"/>
                <w:szCs w:val="24"/>
              </w:rPr>
              <w:t>Criteria</w:t>
            </w:r>
          </w:p>
        </w:tc>
        <w:tc>
          <w:tcPr>
            <w:tcW w:w="5455" w:type="dxa"/>
            <w:shd w:val="clear" w:color="auto" w:fill="FFFFFF" w:themeFill="background1"/>
            <w:hideMark/>
          </w:tcPr>
          <w:p w:rsidR="001B65FF" w:rsidRDefault="003E4EF4">
            <w:pPr>
              <w:pStyle w:val="Boxtext"/>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Pr>
                <w:rFonts w:ascii="Times New Roman" w:hAnsi="Times New Roman" w:cs="Times New Roman"/>
                <w:noProof/>
                <w:color w:val="auto"/>
                <w:sz w:val="22"/>
                <w:szCs w:val="24"/>
              </w:rPr>
              <w:t>Assessment</w:t>
            </w:r>
          </w:p>
        </w:tc>
        <w:tc>
          <w:tcPr>
            <w:tcW w:w="1065" w:type="dxa"/>
            <w:shd w:val="clear" w:color="auto" w:fill="FFFFFF" w:themeFill="background1"/>
          </w:tcPr>
          <w:p w:rsidR="001B65FF" w:rsidRDefault="003E4EF4">
            <w:pPr>
              <w:pStyle w:val="Boxtext"/>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rPr>
            </w:pPr>
            <w:r>
              <w:rPr>
                <w:rFonts w:ascii="Times New Roman" w:hAnsi="Times New Roman" w:cs="Times New Roman"/>
                <w:noProof/>
                <w:color w:val="auto"/>
                <w:sz w:val="22"/>
                <w:szCs w:val="24"/>
              </w:rPr>
              <w:t>Score</w:t>
            </w:r>
          </w:p>
        </w:tc>
      </w:tr>
      <w:tr w:rsidR="001B65FF" w:rsidTr="001B65FF">
        <w:trPr>
          <w:cnfStyle w:val="000000100000" w:firstRow="0" w:lastRow="0" w:firstColumn="0" w:lastColumn="0" w:oddVBand="0" w:evenVBand="0" w:oddHBand="1" w:evenHBand="0" w:firstRowFirstColumn="0" w:firstRowLastColumn="0" w:lastRowFirstColumn="0" w:lastRowLastColumn="0"/>
          <w:trHeight w:val="2102"/>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rPr>
                <w:rFonts w:ascii="Times New Roman" w:hAnsi="Times New Roman" w:cs="Times New Roman"/>
                <w:noProof/>
                <w:color w:val="auto"/>
                <w:sz w:val="22"/>
              </w:rPr>
            </w:pPr>
            <w:r>
              <w:rPr>
                <w:rFonts w:ascii="Times New Roman" w:hAnsi="Times New Roman" w:cs="Times New Roman"/>
                <w:noProof/>
                <w:color w:val="auto"/>
                <w:sz w:val="22"/>
              </w:rPr>
              <w:t>Effectiveness/</w:t>
            </w:r>
          </w:p>
          <w:p w:rsidR="001B65FF" w:rsidRDefault="003E4EF4">
            <w:pPr>
              <w:pStyle w:val="Boxtext"/>
              <w:spacing w:before="0" w:after="0"/>
              <w:rPr>
                <w:rFonts w:ascii="Times New Roman" w:hAnsi="Times New Roman" w:cs="Times New Roman"/>
                <w:noProof/>
                <w:color w:val="auto"/>
                <w:sz w:val="22"/>
              </w:rPr>
            </w:pPr>
            <w:r>
              <w:rPr>
                <w:rFonts w:ascii="Times New Roman" w:hAnsi="Times New Roman" w:cs="Times New Roman"/>
                <w:noProof/>
                <w:color w:val="auto"/>
                <w:sz w:val="22"/>
              </w:rPr>
              <w:t>social impact</w:t>
            </w:r>
          </w:p>
        </w:tc>
        <w:tc>
          <w:tcPr>
            <w:tcW w:w="5455" w:type="dxa"/>
            <w:shd w:val="clear" w:color="auto" w:fill="FFFFFF" w:themeFill="background1"/>
            <w:hideMark/>
          </w:tcPr>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A combination of all measures proposed would bring the biggest gain in terms of improving the capacity of public authorities to investigate and prosecute crimes. It would allow combining the benefits described above for all 7 measures (based on measure 5),</w:t>
            </w:r>
            <w:r>
              <w:rPr>
                <w:rFonts w:ascii="Times New Roman" w:hAnsi="Times New Roman" w:cs="Times New Roman"/>
                <w:noProof/>
                <w:lang w:val="en-GB"/>
              </w:rPr>
              <w:t xml:space="preserve"> as the options are complementary. </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The two legislative measures address different situations and would, if combined, provide for a set of efficient tools to obtain cross-border access to e-evidence. The option to provide a legal basis for Member State</w:t>
            </w:r>
            <w:r>
              <w:rPr>
                <w:rFonts w:ascii="Times New Roman" w:hAnsi="Times New Roman" w:cs="Times New Roman"/>
                <w:noProof/>
                <w:lang w:val="en-GB"/>
              </w:rPr>
              <w:t>s to adopt legislation on direct access, subject to stringent conditions and safeguards, could improve the capacity of public authorities to investigate and prosecute crimes, both with regard to the time to obtain data and to the number of cases where e-ev</w:t>
            </w:r>
            <w:r>
              <w:rPr>
                <w:rFonts w:ascii="Times New Roman" w:hAnsi="Times New Roman" w:cs="Times New Roman"/>
                <w:noProof/>
                <w:lang w:val="en-GB"/>
              </w:rPr>
              <w:t>idence is successfully obtained.</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+++A shift from judicial cooperation channels to these two tools can be expected, which would make access to e-evidence faster and more efficient. Improvements of judicial cooperation channels will still be useful: where th</w:t>
            </w:r>
            <w:r>
              <w:rPr>
                <w:rFonts w:ascii="Times New Roman" w:hAnsi="Times New Roman" w:cs="Times New Roman"/>
                <w:noProof/>
                <w:lang w:val="en-GB"/>
              </w:rPr>
              <w:t>e EPO would not help, e.g. in conflicts of law situations (content data with the US), judicial cooperation will prevail. For judicial cooperation among Member States, EIOs may still be issued to obtain e-evidence, even where direct cooperation provides for</w:t>
            </w:r>
            <w:r>
              <w:rPr>
                <w:rFonts w:ascii="Times New Roman" w:hAnsi="Times New Roman" w:cs="Times New Roman"/>
                <w:noProof/>
                <w:lang w:val="en-GB"/>
              </w:rPr>
              <w:t xml:space="preserve"> a faster access, e.g. when an investigating State needs different types of evidence from another Member State at the same time. </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Legislation providing for a legal basis to perform searches in the WHOIS database would enable authorities to continue to a</w:t>
            </w:r>
            <w:r>
              <w:rPr>
                <w:rFonts w:ascii="Times New Roman" w:hAnsi="Times New Roman" w:cs="Times New Roman"/>
                <w:noProof/>
                <w:lang w:val="en-GB"/>
              </w:rPr>
              <w:t>ccess the system in much the same manner as they currently do (see above Option B).</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xml:space="preserve">- Some of the practical measures to improve cooperation between public authorities and service providers would to some extent become superfluous once a legislative measure </w:t>
            </w:r>
            <w:r>
              <w:rPr>
                <w:rFonts w:ascii="Times New Roman" w:hAnsi="Times New Roman" w:cs="Times New Roman"/>
                <w:noProof/>
                <w:lang w:val="en-GB"/>
              </w:rPr>
              <w:t>on EPO or EPR comes into force, as the legislation would establish a procedure, standard forms and an obligation to designate a legal representative. As this may still take many years, there would still be a benefit in the short term from introducing these</w:t>
            </w:r>
            <w:r>
              <w:rPr>
                <w:rFonts w:ascii="Times New Roman" w:hAnsi="Times New Roman" w:cs="Times New Roman"/>
                <w:noProof/>
                <w:lang w:val="en-GB"/>
              </w:rPr>
              <w:t xml:space="preserve"> practical measures on a voluntary basis. </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The international solutions would complement legislative measures. In particular, once an agreement with the US would be in place, the measure on cooperation with service providers would also allow public auth</w:t>
            </w:r>
            <w:r>
              <w:rPr>
                <w:rFonts w:ascii="Times New Roman" w:hAnsi="Times New Roman" w:cs="Times New Roman"/>
                <w:noProof/>
                <w:lang w:val="en-GB"/>
              </w:rPr>
              <w:t>orities to obtain access to content data, as the conflict would no longer exist.</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However, international solutions remain uncertain and long-term.</w:t>
            </w:r>
          </w:p>
          <w:p w:rsidR="001B65FF" w:rsidRDefault="001B65F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sz w:val="22"/>
                <w:lang w:val="en-GB"/>
              </w:rPr>
              <w:t>+3</w:t>
            </w:r>
          </w:p>
        </w:tc>
      </w:tr>
      <w:tr w:rsidR="001B65FF" w:rsidTr="001B65FF">
        <w:trPr>
          <w:trHeight w:val="367"/>
        </w:trPr>
        <w:tc>
          <w:tcPr>
            <w:cnfStyle w:val="001000000000" w:firstRow="0" w:lastRow="0" w:firstColumn="1" w:lastColumn="0" w:oddVBand="0" w:evenVBand="0" w:oddHBand="0" w:evenHBand="0" w:firstRowFirstColumn="0" w:firstRowLastColumn="0" w:lastRowFirstColumn="0" w:lastRowLastColumn="0"/>
            <w:tcW w:w="1985" w:type="dxa"/>
            <w:hideMark/>
          </w:tcPr>
          <w:p w:rsidR="001B65FF" w:rsidRDefault="003E4EF4">
            <w:pPr>
              <w:pStyle w:val="Boxtext"/>
              <w:spacing w:before="0" w:after="0"/>
              <w:rPr>
                <w:rFonts w:ascii="Times New Roman" w:hAnsi="Times New Roman" w:cs="Times New Roman"/>
                <w:noProof/>
                <w:color w:val="auto"/>
                <w:sz w:val="22"/>
              </w:rPr>
            </w:pPr>
            <w:r>
              <w:rPr>
                <w:rFonts w:ascii="Times New Roman" w:hAnsi="Times New Roman" w:cs="Times New Roman"/>
                <w:noProof/>
                <w:color w:val="auto"/>
                <w:sz w:val="22"/>
              </w:rPr>
              <w:t>Efficiency</w:t>
            </w:r>
          </w:p>
        </w:tc>
        <w:tc>
          <w:tcPr>
            <w:tcW w:w="5455" w:type="dxa"/>
            <w:shd w:val="clear" w:color="auto" w:fill="FFFFFF" w:themeFill="background1"/>
            <w:hideMark/>
          </w:tcPr>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xml:space="preserve">+++A combination of all 7 measures would result in cumulated cost reductions for both </w:t>
            </w:r>
            <w:r>
              <w:rPr>
                <w:rFonts w:ascii="Times New Roman" w:hAnsi="Times New Roman" w:cs="Times New Roman"/>
                <w:noProof/>
                <w:lang w:val="en-GB"/>
              </w:rPr>
              <w:t>service providers and public authorities compared to the baseline scenario. The expected shift from judicial cooperation channels to cooperation with service providers and, to a lesser extent, to direct access, would lead to important cost savings for judi</w:t>
            </w:r>
            <w:r>
              <w:rPr>
                <w:rFonts w:ascii="Times New Roman" w:hAnsi="Times New Roman" w:cs="Times New Roman"/>
                <w:noProof/>
                <w:lang w:val="en-GB"/>
              </w:rPr>
              <w:t>cial authorities both in the issuing and in the receiving State. Improvements in judicial cooperation channels, which would remain relevant in certain cases, would also result in some cost savings. Implementation of both practical and legislative measure w</w:t>
            </w:r>
            <w:r>
              <w:rPr>
                <w:rFonts w:ascii="Times New Roman" w:hAnsi="Times New Roman" w:cs="Times New Roman"/>
                <w:noProof/>
                <w:lang w:val="en-GB"/>
              </w:rPr>
              <w:t>ould generate some costs for Member States, but these would probably be offset by the cost savings described above.</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cs="Times New Roman"/>
                <w:noProof/>
                <w:lang w:val="en-GB"/>
              </w:rPr>
              <w:t>- The biggest change for service providers is that they would receive more requests directly from public authorities in another Member State</w:t>
            </w:r>
            <w:r>
              <w:rPr>
                <w:rFonts w:ascii="Times New Roman" w:hAnsi="Times New Roman" w:cs="Times New Roman"/>
                <w:noProof/>
                <w:lang w:val="en-GB"/>
              </w:rPr>
              <w:t xml:space="preserve">, rather than from their own public authorities via MLA or EIO channels. </w:t>
            </w:r>
          </w:p>
          <w:p w:rsidR="001B65FF" w:rsidRDefault="003E4EF4">
            <w:pPr>
              <w:jc w:val="both"/>
              <w:cnfStyle w:val="000000000000" w:firstRow="0" w:lastRow="0" w:firstColumn="0" w:lastColumn="0" w:oddVBand="0" w:evenVBand="0" w:oddHBand="0" w:evenHBand="0" w:firstRowFirstColumn="0" w:firstRowLastColumn="0" w:lastRowFirstColumn="0" w:lastRowLastColumn="0"/>
              <w:rPr>
                <w:noProof/>
                <w:lang w:val="en-GB"/>
              </w:rPr>
            </w:pPr>
            <w:r>
              <w:rPr>
                <w:rFonts w:ascii="Times New Roman" w:hAnsi="Times New Roman" w:cs="Times New Roman"/>
                <w:noProof/>
                <w:lang w:val="en-GB"/>
              </w:rPr>
              <w:t>+ The main benefit for them would be the legal certainty and the harmonisation of procedures and forms of requests.</w:t>
            </w: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2"/>
                <w:lang w:val="en-GB"/>
              </w:rPr>
            </w:pPr>
            <w:r>
              <w:rPr>
                <w:rFonts w:ascii="Times New Roman" w:hAnsi="Times New Roman" w:cs="Times New Roman"/>
                <w:b/>
                <w:noProof/>
                <w:sz w:val="22"/>
                <w:szCs w:val="24"/>
                <w:lang w:val="en-GB"/>
              </w:rPr>
              <w:t>+2</w:t>
            </w:r>
          </w:p>
        </w:tc>
      </w:tr>
      <w:tr w:rsidR="001B65FF" w:rsidTr="001B65FF">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985" w:type="dxa"/>
          </w:tcPr>
          <w:p w:rsidR="001B65FF" w:rsidRDefault="003E4EF4">
            <w:pPr>
              <w:pStyle w:val="Boxtext"/>
              <w:spacing w:before="0" w:after="0"/>
              <w:jc w:val="left"/>
              <w:rPr>
                <w:rFonts w:ascii="Times New Roman" w:hAnsi="Times New Roman" w:cs="Times New Roman"/>
                <w:noProof/>
                <w:color w:val="auto"/>
                <w:sz w:val="22"/>
              </w:rPr>
            </w:pPr>
            <w:r>
              <w:rPr>
                <w:rFonts w:ascii="Times New Roman" w:hAnsi="Times New Roman" w:cs="Times New Roman"/>
                <w:noProof/>
                <w:color w:val="auto"/>
                <w:sz w:val="22"/>
              </w:rPr>
              <w:t>Competitiveness</w:t>
            </w:r>
          </w:p>
        </w:tc>
        <w:tc>
          <w:tcPr>
            <w:tcW w:w="5455" w:type="dxa"/>
            <w:shd w:val="clear" w:color="auto" w:fill="FFFFFF" w:themeFill="background1"/>
          </w:tcPr>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xml:space="preserve">+ Improved legal certainty deriving from legislation on EPO and from international agreements will benefit service providers. Clear obligations on their side will no longer make it necessary to assess legality of requests for data. </w:t>
            </w:r>
          </w:p>
          <w:p w:rsidR="001B65FF" w:rsidRDefault="003E4EF4">
            <w:pPr>
              <w:pStyle w:val="Bullettables"/>
              <w:tabs>
                <w:tab w:val="clear" w:pos="360"/>
              </w:tabs>
              <w:spacing w:before="0"/>
              <w:ind w:left="17"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en-GB"/>
              </w:rPr>
            </w:pPr>
            <w:r>
              <w:rPr>
                <w:rFonts w:ascii="Times New Roman" w:hAnsi="Times New Roman" w:cs="Times New Roman"/>
                <w:noProof/>
                <w:sz w:val="22"/>
                <w:lang w:val="en-GB"/>
              </w:rPr>
              <w:t>- Improved access by EU</w:t>
            </w:r>
            <w:r>
              <w:rPr>
                <w:rFonts w:ascii="Times New Roman" w:hAnsi="Times New Roman" w:cs="Times New Roman"/>
                <w:noProof/>
                <w:sz w:val="22"/>
                <w:lang w:val="en-GB"/>
              </w:rPr>
              <w:t xml:space="preserve"> authorities to e-evidence could affect business models chosen by service providers, in particular where data location and access to this data is an important factor for customers. This is specifically the case for some corporate clients. This would be mit</w:t>
            </w:r>
            <w:r>
              <w:rPr>
                <w:rFonts w:ascii="Times New Roman" w:hAnsi="Times New Roman" w:cs="Times New Roman"/>
                <w:noProof/>
                <w:sz w:val="22"/>
                <w:lang w:val="en-GB"/>
              </w:rPr>
              <w:t>igated by a "controller first" principle.</w:t>
            </w:r>
          </w:p>
        </w:tc>
        <w:tc>
          <w:tcPr>
            <w:tcW w:w="1065" w:type="dxa"/>
            <w:shd w:val="clear" w:color="auto" w:fill="FFFFFF" w:themeFill="background1"/>
          </w:tcPr>
          <w:p w:rsidR="001B65FF" w:rsidRDefault="003E4EF4">
            <w:pPr>
              <w:pStyle w:val="Bullettables"/>
              <w:tabs>
                <w:tab w:val="clear" w:pos="360"/>
              </w:tabs>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2"/>
                <w:szCs w:val="24"/>
                <w:lang w:val="en-GB"/>
              </w:rPr>
            </w:pPr>
            <w:r>
              <w:rPr>
                <w:rFonts w:ascii="Times New Roman" w:hAnsi="Times New Roman" w:cs="Times New Roman"/>
                <w:b/>
                <w:noProof/>
                <w:sz w:val="22"/>
                <w:szCs w:val="24"/>
                <w:lang w:val="en-GB"/>
              </w:rPr>
              <w:t>-1,5</w:t>
            </w:r>
          </w:p>
        </w:tc>
      </w:tr>
      <w:tr w:rsidR="001B65FF" w:rsidTr="001B65FF">
        <w:trPr>
          <w:trHeight w:val="1358"/>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hideMark/>
          </w:tcPr>
          <w:p w:rsidR="001B65FF" w:rsidRDefault="003E4EF4">
            <w:pPr>
              <w:pStyle w:val="Boxtext"/>
              <w:spacing w:before="0" w:after="0"/>
              <w:jc w:val="left"/>
              <w:rPr>
                <w:rFonts w:ascii="Times New Roman" w:hAnsi="Times New Roman"/>
                <w:noProof/>
                <w:color w:val="auto"/>
                <w:sz w:val="24"/>
                <w:lang w:val="en-GB"/>
              </w:rPr>
            </w:pPr>
            <w:r>
              <w:rPr>
                <w:rFonts w:ascii="Times New Roman" w:hAnsi="Times New Roman"/>
                <w:noProof/>
                <w:color w:val="auto"/>
                <w:sz w:val="22"/>
                <w:lang w:val="en-GB"/>
              </w:rPr>
              <w:t>Fundamental rights and freedoms</w:t>
            </w:r>
          </w:p>
        </w:tc>
        <w:tc>
          <w:tcPr>
            <w:tcW w:w="5455" w:type="dxa"/>
            <w:tcBorders>
              <w:bottom w:val="single" w:sz="4" w:space="0" w:color="auto"/>
            </w:tcBorders>
            <w:shd w:val="clear" w:color="auto" w:fill="FFFFFF" w:themeFill="background1"/>
            <w:hideMark/>
          </w:tcPr>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xml:space="preserve">When assessing a combination of all measures, the main options impacting fundamental rights are the two legislative measures. The two measures would create a legal framework </w:t>
            </w:r>
            <w:r>
              <w:rPr>
                <w:rFonts w:ascii="Times New Roman" w:hAnsi="Times New Roman" w:cs="Times New Roman"/>
                <w:noProof/>
                <w:lang w:val="en-GB"/>
              </w:rPr>
              <w:t>including sufficient safeguards to make the measures compatible with fundamental rights.</w:t>
            </w:r>
          </w:p>
          <w:p w:rsidR="001B65FF" w:rsidRDefault="003E4E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lang w:val="en-GB"/>
              </w:rPr>
            </w:pPr>
            <w:r>
              <w:rPr>
                <w:rFonts w:ascii="Times New Roman" w:hAnsi="Times New Roman"/>
                <w:noProof/>
                <w:lang w:val="en-GB"/>
              </w:rPr>
              <w:t xml:space="preserve">A combination of all legislative measures, including international solutions, would facilitate cross-border access to personal data to the biggest extent, but would </w:t>
            </w:r>
            <w:r>
              <w:rPr>
                <w:rFonts w:ascii="Times New Roman" w:hAnsi="Times New Roman"/>
                <w:noProof/>
                <w:lang w:val="en-GB"/>
              </w:rPr>
              <w:t>also ensure that fundamental rights are most widely protected in all situations covered by these measures. If only some of these measures would be pursued by Union law, it would still leave room for either national unilateral solutions and/or voluntary coo</w:t>
            </w:r>
            <w:r>
              <w:rPr>
                <w:rFonts w:ascii="Times New Roman" w:hAnsi="Times New Roman"/>
                <w:noProof/>
                <w:lang w:val="en-GB"/>
              </w:rPr>
              <w:t xml:space="preserve">peration outside of a clear legal framework. The legislative measures would also ensure that the practical measures can take place in a legal framework where fundamental rights are protected, thereby complementing the practical measures from a fundamental </w:t>
            </w:r>
            <w:r>
              <w:rPr>
                <w:rFonts w:ascii="Times New Roman" w:hAnsi="Times New Roman"/>
                <w:noProof/>
                <w:lang w:val="en-GB"/>
              </w:rPr>
              <w:t>rights point of view.</w:t>
            </w:r>
          </w:p>
        </w:tc>
        <w:tc>
          <w:tcPr>
            <w:tcW w:w="1065" w:type="dxa"/>
            <w:tcBorders>
              <w:bottom w:val="single" w:sz="4" w:space="0" w:color="auto"/>
            </w:tcBorders>
            <w:shd w:val="clear" w:color="auto" w:fill="FFFFFF" w:themeFill="background1"/>
          </w:tcPr>
          <w:p w:rsidR="001B65FF" w:rsidRDefault="003E4EF4">
            <w:pPr>
              <w:pStyle w:val="Bullettables"/>
              <w:tabs>
                <w:tab w:val="clear" w:pos="360"/>
              </w:tabs>
              <w:spacing w:before="0"/>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Cs w:val="24"/>
                <w:lang w:val="en-GB"/>
              </w:rPr>
            </w:pPr>
            <w:r>
              <w:rPr>
                <w:rFonts w:ascii="Times New Roman" w:hAnsi="Times New Roman" w:cs="Times New Roman"/>
                <w:b/>
                <w:noProof/>
                <w:sz w:val="22"/>
                <w:szCs w:val="24"/>
                <w:lang w:val="en-GB"/>
              </w:rPr>
              <w:t>+1</w:t>
            </w:r>
          </w:p>
        </w:tc>
      </w:tr>
      <w:tr w:rsidR="001B65FF" w:rsidTr="001B65F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tcPr>
          <w:p w:rsidR="001B65FF" w:rsidRDefault="003E4EF4">
            <w:pPr>
              <w:pStyle w:val="Boxtext"/>
              <w:spacing w:before="0" w:after="0"/>
              <w:jc w:val="left"/>
              <w:rPr>
                <w:rFonts w:ascii="Times New Roman" w:hAnsi="Times New Roman"/>
                <w:noProof/>
                <w:color w:val="auto"/>
                <w:sz w:val="24"/>
                <w:lang w:val="en-GB"/>
              </w:rPr>
            </w:pPr>
            <w:r>
              <w:rPr>
                <w:rFonts w:ascii="Times New Roman" w:hAnsi="Times New Roman" w:cs="Times New Roman"/>
                <w:noProof/>
                <w:color w:val="auto"/>
                <w:sz w:val="22"/>
                <w:lang w:val="en-GB"/>
              </w:rPr>
              <w:t>Impact on 3rd countries and international relations</w:t>
            </w:r>
          </w:p>
        </w:tc>
        <w:tc>
          <w:tcPr>
            <w:tcW w:w="5455" w:type="dxa"/>
            <w:tcBorders>
              <w:top w:val="single" w:sz="4" w:space="0" w:color="auto"/>
              <w:bottom w:val="single" w:sz="4" w:space="0" w:color="auto"/>
            </w:tcBorders>
            <w:shd w:val="clear" w:color="auto" w:fill="FFFFFF" w:themeFill="background1"/>
          </w:tcPr>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 xml:space="preserve">The main impact on non-EU countries stems from extraterritorial effects of the two legislative measures, even if steps are taken to mitigate those, notably for the EPO with the </w:t>
            </w:r>
            <w:r>
              <w:rPr>
                <w:rFonts w:ascii="Times New Roman" w:hAnsi="Times New Roman" w:cs="Times New Roman"/>
                <w:noProof/>
                <w:lang w:val="en-GB"/>
              </w:rPr>
              <w:t>conflicts of law clause. The risk of reciprocal responses for a measure on direct access is more difficult to mitigate.</w:t>
            </w:r>
          </w:p>
          <w:p w:rsidR="001B65FF" w:rsidRDefault="003E4E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3"/>
                <w:lang w:val="en-GB"/>
              </w:rPr>
            </w:pPr>
            <w:r>
              <w:rPr>
                <w:rFonts w:ascii="Times New Roman" w:hAnsi="Times New Roman" w:cs="Times New Roman"/>
                <w:noProof/>
                <w:lang w:val="en-GB"/>
              </w:rPr>
              <w:t>If these measures are combined with international solutions, for which they could serve as a source of inspiration, this would greatly c</w:t>
            </w:r>
            <w:r>
              <w:rPr>
                <w:rFonts w:ascii="Times New Roman" w:hAnsi="Times New Roman" w:cs="Times New Roman"/>
                <w:noProof/>
                <w:lang w:val="en-GB"/>
              </w:rPr>
              <w:t>ontribute to achieving acceptance of these measures.</w:t>
            </w:r>
            <w:r>
              <w:rPr>
                <w:rFonts w:ascii="Times New Roman" w:hAnsi="Times New Roman" w:cs="Times New Roman"/>
                <w:noProof/>
                <w:sz w:val="23"/>
                <w:lang w:val="en-GB"/>
              </w:rPr>
              <w:t xml:space="preserve"> </w:t>
            </w:r>
          </w:p>
        </w:tc>
        <w:tc>
          <w:tcPr>
            <w:tcW w:w="1065" w:type="dxa"/>
            <w:tcBorders>
              <w:top w:val="single" w:sz="4" w:space="0" w:color="auto"/>
              <w:bottom w:val="single" w:sz="4" w:space="0" w:color="auto"/>
            </w:tcBorders>
            <w:shd w:val="clear" w:color="auto" w:fill="FFFFFF" w:themeFill="background1"/>
          </w:tcPr>
          <w:p w:rsidR="001B65FF" w:rsidRDefault="003E4EF4">
            <w:pPr>
              <w:pStyle w:val="Bullettables"/>
              <w:tabs>
                <w:tab w:val="clear" w:pos="360"/>
              </w:tabs>
              <w:spacing w:before="0"/>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2"/>
                <w:szCs w:val="24"/>
                <w:lang w:val="en-GB"/>
              </w:rPr>
            </w:pPr>
            <w:r>
              <w:rPr>
                <w:rFonts w:ascii="Times New Roman" w:hAnsi="Times New Roman" w:cs="Times New Roman"/>
                <w:b/>
                <w:noProof/>
                <w:sz w:val="22"/>
                <w:szCs w:val="24"/>
                <w:lang w:val="en-GB"/>
              </w:rPr>
              <w:t>+0,5</w:t>
            </w:r>
          </w:p>
        </w:tc>
      </w:tr>
    </w:tbl>
    <w:p w:rsidR="001B65FF" w:rsidRDefault="001B65FF">
      <w:pPr>
        <w:rPr>
          <w:rFonts w:ascii="Times New Roman" w:hAnsi="Times New Roman" w:cs="Times New Roman"/>
          <w:noProof/>
        </w:rPr>
      </w:pPr>
    </w:p>
    <w:p w:rsidR="001B65FF" w:rsidRDefault="003E4EF4">
      <w:pPr>
        <w:pStyle w:val="Heading2"/>
        <w:numPr>
          <w:ilvl w:val="0"/>
          <w:numId w:val="5"/>
        </w:numPr>
        <w:rPr>
          <w:rFonts w:ascii="Times New Roman" w:hAnsi="Times New Roman" w:cs="Times New Roman"/>
          <w:noProof/>
        </w:rPr>
      </w:pPr>
      <w:bookmarkStart w:id="2089" w:name="_Toc499128436"/>
      <w:bookmarkStart w:id="2090" w:name="_Toc499129550"/>
      <w:bookmarkStart w:id="2091" w:name="_Toc499130061"/>
      <w:bookmarkStart w:id="2092" w:name="_Toc499134853"/>
      <w:bookmarkStart w:id="2093" w:name="_Toc499138246"/>
      <w:bookmarkStart w:id="2094" w:name="_Toc499138385"/>
      <w:bookmarkStart w:id="2095" w:name="_Toc499138647"/>
      <w:bookmarkStart w:id="2096" w:name="_Toc499140991"/>
      <w:bookmarkStart w:id="2097" w:name="_Toc499141279"/>
      <w:bookmarkStart w:id="2098" w:name="_Toc499142910"/>
      <w:bookmarkStart w:id="2099" w:name="_Toc499143355"/>
      <w:bookmarkStart w:id="2100" w:name="_Toc498509837"/>
      <w:bookmarkStart w:id="2101" w:name="_Toc498518123"/>
      <w:bookmarkStart w:id="2102" w:name="_Toc498521179"/>
      <w:bookmarkStart w:id="2103" w:name="_Toc498521339"/>
      <w:bookmarkStart w:id="2104" w:name="_Toc498702001"/>
      <w:bookmarkStart w:id="2105" w:name="_Toc498704733"/>
      <w:bookmarkStart w:id="2106" w:name="_Toc499020488"/>
      <w:bookmarkStart w:id="2107" w:name="_Toc499030422"/>
      <w:bookmarkStart w:id="2108" w:name="_Toc499044964"/>
      <w:bookmarkStart w:id="2109" w:name="_Toc499051380"/>
      <w:bookmarkStart w:id="2110" w:name="_Toc499133340"/>
      <w:bookmarkStart w:id="2111" w:name="_Toc499142911"/>
      <w:bookmarkStart w:id="2112" w:name="_Toc510952906"/>
      <w:bookmarkEnd w:id="2089"/>
      <w:bookmarkEnd w:id="2090"/>
      <w:bookmarkEnd w:id="2091"/>
      <w:bookmarkEnd w:id="2092"/>
      <w:bookmarkEnd w:id="2093"/>
      <w:bookmarkEnd w:id="2094"/>
      <w:bookmarkEnd w:id="2095"/>
      <w:bookmarkEnd w:id="2096"/>
      <w:bookmarkEnd w:id="2097"/>
      <w:bookmarkEnd w:id="2098"/>
      <w:bookmarkEnd w:id="2099"/>
      <w:r>
        <w:rPr>
          <w:rFonts w:ascii="Times New Roman" w:hAnsi="Times New Roman" w:cs="Times New Roman"/>
          <w:noProof/>
        </w:rPr>
        <w:t>Quantitative assessment</w:t>
      </w:r>
      <w:bookmarkEnd w:id="2067"/>
      <w:bookmarkEnd w:id="2068"/>
      <w:r>
        <w:rPr>
          <w:rFonts w:ascii="Times New Roman" w:hAnsi="Times New Roman" w:cs="Times New Roman"/>
          <w:noProof/>
        </w:rPr>
        <w:t xml:space="preserve"> of policy measures</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rsidR="001B65FF" w:rsidRDefault="003E4EF4">
      <w:pPr>
        <w:jc w:val="both"/>
        <w:rPr>
          <w:rFonts w:ascii="Times New Roman" w:eastAsiaTheme="minorHAnsi" w:hAnsi="Times New Roman" w:cs="Times New Roman"/>
          <w:noProof/>
          <w:sz w:val="24"/>
          <w:szCs w:val="24"/>
          <w:lang w:val="en-US"/>
        </w:rPr>
      </w:pPr>
      <w:r>
        <w:rPr>
          <w:rFonts w:ascii="Times New Roman" w:eastAsiaTheme="minorHAnsi" w:hAnsi="Times New Roman" w:cs="Times New Roman"/>
          <w:noProof/>
          <w:sz w:val="24"/>
          <w:szCs w:val="24"/>
          <w:lang w:val="en-US"/>
        </w:rPr>
        <w:t>This section describes how the model to calculate the costs works, the assumptions used and the limitations.</w:t>
      </w:r>
    </w:p>
    <w:p w:rsidR="001B65FF" w:rsidRDefault="003E4EF4">
      <w:pPr>
        <w:numPr>
          <w:ilvl w:val="0"/>
          <w:numId w:val="156"/>
        </w:numPr>
        <w:contextualSpacing/>
        <w:jc w:val="both"/>
        <w:rPr>
          <w:rFonts w:ascii="Times New Roman" w:eastAsiaTheme="minorHAnsi" w:hAnsi="Times New Roman" w:cs="Times New Roman"/>
          <w:b/>
          <w:noProof/>
          <w:sz w:val="24"/>
          <w:szCs w:val="24"/>
          <w:lang w:val="en-US"/>
        </w:rPr>
      </w:pPr>
      <w:r>
        <w:rPr>
          <w:rFonts w:ascii="Times New Roman" w:eastAsiaTheme="minorHAnsi" w:hAnsi="Times New Roman" w:cs="Times New Roman"/>
          <w:b/>
          <w:noProof/>
          <w:sz w:val="24"/>
          <w:szCs w:val="24"/>
          <w:lang w:val="en-US"/>
        </w:rPr>
        <w:t>How the model works.</w:t>
      </w:r>
    </w:p>
    <w:p w:rsidR="001B65FF" w:rsidRDefault="003E4EF4">
      <w:pPr>
        <w:jc w:val="both"/>
        <w:rPr>
          <w:rFonts w:ascii="Times New Roman" w:eastAsiaTheme="minorHAnsi" w:hAnsi="Times New Roman" w:cs="Times New Roman"/>
          <w:noProof/>
          <w:sz w:val="24"/>
          <w:szCs w:val="24"/>
          <w:lang w:val="en-US"/>
        </w:rPr>
      </w:pPr>
      <w:r>
        <w:rPr>
          <w:rFonts w:ascii="Times New Roman" w:eastAsiaTheme="minorHAnsi" w:hAnsi="Times New Roman" w:cs="Times New Roman"/>
          <w:noProof/>
          <w:sz w:val="24"/>
          <w:szCs w:val="24"/>
          <w:lang w:val="en-US"/>
        </w:rPr>
        <w:t xml:space="preserve">As described in section 6.2., the model calculates the </w:t>
      </w:r>
      <w:r>
        <w:rPr>
          <w:rFonts w:ascii="Times New Roman" w:eastAsiaTheme="minorHAnsi" w:hAnsi="Times New Roman" w:cs="Times New Roman"/>
          <w:b/>
          <w:noProof/>
          <w:sz w:val="24"/>
          <w:szCs w:val="24"/>
          <w:lang w:val="en-US"/>
        </w:rPr>
        <w:t xml:space="preserve">administrative costs </w:t>
      </w:r>
      <w:r>
        <w:rPr>
          <w:rFonts w:ascii="Times New Roman" w:eastAsiaTheme="minorHAnsi" w:hAnsi="Times New Roman" w:cs="Times New Roman"/>
          <w:noProof/>
          <w:sz w:val="24"/>
          <w:szCs w:val="24"/>
          <w:lang w:val="en-US"/>
        </w:rPr>
        <w:t xml:space="preserve">for the 2 groups of stakeholders which would incur in costs in this initiative: </w:t>
      </w:r>
      <w:r>
        <w:rPr>
          <w:rFonts w:ascii="Times New Roman" w:eastAsiaTheme="minorHAnsi" w:hAnsi="Times New Roman" w:cs="Times New Roman"/>
          <w:b/>
          <w:noProof/>
          <w:sz w:val="24"/>
          <w:szCs w:val="24"/>
          <w:lang w:val="en-US"/>
        </w:rPr>
        <w:t>public authorities</w:t>
      </w:r>
      <w:r>
        <w:rPr>
          <w:rFonts w:ascii="Times New Roman" w:eastAsiaTheme="minorHAnsi" w:hAnsi="Times New Roman" w:cs="Times New Roman"/>
          <w:noProof/>
          <w:sz w:val="24"/>
          <w:szCs w:val="24"/>
          <w:lang w:val="en-US"/>
        </w:rPr>
        <w:t xml:space="preserve"> and </w:t>
      </w:r>
      <w:r>
        <w:rPr>
          <w:rFonts w:ascii="Times New Roman" w:eastAsiaTheme="minorHAnsi" w:hAnsi="Times New Roman" w:cs="Times New Roman"/>
          <w:b/>
          <w:noProof/>
          <w:sz w:val="24"/>
          <w:szCs w:val="24"/>
          <w:lang w:val="en-US"/>
        </w:rPr>
        <w:t>service providers</w:t>
      </w:r>
      <w:r>
        <w:rPr>
          <w:rFonts w:ascii="Times New Roman" w:eastAsiaTheme="minorHAnsi" w:hAnsi="Times New Roman" w:cs="Times New Roman"/>
          <w:noProof/>
          <w:sz w:val="24"/>
          <w:szCs w:val="24"/>
          <w:lang w:val="en-US"/>
        </w:rPr>
        <w:t>. These costs have two components: the salary/minute and the</w:t>
      </w:r>
      <w:r>
        <w:rPr>
          <w:rFonts w:ascii="Times New Roman" w:eastAsiaTheme="minorHAnsi" w:hAnsi="Times New Roman" w:cs="Times New Roman"/>
          <w:noProof/>
          <w:sz w:val="24"/>
          <w:szCs w:val="24"/>
          <w:lang w:val="en-US"/>
        </w:rPr>
        <w:t xml:space="preserve"> minutes it takes to do the tasks:</w:t>
      </w:r>
    </w:p>
    <w:p w:rsidR="001B65FF" w:rsidRDefault="003E4EF4">
      <w:pPr>
        <w:pBdr>
          <w:top w:val="single" w:sz="4" w:space="1" w:color="auto"/>
          <w:left w:val="single" w:sz="4" w:space="4" w:color="auto"/>
          <w:bottom w:val="single" w:sz="4" w:space="1" w:color="auto"/>
          <w:right w:val="single" w:sz="4" w:space="4" w:color="auto"/>
        </w:pBdr>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Costs = </w:t>
      </w:r>
      <w:r>
        <w:rPr>
          <w:rFonts w:ascii="Times New Roman" w:eastAsiaTheme="minorHAnsi" w:hAnsi="Times New Roman" w:cs="Times New Roman"/>
          <w:b/>
          <w:noProof/>
          <w:sz w:val="24"/>
          <w:szCs w:val="24"/>
        </w:rPr>
        <w:t>cost/minute</w:t>
      </w:r>
      <w:r>
        <w:rPr>
          <w:rFonts w:ascii="Times New Roman" w:eastAsiaTheme="minorHAnsi" w:hAnsi="Times New Roman" w:cs="Times New Roman"/>
          <w:noProof/>
          <w:sz w:val="24"/>
          <w:szCs w:val="24"/>
        </w:rPr>
        <w:t xml:space="preserve"> of the person doing the tasks x </w:t>
      </w:r>
      <w:r>
        <w:rPr>
          <w:rFonts w:ascii="Times New Roman" w:eastAsiaTheme="minorHAnsi" w:hAnsi="Times New Roman" w:cs="Times New Roman"/>
          <w:b/>
          <w:noProof/>
          <w:sz w:val="24"/>
          <w:szCs w:val="24"/>
        </w:rPr>
        <w:t>minutes</w:t>
      </w:r>
      <w:r>
        <w:rPr>
          <w:rFonts w:ascii="Times New Roman" w:eastAsiaTheme="minorHAnsi" w:hAnsi="Times New Roman" w:cs="Times New Roman"/>
          <w:noProof/>
          <w:sz w:val="24"/>
          <w:szCs w:val="24"/>
        </w:rPr>
        <w:t xml:space="preserve"> required to do the tasks</w:t>
      </w:r>
    </w:p>
    <w:p w:rsidR="001B65FF" w:rsidRDefault="003E4EF4">
      <w:pPr>
        <w:numPr>
          <w:ilvl w:val="0"/>
          <w:numId w:val="15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b/>
          <w:noProof/>
          <w:sz w:val="24"/>
          <w:szCs w:val="24"/>
        </w:rPr>
        <w:t>Cost/minute</w:t>
      </w:r>
      <w:r>
        <w:rPr>
          <w:rFonts w:ascii="Times New Roman" w:eastAsiaTheme="minorHAnsi" w:hAnsi="Times New Roman" w:cs="Times New Roman"/>
          <w:noProof/>
          <w:sz w:val="24"/>
          <w:szCs w:val="24"/>
        </w:rPr>
        <w:t>:</w:t>
      </w:r>
    </w:p>
    <w:p w:rsidR="001B65FF" w:rsidRDefault="003E4EF4">
      <w:pPr>
        <w:numPr>
          <w:ilvl w:val="1"/>
          <w:numId w:val="1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It includes:</w:t>
      </w:r>
    </w:p>
    <w:p w:rsidR="001B65FF" w:rsidRDefault="003E4EF4">
      <w:pPr>
        <w:numPr>
          <w:ilvl w:val="2"/>
          <w:numId w:val="1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salary, based on the median of the salaries in the EU of the level 2 workers (professionals) in the </w:t>
      </w:r>
      <w:r>
        <w:rPr>
          <w:rFonts w:ascii="Times New Roman" w:hAnsi="Times New Roman" w:cs="Times New Roman"/>
          <w:noProof/>
          <w:sz w:val="24"/>
          <w:szCs w:val="24"/>
        </w:rPr>
        <w:t>International Standard Classification of Occupations (ISCO)</w:t>
      </w:r>
      <w:r>
        <w:rPr>
          <w:rFonts w:ascii="Times New Roman" w:eastAsia="Times New Roman" w:hAnsi="Times New Roman" w:cs="Times New Roman"/>
          <w:noProof/>
          <w:sz w:val="24"/>
          <w:szCs w:val="24"/>
          <w:vertAlign w:val="superscript"/>
        </w:rPr>
        <w:footnoteReference w:id="185"/>
      </w:r>
      <w:r>
        <w:rPr>
          <w:rFonts w:ascii="Times New Roman" w:hAnsi="Times New Roman" w:cs="Times New Roman"/>
          <w:noProof/>
          <w:sz w:val="24"/>
          <w:szCs w:val="24"/>
        </w:rPr>
        <w:t>;</w:t>
      </w:r>
    </w:p>
    <w:p w:rsidR="001B65FF" w:rsidRDefault="003E4EF4">
      <w:pPr>
        <w:numPr>
          <w:ilvl w:val="2"/>
          <w:numId w:val="1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non-wage labour costs such as employers’ social contributions;</w:t>
      </w:r>
    </w:p>
    <w:p w:rsidR="001B65FF" w:rsidRDefault="003E4EF4">
      <w:pPr>
        <w:numPr>
          <w:ilvl w:val="2"/>
          <w:numId w:val="1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25% overhead (i.e. expenses not related to direct labour, such as the cost of office equipment.)</w:t>
      </w:r>
    </w:p>
    <w:p w:rsidR="001B65FF" w:rsidRDefault="003E4EF4">
      <w:pPr>
        <w:numPr>
          <w:ilvl w:val="1"/>
          <w:numId w:val="15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value is </w:t>
      </w:r>
      <w:r>
        <w:rPr>
          <w:rFonts w:ascii="Times New Roman" w:eastAsiaTheme="minorHAnsi" w:hAnsi="Times New Roman" w:cs="Times New Roman"/>
          <w:b/>
          <w:noProof/>
          <w:sz w:val="24"/>
          <w:szCs w:val="24"/>
        </w:rPr>
        <w:t xml:space="preserve">30 EUR/hour = 50 </w:t>
      </w:r>
      <w:r>
        <w:rPr>
          <w:rFonts w:ascii="Times New Roman" w:eastAsiaTheme="minorHAnsi" w:hAnsi="Times New Roman" w:cs="Times New Roman"/>
          <w:b/>
          <w:noProof/>
          <w:sz w:val="24"/>
          <w:szCs w:val="24"/>
        </w:rPr>
        <w:t>cents/minute</w:t>
      </w:r>
      <w:r>
        <w:rPr>
          <w:rFonts w:ascii="Times New Roman" w:eastAsiaTheme="minorHAnsi" w:hAnsi="Times New Roman" w:cs="Times New Roman"/>
          <w:noProof/>
          <w:sz w:val="24"/>
          <w:szCs w:val="24"/>
        </w:rPr>
        <w:t>.</w:t>
      </w:r>
    </w:p>
    <w:p w:rsidR="001B65FF" w:rsidRDefault="003E4EF4">
      <w:pPr>
        <w:numPr>
          <w:ilvl w:val="0"/>
          <w:numId w:val="152"/>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b/>
          <w:noProof/>
          <w:sz w:val="24"/>
          <w:szCs w:val="24"/>
        </w:rPr>
        <w:t>Minutes</w:t>
      </w:r>
      <w:r>
        <w:rPr>
          <w:rFonts w:ascii="Times New Roman" w:eastAsiaTheme="minorHAnsi" w:hAnsi="Times New Roman" w:cs="Times New Roman"/>
          <w:noProof/>
          <w:sz w:val="24"/>
          <w:szCs w:val="24"/>
        </w:rPr>
        <w:t xml:space="preserve"> required to do a task:</w:t>
      </w:r>
    </w:p>
    <w:p w:rsidR="001B65FF" w:rsidRDefault="003E4EF4">
      <w:pPr>
        <w:numPr>
          <w:ilvl w:val="1"/>
          <w:numId w:val="152"/>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Since the salary/minute is assumed constant, the model focuses on estimating the minutes required to do the tasks.</w:t>
      </w:r>
    </w:p>
    <w:p w:rsidR="001B65FF" w:rsidRDefault="003E4EF4">
      <w:pPr>
        <w:numPr>
          <w:ilvl w:val="1"/>
          <w:numId w:val="152"/>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This minutes required to do the tasks can change if:</w:t>
      </w:r>
    </w:p>
    <w:p w:rsidR="001B65FF" w:rsidRDefault="003E4EF4">
      <w:pPr>
        <w:numPr>
          <w:ilvl w:val="0"/>
          <w:numId w:val="157"/>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w:t>
      </w:r>
      <w:r>
        <w:rPr>
          <w:rFonts w:ascii="Times New Roman" w:eastAsiaTheme="minorHAnsi" w:hAnsi="Times New Roman" w:cs="Times New Roman"/>
          <w:b/>
          <w:noProof/>
          <w:sz w:val="24"/>
          <w:szCs w:val="24"/>
        </w:rPr>
        <w:t>time</w:t>
      </w:r>
      <w:r>
        <w:rPr>
          <w:rFonts w:ascii="Times New Roman" w:eastAsiaTheme="minorHAnsi" w:hAnsi="Times New Roman" w:cs="Times New Roman"/>
          <w:noProof/>
          <w:sz w:val="24"/>
          <w:szCs w:val="24"/>
        </w:rPr>
        <w:t xml:space="preserve"> required to do </w:t>
      </w:r>
      <w:r>
        <w:rPr>
          <w:rFonts w:ascii="Times New Roman" w:eastAsiaTheme="minorHAnsi" w:hAnsi="Times New Roman" w:cs="Times New Roman"/>
          <w:b/>
          <w:noProof/>
          <w:sz w:val="24"/>
          <w:szCs w:val="24"/>
        </w:rPr>
        <w:t>one task</w:t>
      </w:r>
      <w:r>
        <w:rPr>
          <w:rFonts w:ascii="Times New Roman" w:eastAsiaTheme="minorHAnsi" w:hAnsi="Times New Roman" w:cs="Times New Roman"/>
          <w:noProof/>
          <w:sz w:val="24"/>
          <w:szCs w:val="24"/>
        </w:rPr>
        <w:t xml:space="preserve"> changes, o</w:t>
      </w:r>
      <w:r>
        <w:rPr>
          <w:rFonts w:ascii="Times New Roman" w:eastAsiaTheme="minorHAnsi" w:hAnsi="Times New Roman" w:cs="Times New Roman"/>
          <w:noProof/>
          <w:sz w:val="24"/>
          <w:szCs w:val="24"/>
        </w:rPr>
        <w:t>r</w:t>
      </w:r>
    </w:p>
    <w:p w:rsidR="001B65FF" w:rsidRDefault="003E4EF4">
      <w:pPr>
        <w:numPr>
          <w:ilvl w:val="0"/>
          <w:numId w:val="157"/>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w:t>
      </w:r>
      <w:r>
        <w:rPr>
          <w:rFonts w:ascii="Times New Roman" w:eastAsiaTheme="minorHAnsi" w:hAnsi="Times New Roman" w:cs="Times New Roman"/>
          <w:b/>
          <w:noProof/>
          <w:sz w:val="24"/>
          <w:szCs w:val="24"/>
        </w:rPr>
        <w:t>total number of tasks</w:t>
      </w:r>
      <w:r>
        <w:rPr>
          <w:rFonts w:ascii="Times New Roman" w:eastAsiaTheme="minorHAnsi" w:hAnsi="Times New Roman" w:cs="Times New Roman"/>
          <w:noProof/>
          <w:sz w:val="24"/>
          <w:szCs w:val="24"/>
        </w:rPr>
        <w:t xml:space="preserve"> changes.</w:t>
      </w:r>
    </w:p>
    <w:p w:rsidR="001B65FF" w:rsidRDefault="003E4EF4">
      <w:pPr>
        <w:spacing w:before="24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w:t>
      </w:r>
      <w:r>
        <w:rPr>
          <w:rFonts w:ascii="Times New Roman" w:eastAsiaTheme="minorHAnsi" w:hAnsi="Times New Roman" w:cs="Times New Roman"/>
          <w:b/>
          <w:noProof/>
          <w:sz w:val="24"/>
          <w:szCs w:val="24"/>
        </w:rPr>
        <w:t xml:space="preserve">one-off costs </w:t>
      </w:r>
      <w:r>
        <w:rPr>
          <w:rFonts w:ascii="Times New Roman" w:eastAsiaTheme="minorHAnsi" w:hAnsi="Times New Roman" w:cs="Times New Roman"/>
          <w:noProof/>
          <w:sz w:val="24"/>
          <w:szCs w:val="24"/>
        </w:rPr>
        <w:t>were calculated using estimates on the time it takes to carry out the tasks (e.g. transposition of legislation), from comparable situations.</w:t>
      </w:r>
    </w:p>
    <w:p w:rsidR="001B65FF" w:rsidRDefault="003E4EF4">
      <w:pPr>
        <w:spacing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w:t>
      </w:r>
      <w:r>
        <w:rPr>
          <w:rFonts w:ascii="Times New Roman" w:eastAsiaTheme="minorHAnsi" w:hAnsi="Times New Roman" w:cs="Times New Roman"/>
          <w:b/>
          <w:noProof/>
          <w:sz w:val="24"/>
          <w:szCs w:val="24"/>
        </w:rPr>
        <w:t xml:space="preserve">continuous costs </w:t>
      </w:r>
      <w:r>
        <w:rPr>
          <w:rFonts w:ascii="Times New Roman" w:eastAsiaTheme="minorHAnsi" w:hAnsi="Times New Roman" w:cs="Times New Roman"/>
          <w:noProof/>
          <w:sz w:val="24"/>
          <w:szCs w:val="24"/>
        </w:rPr>
        <w:t xml:space="preserve">were calculated in comparison with the </w:t>
      </w:r>
      <w:r>
        <w:rPr>
          <w:rFonts w:ascii="Times New Roman" w:eastAsiaTheme="minorHAnsi" w:hAnsi="Times New Roman" w:cs="Times New Roman"/>
          <w:noProof/>
          <w:sz w:val="24"/>
          <w:szCs w:val="24"/>
        </w:rPr>
        <w:t>baseline:</w:t>
      </w:r>
    </w:p>
    <w:p w:rsidR="001B65FF" w:rsidRDefault="003E4EF4">
      <w:pPr>
        <w:numPr>
          <w:ilvl w:val="0"/>
          <w:numId w:val="166"/>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First, the costs of the baseline were calculated, including the time/attempt and the number of attempts to access e-evidence across borders in each of the channels (judicial cooperation, direct cooperation and direct access) and for both public a</w:t>
      </w:r>
      <w:r>
        <w:rPr>
          <w:rFonts w:ascii="Times New Roman" w:eastAsiaTheme="minorHAnsi" w:hAnsi="Times New Roman" w:cs="Times New Roman"/>
          <w:noProof/>
          <w:sz w:val="24"/>
          <w:szCs w:val="24"/>
        </w:rPr>
        <w:t>uthorities and service providers.</w:t>
      </w:r>
    </w:p>
    <w:p w:rsidR="001B65FF" w:rsidRDefault="003E4EF4">
      <w:pPr>
        <w:numPr>
          <w:ilvl w:val="0"/>
          <w:numId w:val="166"/>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Second, it was estimated how each of the options changed the time/attempt and the number of attempts in each of the channels and stakeholders group in relation to the baseline (% of deviation from the baseline parameters).</w:t>
      </w:r>
      <w:r>
        <w:rPr>
          <w:rFonts w:ascii="Times New Roman" w:eastAsiaTheme="minorHAnsi" w:hAnsi="Times New Roman" w:cs="Times New Roman"/>
          <w:noProof/>
          <w:sz w:val="24"/>
          <w:szCs w:val="24"/>
        </w:rPr>
        <w:t xml:space="preserve"> These group of percentages are called "modifiers" in the explanations below are tabled for each of the options.</w:t>
      </w:r>
    </w:p>
    <w:p w:rsidR="001B65FF" w:rsidRDefault="003E4EF4">
      <w:pPr>
        <w:numPr>
          <w:ilvl w:val="0"/>
          <w:numId w:val="166"/>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Finally, the continuous costs for that option resulted from applying the modifiers to the baseline values to obtain the time/attempt and the nu</w:t>
      </w:r>
      <w:r>
        <w:rPr>
          <w:rFonts w:ascii="Times New Roman" w:eastAsiaTheme="minorHAnsi" w:hAnsi="Times New Roman" w:cs="Times New Roman"/>
          <w:noProof/>
          <w:sz w:val="24"/>
          <w:szCs w:val="24"/>
        </w:rPr>
        <w:t>mber of attempts for each option's scenario.</w:t>
      </w:r>
    </w:p>
    <w:p w:rsidR="001B65FF" w:rsidRDefault="003E4EF4">
      <w:pPr>
        <w:ind w:left="72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  </w:t>
      </w:r>
    </w:p>
    <w:p w:rsidR="001B65FF" w:rsidRDefault="003E4EF4">
      <w:pPr>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In summary, to calculate the costs of each option, the following questions were analysed for each of the measures:</w:t>
      </w:r>
    </w:p>
    <w:p w:rsidR="001B65FF" w:rsidRDefault="003E4EF4">
      <w:pPr>
        <w:numPr>
          <w:ilvl w:val="0"/>
          <w:numId w:val="165"/>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Are there any </w:t>
      </w:r>
      <w:r>
        <w:rPr>
          <w:rFonts w:ascii="Times New Roman" w:eastAsiaTheme="minorHAnsi" w:hAnsi="Times New Roman" w:cs="Times New Roman"/>
          <w:b/>
          <w:noProof/>
          <w:sz w:val="24"/>
          <w:szCs w:val="24"/>
        </w:rPr>
        <w:t>one-off costs</w:t>
      </w:r>
      <w:r>
        <w:rPr>
          <w:rFonts w:ascii="Times New Roman" w:eastAsiaTheme="minorHAnsi" w:hAnsi="Times New Roman" w:cs="Times New Roman"/>
          <w:noProof/>
          <w:sz w:val="24"/>
          <w:szCs w:val="24"/>
        </w:rPr>
        <w:t>? (e.g. initial costs to set a system of contact points).</w:t>
      </w:r>
    </w:p>
    <w:p w:rsidR="001B65FF" w:rsidRDefault="003E4EF4">
      <w:pPr>
        <w:numPr>
          <w:ilvl w:val="0"/>
          <w:numId w:val="165"/>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Does the measure </w:t>
      </w:r>
      <w:r>
        <w:rPr>
          <w:rFonts w:ascii="Times New Roman" w:eastAsiaTheme="minorHAnsi" w:hAnsi="Times New Roman" w:cs="Times New Roman"/>
          <w:b/>
          <w:noProof/>
          <w:sz w:val="24"/>
          <w:szCs w:val="24"/>
        </w:rPr>
        <w:t>change</w:t>
      </w:r>
      <w:r>
        <w:rPr>
          <w:rFonts w:ascii="Times New Roman" w:eastAsiaTheme="minorHAnsi" w:hAnsi="Times New Roman" w:cs="Times New Roman"/>
          <w:noProof/>
          <w:sz w:val="24"/>
          <w:szCs w:val="24"/>
        </w:rPr>
        <w:t xml:space="preserve"> any of the </w:t>
      </w:r>
      <w:r>
        <w:rPr>
          <w:rFonts w:ascii="Times New Roman" w:eastAsiaTheme="minorHAnsi" w:hAnsi="Times New Roman" w:cs="Times New Roman"/>
          <w:b/>
          <w:noProof/>
          <w:sz w:val="24"/>
          <w:szCs w:val="24"/>
        </w:rPr>
        <w:t xml:space="preserve">times </w:t>
      </w:r>
      <w:r>
        <w:rPr>
          <w:rFonts w:ascii="Times New Roman" w:eastAsiaTheme="minorHAnsi" w:hAnsi="Times New Roman" w:cs="Times New Roman"/>
          <w:noProof/>
          <w:sz w:val="24"/>
          <w:szCs w:val="24"/>
        </w:rPr>
        <w:t xml:space="preserve">required to do </w:t>
      </w:r>
      <w:r>
        <w:rPr>
          <w:rFonts w:ascii="Times New Roman" w:eastAsiaTheme="minorHAnsi" w:hAnsi="Times New Roman" w:cs="Times New Roman"/>
          <w:b/>
          <w:noProof/>
          <w:sz w:val="24"/>
          <w:szCs w:val="24"/>
        </w:rPr>
        <w:t>any task</w:t>
      </w:r>
      <w:r>
        <w:rPr>
          <w:rFonts w:ascii="Times New Roman" w:eastAsiaTheme="minorHAnsi" w:hAnsi="Times New Roman" w:cs="Times New Roman"/>
          <w:noProof/>
          <w:sz w:val="24"/>
          <w:szCs w:val="24"/>
        </w:rPr>
        <w:t xml:space="preserve"> required to attempt to access e-evidence across borders in </w:t>
      </w:r>
      <w:r>
        <w:rPr>
          <w:rFonts w:ascii="Times New Roman" w:eastAsiaTheme="minorHAnsi" w:hAnsi="Times New Roman" w:cs="Times New Roman"/>
          <w:b/>
          <w:noProof/>
          <w:sz w:val="24"/>
          <w:szCs w:val="24"/>
        </w:rPr>
        <w:t>each of the three channels</w:t>
      </w:r>
      <w:r>
        <w:rPr>
          <w:rFonts w:ascii="Times New Roman" w:eastAsiaTheme="minorHAnsi" w:hAnsi="Times New Roman" w:cs="Times New Roman"/>
          <w:noProof/>
          <w:sz w:val="24"/>
          <w:szCs w:val="24"/>
        </w:rPr>
        <w:t xml:space="preserve"> (i.e. judicial cooperation, direct cooperation and direct access)?</w:t>
      </w:r>
    </w:p>
    <w:p w:rsidR="001B65FF" w:rsidRDefault="003E4EF4">
      <w:pPr>
        <w:numPr>
          <w:ilvl w:val="0"/>
          <w:numId w:val="165"/>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Does the measure</w:t>
      </w:r>
      <w:r>
        <w:rPr>
          <w:rFonts w:ascii="Times New Roman" w:eastAsiaTheme="minorHAnsi" w:hAnsi="Times New Roman" w:cs="Times New Roman"/>
          <w:b/>
          <w:noProof/>
          <w:sz w:val="24"/>
          <w:szCs w:val="24"/>
        </w:rPr>
        <w:t xml:space="preserve"> change</w:t>
      </w:r>
      <w:r>
        <w:rPr>
          <w:rFonts w:ascii="Times New Roman" w:eastAsiaTheme="minorHAnsi" w:hAnsi="Times New Roman" w:cs="Times New Roman"/>
          <w:noProof/>
          <w:sz w:val="24"/>
          <w:szCs w:val="24"/>
        </w:rPr>
        <w:t xml:space="preserve"> the </w:t>
      </w:r>
      <w:r>
        <w:rPr>
          <w:rFonts w:ascii="Times New Roman" w:eastAsiaTheme="minorHAnsi" w:hAnsi="Times New Roman" w:cs="Times New Roman"/>
          <w:b/>
          <w:noProof/>
          <w:sz w:val="24"/>
          <w:szCs w:val="24"/>
        </w:rPr>
        <w:t>total numb</w:t>
      </w:r>
      <w:r>
        <w:rPr>
          <w:rFonts w:ascii="Times New Roman" w:eastAsiaTheme="minorHAnsi" w:hAnsi="Times New Roman" w:cs="Times New Roman"/>
          <w:b/>
          <w:noProof/>
          <w:sz w:val="24"/>
          <w:szCs w:val="24"/>
        </w:rPr>
        <w:t>er</w:t>
      </w:r>
      <w:r>
        <w:rPr>
          <w:rFonts w:ascii="Times New Roman" w:eastAsiaTheme="minorHAnsi" w:hAnsi="Times New Roman" w:cs="Times New Roman"/>
          <w:noProof/>
          <w:sz w:val="24"/>
          <w:szCs w:val="24"/>
        </w:rPr>
        <w:t xml:space="preserve"> of </w:t>
      </w:r>
      <w:r>
        <w:rPr>
          <w:rFonts w:ascii="Times New Roman" w:eastAsiaTheme="minorHAnsi" w:hAnsi="Times New Roman" w:cs="Times New Roman"/>
          <w:b/>
          <w:noProof/>
          <w:sz w:val="24"/>
          <w:szCs w:val="24"/>
        </w:rPr>
        <w:t>attempts</w:t>
      </w:r>
      <w:r>
        <w:rPr>
          <w:rFonts w:ascii="Times New Roman" w:eastAsiaTheme="minorHAnsi" w:hAnsi="Times New Roman" w:cs="Times New Roman"/>
          <w:noProof/>
          <w:sz w:val="24"/>
          <w:szCs w:val="24"/>
        </w:rPr>
        <w:t xml:space="preserve"> to access e-evidence across borders in </w:t>
      </w:r>
      <w:r>
        <w:rPr>
          <w:rFonts w:ascii="Times New Roman" w:eastAsiaTheme="minorHAnsi" w:hAnsi="Times New Roman" w:cs="Times New Roman"/>
          <w:b/>
          <w:noProof/>
          <w:sz w:val="24"/>
          <w:szCs w:val="24"/>
        </w:rPr>
        <w:t>each of the 3 channels</w:t>
      </w:r>
      <w:r>
        <w:rPr>
          <w:rFonts w:ascii="Times New Roman" w:eastAsiaTheme="minorHAnsi" w:hAnsi="Times New Roman" w:cs="Times New Roman"/>
          <w:noProof/>
          <w:sz w:val="24"/>
          <w:szCs w:val="24"/>
        </w:rPr>
        <w:t>?</w:t>
      </w:r>
    </w:p>
    <w:p w:rsidR="001B65FF" w:rsidRDefault="003E4EF4">
      <w:pPr>
        <w:numPr>
          <w:ilvl w:val="0"/>
          <w:numId w:val="165"/>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Combining the above, does the measure</w:t>
      </w:r>
      <w:r>
        <w:rPr>
          <w:rFonts w:ascii="Times New Roman" w:eastAsiaTheme="minorHAnsi" w:hAnsi="Times New Roman" w:cs="Times New Roman"/>
          <w:b/>
          <w:noProof/>
          <w:sz w:val="24"/>
          <w:szCs w:val="24"/>
        </w:rPr>
        <w:t xml:space="preserve"> change</w:t>
      </w:r>
      <w:r>
        <w:rPr>
          <w:rFonts w:ascii="Times New Roman" w:eastAsiaTheme="minorHAnsi" w:hAnsi="Times New Roman" w:cs="Times New Roman"/>
          <w:noProof/>
          <w:sz w:val="24"/>
          <w:szCs w:val="24"/>
        </w:rPr>
        <w:t xml:space="preserve"> the </w:t>
      </w:r>
      <w:r>
        <w:rPr>
          <w:rFonts w:ascii="Times New Roman" w:eastAsiaTheme="minorHAnsi" w:hAnsi="Times New Roman" w:cs="Times New Roman"/>
          <w:b/>
          <w:noProof/>
          <w:sz w:val="24"/>
          <w:szCs w:val="24"/>
        </w:rPr>
        <w:t>total time</w:t>
      </w:r>
      <w:r>
        <w:rPr>
          <w:rFonts w:ascii="Times New Roman" w:eastAsiaTheme="minorHAnsi" w:hAnsi="Times New Roman" w:cs="Times New Roman"/>
          <w:noProof/>
          <w:sz w:val="24"/>
          <w:szCs w:val="24"/>
        </w:rPr>
        <w:t xml:space="preserve"> to attempt to access e-evidence across borders?</w:t>
      </w:r>
    </w:p>
    <w:p w:rsidR="001B65FF" w:rsidRDefault="003E4EF4">
      <w:pPr>
        <w:numPr>
          <w:ilvl w:val="0"/>
          <w:numId w:val="165"/>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Combining the above, does the measure</w:t>
      </w:r>
      <w:r>
        <w:rPr>
          <w:rFonts w:ascii="Times New Roman" w:eastAsiaTheme="minorHAnsi" w:hAnsi="Times New Roman" w:cs="Times New Roman"/>
          <w:b/>
          <w:noProof/>
          <w:sz w:val="24"/>
          <w:szCs w:val="24"/>
        </w:rPr>
        <w:t xml:space="preserve"> change</w:t>
      </w:r>
      <w:r>
        <w:rPr>
          <w:rFonts w:ascii="Times New Roman" w:eastAsiaTheme="minorHAnsi" w:hAnsi="Times New Roman" w:cs="Times New Roman"/>
          <w:noProof/>
          <w:sz w:val="24"/>
          <w:szCs w:val="24"/>
        </w:rPr>
        <w:t xml:space="preserve"> the </w:t>
      </w:r>
      <w:r>
        <w:rPr>
          <w:rFonts w:ascii="Times New Roman" w:eastAsiaTheme="minorHAnsi" w:hAnsi="Times New Roman" w:cs="Times New Roman"/>
          <w:b/>
          <w:noProof/>
          <w:sz w:val="24"/>
          <w:szCs w:val="24"/>
        </w:rPr>
        <w:t xml:space="preserve">total continuous costs </w:t>
      </w:r>
      <w:r>
        <w:rPr>
          <w:rFonts w:ascii="Times New Roman" w:eastAsiaTheme="minorHAnsi" w:hAnsi="Times New Roman" w:cs="Times New Roman"/>
          <w:noProof/>
          <w:sz w:val="24"/>
          <w:szCs w:val="24"/>
        </w:rPr>
        <w:t>to attempt to access e-evidence across borders?</w:t>
      </w:r>
    </w:p>
    <w:p w:rsidR="001B65FF" w:rsidRDefault="003E4EF4">
      <w:pPr>
        <w:spacing w:before="360"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following </w:t>
      </w:r>
      <w:r>
        <w:rPr>
          <w:rFonts w:ascii="Times New Roman" w:eastAsiaTheme="minorHAnsi" w:hAnsi="Times New Roman" w:cs="Times New Roman"/>
          <w:b/>
          <w:noProof/>
          <w:sz w:val="24"/>
          <w:szCs w:val="24"/>
        </w:rPr>
        <w:t xml:space="preserve">general assumptions </w:t>
      </w:r>
      <w:r>
        <w:rPr>
          <w:rFonts w:ascii="Times New Roman" w:eastAsiaTheme="minorHAnsi" w:hAnsi="Times New Roman" w:cs="Times New Roman"/>
          <w:noProof/>
          <w:sz w:val="24"/>
          <w:szCs w:val="24"/>
        </w:rPr>
        <w:t>were made:</w:t>
      </w:r>
    </w:p>
    <w:p w:rsidR="001B65FF" w:rsidRDefault="003E4EF4">
      <w:pPr>
        <w:numPr>
          <w:ilvl w:val="0"/>
          <w:numId w:val="15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cost/minute = 30 EUR/hour = 50 cents/minute</w:t>
      </w:r>
      <w:r>
        <w:rPr>
          <w:rFonts w:ascii="Times New Roman" w:eastAsiaTheme="minorHAnsi" w:hAnsi="Times New Roman"/>
          <w:noProof/>
          <w:sz w:val="24"/>
        </w:rPr>
        <w:t xml:space="preserve"> </w:t>
      </w:r>
      <w:r>
        <w:rPr>
          <w:rFonts w:ascii="Times New Roman" w:eastAsiaTheme="minorHAnsi" w:hAnsi="Times New Roman" w:cs="Times New Roman"/>
          <w:noProof/>
          <w:sz w:val="24"/>
          <w:szCs w:val="24"/>
        </w:rPr>
        <w:t xml:space="preserve">remains </w:t>
      </w:r>
      <w:r>
        <w:rPr>
          <w:rFonts w:ascii="Times New Roman" w:eastAsiaTheme="minorHAnsi" w:hAnsi="Times New Roman" w:cs="Times New Roman"/>
          <w:b/>
          <w:noProof/>
          <w:sz w:val="24"/>
          <w:szCs w:val="24"/>
        </w:rPr>
        <w:t>constant</w:t>
      </w:r>
      <w:r>
        <w:rPr>
          <w:rFonts w:ascii="Times New Roman" w:eastAsiaTheme="minorHAnsi" w:hAnsi="Times New Roman" w:cs="Times New Roman"/>
          <w:noProof/>
          <w:sz w:val="24"/>
          <w:szCs w:val="24"/>
        </w:rPr>
        <w:t xml:space="preserve"> for all options and over time.</w:t>
      </w:r>
    </w:p>
    <w:p w:rsidR="001B65FF" w:rsidRDefault="003E4EF4">
      <w:pPr>
        <w:numPr>
          <w:ilvl w:val="0"/>
          <w:numId w:val="15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time required to do a task is the </w:t>
      </w:r>
      <w:r>
        <w:rPr>
          <w:rFonts w:ascii="Times New Roman" w:eastAsiaTheme="minorHAnsi" w:hAnsi="Times New Roman" w:cs="Times New Roman"/>
          <w:b/>
          <w:noProof/>
          <w:sz w:val="24"/>
          <w:szCs w:val="24"/>
        </w:rPr>
        <w:t>averag</w:t>
      </w:r>
      <w:r>
        <w:rPr>
          <w:rFonts w:ascii="Times New Roman" w:eastAsiaTheme="minorHAnsi" w:hAnsi="Times New Roman" w:cs="Times New Roman"/>
          <w:b/>
          <w:noProof/>
          <w:sz w:val="24"/>
          <w:szCs w:val="24"/>
        </w:rPr>
        <w:t>e</w:t>
      </w:r>
      <w:r>
        <w:rPr>
          <w:rFonts w:ascii="Times New Roman" w:eastAsiaTheme="minorHAnsi" w:hAnsi="Times New Roman" w:cs="Times New Roman"/>
          <w:noProof/>
          <w:sz w:val="24"/>
          <w:szCs w:val="24"/>
        </w:rPr>
        <w:t xml:space="preserve"> of </w:t>
      </w:r>
      <w:r>
        <w:rPr>
          <w:rFonts w:ascii="Times New Roman" w:eastAsiaTheme="minorHAnsi" w:hAnsi="Times New Roman" w:cs="Times New Roman"/>
          <w:b/>
          <w:noProof/>
          <w:sz w:val="24"/>
          <w:szCs w:val="24"/>
        </w:rPr>
        <w:t>content and non-content</w:t>
      </w:r>
      <w:r>
        <w:rPr>
          <w:rFonts w:ascii="Times New Roman" w:eastAsiaTheme="minorHAnsi" w:hAnsi="Times New Roman" w:cs="Times New Roman"/>
          <w:noProof/>
          <w:sz w:val="24"/>
          <w:szCs w:val="24"/>
        </w:rPr>
        <w:t xml:space="preserve"> requests </w:t>
      </w:r>
      <w:r>
        <w:rPr>
          <w:rFonts w:ascii="Times New Roman" w:eastAsiaTheme="minorHAnsi" w:hAnsi="Times New Roman"/>
          <w:noProof/>
          <w:sz w:val="24"/>
        </w:rPr>
        <w:t xml:space="preserve">as well as </w:t>
      </w:r>
      <w:r>
        <w:rPr>
          <w:rFonts w:ascii="Times New Roman" w:eastAsiaTheme="minorHAnsi" w:hAnsi="Times New Roman" w:cs="Times New Roman"/>
          <w:noProof/>
          <w:sz w:val="24"/>
          <w:szCs w:val="24"/>
        </w:rPr>
        <w:t xml:space="preserve">of </w:t>
      </w:r>
      <w:r>
        <w:rPr>
          <w:rFonts w:ascii="Times New Roman" w:eastAsiaTheme="minorHAnsi" w:hAnsi="Times New Roman" w:cs="Times New Roman"/>
          <w:b/>
          <w:noProof/>
          <w:sz w:val="24"/>
          <w:szCs w:val="24"/>
        </w:rPr>
        <w:t>intra-EU</w:t>
      </w:r>
      <w:r>
        <w:rPr>
          <w:rFonts w:ascii="Times New Roman" w:eastAsiaTheme="minorHAnsi" w:hAnsi="Times New Roman" w:cs="Times New Roman"/>
          <w:noProof/>
          <w:sz w:val="24"/>
          <w:szCs w:val="24"/>
        </w:rPr>
        <w:t xml:space="preserve"> requests and requests involving </w:t>
      </w:r>
      <w:r>
        <w:rPr>
          <w:rFonts w:ascii="Times New Roman" w:eastAsiaTheme="minorHAnsi" w:hAnsi="Times New Roman" w:cs="Times New Roman"/>
          <w:b/>
          <w:noProof/>
          <w:sz w:val="24"/>
          <w:szCs w:val="24"/>
        </w:rPr>
        <w:t>non-EU</w:t>
      </w:r>
      <w:r>
        <w:rPr>
          <w:rFonts w:ascii="Times New Roman" w:eastAsiaTheme="minorHAnsi" w:hAnsi="Times New Roman" w:cs="Times New Roman"/>
          <w:noProof/>
          <w:sz w:val="24"/>
          <w:szCs w:val="24"/>
        </w:rPr>
        <w:t xml:space="preserve"> countries.</w:t>
      </w:r>
    </w:p>
    <w:p w:rsidR="001B65FF" w:rsidRDefault="003E4EF4">
      <w:pPr>
        <w:numPr>
          <w:ilvl w:val="0"/>
          <w:numId w:val="152"/>
        </w:numPr>
        <w:contextualSpacing/>
        <w:jc w:val="both"/>
        <w:rPr>
          <w:rFonts w:ascii="Times New Roman" w:eastAsiaTheme="minorHAnsi" w:hAnsi="Times New Roman"/>
          <w:noProof/>
          <w:sz w:val="24"/>
        </w:rPr>
      </w:pPr>
      <w:r>
        <w:rPr>
          <w:rFonts w:ascii="Times New Roman" w:eastAsiaTheme="minorHAnsi" w:hAnsi="Times New Roman" w:cs="Times New Roman"/>
          <w:b/>
          <w:noProof/>
          <w:sz w:val="24"/>
          <w:szCs w:val="24"/>
        </w:rPr>
        <w:t>Continuous costs for preservation orders</w:t>
      </w:r>
      <w:r>
        <w:rPr>
          <w:rFonts w:ascii="Times New Roman" w:eastAsiaTheme="minorHAnsi" w:hAnsi="Times New Roman"/>
          <w:noProof/>
          <w:sz w:val="24"/>
        </w:rPr>
        <w:t xml:space="preserve"> were not included in the calculation since the impact of a possible measure on preservation was deemed t</w:t>
      </w:r>
      <w:r>
        <w:rPr>
          <w:rFonts w:ascii="Times New Roman" w:eastAsiaTheme="minorHAnsi" w:hAnsi="Times New Roman"/>
          <w:noProof/>
          <w:sz w:val="24"/>
        </w:rPr>
        <w:t>o be negligible: a procedure for preservation already exists both in judicial and direct cooperation and would simply be put on more secure legal footing. In terms of the actual procedures and requirements, there would be no change. The (comparatively smal</w:t>
      </w:r>
      <w:r>
        <w:rPr>
          <w:rFonts w:ascii="Times New Roman" w:eastAsiaTheme="minorHAnsi" w:hAnsi="Times New Roman"/>
          <w:noProof/>
          <w:sz w:val="24"/>
        </w:rPr>
        <w:t>l) cost of implementing legislation on preservation orders is included in the one-off costs for implementation of the European Production Order, which a preservation order could complement.</w:t>
      </w:r>
    </w:p>
    <w:p w:rsidR="001B65FF" w:rsidRDefault="001B65FF">
      <w:pPr>
        <w:ind w:left="360"/>
        <w:contextualSpacing/>
        <w:jc w:val="both"/>
        <w:rPr>
          <w:rFonts w:ascii="Times New Roman" w:eastAsiaTheme="minorHAnsi" w:hAnsi="Times New Roman"/>
          <w:noProof/>
          <w:sz w:val="24"/>
        </w:rPr>
      </w:pPr>
    </w:p>
    <w:p w:rsidR="001B65FF" w:rsidRDefault="003E4EF4">
      <w:pPr>
        <w:spacing w:before="24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next section describes the </w:t>
      </w:r>
      <w:r>
        <w:rPr>
          <w:rFonts w:ascii="Times New Roman" w:eastAsiaTheme="minorHAnsi" w:hAnsi="Times New Roman" w:cs="Times New Roman"/>
          <w:b/>
          <w:noProof/>
          <w:sz w:val="24"/>
          <w:szCs w:val="24"/>
        </w:rPr>
        <w:t>specific assumptions</w:t>
      </w:r>
      <w:r>
        <w:rPr>
          <w:rFonts w:ascii="Times New Roman" w:eastAsiaTheme="minorHAnsi" w:hAnsi="Times New Roman" w:cs="Times New Roman"/>
          <w:noProof/>
          <w:sz w:val="24"/>
          <w:szCs w:val="24"/>
        </w:rPr>
        <w:t xml:space="preserve"> used to answe</w:t>
      </w:r>
      <w:r>
        <w:rPr>
          <w:rFonts w:ascii="Times New Roman" w:eastAsiaTheme="minorHAnsi" w:hAnsi="Times New Roman" w:cs="Times New Roman"/>
          <w:noProof/>
          <w:sz w:val="24"/>
          <w:szCs w:val="24"/>
        </w:rPr>
        <w:t xml:space="preserve">r the above questions for each of the options. </w:t>
      </w:r>
    </w:p>
    <w:p w:rsidR="001B65FF" w:rsidRDefault="003E4EF4">
      <w:pPr>
        <w:numPr>
          <w:ilvl w:val="0"/>
          <w:numId w:val="156"/>
        </w:numPr>
        <w:contextualSpacing/>
        <w:jc w:val="both"/>
        <w:rPr>
          <w:rFonts w:ascii="Times New Roman" w:eastAsiaTheme="minorHAnsi" w:hAnsi="Times New Roman" w:cs="Times New Roman"/>
          <w:b/>
          <w:noProof/>
          <w:sz w:val="24"/>
          <w:szCs w:val="24"/>
          <w:lang w:val="en-US"/>
        </w:rPr>
      </w:pPr>
      <w:r>
        <w:rPr>
          <w:rFonts w:ascii="Times New Roman" w:eastAsiaTheme="minorHAnsi" w:hAnsi="Times New Roman" w:cs="Times New Roman"/>
          <w:b/>
          <w:noProof/>
          <w:sz w:val="24"/>
          <w:szCs w:val="24"/>
          <w:lang w:val="en-US"/>
        </w:rPr>
        <w:t>Calculation of the cost estimates for each options: assumptions.</w:t>
      </w:r>
    </w:p>
    <w:p w:rsidR="001B65FF" w:rsidRDefault="001B65FF">
      <w:pPr>
        <w:spacing w:after="0"/>
        <w:jc w:val="both"/>
        <w:rPr>
          <w:rFonts w:ascii="Times New Roman" w:eastAsiaTheme="minorHAnsi" w:hAnsi="Times New Roman" w:cs="Times New Roman"/>
          <w:noProof/>
          <w:sz w:val="24"/>
          <w:szCs w:val="24"/>
          <w:u w:val="single"/>
        </w:rPr>
      </w:pPr>
    </w:p>
    <w:p w:rsidR="001B65FF" w:rsidRDefault="003E4EF4">
      <w:pPr>
        <w:jc w:val="both"/>
        <w:rPr>
          <w:rFonts w:ascii="Times New Roman" w:eastAsiaTheme="minorHAnsi" w:hAnsi="Times New Roman" w:cs="Times New Roman"/>
          <w:noProof/>
          <w:sz w:val="24"/>
          <w:szCs w:val="24"/>
          <w:u w:val="single"/>
        </w:rPr>
      </w:pPr>
      <w:r>
        <w:rPr>
          <w:rFonts w:ascii="Times New Roman" w:eastAsiaTheme="minorHAnsi" w:hAnsi="Times New Roman" w:cs="Times New Roman"/>
          <w:noProof/>
          <w:sz w:val="24"/>
          <w:szCs w:val="24"/>
          <w:u w:val="single"/>
        </w:rPr>
        <w:t>Measure 0: baseline</w:t>
      </w:r>
    </w:p>
    <w:p w:rsidR="001B65FF" w:rsidRDefault="003E4EF4">
      <w:pPr>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analysis of the costs of the baseline serves as a reference to estimate the costs for public authorities and service providers of the other options. </w:t>
      </w:r>
    </w:p>
    <w:p w:rsidR="001B65FF" w:rsidRDefault="003E4EF4">
      <w:pPr>
        <w:numPr>
          <w:ilvl w:val="0"/>
          <w:numId w:val="158"/>
        </w:numPr>
        <w:spacing w:after="0"/>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One-off costs.</w:t>
      </w:r>
    </w:p>
    <w:p w:rsidR="001B65FF" w:rsidRDefault="003E4EF4">
      <w:pPr>
        <w:ind w:firstLine="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There are logically no one-off costs in the baseline.</w:t>
      </w:r>
    </w:p>
    <w:p w:rsidR="001B65FF" w:rsidRDefault="003E4EF4">
      <w:pPr>
        <w:numPr>
          <w:ilvl w:val="0"/>
          <w:numId w:val="158"/>
        </w:numPr>
        <w:spacing w:after="0"/>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Time per attempt per channel.</w:t>
      </w:r>
    </w:p>
    <w:p w:rsidR="001B65FF" w:rsidRDefault="003E4EF4">
      <w:pPr>
        <w:spacing w:before="240"/>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For judicial and direct cooperation, the data to calculate the time per attempt was obtained through targeted surveys 3 and 4 to public authorities and service providers respectively (see Annex 2). </w:t>
      </w:r>
    </w:p>
    <w:p w:rsidR="001B65FF" w:rsidRDefault="001B65FF">
      <w:pPr>
        <w:spacing w:before="240"/>
        <w:ind w:left="360"/>
        <w:contextualSpacing/>
        <w:jc w:val="both"/>
        <w:rPr>
          <w:rFonts w:ascii="Times New Roman" w:eastAsiaTheme="minorHAnsi" w:hAnsi="Times New Roman" w:cs="Times New Roman"/>
          <w:noProof/>
          <w:sz w:val="24"/>
          <w:szCs w:val="24"/>
        </w:rPr>
      </w:pPr>
    </w:p>
    <w:p w:rsidR="001B65FF" w:rsidRDefault="003E4EF4">
      <w:pPr>
        <w:spacing w:before="240"/>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following tasks were considered for each channel and</w:t>
      </w:r>
      <w:r>
        <w:rPr>
          <w:rFonts w:ascii="Times New Roman" w:eastAsiaTheme="minorHAnsi" w:hAnsi="Times New Roman" w:cs="Times New Roman"/>
          <w:noProof/>
          <w:sz w:val="24"/>
          <w:szCs w:val="24"/>
        </w:rPr>
        <w:t xml:space="preserve"> stakeholder, for subscriber data, metadata and content data:</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Issuing authorities: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Obtain a national judicial decision/warrant to request data.</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Fill in the request form.</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Ask for validation by a judicial authority.</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Identify the compete</w:t>
      </w:r>
      <w:r>
        <w:rPr>
          <w:rFonts w:ascii="Times New Roman" w:eastAsiaTheme="minorHAnsi" w:hAnsi="Times New Roman" w:cs="Times New Roman"/>
          <w:noProof/>
          <w:sz w:val="24"/>
          <w:szCs w:val="24"/>
        </w:rPr>
        <w:t>nt authority to receive the request for data in the executing State.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Submit the request for data to the competent authority of the executing State.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Monitor that evidence/refusal to provide the requested data was received.</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Reply to requests for consultation</w:t>
      </w:r>
      <w:r>
        <w:rPr>
          <w:rFonts w:ascii="Times New Roman" w:eastAsiaTheme="minorHAnsi" w:hAnsi="Times New Roman" w:cs="Times New Roman"/>
          <w:noProof/>
          <w:sz w:val="24"/>
          <w:szCs w:val="24"/>
        </w:rPr>
        <w:t>/additional information from the executing State.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Amend/withdraw the request for data.</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Executing authorities: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Verify request and assess grounds for refusals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Ask for authorisation by a court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Submit the request to the relevant service provider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Monitor tha</w:t>
      </w:r>
      <w:r>
        <w:rPr>
          <w:rFonts w:ascii="Times New Roman" w:eastAsiaTheme="minorHAnsi" w:hAnsi="Times New Roman" w:cs="Times New Roman"/>
          <w:noProof/>
          <w:sz w:val="24"/>
          <w:szCs w:val="24"/>
        </w:rPr>
        <w:t xml:space="preserve">t a reply was received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Enforce if no request is received (by setting fine or by other means)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Verify grounds for refusal relating to immunities and privileges, once data is received from service provider </w:t>
      </w:r>
    </w:p>
    <w:p w:rsidR="001B65FF" w:rsidRDefault="003E4EF4">
      <w:pPr>
        <w:numPr>
          <w:ilvl w:val="3"/>
          <w:numId w:val="161"/>
        </w:numPr>
        <w:spacing w:after="0"/>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Transmit data to issuing authority.</w:t>
      </w:r>
    </w:p>
    <w:p w:rsidR="001B65FF" w:rsidRDefault="001B65FF">
      <w:pPr>
        <w:spacing w:after="0"/>
        <w:ind w:left="1080"/>
        <w:jc w:val="both"/>
        <w:rPr>
          <w:rFonts w:ascii="Times New Roman" w:hAnsi="Times New Roman" w:cs="Times New Roman"/>
          <w:noProof/>
          <w:sz w:val="24"/>
          <w:szCs w:val="24"/>
        </w:rPr>
      </w:pPr>
    </w:p>
    <w:p w:rsidR="001B65FF" w:rsidRDefault="003E4EF4">
      <w:pPr>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When the </w:t>
      </w:r>
      <w:r>
        <w:rPr>
          <w:rFonts w:ascii="Times New Roman" w:hAnsi="Times New Roman" w:cs="Times New Roman"/>
          <w:noProof/>
          <w:sz w:val="24"/>
          <w:szCs w:val="24"/>
        </w:rPr>
        <w:t>executing/requested</w:t>
      </w:r>
      <w:r>
        <w:rPr>
          <w:rFonts w:ascii="Times New Roman" w:hAnsi="Times New Roman"/>
          <w:noProof/>
          <w:sz w:val="24"/>
        </w:rPr>
        <w:t xml:space="preserve"> authority is outside of the EU, the administrative costs were not counted.</w:t>
      </w:r>
    </w:p>
    <w:p w:rsidR="001B65FF" w:rsidRDefault="003E4EF4">
      <w:pPr>
        <w:ind w:left="720"/>
        <w:jc w:val="both"/>
        <w:rPr>
          <w:rFonts w:ascii="Times New Roman" w:hAnsi="Times New Roman" w:cs="Times New Roman"/>
          <w:noProof/>
          <w:sz w:val="24"/>
          <w:szCs w:val="24"/>
        </w:rPr>
      </w:pPr>
      <w:r>
        <w:rPr>
          <w:rFonts w:ascii="Times New Roman" w:hAnsi="Times New Roman" w:cs="Times New Roman"/>
          <w:noProof/>
          <w:sz w:val="24"/>
          <w:szCs w:val="24"/>
        </w:rPr>
        <w:t>The estimates for the issuing authority was obtained through the targeted survey on costs to public authorities. It was estimated that it takes the executing aut</w:t>
      </w:r>
      <w:r>
        <w:rPr>
          <w:rFonts w:ascii="Times New Roman" w:hAnsi="Times New Roman" w:cs="Times New Roman"/>
          <w:noProof/>
          <w:sz w:val="24"/>
          <w:szCs w:val="24"/>
        </w:rPr>
        <w:t xml:space="preserve">hority </w:t>
      </w:r>
      <w:r>
        <w:rPr>
          <w:rFonts w:ascii="Times New Roman" w:hAnsi="Times New Roman" w:cs="Times New Roman"/>
          <w:b/>
          <w:noProof/>
          <w:sz w:val="24"/>
          <w:szCs w:val="24"/>
        </w:rPr>
        <w:t>half</w:t>
      </w:r>
      <w:r>
        <w:rPr>
          <w:rFonts w:ascii="Times New Roman" w:hAnsi="Times New Roman" w:cs="Times New Roman"/>
          <w:noProof/>
          <w:sz w:val="24"/>
          <w:szCs w:val="24"/>
        </w:rPr>
        <w:t xml:space="preserve"> the time to perform its tasks compared to the issuing authority. </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Service providers: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Legal review of one request for data (appropriateness and authenticity of the order).</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Initial processing and validation of one request for data.</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Contact the EU</w:t>
      </w:r>
      <w:r>
        <w:rPr>
          <w:rFonts w:ascii="Times New Roman" w:eastAsiaTheme="minorHAnsi" w:hAnsi="Times New Roman" w:cs="Times New Roman"/>
          <w:noProof/>
          <w:sz w:val="24"/>
          <w:szCs w:val="24"/>
        </w:rPr>
        <w:t xml:space="preserve"> authority for further clarifications when needed.</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Send out a notification to the user.</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Retrieve relevant information from existing data.</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Hold internal or external meetings (e.g. with lawyers).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Fill in tables and forms.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Data transformation (converting dat</w:t>
      </w:r>
      <w:r>
        <w:rPr>
          <w:rFonts w:ascii="Times New Roman" w:eastAsiaTheme="minorHAnsi" w:hAnsi="Times New Roman" w:cs="Times New Roman"/>
          <w:noProof/>
          <w:sz w:val="24"/>
          <w:szCs w:val="24"/>
        </w:rPr>
        <w:t>a to required format).</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Submit the information to the issuing EU authority.</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Prepare cost reimbursement request (where applicable).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Oversee the full process of processing one request for data.</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Identify the digital serv</w:t>
      </w:r>
      <w:r>
        <w:rPr>
          <w:rFonts w:ascii="Times New Roman" w:eastAsiaTheme="minorHAnsi" w:hAnsi="Times New Roman" w:cs="Times New Roman"/>
          <w:noProof/>
          <w:sz w:val="24"/>
          <w:szCs w:val="24"/>
        </w:rPr>
        <w:t>ice provider that holds the requested data.</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Fill in the legal request form.</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Language translation of one request for data.</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Submit the legal request form to the identified digital service provider.</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Receive the requested data.</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Contact the digital service </w:t>
      </w:r>
      <w:r>
        <w:rPr>
          <w:rFonts w:ascii="Times New Roman" w:eastAsiaTheme="minorHAnsi" w:hAnsi="Times New Roman" w:cs="Times New Roman"/>
          <w:noProof/>
          <w:sz w:val="24"/>
          <w:szCs w:val="24"/>
        </w:rPr>
        <w:t>provider for further clarifications when needed.</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Verify the authenticity and integrity of the received data from the digital service provider.</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Language translation of received data.</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Data transformation (converting data to required format).</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Send out a notif</w:t>
      </w:r>
      <w:r>
        <w:rPr>
          <w:rFonts w:ascii="Times New Roman" w:eastAsiaTheme="minorHAnsi" w:hAnsi="Times New Roman" w:cs="Times New Roman"/>
          <w:noProof/>
          <w:sz w:val="24"/>
          <w:szCs w:val="24"/>
        </w:rPr>
        <w:t>ication to the user.</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Oversee the full process of processing legal request.</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Monitor that no reply was received.</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Service providers: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Idem tasks for judicial cooperation.</w:t>
      </w:r>
    </w:p>
    <w:p w:rsidR="001B65FF" w:rsidRDefault="001B65FF">
      <w:pPr>
        <w:ind w:left="1800"/>
        <w:contextualSpacing/>
        <w:jc w:val="both"/>
        <w:rPr>
          <w:rFonts w:ascii="Times New Roman" w:eastAsiaTheme="minorHAnsi" w:hAnsi="Times New Roman" w:cs="Times New Roman"/>
          <w:noProof/>
          <w:sz w:val="24"/>
          <w:szCs w:val="24"/>
        </w:rPr>
      </w:pPr>
    </w:p>
    <w:p w:rsidR="001B65FF" w:rsidRDefault="001B65FF">
      <w:pPr>
        <w:ind w:left="1800"/>
        <w:contextualSpacing/>
        <w:jc w:val="both"/>
        <w:rPr>
          <w:rFonts w:ascii="Times New Roman" w:eastAsiaTheme="minorHAnsi" w:hAnsi="Times New Roman" w:cs="Times New Roman"/>
          <w:noProof/>
          <w:sz w:val="24"/>
          <w:szCs w:val="24"/>
        </w:rPr>
      </w:pP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0"/>
          <w:numId w:val="163"/>
        </w:numPr>
        <w:ind w:left="1843"/>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There was no data available for the time per attempt for public authorit</w:t>
      </w:r>
      <w:r>
        <w:rPr>
          <w:rFonts w:ascii="Times New Roman" w:eastAsiaTheme="minorHAnsi" w:hAnsi="Times New Roman" w:cs="Times New Roman"/>
          <w:noProof/>
          <w:sz w:val="24"/>
          <w:szCs w:val="24"/>
        </w:rPr>
        <w:t>ies in direct access and none was obtained through the targeted surveys.</w:t>
      </w:r>
    </w:p>
    <w:p w:rsidR="001B65FF" w:rsidRDefault="003E4EF4">
      <w:pPr>
        <w:numPr>
          <w:ilvl w:val="3"/>
          <w:numId w:val="162"/>
        </w:numPr>
        <w:ind w:left="1843"/>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It was estimated at </w:t>
      </w:r>
      <w:r>
        <w:rPr>
          <w:rFonts w:ascii="Times New Roman" w:eastAsiaTheme="minorHAnsi" w:hAnsi="Times New Roman"/>
          <w:b/>
          <w:noProof/>
          <w:sz w:val="24"/>
        </w:rPr>
        <w:t>20%</w:t>
      </w:r>
      <w:r>
        <w:rPr>
          <w:rFonts w:ascii="Times New Roman" w:eastAsiaTheme="minorHAnsi" w:hAnsi="Times New Roman" w:cs="Times New Roman"/>
          <w:noProof/>
          <w:sz w:val="24"/>
          <w:szCs w:val="24"/>
        </w:rPr>
        <w:t xml:space="preserve"> of the time required for judicial cooperation, since:</w:t>
      </w:r>
    </w:p>
    <w:p w:rsidR="001B65FF" w:rsidRDefault="003E4EF4">
      <w:pPr>
        <w:numPr>
          <w:ilvl w:val="2"/>
          <w:numId w:val="164"/>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Regarding judicial oversight, what is needed here is a national judicial authorisation, which is obtained</w:t>
      </w:r>
      <w:r>
        <w:rPr>
          <w:rFonts w:ascii="Times New Roman" w:eastAsiaTheme="minorHAnsi" w:hAnsi="Times New Roman" w:cs="Times New Roman"/>
          <w:noProof/>
          <w:sz w:val="24"/>
          <w:szCs w:val="24"/>
        </w:rPr>
        <w:t xml:space="preserve"> much faster than a full judicial cooperation procedure involving a second state.</w:t>
      </w:r>
    </w:p>
    <w:p w:rsidR="001B65FF" w:rsidRDefault="003E4EF4">
      <w:pPr>
        <w:numPr>
          <w:ilvl w:val="2"/>
          <w:numId w:val="164"/>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judicial authorisation required for the search warrant to obtain the device that would for extended search or the judicial authorisation to obtain the credentials that al</w:t>
      </w:r>
      <w:r>
        <w:rPr>
          <w:rFonts w:ascii="Times New Roman" w:eastAsiaTheme="minorHAnsi" w:hAnsi="Times New Roman" w:cs="Times New Roman"/>
          <w:noProof/>
          <w:sz w:val="24"/>
          <w:szCs w:val="24"/>
        </w:rPr>
        <w:t>low for remote access is part of the larger investigation, not necessarily an exclusive task of cross-border access to e-evidence.</w:t>
      </w:r>
    </w:p>
    <w:p w:rsidR="001B65FF" w:rsidRDefault="001B65FF">
      <w:pPr>
        <w:spacing w:after="0"/>
        <w:jc w:val="both"/>
        <w:rPr>
          <w:rFonts w:ascii="Times New Roman" w:eastAsiaTheme="minorHAnsi" w:hAnsi="Times New Roman" w:cs="Times New Roman"/>
          <w:noProof/>
          <w:sz w:val="24"/>
          <w:szCs w:val="24"/>
          <w:highlight w:val="yellow"/>
        </w:rPr>
      </w:pPr>
    </w:p>
    <w:p w:rsidR="001B65FF" w:rsidRDefault="003E4EF4">
      <w:pPr>
        <w:numPr>
          <w:ilvl w:val="0"/>
          <w:numId w:val="158"/>
        </w:numPr>
        <w:spacing w:after="0"/>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number of attempts per 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1"/>
          <w:numId w:val="16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Intra-EU MLA/EIO requests were estimated at </w:t>
      </w:r>
      <w:r>
        <w:rPr>
          <w:rFonts w:ascii="Times New Roman" w:eastAsiaTheme="minorHAnsi" w:hAnsi="Times New Roman" w:cs="Times New Roman"/>
          <w:b/>
          <w:noProof/>
          <w:sz w:val="24"/>
          <w:szCs w:val="24"/>
        </w:rPr>
        <w:t>13,000/year</w:t>
      </w:r>
      <w:r>
        <w:rPr>
          <w:rFonts w:ascii="Times New Roman" w:eastAsiaTheme="minorHAnsi" w:hAnsi="Times New Roman" w:cs="Times New Roman"/>
          <w:noProof/>
          <w:sz w:val="24"/>
          <w:szCs w:val="24"/>
        </w:rPr>
        <w:t xml:space="preserve">, using </w:t>
      </w:r>
      <w:r>
        <w:rPr>
          <w:rFonts w:ascii="Times New Roman" w:eastAsiaTheme="minorHAnsi" w:hAnsi="Times New Roman" w:cs="Times New Roman"/>
          <w:noProof/>
          <w:sz w:val="24"/>
          <w:szCs w:val="24"/>
        </w:rPr>
        <w:t>data from Eurojust and the European Judicial Network (see section 2 on the size of the problem).</w:t>
      </w:r>
    </w:p>
    <w:p w:rsidR="001B65FF" w:rsidRDefault="003E4EF4">
      <w:pPr>
        <w:numPr>
          <w:ilvl w:val="1"/>
          <w:numId w:val="16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MLA requests with non-EU countries were estimated at </w:t>
      </w:r>
      <w:r>
        <w:rPr>
          <w:rFonts w:ascii="Times New Roman" w:eastAsiaTheme="minorHAnsi" w:hAnsi="Times New Roman" w:cs="Times New Roman"/>
          <w:b/>
          <w:noProof/>
          <w:sz w:val="24"/>
          <w:szCs w:val="24"/>
        </w:rPr>
        <w:t>1,300/year</w:t>
      </w:r>
      <w:r>
        <w:rPr>
          <w:rFonts w:ascii="Times New Roman" w:eastAsiaTheme="minorHAnsi" w:hAnsi="Times New Roman" w:cs="Times New Roman"/>
          <w:noProof/>
          <w:sz w:val="24"/>
          <w:szCs w:val="24"/>
        </w:rPr>
        <w:t>, using data from the US Department of Justice and the EU-US MLA Review report of 2015 (see sect</w:t>
      </w:r>
      <w:r>
        <w:rPr>
          <w:rFonts w:ascii="Times New Roman" w:eastAsiaTheme="minorHAnsi" w:hAnsi="Times New Roman" w:cs="Times New Roman"/>
          <w:noProof/>
          <w:sz w:val="24"/>
          <w:szCs w:val="24"/>
        </w:rPr>
        <w:t>ion 2 on the size of the problem). MLA requests to other non-EU countries other than the US were considered negligible.</w:t>
      </w:r>
    </w:p>
    <w:p w:rsidR="001B65FF" w:rsidRDefault="003E4EF4">
      <w:pPr>
        <w:numPr>
          <w:ilvl w:val="1"/>
          <w:numId w:val="16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growth rate of the above requests (both intra EU and with non-EU countries) was assumed to be </w:t>
      </w:r>
      <w:r>
        <w:rPr>
          <w:rFonts w:ascii="Times New Roman" w:eastAsiaTheme="minorHAnsi" w:hAnsi="Times New Roman" w:cs="Times New Roman"/>
          <w:b/>
          <w:noProof/>
          <w:sz w:val="24"/>
          <w:szCs w:val="24"/>
        </w:rPr>
        <w:t>14%</w:t>
      </w:r>
      <w:r>
        <w:rPr>
          <w:rFonts w:ascii="Times New Roman" w:eastAsiaTheme="minorHAnsi" w:hAnsi="Times New Roman" w:cs="Times New Roman"/>
          <w:noProof/>
          <w:sz w:val="24"/>
          <w:szCs w:val="24"/>
        </w:rPr>
        <w:t>, the same as the CAGR of the direc</w:t>
      </w:r>
      <w:r>
        <w:rPr>
          <w:rFonts w:ascii="Times New Roman" w:eastAsiaTheme="minorHAnsi" w:hAnsi="Times New Roman" w:cs="Times New Roman"/>
          <w:noProof/>
          <w:sz w:val="24"/>
          <w:szCs w:val="24"/>
        </w:rPr>
        <w:t xml:space="preserve">t cooperation requests in the 2013-2016 period obtained from the transparency reports (see below). </w:t>
      </w:r>
    </w:p>
    <w:p w:rsidR="001B65FF" w:rsidRDefault="003E4EF4">
      <w:pPr>
        <w:numPr>
          <w:ilvl w:val="1"/>
          <w:numId w:val="16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It was assumed that the expected reduction in the availability for law enforcement to consult the </w:t>
      </w:r>
      <w:r>
        <w:rPr>
          <w:rFonts w:ascii="Times New Roman" w:eastAsiaTheme="minorHAnsi" w:hAnsi="Times New Roman" w:cs="Times New Roman"/>
          <w:b/>
          <w:noProof/>
          <w:sz w:val="24"/>
          <w:szCs w:val="24"/>
        </w:rPr>
        <w:t>WHOIS database</w:t>
      </w:r>
      <w:r>
        <w:rPr>
          <w:rFonts w:ascii="Times New Roman" w:eastAsiaTheme="minorHAnsi" w:hAnsi="Times New Roman" w:cs="Times New Roman"/>
          <w:noProof/>
          <w:sz w:val="24"/>
          <w:szCs w:val="24"/>
        </w:rPr>
        <w:t xml:space="preserve"> would result in a </w:t>
      </w:r>
      <w:r>
        <w:rPr>
          <w:rFonts w:ascii="Times New Roman" w:eastAsiaTheme="minorHAnsi" w:hAnsi="Times New Roman" w:cs="Times New Roman"/>
          <w:b/>
          <w:noProof/>
          <w:sz w:val="24"/>
          <w:szCs w:val="24"/>
        </w:rPr>
        <w:t>doubling</w:t>
      </w:r>
      <w:r>
        <w:rPr>
          <w:rFonts w:ascii="Times New Roman" w:eastAsiaTheme="minorHAnsi" w:hAnsi="Times New Roman" w:cs="Times New Roman"/>
          <w:noProof/>
          <w:sz w:val="24"/>
          <w:szCs w:val="24"/>
        </w:rPr>
        <w:t xml:space="preserve"> of the judicial </w:t>
      </w:r>
      <w:r>
        <w:rPr>
          <w:rFonts w:ascii="Times New Roman" w:eastAsiaTheme="minorHAnsi" w:hAnsi="Times New Roman" w:cs="Times New Roman"/>
          <w:noProof/>
          <w:sz w:val="24"/>
          <w:szCs w:val="24"/>
        </w:rPr>
        <w:t>cooperation requests from 2018 onwards. This is a conservative estimate, as numbers of WHOIS look-ups is estimated to be much more important than the number of judicial cooperation requests. On the other hand, it is unlikely that public authorities would r</w:t>
      </w:r>
      <w:r>
        <w:rPr>
          <w:rFonts w:ascii="Times New Roman" w:eastAsiaTheme="minorHAnsi" w:hAnsi="Times New Roman" w:cs="Times New Roman"/>
          <w:noProof/>
          <w:sz w:val="24"/>
          <w:szCs w:val="24"/>
        </w:rPr>
        <w:t>eplace every single look-up by a judicial cooperation request, given the resources that would need to be deployed.</w:t>
      </w:r>
    </w:p>
    <w:p w:rsidR="001B65FF" w:rsidRDefault="003E4EF4">
      <w:pPr>
        <w:numPr>
          <w:ilvl w:val="1"/>
          <w:numId w:val="16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Since the purpose is to calculate the continuous costs per year, the model used an average number of total attempts per year, calculated over</w:t>
      </w:r>
      <w:r>
        <w:rPr>
          <w:rFonts w:ascii="Times New Roman" w:eastAsiaTheme="minorHAnsi" w:hAnsi="Times New Roman" w:cs="Times New Roman"/>
          <w:noProof/>
          <w:sz w:val="24"/>
          <w:szCs w:val="24"/>
        </w:rPr>
        <w:t xml:space="preserve"> a 10 year period (i.e. total estimated number of attempts in the 2017-2026 period divided by 10, considering an annual growth of 14%, equal to the CAGR of the number of direct cooperation requests in the 2013-2016 period, as described in section 2.1.1.), </w:t>
      </w:r>
      <w:r>
        <w:rPr>
          <w:rFonts w:ascii="Times New Roman" w:eastAsiaTheme="minorHAnsi" w:hAnsi="Times New Roman" w:cs="Times New Roman"/>
          <w:noProof/>
          <w:sz w:val="24"/>
          <w:szCs w:val="24"/>
        </w:rPr>
        <w:t xml:space="preserve">resulting in </w:t>
      </w:r>
      <w:r>
        <w:rPr>
          <w:rFonts w:ascii="Times New Roman" w:eastAsiaTheme="minorHAnsi" w:hAnsi="Times New Roman" w:cs="Times New Roman"/>
          <w:b/>
          <w:noProof/>
          <w:sz w:val="24"/>
          <w:szCs w:val="24"/>
        </w:rPr>
        <w:t>61,417</w:t>
      </w:r>
      <w:r>
        <w:rPr>
          <w:rFonts w:ascii="Times New Roman" w:eastAsiaTheme="minorHAnsi" w:hAnsi="Times New Roman" w:cs="Times New Roman"/>
          <w:noProof/>
          <w:sz w:val="24"/>
          <w:szCs w:val="24"/>
        </w:rPr>
        <w:t xml:space="preserve"> requests. </w:t>
      </w:r>
    </w:p>
    <w:p w:rsidR="001B65FF" w:rsidRDefault="003E4EF4">
      <w:pPr>
        <w:numPr>
          <w:ilvl w:val="0"/>
          <w:numId w:val="16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cooperation:</w:t>
      </w:r>
    </w:p>
    <w:p w:rsidR="001B65FF" w:rsidRDefault="003E4EF4">
      <w:pPr>
        <w:numPr>
          <w:ilvl w:val="1"/>
          <w:numId w:val="16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estimated total number of requests in 2016 was </w:t>
      </w:r>
      <w:r>
        <w:rPr>
          <w:rFonts w:ascii="Times New Roman" w:eastAsiaTheme="minorHAnsi" w:hAnsi="Times New Roman" w:cs="Times New Roman"/>
          <w:b/>
          <w:noProof/>
          <w:sz w:val="24"/>
          <w:szCs w:val="24"/>
        </w:rPr>
        <w:t>120,000</w:t>
      </w:r>
      <w:r>
        <w:rPr>
          <w:rFonts w:ascii="Times New Roman" w:eastAsiaTheme="minorHAnsi" w:hAnsi="Times New Roman" w:cs="Times New Roman"/>
          <w:noProof/>
          <w:sz w:val="24"/>
          <w:szCs w:val="24"/>
        </w:rPr>
        <w:t>, taken from the transparency reports of the main 5 service providers (Google, Facebook, Microsoft, Apple and Twitter), as shown in section 2 (size</w:t>
      </w:r>
      <w:r>
        <w:rPr>
          <w:rFonts w:ascii="Times New Roman" w:eastAsiaTheme="minorHAnsi" w:hAnsi="Times New Roman" w:cs="Times New Roman"/>
          <w:noProof/>
          <w:sz w:val="24"/>
          <w:szCs w:val="24"/>
        </w:rPr>
        <w:t xml:space="preserve"> of the problem part).</w:t>
      </w:r>
    </w:p>
    <w:p w:rsidR="001B65FF" w:rsidRDefault="003E4EF4">
      <w:pPr>
        <w:numPr>
          <w:ilvl w:val="1"/>
          <w:numId w:val="16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annual growth in the number of requests was assumed to be the same as the CAGR in the 2013-2016 period, </w:t>
      </w:r>
      <w:r>
        <w:rPr>
          <w:rFonts w:ascii="Times New Roman" w:eastAsiaTheme="minorHAnsi" w:hAnsi="Times New Roman" w:cs="Times New Roman"/>
          <w:b/>
          <w:noProof/>
          <w:sz w:val="24"/>
          <w:szCs w:val="24"/>
        </w:rPr>
        <w:t>14%</w:t>
      </w:r>
      <w:r>
        <w:rPr>
          <w:rFonts w:ascii="Times New Roman" w:eastAsiaTheme="minorHAnsi" w:hAnsi="Times New Roman" w:cs="Times New Roman"/>
          <w:noProof/>
          <w:sz w:val="24"/>
          <w:szCs w:val="24"/>
        </w:rPr>
        <w:t xml:space="preserve"> (see section 2).</w:t>
      </w:r>
    </w:p>
    <w:p w:rsidR="001B65FF" w:rsidRDefault="003E4EF4">
      <w:pPr>
        <w:numPr>
          <w:ilvl w:val="1"/>
          <w:numId w:val="16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Considering the above, the average number of direct cooperation requests in the 2017-2026 period is </w:t>
      </w:r>
      <w:r>
        <w:rPr>
          <w:rFonts w:ascii="Times New Roman" w:eastAsiaTheme="minorHAnsi" w:hAnsi="Times New Roman" w:cs="Times New Roman"/>
          <w:b/>
          <w:noProof/>
          <w:sz w:val="24"/>
          <w:szCs w:val="24"/>
        </w:rPr>
        <w:t>264,</w:t>
      </w:r>
      <w:r>
        <w:rPr>
          <w:rFonts w:ascii="Times New Roman" w:eastAsiaTheme="minorHAnsi" w:hAnsi="Times New Roman" w:cs="Times New Roman"/>
          <w:b/>
          <w:noProof/>
          <w:sz w:val="24"/>
          <w:szCs w:val="24"/>
        </w:rPr>
        <w:t>534.</w:t>
      </w:r>
    </w:p>
    <w:p w:rsidR="001B65FF" w:rsidRDefault="003E4EF4">
      <w:pPr>
        <w:numPr>
          <w:ilvl w:val="0"/>
          <w:numId w:val="162"/>
        </w:numPr>
        <w:spacing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1"/>
          <w:numId w:val="162"/>
        </w:numPr>
        <w:spacing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Practitioners indicated that the number of direct access attempts was about equal (i.e. 100</w:t>
      </w:r>
      <w:r>
        <w:rPr>
          <w:rFonts w:ascii="Times New Roman" w:eastAsiaTheme="minorHAnsi" w:hAnsi="Times New Roman"/>
          <w:noProof/>
          <w:sz w:val="24"/>
        </w:rPr>
        <w:t>%)</w:t>
      </w:r>
      <w:r>
        <w:rPr>
          <w:rFonts w:ascii="Times New Roman" w:eastAsiaTheme="minorHAnsi" w:hAnsi="Times New Roman" w:cs="Times New Roman"/>
          <w:b/>
          <w:noProof/>
          <w:sz w:val="24"/>
          <w:szCs w:val="24"/>
        </w:rPr>
        <w:t xml:space="preserve"> </w:t>
      </w:r>
      <w:r>
        <w:rPr>
          <w:rFonts w:ascii="Times New Roman" w:eastAsiaTheme="minorHAnsi" w:hAnsi="Times New Roman" w:cs="Times New Roman"/>
          <w:noProof/>
          <w:sz w:val="24"/>
          <w:szCs w:val="24"/>
        </w:rPr>
        <w:t>to the number of judicial cooperation requests, since:</w:t>
      </w:r>
    </w:p>
    <w:p w:rsidR="001B65FF" w:rsidRDefault="003E4EF4">
      <w:pPr>
        <w:numPr>
          <w:ilvl w:val="2"/>
          <w:numId w:val="162"/>
        </w:numPr>
        <w:spacing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 is a relatively fast and therefore efficient tool; practitioners stated t</w:t>
      </w:r>
      <w:r>
        <w:rPr>
          <w:rFonts w:ascii="Times New Roman" w:eastAsiaTheme="minorHAnsi" w:hAnsi="Times New Roman" w:cs="Times New Roman"/>
          <w:noProof/>
          <w:sz w:val="24"/>
          <w:szCs w:val="24"/>
        </w:rPr>
        <w:t>hat they had increasingly resorted to direct access over the past years in the face of inefficient direct or judicial cooperation.</w:t>
      </w:r>
    </w:p>
    <w:p w:rsidR="001B65FF" w:rsidRDefault="003E4EF4">
      <w:pPr>
        <w:numPr>
          <w:ilvl w:val="2"/>
          <w:numId w:val="162"/>
        </w:numPr>
        <w:spacing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On the other hand, it is still used much less than direct cooperation, as it requires specific circumstances when a search ca</w:t>
      </w:r>
      <w:r>
        <w:rPr>
          <w:rFonts w:ascii="Times New Roman" w:eastAsiaTheme="minorHAnsi" w:hAnsi="Times New Roman" w:cs="Times New Roman"/>
          <w:noProof/>
          <w:sz w:val="24"/>
          <w:szCs w:val="24"/>
        </w:rPr>
        <w:t>n be ordered, i.e. there must already be sufficient evidence against a person, and there are legal requirements to be fulfilled because of the intrusiveness of the measure.</w:t>
      </w:r>
    </w:p>
    <w:p w:rsidR="001B65FF" w:rsidRDefault="003E4EF4">
      <w:pPr>
        <w:numPr>
          <w:ilvl w:val="2"/>
          <w:numId w:val="162"/>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 furthermore requires that authorities have access either to the devic</w:t>
      </w:r>
      <w:r>
        <w:rPr>
          <w:rFonts w:ascii="Times New Roman" w:eastAsiaTheme="minorHAnsi" w:hAnsi="Times New Roman" w:cs="Times New Roman"/>
          <w:noProof/>
          <w:sz w:val="24"/>
          <w:szCs w:val="24"/>
        </w:rPr>
        <w:t>e or to credentials, which is the case in much fewer situations as compared to requests to providers.</w:t>
      </w:r>
    </w:p>
    <w:p w:rsidR="001B65FF" w:rsidRDefault="003E4EF4">
      <w:pPr>
        <w:numPr>
          <w:ilvl w:val="0"/>
          <w:numId w:val="158"/>
        </w:numPr>
        <w:spacing w:after="0"/>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time.</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was calculated as the product of the time/attempt and the number of attempts, for each of the channels and both groups of stakeholders (pub</w:t>
      </w:r>
      <w:r>
        <w:rPr>
          <w:rFonts w:ascii="Times New Roman" w:eastAsiaTheme="minorHAnsi" w:hAnsi="Times New Roman" w:cs="Times New Roman"/>
          <w:noProof/>
          <w:sz w:val="24"/>
          <w:szCs w:val="24"/>
        </w:rPr>
        <w:t>lic authorities and service providers).</w:t>
      </w:r>
    </w:p>
    <w:p w:rsidR="001B65FF" w:rsidRDefault="003E4EF4">
      <w:pPr>
        <w:numPr>
          <w:ilvl w:val="0"/>
          <w:numId w:val="158"/>
        </w:numPr>
        <w:spacing w:after="0"/>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continuous costs.</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was calculated as the product of the total time and the salary of 50 cents/minute indicated above.</w:t>
      </w:r>
      <w:r>
        <w:rPr>
          <w:rFonts w:ascii="Times New Roman" w:eastAsiaTheme="minorHAnsi" w:hAnsi="Times New Roman" w:cs="Times New Roman"/>
          <w:noProof/>
          <w:sz w:val="24"/>
          <w:szCs w:val="24"/>
        </w:rPr>
        <w:tab/>
      </w:r>
    </w:p>
    <w:p w:rsidR="001B65FF" w:rsidRDefault="003E4EF4">
      <w:pPr>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table below summarises the calculations of the continuous costs per year for the </w:t>
      </w:r>
      <w:r>
        <w:rPr>
          <w:rFonts w:ascii="Times New Roman" w:eastAsiaTheme="minorHAnsi" w:hAnsi="Times New Roman" w:cs="Times New Roman"/>
          <w:noProof/>
          <w:sz w:val="24"/>
          <w:szCs w:val="24"/>
        </w:rPr>
        <w:t>baseline</w:t>
      </w:r>
      <w:r>
        <w:rPr>
          <w:rStyle w:val="FootnoteReference"/>
          <w:rFonts w:ascii="Times New Roman" w:eastAsiaTheme="minorHAnsi" w:hAnsi="Times New Roman" w:cs="Times New Roman"/>
          <w:noProof/>
          <w:sz w:val="24"/>
          <w:szCs w:val="24"/>
        </w:rPr>
        <w:footnoteReference w:id="186"/>
      </w:r>
      <w:r>
        <w:rPr>
          <w:rFonts w:ascii="Times New Roman" w:eastAsiaTheme="minorHAnsi" w:hAnsi="Times New Roman" w:cs="Times New Roman"/>
          <w:noProof/>
          <w:sz w:val="24"/>
          <w:szCs w:val="24"/>
        </w:rPr>
        <w:t>:</w:t>
      </w:r>
    </w:p>
    <w:p w:rsidR="001B65FF" w:rsidRDefault="003E4EF4">
      <w:pPr>
        <w:jc w:val="center"/>
        <w:rPr>
          <w:rFonts w:ascii="Times New Roman" w:eastAsiaTheme="minorHAnsi" w:hAnsi="Times New Roman" w:cs="Times New Roman"/>
          <w:noProof/>
          <w:sz w:val="24"/>
          <w:szCs w:val="24"/>
        </w:rPr>
      </w:pPr>
      <w:r>
        <w:rPr>
          <w:noProof/>
          <w:lang w:eastAsia="en-GB"/>
        </w:rPr>
        <w:drawing>
          <wp:inline distT="0" distB="0" distL="0" distR="0" wp14:anchorId="29FA28F6" wp14:editId="7D021DDC">
            <wp:extent cx="5472430" cy="1391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72430" cy="1391428"/>
                    </a:xfrm>
                    <a:prstGeom prst="rect">
                      <a:avLst/>
                    </a:prstGeom>
                    <a:noFill/>
                    <a:ln>
                      <a:noFill/>
                    </a:ln>
                  </pic:spPr>
                </pic:pic>
              </a:graphicData>
            </a:graphic>
          </wp:inline>
        </w:drawing>
      </w:r>
    </w:p>
    <w:p w:rsidR="001B65FF" w:rsidRDefault="003E4EF4">
      <w:pPr>
        <w:jc w:val="both"/>
        <w:rPr>
          <w:rFonts w:ascii="Times New Roman" w:eastAsiaTheme="minorHAnsi" w:hAnsi="Times New Roman" w:cs="Times New Roman"/>
          <w:noProof/>
          <w:sz w:val="24"/>
          <w:szCs w:val="24"/>
          <w:u w:val="single"/>
        </w:rPr>
      </w:pPr>
      <w:r>
        <w:rPr>
          <w:rFonts w:ascii="Times New Roman" w:eastAsiaTheme="minorHAnsi" w:hAnsi="Times New Roman" w:cs="Times New Roman"/>
          <w:noProof/>
          <w:sz w:val="24"/>
          <w:szCs w:val="24"/>
          <w:u w:val="single"/>
        </w:rPr>
        <w:t>Measure 1: practical measures to enhance judicial cooperation</w:t>
      </w:r>
    </w:p>
    <w:p w:rsidR="001B65FF" w:rsidRDefault="003E4EF4">
      <w:pPr>
        <w:numPr>
          <w:ilvl w:val="0"/>
          <w:numId w:val="160"/>
        </w:numPr>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One-off costs.</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one-off costs in this measure concern the costs for Member States of joining the secure online platform for enhancing judicial cooperation within the EU.</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one-off costs are </w:t>
      </w:r>
      <w:r>
        <w:rPr>
          <w:rFonts w:ascii="Times New Roman" w:eastAsiaTheme="minorHAnsi" w:hAnsi="Times New Roman" w:cs="Times New Roman"/>
          <w:b/>
          <w:noProof/>
          <w:sz w:val="24"/>
          <w:szCs w:val="24"/>
        </w:rPr>
        <w:t>400,000 EUR</w:t>
      </w:r>
      <w:r>
        <w:rPr>
          <w:rFonts w:ascii="Times New Roman" w:eastAsiaTheme="minorHAnsi" w:hAnsi="Times New Roman" w:cs="Times New Roman"/>
          <w:noProof/>
          <w:sz w:val="24"/>
          <w:szCs w:val="24"/>
        </w:rPr>
        <w:t>, which correspond to: installation, configuration and testing of e-CODEX + reference e-Evidence Portal for 16 participating Member States (AT, HR, IT, NL, GR, PT, NL, FR, IT, LU, LT, EL, BG, CZ, ES, DE) at 25,000 EUR per M</w:t>
      </w:r>
      <w:r>
        <w:rPr>
          <w:rFonts w:ascii="Times New Roman" w:eastAsiaTheme="minorHAnsi" w:hAnsi="Times New Roman" w:cs="Times New Roman"/>
          <w:noProof/>
          <w:sz w:val="24"/>
          <w:szCs w:val="24"/>
        </w:rPr>
        <w:t>ember State (the rest, 80% of the total cost, will be funded by the European Commission through grants).</w:t>
      </w:r>
    </w:p>
    <w:p w:rsidR="001B65FF" w:rsidRDefault="003E4EF4">
      <w:pPr>
        <w:numPr>
          <w:ilvl w:val="0"/>
          <w:numId w:val="160"/>
        </w:numPr>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Time per attempt per 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 -</w:t>
      </w:r>
      <w:r>
        <w:rPr>
          <w:rFonts w:ascii="Times New Roman" w:eastAsiaTheme="minorHAnsi" w:hAnsi="Times New Roman" w:cs="Times New Roman"/>
          <w:b/>
          <w:noProof/>
          <w:sz w:val="24"/>
          <w:szCs w:val="24"/>
        </w:rPr>
        <w:t>10%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Increased efficiency thanks to the improvemen</w:t>
      </w:r>
      <w:r>
        <w:rPr>
          <w:rFonts w:ascii="Times New Roman" w:eastAsiaTheme="minorHAnsi" w:hAnsi="Times New Roman" w:cs="Times New Roman"/>
          <w:noProof/>
          <w:sz w:val="24"/>
          <w:szCs w:val="24"/>
        </w:rPr>
        <w:t>ts introduced by the practical measures.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Higher quality of requests due to training for practitioners, meaning less back and forth between the two authorities.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Swifter transmission channels intra-EU thanks to platform.</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On the other hand, the cooperation me</w:t>
      </w:r>
      <w:r>
        <w:rPr>
          <w:rFonts w:ascii="Times New Roman" w:eastAsiaTheme="minorHAnsi" w:hAnsi="Times New Roman" w:cs="Times New Roman"/>
          <w:noProof/>
          <w:sz w:val="24"/>
          <w:szCs w:val="24"/>
        </w:rPr>
        <w:t>chanism itself remains unchanged, which limits the possible impact that can be achieved.</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impact on service providers since receiving authority acts as filter when requests are of bad quality. </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w:t>
      </w:r>
      <w:r>
        <w:rPr>
          <w:rFonts w:ascii="Times New Roman" w:eastAsiaTheme="minorHAnsi" w:hAnsi="Times New Roman" w:cs="Times New Roman"/>
          <w:noProof/>
          <w:sz w:val="24"/>
          <w:szCs w:val="24"/>
        </w:rPr>
        <w:t>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these measures concern enhancement of 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impact since these measures concern enhancement of judicial </w:t>
      </w:r>
      <w:r>
        <w:rPr>
          <w:rFonts w:ascii="Times New Roman" w:eastAsiaTheme="minorHAnsi" w:hAnsi="Times New Roman" w:cs="Times New Roman"/>
          <w:noProof/>
          <w:sz w:val="24"/>
          <w:szCs w:val="24"/>
        </w:rPr>
        <w:t>cooperation.</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these measures concern enhancement of judicial cooperation.</w:t>
      </w:r>
    </w:p>
    <w:p w:rsidR="001B65FF" w:rsidRDefault="001B65FF">
      <w:pPr>
        <w:ind w:left="360"/>
        <w:contextualSpacing/>
        <w:jc w:val="both"/>
        <w:rPr>
          <w:rFonts w:ascii="Times New Roman" w:eastAsiaTheme="minorHAnsi" w:hAnsi="Times New Roman" w:cs="Times New Roman"/>
          <w:noProof/>
          <w:sz w:val="24"/>
          <w:szCs w:val="24"/>
        </w:rPr>
      </w:pPr>
    </w:p>
    <w:p w:rsidR="001B65FF" w:rsidRDefault="003E4EF4">
      <w:pPr>
        <w:numPr>
          <w:ilvl w:val="0"/>
          <w:numId w:val="160"/>
        </w:numPr>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number of attempts per 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 +</w:t>
      </w:r>
      <w:r>
        <w:rPr>
          <w:rFonts w:ascii="Times New Roman" w:eastAsiaTheme="minorHAnsi" w:hAnsi="Times New Roman" w:cs="Times New Roman"/>
          <w:b/>
          <w:noProof/>
          <w:sz w:val="24"/>
          <w:szCs w:val="24"/>
        </w:rPr>
        <w:t>10%</w:t>
      </w:r>
      <w:r>
        <w:rPr>
          <w:rFonts w:ascii="Times New Roman" w:eastAsiaTheme="minorHAnsi" w:hAnsi="Times New Roman" w:cs="Times New Roman"/>
          <w:noProof/>
          <w:sz w:val="24"/>
          <w:szCs w:val="24"/>
        </w:rPr>
        <w:t xml:space="preserve"> in relation to</w:t>
      </w:r>
      <w:r>
        <w:rPr>
          <w:rFonts w:ascii="Times New Roman" w:eastAsiaTheme="minorHAnsi" w:hAnsi="Times New Roman" w:cs="Times New Roman"/>
          <w:noProof/>
          <w:sz w:val="24"/>
          <w:szCs w:val="24"/>
        </w:rPr>
        <w:t xml:space="preserve">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With improved know-how due to training and information being more easily available, more requests can be expected to be made, both due to authorities being able to use known channels more effectively and due to authorities learning about the</w:t>
      </w:r>
      <w:r>
        <w:rPr>
          <w:rFonts w:ascii="Times New Roman" w:eastAsiaTheme="minorHAnsi" w:hAnsi="Times New Roman" w:cs="Times New Roman"/>
          <w:noProof/>
          <w:sz w:val="24"/>
          <w:szCs w:val="24"/>
        </w:rPr>
        <w:t xml:space="preserve"> possibility to use these channels for their cases.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Some of the direct cooperation requests would be made through judicial cooperation instead. </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+10%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Idem public authorities.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 change is in relation with</w:t>
      </w:r>
      <w:r>
        <w:rPr>
          <w:rFonts w:ascii="Times New Roman" w:eastAsiaTheme="minorHAnsi" w:hAnsi="Times New Roman" w:cs="Times New Roman"/>
          <w:noProof/>
          <w:sz w:val="24"/>
          <w:szCs w:val="24"/>
        </w:rPr>
        <w:t xml:space="preserve"> the number of attempts in the baseline.</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43" w:hanging="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increase in efficiency in judicial cooperation could slightly decrease the number of direct cooperation requests, but this effect would li</w:t>
      </w:r>
      <w:r>
        <w:rPr>
          <w:rFonts w:ascii="Times New Roman" w:eastAsiaTheme="minorHAnsi" w:hAnsi="Times New Roman" w:cs="Times New Roman"/>
          <w:noProof/>
          <w:sz w:val="24"/>
          <w:szCs w:val="24"/>
        </w:rPr>
        <w:t>kely be negligible.</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Service providers: 0</w:t>
      </w:r>
      <w:r>
        <w:rPr>
          <w:rFonts w:ascii="Times New Roman" w:eastAsiaTheme="minorHAnsi" w:hAnsi="Times New Roman" w:cs="Times New Roman"/>
          <w:b/>
          <w:noProof/>
          <w:sz w:val="24"/>
          <w:szCs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There would only be a negligible impact on service providers, public authorities act as filters..</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spacing w:after="0"/>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impact since </w:t>
      </w:r>
      <w:r>
        <w:rPr>
          <w:rFonts w:ascii="Times New Roman" w:eastAsiaTheme="minorHAnsi" w:hAnsi="Times New Roman" w:cs="Times New Roman"/>
          <w:noProof/>
          <w:sz w:val="24"/>
          <w:szCs w:val="24"/>
        </w:rPr>
        <w:t>these measures concern enhancement of judicial cooperation.</w:t>
      </w:r>
    </w:p>
    <w:p w:rsidR="001B65FF" w:rsidRDefault="001B65FF">
      <w:pPr>
        <w:spacing w:after="0"/>
        <w:jc w:val="both"/>
        <w:rPr>
          <w:rFonts w:ascii="Times New Roman" w:eastAsiaTheme="minorHAnsi" w:hAnsi="Times New Roman" w:cs="Times New Roman"/>
          <w:noProof/>
          <w:sz w:val="24"/>
          <w:szCs w:val="24"/>
        </w:rPr>
      </w:pPr>
    </w:p>
    <w:p w:rsidR="001B65FF" w:rsidRDefault="003E4EF4">
      <w:pPr>
        <w:spacing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table below summarises the above modifiers for this measure:</w:t>
      </w:r>
    </w:p>
    <w:p w:rsidR="001B65FF" w:rsidRDefault="001B65FF">
      <w:pPr>
        <w:spacing w:after="0"/>
        <w:jc w:val="both"/>
        <w:rPr>
          <w:rFonts w:ascii="Times New Roman" w:eastAsiaTheme="minorHAnsi" w:hAnsi="Times New Roman" w:cs="Times New Roman"/>
          <w:noProof/>
          <w:sz w:val="24"/>
          <w:szCs w:val="24"/>
        </w:rPr>
      </w:pPr>
    </w:p>
    <w:p w:rsidR="001B65FF" w:rsidRDefault="003E4EF4">
      <w:pPr>
        <w:spacing w:after="0"/>
        <w:jc w:val="both"/>
        <w:rPr>
          <w:rFonts w:ascii="Times New Roman" w:eastAsiaTheme="minorHAnsi" w:hAnsi="Times New Roman" w:cs="Times New Roman"/>
          <w:noProof/>
          <w:sz w:val="24"/>
          <w:szCs w:val="24"/>
        </w:rPr>
      </w:pPr>
      <w:r>
        <w:rPr>
          <w:noProof/>
          <w:lang w:eastAsia="en-GB"/>
        </w:rPr>
        <w:drawing>
          <wp:inline distT="0" distB="0" distL="0" distR="0" wp14:anchorId="55407F7A" wp14:editId="26673D38">
            <wp:extent cx="5472430" cy="9544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72430" cy="954494"/>
                    </a:xfrm>
                    <a:prstGeom prst="rect">
                      <a:avLst/>
                    </a:prstGeom>
                    <a:noFill/>
                    <a:ln>
                      <a:noFill/>
                    </a:ln>
                  </pic:spPr>
                </pic:pic>
              </a:graphicData>
            </a:graphic>
          </wp:inline>
        </w:drawing>
      </w:r>
    </w:p>
    <w:p w:rsidR="001B65FF" w:rsidRDefault="001B65FF">
      <w:pPr>
        <w:spacing w:after="0"/>
        <w:ind w:left="360"/>
        <w:jc w:val="both"/>
        <w:rPr>
          <w:rFonts w:ascii="Times New Roman" w:eastAsiaTheme="minorHAnsi" w:hAnsi="Times New Roman" w:cs="Times New Roman"/>
          <w:noProof/>
          <w:sz w:val="24"/>
          <w:szCs w:val="24"/>
        </w:rPr>
      </w:pPr>
    </w:p>
    <w:p w:rsidR="001B65FF" w:rsidRDefault="003E4EF4">
      <w:pPr>
        <w:numPr>
          <w:ilvl w:val="0"/>
          <w:numId w:val="160"/>
        </w:numPr>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time.</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was automatically calculated using the above assumptions following the same reasoning as in the baseline.</w:t>
      </w:r>
    </w:p>
    <w:p w:rsidR="001B65FF" w:rsidRDefault="003E4EF4">
      <w:pPr>
        <w:numPr>
          <w:ilvl w:val="0"/>
          <w:numId w:val="160"/>
        </w:numPr>
        <w:spacing w:after="0"/>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w:t>
      </w:r>
      <w:r>
        <w:rPr>
          <w:rFonts w:ascii="Times New Roman" w:eastAsiaTheme="minorHAnsi" w:hAnsi="Times New Roman" w:cs="Times New Roman"/>
          <w:noProof/>
          <w:sz w:val="24"/>
          <w:szCs w:val="24"/>
        </w:rPr>
        <w:t xml:space="preserve"> continuous costs.</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was automatically calculated using the above assumptions following the same reasoning as in the baseline.</w:t>
      </w:r>
    </w:p>
    <w:p w:rsidR="001B65FF" w:rsidRDefault="003E4EF4">
      <w:p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table below summarises the total continuous costs per year for this measure:</w:t>
      </w:r>
    </w:p>
    <w:p w:rsidR="001B65FF" w:rsidRDefault="001B65FF">
      <w:pPr>
        <w:contextualSpacing/>
        <w:jc w:val="both"/>
        <w:rPr>
          <w:rFonts w:ascii="Times New Roman" w:eastAsiaTheme="minorHAnsi" w:hAnsi="Times New Roman" w:cs="Times New Roman"/>
          <w:noProof/>
          <w:sz w:val="24"/>
          <w:szCs w:val="24"/>
        </w:rPr>
      </w:pPr>
    </w:p>
    <w:p w:rsidR="001B65FF" w:rsidRDefault="003E4EF4">
      <w:pPr>
        <w:contextualSpacing/>
        <w:jc w:val="both"/>
        <w:rPr>
          <w:rFonts w:ascii="Times New Roman" w:eastAsiaTheme="minorHAnsi" w:hAnsi="Times New Roman" w:cs="Times New Roman"/>
          <w:noProof/>
          <w:sz w:val="24"/>
          <w:szCs w:val="24"/>
        </w:rPr>
      </w:pPr>
      <w:r>
        <w:rPr>
          <w:noProof/>
          <w:lang w:eastAsia="en-GB"/>
        </w:rPr>
        <w:drawing>
          <wp:inline distT="0" distB="0" distL="0" distR="0" wp14:anchorId="61A45546" wp14:editId="786846A7">
            <wp:extent cx="5472430" cy="1080951"/>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72430" cy="1080951"/>
                    </a:xfrm>
                    <a:prstGeom prst="rect">
                      <a:avLst/>
                    </a:prstGeom>
                    <a:noFill/>
                    <a:ln>
                      <a:noFill/>
                    </a:ln>
                  </pic:spPr>
                </pic:pic>
              </a:graphicData>
            </a:graphic>
          </wp:inline>
        </w:drawing>
      </w:r>
    </w:p>
    <w:p w:rsidR="001B65FF" w:rsidRDefault="001B65FF">
      <w:pPr>
        <w:contextualSpacing/>
        <w:jc w:val="both"/>
        <w:rPr>
          <w:rFonts w:ascii="Times New Roman" w:eastAsiaTheme="minorHAnsi" w:hAnsi="Times New Roman" w:cs="Times New Roman"/>
          <w:noProof/>
          <w:sz w:val="24"/>
          <w:szCs w:val="24"/>
        </w:rPr>
      </w:pPr>
    </w:p>
    <w:p w:rsidR="001B65FF" w:rsidRDefault="003E4EF4">
      <w:pPr>
        <w:jc w:val="both"/>
        <w:rPr>
          <w:rFonts w:ascii="Times New Roman" w:eastAsiaTheme="minorHAnsi" w:hAnsi="Times New Roman" w:cs="Times New Roman"/>
          <w:noProof/>
          <w:sz w:val="24"/>
          <w:szCs w:val="24"/>
          <w:u w:val="single"/>
        </w:rPr>
      </w:pPr>
      <w:r>
        <w:rPr>
          <w:rFonts w:ascii="Times New Roman" w:eastAsiaTheme="minorHAnsi" w:hAnsi="Times New Roman" w:cs="Times New Roman"/>
          <w:noProof/>
          <w:sz w:val="24"/>
          <w:szCs w:val="24"/>
          <w:u w:val="single"/>
        </w:rPr>
        <w:t>Measure 2: practical measures to enhance di</w:t>
      </w:r>
      <w:r>
        <w:rPr>
          <w:rFonts w:ascii="Times New Roman" w:eastAsiaTheme="minorHAnsi" w:hAnsi="Times New Roman" w:cs="Times New Roman"/>
          <w:noProof/>
          <w:sz w:val="24"/>
          <w:szCs w:val="24"/>
          <w:u w:val="single"/>
        </w:rPr>
        <w:t>rect cooperation</w:t>
      </w:r>
    </w:p>
    <w:p w:rsidR="001B65FF" w:rsidRDefault="003E4EF4">
      <w:pPr>
        <w:numPr>
          <w:ilvl w:val="0"/>
          <w:numId w:val="167"/>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One-off costs.</w:t>
      </w:r>
    </w:p>
    <w:p w:rsidR="001B65FF" w:rsidRDefault="003E4EF4">
      <w:pPr>
        <w:numPr>
          <w:ilvl w:val="0"/>
          <w:numId w:val="168"/>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w:t>
      </w:r>
    </w:p>
    <w:p w:rsidR="001B65FF" w:rsidRDefault="003E4EF4">
      <w:pPr>
        <w:numPr>
          <w:ilvl w:val="1"/>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Set up the SPOC system:</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30 working days x 22 Member States without SPOC (all except FR, UK, SE, BE, FI, LT).</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setting up of a SPOC system requires conceiving, validating and implementing such system </w:t>
      </w:r>
      <w:r>
        <w:rPr>
          <w:rFonts w:ascii="Times New Roman" w:eastAsiaTheme="minorHAnsi" w:hAnsi="Times New Roman" w:cs="Times New Roman"/>
          <w:noProof/>
          <w:sz w:val="24"/>
          <w:szCs w:val="24"/>
        </w:rPr>
        <w:t>for the whole Member State, involving various actors and levels of validation. Persons working as (part of) the SPOC need to be trained.</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Costs may differ largely depending on what kind of SPOC system is established, 30 working days would represent an </w:t>
      </w:r>
      <w:r>
        <w:rPr>
          <w:rFonts w:ascii="Times New Roman" w:eastAsiaTheme="minorHAnsi" w:hAnsi="Times New Roman" w:cs="Times New Roman"/>
          <w:noProof/>
          <w:sz w:val="24"/>
          <w:szCs w:val="24"/>
        </w:rPr>
        <w:t>average figure</w:t>
      </w:r>
    </w:p>
    <w:p w:rsidR="001B65FF" w:rsidRDefault="003E4EF4">
      <w:pPr>
        <w:numPr>
          <w:ilvl w:val="1"/>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Standardise procedures:</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20 working days x 28 Member States.</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Standardising procedures should be slightly faster than setting up SPOCS, as it does not require a new structure to be created.</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Nonetheless it would require a significant amount of </w:t>
      </w:r>
      <w:r>
        <w:rPr>
          <w:rFonts w:ascii="Times New Roman" w:eastAsiaTheme="minorHAnsi" w:hAnsi="Times New Roman" w:cs="Times New Roman"/>
          <w:noProof/>
          <w:sz w:val="24"/>
          <w:szCs w:val="24"/>
        </w:rPr>
        <w:t>effort, which could vary across Member States depending on the number of different authorities that participate, the number of existing procedures, and the internal resistance to change.</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This estimate would include the time for assessment of existing proce</w:t>
      </w:r>
      <w:r>
        <w:rPr>
          <w:rFonts w:ascii="Times New Roman" w:eastAsiaTheme="minorHAnsi" w:hAnsi="Times New Roman" w:cs="Times New Roman"/>
          <w:noProof/>
          <w:sz w:val="24"/>
          <w:szCs w:val="24"/>
        </w:rPr>
        <w:t>dures, development of a streamlined and simplified process, and implementation of that process.</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This would likely be facilitated by the existence of a SPOC and could take additional time if no SPOC is put in place.</w:t>
      </w:r>
    </w:p>
    <w:p w:rsidR="001B65FF" w:rsidRDefault="001B65FF">
      <w:pPr>
        <w:ind w:left="2160"/>
        <w:contextualSpacing/>
        <w:jc w:val="both"/>
        <w:rPr>
          <w:rFonts w:ascii="Times New Roman" w:eastAsiaTheme="minorHAnsi" w:hAnsi="Times New Roman" w:cs="Times New Roman"/>
          <w:noProof/>
          <w:sz w:val="24"/>
          <w:szCs w:val="24"/>
        </w:rPr>
      </w:pPr>
    </w:p>
    <w:p w:rsidR="001B65FF" w:rsidRDefault="003E4EF4">
      <w:pPr>
        <w:numPr>
          <w:ilvl w:val="0"/>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Service providers:</w:t>
      </w:r>
    </w:p>
    <w:p w:rsidR="001B65FF" w:rsidRDefault="003E4EF4">
      <w:pPr>
        <w:numPr>
          <w:ilvl w:val="1"/>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Set up the SPOC syste</w:t>
      </w:r>
      <w:r>
        <w:rPr>
          <w:rFonts w:ascii="Times New Roman" w:eastAsiaTheme="minorHAnsi" w:hAnsi="Times New Roman" w:cs="Times New Roman"/>
          <w:noProof/>
          <w:sz w:val="24"/>
          <w:szCs w:val="24"/>
        </w:rPr>
        <w:t>m:</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20 working days x top 10 service providers.</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As this is a voluntary measure, it was estimated that only the service providers receiving large volumes of requests already would see it proportionate to invest in it. Furthermore, this is only an option for </w:t>
      </w:r>
      <w:r>
        <w:rPr>
          <w:rFonts w:ascii="Times New Roman" w:eastAsiaTheme="minorHAnsi" w:hAnsi="Times New Roman" w:cs="Times New Roman"/>
          <w:noProof/>
          <w:sz w:val="24"/>
          <w:szCs w:val="24"/>
        </w:rPr>
        <w:t>US-based service providers given the legislation in place.</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10 service providers is an estimate on the high side, as a number of the top service providers have already put into place SPOCs or functionally equivalent systems.</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setting up of SPOC should be</w:t>
      </w:r>
      <w:r>
        <w:rPr>
          <w:rFonts w:ascii="Times New Roman" w:eastAsiaTheme="minorHAnsi" w:hAnsi="Times New Roman" w:cs="Times New Roman"/>
          <w:noProof/>
          <w:sz w:val="24"/>
          <w:szCs w:val="24"/>
        </w:rPr>
        <w:t xml:space="preserve"> slightly faster for service providers, as it would not involve as many actors and the validation process may be less formal. Furthermore, many service providers already have some or all of the SPOC process implemented and would not need to start from zero</w:t>
      </w:r>
      <w:r>
        <w:rPr>
          <w:rFonts w:ascii="Times New Roman" w:eastAsiaTheme="minorHAnsi" w:hAnsi="Times New Roman" w:cs="Times New Roman"/>
          <w:noProof/>
          <w:sz w:val="24"/>
          <w:szCs w:val="24"/>
        </w:rPr>
        <w:t xml:space="preserve"> if they choose to implement this.</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Persons working as SPOC need to be trained.</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Costs may differ largely depending on what kind of SPOC system is established, 20 working days would represent an average figure</w:t>
      </w:r>
    </w:p>
    <w:p w:rsidR="001B65FF" w:rsidRDefault="003E4EF4">
      <w:pPr>
        <w:numPr>
          <w:ilvl w:val="1"/>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Standardise procedures:</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30 working days x top 10</w:t>
      </w:r>
      <w:r>
        <w:rPr>
          <w:rFonts w:ascii="Times New Roman" w:eastAsiaTheme="minorHAnsi" w:hAnsi="Times New Roman" w:cs="Times New Roman"/>
          <w:noProof/>
          <w:sz w:val="24"/>
          <w:szCs w:val="24"/>
        </w:rPr>
        <w:t xml:space="preserve"> service providers.</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This estimate includes internal assessments of procedures currently in place; time spent discussing with other service providers what could be streamlined; designing standardised procedures; and then time is still required to implement </w:t>
      </w:r>
      <w:r>
        <w:rPr>
          <w:rFonts w:ascii="Times New Roman" w:eastAsiaTheme="minorHAnsi" w:hAnsi="Times New Roman" w:cs="Times New Roman"/>
          <w:noProof/>
          <w:sz w:val="24"/>
          <w:szCs w:val="24"/>
        </w:rPr>
        <w:t>the measures decided. It is estimated to require more efforts than setting up a SPOC, which is a purely internal measure, while this requires agreement across several service providers.</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As this is a voluntary measure, it was estimated that only the service</w:t>
      </w:r>
      <w:r>
        <w:rPr>
          <w:rFonts w:ascii="Times New Roman" w:eastAsiaTheme="minorHAnsi" w:hAnsi="Times New Roman" w:cs="Times New Roman"/>
          <w:noProof/>
          <w:sz w:val="24"/>
          <w:szCs w:val="24"/>
        </w:rPr>
        <w:t xml:space="preserve"> providers receiving large volumes of requests already would see it proportionate to invest in it. Furthermore, this is only an option for US-based service providers given the legislation in place.</w:t>
      </w:r>
    </w:p>
    <w:p w:rsidR="001B65FF" w:rsidRDefault="003E4EF4">
      <w:pPr>
        <w:numPr>
          <w:ilvl w:val="0"/>
          <w:numId w:val="167"/>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Time per attempt per 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w:t>
      </w:r>
      <w:r>
        <w:rPr>
          <w:rFonts w:ascii="Times New Roman" w:eastAsiaTheme="minorHAnsi" w:hAnsi="Times New Roman" w:cs="Times New Roman"/>
          <w:noProof/>
          <w:sz w:val="24"/>
          <w:szCs w:val="24"/>
        </w:rPr>
        <w:t xml:space="preserve">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these measures concern enhancement of direct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these measures concern enhancement of direct cooperation.</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w:t>
      </w:r>
      <w:r>
        <w:rPr>
          <w:rFonts w:ascii="Times New Roman" w:eastAsiaTheme="minorHAnsi" w:hAnsi="Times New Roman" w:cs="Times New Roman"/>
          <w:noProof/>
          <w:sz w:val="24"/>
          <w:szCs w:val="24"/>
        </w:rPr>
        <w:t>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 -</w:t>
      </w:r>
      <w:r>
        <w:rPr>
          <w:rFonts w:ascii="Times New Roman" w:eastAsiaTheme="minorHAnsi" w:hAnsi="Times New Roman" w:cs="Times New Roman"/>
          <w:b/>
          <w:noProof/>
          <w:sz w:val="24"/>
          <w:szCs w:val="24"/>
        </w:rPr>
        <w:t>15%</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Increased efficiency thanks to the improvements introduced by the practical measures.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Improvements through practical measures for direct cooperation are expected to have a slightly bigger impac</w:t>
      </w:r>
      <w:r>
        <w:rPr>
          <w:rFonts w:ascii="Times New Roman" w:eastAsiaTheme="minorHAnsi" w:hAnsi="Times New Roman" w:cs="Times New Roman"/>
          <w:noProof/>
          <w:sz w:val="24"/>
          <w:szCs w:val="24"/>
        </w:rPr>
        <w:t>t than the practical measures on judicial cooperation, as they will be more numerous and will modify how this channel works; the setting-up of SPOCs and streamlining of procedures is expected to have most impact.</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-15%</w:t>
      </w:r>
      <w:r>
        <w:rPr>
          <w:rFonts w:ascii="Times New Roman" w:eastAsiaTheme="minorHAnsi" w:hAnsi="Times New Roman" w:cs="Times New Roman"/>
          <w:noProof/>
          <w:sz w:val="24"/>
          <w:szCs w:val="24"/>
        </w:rPr>
        <w:t xml:space="preserve"> in relation to the </w:t>
      </w:r>
      <w:r>
        <w:rPr>
          <w:rFonts w:ascii="Times New Roman" w:eastAsiaTheme="minorHAnsi" w:hAnsi="Times New Roman" w:cs="Times New Roman"/>
          <w:noProof/>
          <w:sz w:val="24"/>
          <w:szCs w:val="24"/>
        </w:rPr>
        <w:t>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Increased efficiency thanks to the improvements introduced by the practical measures.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Quality of requests is expected to improve, reducing the need for back-and-forth; number of requests that service providers do not answer under their individual</w:t>
      </w:r>
      <w:r>
        <w:rPr>
          <w:rFonts w:ascii="Times New Roman" w:eastAsiaTheme="minorHAnsi" w:hAnsi="Times New Roman" w:cs="Times New Roman"/>
          <w:noProof/>
          <w:sz w:val="24"/>
          <w:szCs w:val="24"/>
        </w:rPr>
        <w:t xml:space="preserve"> policy would be expected to decrease.</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these measures concern enhancement of judicial cooperation.</w:t>
      </w:r>
    </w:p>
    <w:p w:rsidR="001B65FF" w:rsidRDefault="001B65FF">
      <w:pPr>
        <w:ind w:left="360"/>
        <w:contextualSpacing/>
        <w:jc w:val="both"/>
        <w:rPr>
          <w:rFonts w:ascii="Times New Roman" w:eastAsiaTheme="minorHAnsi" w:hAnsi="Times New Roman" w:cs="Times New Roman"/>
          <w:noProof/>
          <w:sz w:val="24"/>
          <w:szCs w:val="24"/>
        </w:rPr>
      </w:pPr>
    </w:p>
    <w:p w:rsidR="001B65FF" w:rsidRDefault="003E4EF4">
      <w:pPr>
        <w:numPr>
          <w:ilvl w:val="0"/>
          <w:numId w:val="167"/>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number of attempts per 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w:t>
      </w:r>
      <w:r>
        <w:rPr>
          <w:rFonts w:ascii="Times New Roman" w:eastAsiaTheme="minorHAnsi" w:hAnsi="Times New Roman" w:cs="Times New Roman"/>
          <w:noProof/>
          <w:sz w:val="24"/>
          <w:szCs w:val="24"/>
        </w:rPr>
        <w:t>authorities: -5</w:t>
      </w:r>
      <w:r>
        <w:rPr>
          <w:rFonts w:ascii="Times New Roman" w:eastAsiaTheme="minorHAnsi" w:hAnsi="Times New Roman" w:cs="Times New Roman"/>
          <w:b/>
          <w:noProof/>
          <w:sz w:val="24"/>
          <w:szCs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increase in efficiency in direct cooperation would lead to a shift from judicial cooperation requests to direct cooperation requests.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Training and SPOCs would help practitioners understand better in which s</w:t>
      </w:r>
      <w:r>
        <w:rPr>
          <w:rFonts w:ascii="Times New Roman" w:eastAsiaTheme="minorHAnsi" w:hAnsi="Times New Roman" w:cs="Times New Roman"/>
          <w:noProof/>
          <w:sz w:val="24"/>
          <w:szCs w:val="24"/>
        </w:rPr>
        <w:t>ituations they can resort to direct cooperation.</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SPOC system might help redirect requests to direct cooperation where appropriate.</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-5%</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Idem public authorities.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 change is in relation with the number</w:t>
      </w:r>
      <w:r>
        <w:rPr>
          <w:rFonts w:ascii="Times New Roman" w:eastAsiaTheme="minorHAnsi" w:hAnsi="Times New Roman" w:cs="Times New Roman"/>
          <w:noProof/>
          <w:sz w:val="24"/>
          <w:szCs w:val="24"/>
        </w:rPr>
        <w:t xml:space="preserve"> of attempts in the baseline.</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 +10</w:t>
      </w:r>
      <w:r>
        <w:rPr>
          <w:rFonts w:ascii="Times New Roman" w:eastAsiaTheme="minorHAnsi" w:hAnsi="Times New Roman" w:cs="Times New Roman"/>
          <w:b/>
          <w:noProof/>
          <w:sz w:val="24"/>
          <w:szCs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43" w:hanging="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efficiency improvements would facilitate adding new requests that before were not done due to the complexity of the process or the lack of knowledge</w:t>
      </w:r>
      <w:r>
        <w:rPr>
          <w:rFonts w:ascii="Times New Roman" w:eastAsiaTheme="minorHAnsi" w:hAnsi="Times New Roman" w:cs="Times New Roman"/>
          <w:noProof/>
          <w:sz w:val="24"/>
          <w:szCs w:val="24"/>
        </w:rPr>
        <w:t xml:space="preserve"> about the procedure to follow for a particular service provider.</w:t>
      </w:r>
    </w:p>
    <w:p w:rsidR="001B65FF" w:rsidRDefault="003E4EF4">
      <w:pPr>
        <w:numPr>
          <w:ilvl w:val="3"/>
          <w:numId w:val="161"/>
        </w:numPr>
        <w:ind w:left="1843" w:hanging="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Some of the judicial cooperation requests would be done through direct cooperation. </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+10%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Idem public authorities.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 change is in relatio</w:t>
      </w:r>
      <w:r>
        <w:rPr>
          <w:rFonts w:ascii="Times New Roman" w:eastAsiaTheme="minorHAnsi" w:hAnsi="Times New Roman" w:cs="Times New Roman"/>
          <w:noProof/>
          <w:sz w:val="24"/>
          <w:szCs w:val="24"/>
        </w:rPr>
        <w:t>n with the number of attempts in the baseline.</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spacing w:after="0"/>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these measures concern enhancement of judicial cooperation.</w:t>
      </w:r>
    </w:p>
    <w:p w:rsidR="001B65FF" w:rsidRDefault="001B65FF">
      <w:pPr>
        <w:spacing w:after="0"/>
        <w:jc w:val="both"/>
        <w:rPr>
          <w:rFonts w:ascii="Times New Roman" w:eastAsiaTheme="minorHAnsi" w:hAnsi="Times New Roman" w:cs="Times New Roman"/>
          <w:noProof/>
          <w:sz w:val="24"/>
          <w:szCs w:val="24"/>
        </w:rPr>
      </w:pPr>
    </w:p>
    <w:p w:rsidR="001B65FF" w:rsidRDefault="003E4EF4">
      <w:pPr>
        <w:spacing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table below summarises the above modifiers for this measure:</w:t>
      </w:r>
    </w:p>
    <w:p w:rsidR="001B65FF" w:rsidRDefault="001B65FF">
      <w:pPr>
        <w:spacing w:after="0"/>
        <w:jc w:val="both"/>
        <w:rPr>
          <w:rFonts w:ascii="Times New Roman" w:eastAsiaTheme="minorHAnsi" w:hAnsi="Times New Roman" w:cs="Times New Roman"/>
          <w:noProof/>
          <w:sz w:val="24"/>
          <w:szCs w:val="24"/>
        </w:rPr>
      </w:pPr>
    </w:p>
    <w:p w:rsidR="001B65FF" w:rsidRDefault="003E4EF4">
      <w:pPr>
        <w:spacing w:after="0"/>
        <w:jc w:val="both"/>
        <w:rPr>
          <w:rFonts w:ascii="Times New Roman" w:eastAsiaTheme="minorHAnsi" w:hAnsi="Times New Roman" w:cs="Times New Roman"/>
          <w:noProof/>
          <w:sz w:val="24"/>
          <w:szCs w:val="24"/>
        </w:rPr>
      </w:pPr>
      <w:r>
        <w:rPr>
          <w:noProof/>
          <w:lang w:eastAsia="en-GB"/>
        </w:rPr>
        <w:drawing>
          <wp:inline distT="0" distB="0" distL="0" distR="0" wp14:anchorId="536B67E8" wp14:editId="5A7E170E">
            <wp:extent cx="5472430" cy="872047"/>
            <wp:effectExtent l="0" t="0" r="0" b="444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72430" cy="872047"/>
                    </a:xfrm>
                    <a:prstGeom prst="rect">
                      <a:avLst/>
                    </a:prstGeom>
                    <a:noFill/>
                    <a:ln>
                      <a:noFill/>
                    </a:ln>
                  </pic:spPr>
                </pic:pic>
              </a:graphicData>
            </a:graphic>
          </wp:inline>
        </w:drawing>
      </w:r>
    </w:p>
    <w:p w:rsidR="001B65FF" w:rsidRDefault="001B65FF">
      <w:pPr>
        <w:spacing w:after="0"/>
        <w:ind w:left="360"/>
        <w:jc w:val="both"/>
        <w:rPr>
          <w:rFonts w:ascii="Times New Roman" w:eastAsiaTheme="minorHAnsi" w:hAnsi="Times New Roman" w:cs="Times New Roman"/>
          <w:noProof/>
          <w:sz w:val="24"/>
          <w:szCs w:val="24"/>
        </w:rPr>
      </w:pPr>
    </w:p>
    <w:p w:rsidR="001B65FF" w:rsidRDefault="003E4EF4">
      <w:pPr>
        <w:numPr>
          <w:ilvl w:val="0"/>
          <w:numId w:val="167"/>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time.</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was automatically calculated using the above assumptions following the same reasoning as in the baseline.</w:t>
      </w:r>
    </w:p>
    <w:p w:rsidR="001B65FF" w:rsidRDefault="003E4EF4">
      <w:pPr>
        <w:numPr>
          <w:ilvl w:val="0"/>
          <w:numId w:val="167"/>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continuous costs.</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was automatically calculated using the above assumptions following the same reasoning as in the baseline</w:t>
      </w:r>
      <w:r>
        <w:rPr>
          <w:rFonts w:ascii="Times New Roman" w:eastAsiaTheme="minorHAnsi" w:hAnsi="Times New Roman" w:cs="Times New Roman"/>
          <w:noProof/>
          <w:sz w:val="24"/>
          <w:szCs w:val="24"/>
        </w:rPr>
        <w:t>.</w:t>
      </w:r>
    </w:p>
    <w:p w:rsidR="001B65FF" w:rsidRDefault="003E4EF4">
      <w:p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table below summarises the total continuous costs per year for this measure:</w:t>
      </w:r>
    </w:p>
    <w:p w:rsidR="001B65FF" w:rsidRDefault="001B65FF">
      <w:pPr>
        <w:contextualSpacing/>
        <w:jc w:val="both"/>
        <w:rPr>
          <w:rFonts w:ascii="Times New Roman" w:eastAsiaTheme="minorHAnsi" w:hAnsi="Times New Roman" w:cs="Times New Roman"/>
          <w:noProof/>
          <w:sz w:val="24"/>
          <w:szCs w:val="24"/>
        </w:rPr>
      </w:pPr>
    </w:p>
    <w:p w:rsidR="001B65FF" w:rsidRDefault="003E4EF4">
      <w:pPr>
        <w:contextualSpacing/>
        <w:jc w:val="both"/>
        <w:rPr>
          <w:rFonts w:ascii="Times New Roman" w:eastAsiaTheme="minorHAnsi" w:hAnsi="Times New Roman" w:cs="Times New Roman"/>
          <w:noProof/>
          <w:sz w:val="24"/>
          <w:szCs w:val="24"/>
        </w:rPr>
      </w:pPr>
      <w:r>
        <w:rPr>
          <w:noProof/>
          <w:lang w:eastAsia="en-GB"/>
        </w:rPr>
        <w:drawing>
          <wp:inline distT="0" distB="0" distL="0" distR="0" wp14:anchorId="324763E1" wp14:editId="77CF88E0">
            <wp:extent cx="5472430" cy="1006419"/>
            <wp:effectExtent l="0" t="0" r="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72430" cy="1006419"/>
                    </a:xfrm>
                    <a:prstGeom prst="rect">
                      <a:avLst/>
                    </a:prstGeom>
                    <a:noFill/>
                    <a:ln>
                      <a:noFill/>
                    </a:ln>
                  </pic:spPr>
                </pic:pic>
              </a:graphicData>
            </a:graphic>
          </wp:inline>
        </w:drawing>
      </w:r>
    </w:p>
    <w:p w:rsidR="001B65FF" w:rsidRDefault="001B65FF">
      <w:pPr>
        <w:spacing w:after="0"/>
        <w:jc w:val="both"/>
        <w:rPr>
          <w:rFonts w:ascii="Times New Roman" w:eastAsiaTheme="minorHAnsi" w:hAnsi="Times New Roman" w:cs="Times New Roman"/>
          <w:noProof/>
          <w:sz w:val="24"/>
          <w:szCs w:val="24"/>
          <w:u w:val="single"/>
        </w:rPr>
      </w:pPr>
    </w:p>
    <w:p w:rsidR="001B65FF" w:rsidRDefault="003E4EF4">
      <w:pPr>
        <w:jc w:val="both"/>
        <w:rPr>
          <w:rFonts w:ascii="Times New Roman" w:eastAsiaTheme="minorHAnsi" w:hAnsi="Times New Roman" w:cs="Times New Roman"/>
          <w:noProof/>
          <w:sz w:val="24"/>
          <w:szCs w:val="24"/>
          <w:u w:val="single"/>
        </w:rPr>
      </w:pPr>
      <w:r>
        <w:rPr>
          <w:rFonts w:ascii="Times New Roman" w:eastAsiaTheme="minorHAnsi" w:hAnsi="Times New Roman" w:cs="Times New Roman"/>
          <w:noProof/>
          <w:sz w:val="24"/>
          <w:szCs w:val="24"/>
          <w:u w:val="single"/>
        </w:rPr>
        <w:t>Measure 3: multilateral international agreements</w:t>
      </w:r>
    </w:p>
    <w:p w:rsidR="001B65FF" w:rsidRDefault="003E4EF4">
      <w:pPr>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It is not possible to quantify the costs that this measure would generate since the agreements have not been negotiated </w:t>
      </w:r>
      <w:r>
        <w:rPr>
          <w:rFonts w:ascii="Times New Roman" w:eastAsiaTheme="minorHAnsi" w:hAnsi="Times New Roman" w:cs="Times New Roman"/>
          <w:noProof/>
          <w:sz w:val="24"/>
          <w:szCs w:val="24"/>
        </w:rPr>
        <w:t>yet.</w:t>
      </w:r>
    </w:p>
    <w:p w:rsidR="001B65FF" w:rsidRDefault="003E4EF4">
      <w:pPr>
        <w:jc w:val="both"/>
        <w:rPr>
          <w:rFonts w:ascii="Times New Roman" w:eastAsiaTheme="minorHAnsi" w:hAnsi="Times New Roman" w:cs="Times New Roman"/>
          <w:noProof/>
          <w:sz w:val="24"/>
          <w:szCs w:val="24"/>
          <w:u w:val="single"/>
        </w:rPr>
      </w:pPr>
      <w:r>
        <w:rPr>
          <w:rFonts w:ascii="Times New Roman" w:eastAsiaTheme="minorHAnsi" w:hAnsi="Times New Roman" w:cs="Times New Roman"/>
          <w:noProof/>
          <w:sz w:val="24"/>
          <w:szCs w:val="24"/>
          <w:u w:val="single"/>
        </w:rPr>
        <w:t>Measure 4: bilateral international agreements</w:t>
      </w:r>
    </w:p>
    <w:p w:rsidR="001B65FF" w:rsidRDefault="003E4EF4">
      <w:pPr>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is not possible to quantify the costs that this measure would generate since the agreements have not been negotiated yet.</w:t>
      </w:r>
    </w:p>
    <w:p w:rsidR="001B65FF" w:rsidRDefault="003E4EF4">
      <w:pPr>
        <w:jc w:val="both"/>
        <w:rPr>
          <w:rFonts w:ascii="Times New Roman" w:eastAsiaTheme="minorHAnsi" w:hAnsi="Times New Roman" w:cs="Times New Roman"/>
          <w:noProof/>
          <w:sz w:val="24"/>
          <w:szCs w:val="24"/>
          <w:u w:val="single"/>
        </w:rPr>
      </w:pPr>
      <w:r>
        <w:rPr>
          <w:rFonts w:ascii="Times New Roman" w:eastAsiaTheme="minorHAnsi" w:hAnsi="Times New Roman" w:cs="Times New Roman"/>
          <w:noProof/>
          <w:sz w:val="24"/>
          <w:szCs w:val="24"/>
          <w:u w:val="single"/>
        </w:rPr>
        <w:t>Measure 5: European Production Order</w:t>
      </w:r>
    </w:p>
    <w:p w:rsidR="001B65FF" w:rsidRDefault="003E4EF4">
      <w:pPr>
        <w:numPr>
          <w:ilvl w:val="0"/>
          <w:numId w:val="159"/>
        </w:numPr>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One-off costs.</w:t>
      </w:r>
    </w:p>
    <w:p w:rsidR="001B65FF" w:rsidRDefault="003E4EF4">
      <w:pPr>
        <w:numPr>
          <w:ilvl w:val="0"/>
          <w:numId w:val="168"/>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w:t>
      </w:r>
    </w:p>
    <w:p w:rsidR="001B65FF" w:rsidRDefault="003E4EF4">
      <w:pPr>
        <w:numPr>
          <w:ilvl w:val="1"/>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Transpose EU legislation:</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200 working days x 27 Member States: time of 200 working days based on a previous Commission study</w:t>
      </w:r>
      <w:r>
        <w:rPr>
          <w:rFonts w:ascii="Times New Roman" w:eastAsiaTheme="minorHAnsi" w:hAnsi="Times New Roman" w:cs="Times New Roman"/>
          <w:noProof/>
          <w:sz w:val="24"/>
          <w:szCs w:val="24"/>
          <w:vertAlign w:val="superscript"/>
        </w:rPr>
        <w:footnoteReference w:id="187"/>
      </w:r>
      <w:r>
        <w:rPr>
          <w:rFonts w:ascii="Times New Roman" w:eastAsiaTheme="minorHAnsi" w:hAnsi="Times New Roman" w:cs="Times New Roman"/>
          <w:noProof/>
          <w:sz w:val="24"/>
          <w:szCs w:val="24"/>
        </w:rPr>
        <w:t xml:space="preserve">. Assumes all Member States would take part, except DK. </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Assumes that the instrument would be a directive. If the instrument were a</w:t>
      </w:r>
      <w:r>
        <w:rPr>
          <w:rFonts w:ascii="Times New Roman" w:eastAsiaTheme="minorHAnsi" w:hAnsi="Times New Roman" w:cs="Times New Roman"/>
          <w:noProof/>
          <w:sz w:val="24"/>
          <w:szCs w:val="24"/>
        </w:rPr>
        <w:t xml:space="preserve"> regulation it would not require transposition, but still some adaptations of national law to make it compliant with the instrument. </w:t>
      </w:r>
    </w:p>
    <w:p w:rsidR="001B65FF" w:rsidRDefault="003E4EF4">
      <w:pPr>
        <w:numPr>
          <w:ilvl w:val="0"/>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Service providers:</w:t>
      </w:r>
    </w:p>
    <w:p w:rsidR="001B65FF" w:rsidRDefault="003E4EF4">
      <w:pPr>
        <w:numPr>
          <w:ilvl w:val="1"/>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Set up the legal representative:</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30 working days X 130 service providers</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Setting up a legal representat</w:t>
      </w:r>
      <w:r>
        <w:rPr>
          <w:rFonts w:ascii="Times New Roman" w:eastAsiaTheme="minorHAnsi" w:hAnsi="Times New Roman" w:cs="Times New Roman"/>
          <w:noProof/>
          <w:sz w:val="24"/>
          <w:szCs w:val="24"/>
        </w:rPr>
        <w:t xml:space="preserve">ive would mean to designate a legal or natural person in the Union; if no establishment is available, it would require negotiating contractual arrangement with a third person who could act as legal representative; liability for sanctions will also have to </w:t>
      </w:r>
      <w:r>
        <w:rPr>
          <w:rFonts w:ascii="Times New Roman" w:eastAsiaTheme="minorHAnsi" w:hAnsi="Times New Roman" w:cs="Times New Roman"/>
          <w:noProof/>
          <w:sz w:val="24"/>
          <w:szCs w:val="24"/>
        </w:rPr>
        <w:t>be taken into Account. The number of 130 service providers is based on feedback from Member States' authorities as to the number of providers they regularly make requests to.</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This may require comparatively more efforts than setting up a SPOC, which is an i</w:t>
      </w:r>
      <w:r>
        <w:rPr>
          <w:rFonts w:ascii="Times New Roman" w:eastAsiaTheme="minorHAnsi" w:hAnsi="Times New Roman" w:cs="Times New Roman"/>
          <w:noProof/>
          <w:sz w:val="24"/>
          <w:szCs w:val="24"/>
        </w:rPr>
        <w:t>nternal procedure.</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Cost savings may result from an accumulation of functions with an (already established) GDPR representative.</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For service providers within the EU, the nomination is assumed to require less efforts.</w:t>
      </w:r>
    </w:p>
    <w:p w:rsidR="001B65FF" w:rsidRDefault="003E4EF4">
      <w:pPr>
        <w:numPr>
          <w:ilvl w:val="1"/>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Adapt operating procedures and contractu</w:t>
      </w:r>
      <w:r>
        <w:rPr>
          <w:rFonts w:ascii="Times New Roman" w:eastAsiaTheme="minorHAnsi" w:hAnsi="Times New Roman" w:cs="Times New Roman"/>
          <w:noProof/>
          <w:sz w:val="24"/>
          <w:szCs w:val="24"/>
        </w:rPr>
        <w:t>al framework:</w:t>
      </w:r>
    </w:p>
    <w:p w:rsidR="001B65FF" w:rsidRDefault="003E4EF4">
      <w:pPr>
        <w:numPr>
          <w:ilvl w:val="2"/>
          <w:numId w:val="168"/>
        </w:numPr>
        <w:contextualSpacing/>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20 working days X 130 service providers</w:t>
      </w:r>
    </w:p>
    <w:p w:rsidR="001B65FF" w:rsidRDefault="003E4EF4">
      <w:pPr>
        <w:numPr>
          <w:ilvl w:val="2"/>
          <w:numId w:val="168"/>
        </w:numPr>
        <w:contextualSpacing/>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In parallel to the designation of the legal representative, internal processes have to be put in place so that the data is provided within the deadline to the legal representative </w:t>
      </w:r>
    </w:p>
    <w:p w:rsidR="001B65FF" w:rsidRDefault="003E4EF4">
      <w:pPr>
        <w:numPr>
          <w:ilvl w:val="0"/>
          <w:numId w:val="159"/>
        </w:numPr>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Time per attempt per </w:t>
      </w:r>
      <w:r>
        <w:rPr>
          <w:rFonts w:ascii="Times New Roman" w:eastAsiaTheme="minorHAnsi" w:hAnsi="Times New Roman" w:cs="Times New Roman"/>
          <w:noProof/>
          <w:sz w:val="24"/>
          <w:szCs w:val="24"/>
        </w:rPr>
        <w:t>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this measure does not affect judicial cooperation times.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this measure does not affect judi</w:t>
      </w:r>
      <w:r>
        <w:rPr>
          <w:rFonts w:ascii="Times New Roman" w:eastAsiaTheme="minorHAnsi" w:hAnsi="Times New Roman" w:cs="Times New Roman"/>
          <w:noProof/>
          <w:sz w:val="24"/>
          <w:szCs w:val="24"/>
        </w:rPr>
        <w:t>cial cooperation times.</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 +</w:t>
      </w:r>
      <w:r>
        <w:rPr>
          <w:rFonts w:ascii="Times New Roman" w:eastAsiaTheme="minorHAnsi" w:hAnsi="Times New Roman" w:cs="Times New Roman"/>
          <w:b/>
          <w:noProof/>
          <w:sz w:val="24"/>
          <w:szCs w:val="24"/>
        </w:rPr>
        <w:t>10%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Time spent per request is expected to increase because additional duties are added (collection of statistics).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additional time required for judicial </w:t>
      </w:r>
      <w:r>
        <w:rPr>
          <w:rFonts w:ascii="Times New Roman" w:eastAsiaTheme="minorHAnsi" w:hAnsi="Times New Roman" w:cs="Times New Roman"/>
          <w:noProof/>
          <w:sz w:val="24"/>
          <w:szCs w:val="24"/>
        </w:rPr>
        <w:t>review, user notification and collecting statistics would be partially offset by the streamlining of procedures.</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There would be one procedure applicable to all service providers covered by the scope of the instrument.</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-5%</w:t>
      </w:r>
      <w:r>
        <w:rPr>
          <w:rFonts w:ascii="Times New Roman" w:eastAsiaTheme="minorHAnsi" w:hAnsi="Times New Roman" w:cs="Times New Roman"/>
          <w:noProof/>
          <w:sz w:val="24"/>
          <w:szCs w:val="24"/>
        </w:rPr>
        <w:t xml:space="preserve"> in relation to </w:t>
      </w:r>
      <w:r>
        <w:rPr>
          <w:rFonts w:ascii="Times New Roman" w:eastAsiaTheme="minorHAnsi" w:hAnsi="Times New Roman" w:cs="Times New Roman"/>
          <w:noProof/>
          <w:sz w:val="24"/>
          <w:szCs w:val="24"/>
        </w:rPr>
        <w:t>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Increased efficiency thanks to the harmonised legal framework, reducing efforts to assess the legitimacy of requests. Additional time may result from the use of the legal representative and the assessment of conflicting obligations.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However,</w:t>
      </w:r>
      <w:r>
        <w:rPr>
          <w:rFonts w:ascii="Times New Roman" w:eastAsiaTheme="minorHAnsi" w:hAnsi="Times New Roman" w:cs="Times New Roman"/>
          <w:noProof/>
          <w:sz w:val="24"/>
          <w:szCs w:val="24"/>
        </w:rPr>
        <w:t xml:space="preserve"> the additional time required for conflict of laws and legal representative would be offset by the increase in efficiency and legal certainty of having one legal framework and mandatory measures.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Where service providers use a third-party legal representat</w:t>
      </w:r>
      <w:r>
        <w:rPr>
          <w:rFonts w:ascii="Times New Roman" w:eastAsiaTheme="minorHAnsi" w:hAnsi="Times New Roman" w:cs="Times New Roman"/>
          <w:noProof/>
          <w:sz w:val="24"/>
          <w:szCs w:val="24"/>
        </w:rPr>
        <w:t>ive, they may incur ongoing costs to maintain the representative relationship.</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main gains are likely to occur in service providers' relationship with countries currently issuing a lower number of requests than with countries issuing a higher number of </w:t>
      </w:r>
      <w:r>
        <w:rPr>
          <w:rFonts w:ascii="Times New Roman" w:eastAsiaTheme="minorHAnsi" w:hAnsi="Times New Roman" w:cs="Times New Roman"/>
          <w:noProof/>
          <w:sz w:val="24"/>
          <w:szCs w:val="24"/>
        </w:rPr>
        <w:t>requests and which already have more efficient procedures in place.</w:t>
      </w:r>
    </w:p>
    <w:p w:rsidR="001B65FF" w:rsidRDefault="001B65FF">
      <w:pPr>
        <w:ind w:left="1800"/>
        <w:contextualSpacing/>
        <w:jc w:val="both"/>
        <w:rPr>
          <w:rFonts w:ascii="Times New Roman" w:eastAsiaTheme="minorHAnsi" w:hAnsi="Times New Roman" w:cs="Times New Roman"/>
          <w:noProof/>
          <w:sz w:val="24"/>
          <w:szCs w:val="24"/>
        </w:rPr>
      </w:pP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impact since this measure does not affect direct access times. </w:t>
      </w:r>
    </w:p>
    <w:p w:rsidR="001B65FF" w:rsidRDefault="001B65FF">
      <w:pPr>
        <w:ind w:left="360"/>
        <w:contextualSpacing/>
        <w:jc w:val="both"/>
        <w:rPr>
          <w:rFonts w:ascii="Times New Roman" w:eastAsiaTheme="minorHAnsi" w:hAnsi="Times New Roman" w:cs="Times New Roman"/>
          <w:noProof/>
          <w:sz w:val="24"/>
          <w:szCs w:val="24"/>
        </w:rPr>
      </w:pPr>
    </w:p>
    <w:p w:rsidR="001B65FF" w:rsidRDefault="003E4EF4">
      <w:pPr>
        <w:numPr>
          <w:ilvl w:val="0"/>
          <w:numId w:val="159"/>
        </w:numPr>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number of attempts per 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w:t>
      </w:r>
      <w:r>
        <w:rPr>
          <w:rFonts w:ascii="Times New Roman" w:eastAsiaTheme="minorHAnsi" w:hAnsi="Times New Roman" w:cs="Times New Roman"/>
          <w:noProof/>
          <w:sz w:val="24"/>
          <w:szCs w:val="24"/>
        </w:rPr>
        <w:t>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 -40</w:t>
      </w:r>
      <w:r>
        <w:rPr>
          <w:rFonts w:ascii="Times New Roman" w:eastAsiaTheme="minorHAnsi" w:hAnsi="Times New Roman" w:cs="Times New Roman"/>
          <w:b/>
          <w:noProof/>
          <w:sz w:val="24"/>
          <w:szCs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 significant number of the judicial cooperation requests in the EU would transfer to EPO. Less change for data held by US service providers: For US requests, most of the content requests would </w:t>
      </w:r>
      <w:r>
        <w:rPr>
          <w:rFonts w:ascii="Times New Roman" w:eastAsiaTheme="minorHAnsi" w:hAnsi="Times New Roman" w:cs="Times New Roman"/>
          <w:noProof/>
          <w:sz w:val="24"/>
          <w:szCs w:val="24"/>
        </w:rPr>
        <w:t xml:space="preserve">be subject to conflicts of law until there is an international agreement, which means this type of evidence would remain under judicial cooperation channels.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For non-content data held by US providers, direct cooperation is already possible even if not com</w:t>
      </w:r>
      <w:r>
        <w:rPr>
          <w:rFonts w:ascii="Times New Roman" w:eastAsiaTheme="minorHAnsi" w:hAnsi="Times New Roman" w:cs="Times New Roman"/>
          <w:noProof/>
          <w:sz w:val="24"/>
          <w:szCs w:val="24"/>
        </w:rPr>
        <w:t>prehensively regulated, reliable or legally certain.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Service providers: -40</w:t>
      </w:r>
      <w:r>
        <w:rPr>
          <w:rFonts w:ascii="Times New Roman" w:eastAsiaTheme="minorHAnsi" w:hAnsi="Times New Roman" w:cs="Times New Roman"/>
          <w:b/>
          <w:noProof/>
          <w:sz w:val="24"/>
          <w:szCs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Idem public authorities.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 change is in relation with the number of attempts in the baseline.</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 +10</w:t>
      </w:r>
      <w:r>
        <w:rPr>
          <w:rFonts w:ascii="Times New Roman" w:eastAsiaTheme="minorHAnsi" w:hAnsi="Times New Roman" w:cs="Times New Roman"/>
          <w:b/>
          <w:noProof/>
          <w:sz w:val="24"/>
          <w:szCs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43" w:hanging="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Some of the judicial cooperation requests would be made through direct cooperation – see above – in particular within the EU.</w:t>
      </w:r>
    </w:p>
    <w:p w:rsidR="001B65FF" w:rsidRDefault="003E4EF4">
      <w:pPr>
        <w:numPr>
          <w:ilvl w:val="3"/>
          <w:numId w:val="161"/>
        </w:numPr>
        <w:ind w:left="1843" w:hanging="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In addition, authorities might now make some requests through direct cooperation that they previousl</w:t>
      </w:r>
      <w:r>
        <w:rPr>
          <w:rFonts w:ascii="Times New Roman" w:eastAsiaTheme="minorHAnsi" w:hAnsi="Times New Roman" w:cs="Times New Roman"/>
          <w:noProof/>
          <w:sz w:val="24"/>
          <w:szCs w:val="24"/>
        </w:rPr>
        <w:t>y did not make through judicial cooperation, given the administrative burden.</w:t>
      </w:r>
    </w:p>
    <w:p w:rsidR="001B65FF" w:rsidRDefault="003E4EF4">
      <w:pPr>
        <w:numPr>
          <w:ilvl w:val="3"/>
          <w:numId w:val="161"/>
        </w:numPr>
        <w:ind w:left="1843" w:hanging="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Because the volume of direct cooperation requests is already much more important than the volume of judicial cooperation requests, the percentage growth is much lower than for ju</w:t>
      </w:r>
      <w:r>
        <w:rPr>
          <w:rFonts w:ascii="Times New Roman" w:eastAsiaTheme="minorHAnsi" w:hAnsi="Times New Roman" w:cs="Times New Roman"/>
          <w:noProof/>
          <w:sz w:val="24"/>
          <w:szCs w:val="24"/>
        </w:rPr>
        <w:t>dicial cooperation.</w:t>
      </w:r>
    </w:p>
    <w:p w:rsidR="001B65FF" w:rsidRDefault="003E4EF4">
      <w:pPr>
        <w:numPr>
          <w:ilvl w:val="3"/>
          <w:numId w:val="161"/>
        </w:numPr>
        <w:ind w:left="1843" w:hanging="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comparable shift is expected with the US as the majority of requests already goes through direct cooperation. While the overall volume would not rise significantly in that context, the quality of requests would change as the requests</w:t>
      </w:r>
      <w:r>
        <w:rPr>
          <w:rFonts w:ascii="Times New Roman" w:eastAsiaTheme="minorHAnsi" w:hAnsi="Times New Roman" w:cs="Times New Roman"/>
          <w:noProof/>
          <w:sz w:val="24"/>
          <w:szCs w:val="24"/>
        </w:rPr>
        <w:t xml:space="preserve"> move from voluntary to obligatory. Additional providers who currently do not participate in voluntary cooperation would be added.</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+10%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Idem public authorities.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 change is in relation with the number of</w:t>
      </w:r>
      <w:r>
        <w:rPr>
          <w:rFonts w:ascii="Times New Roman" w:eastAsiaTheme="minorHAnsi" w:hAnsi="Times New Roman" w:cs="Times New Roman"/>
          <w:noProof/>
          <w:sz w:val="24"/>
          <w:szCs w:val="24"/>
        </w:rPr>
        <w:t xml:space="preserve"> attempts in the baseline.</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-5%</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spacing w:after="0"/>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Relatively small decrease in the number of direct access attempts as direct cooperation becomes more effective and some of the attempts shift back to direct coop</w:t>
      </w:r>
      <w:r>
        <w:rPr>
          <w:rFonts w:ascii="Times New Roman" w:eastAsiaTheme="minorHAnsi" w:hAnsi="Times New Roman" w:cs="Times New Roman"/>
          <w:noProof/>
          <w:sz w:val="24"/>
          <w:szCs w:val="24"/>
        </w:rPr>
        <w:t>eration.</w:t>
      </w:r>
    </w:p>
    <w:p w:rsidR="001B65FF" w:rsidRDefault="001B65FF">
      <w:pPr>
        <w:spacing w:after="0"/>
        <w:jc w:val="both"/>
        <w:rPr>
          <w:rFonts w:ascii="Times New Roman" w:eastAsiaTheme="minorHAnsi" w:hAnsi="Times New Roman" w:cs="Times New Roman"/>
          <w:noProof/>
          <w:sz w:val="24"/>
          <w:szCs w:val="24"/>
        </w:rPr>
      </w:pPr>
    </w:p>
    <w:p w:rsidR="001B65FF" w:rsidRDefault="003E4EF4">
      <w:pPr>
        <w:spacing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table below summarises the above modifiers for this measure:</w:t>
      </w:r>
    </w:p>
    <w:p w:rsidR="001B65FF" w:rsidRDefault="001B65FF">
      <w:pPr>
        <w:spacing w:after="0"/>
        <w:jc w:val="both"/>
        <w:rPr>
          <w:rFonts w:ascii="Times New Roman" w:eastAsiaTheme="minorHAnsi" w:hAnsi="Times New Roman" w:cs="Times New Roman"/>
          <w:noProof/>
          <w:sz w:val="24"/>
          <w:szCs w:val="24"/>
        </w:rPr>
      </w:pPr>
    </w:p>
    <w:p w:rsidR="001B65FF" w:rsidRDefault="003E4EF4">
      <w:pPr>
        <w:spacing w:after="0"/>
        <w:jc w:val="both"/>
        <w:rPr>
          <w:rFonts w:ascii="Times New Roman" w:eastAsiaTheme="minorHAnsi" w:hAnsi="Times New Roman" w:cs="Times New Roman"/>
          <w:noProof/>
          <w:sz w:val="24"/>
          <w:szCs w:val="24"/>
        </w:rPr>
      </w:pPr>
      <w:r>
        <w:rPr>
          <w:noProof/>
          <w:lang w:eastAsia="en-GB"/>
        </w:rPr>
        <w:drawing>
          <wp:inline distT="0" distB="0" distL="0" distR="0" wp14:anchorId="6FC2E6EB" wp14:editId="2321B4A4">
            <wp:extent cx="5472430" cy="872047"/>
            <wp:effectExtent l="0" t="0" r="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72430" cy="872047"/>
                    </a:xfrm>
                    <a:prstGeom prst="rect">
                      <a:avLst/>
                    </a:prstGeom>
                    <a:noFill/>
                    <a:ln>
                      <a:noFill/>
                    </a:ln>
                  </pic:spPr>
                </pic:pic>
              </a:graphicData>
            </a:graphic>
          </wp:inline>
        </w:drawing>
      </w:r>
    </w:p>
    <w:p w:rsidR="001B65FF" w:rsidRDefault="001B65FF">
      <w:pPr>
        <w:spacing w:after="0"/>
        <w:ind w:left="360"/>
        <w:jc w:val="both"/>
        <w:rPr>
          <w:rFonts w:ascii="Times New Roman" w:eastAsiaTheme="minorHAnsi" w:hAnsi="Times New Roman" w:cs="Times New Roman"/>
          <w:noProof/>
          <w:sz w:val="24"/>
          <w:szCs w:val="24"/>
        </w:rPr>
      </w:pPr>
    </w:p>
    <w:p w:rsidR="001B65FF" w:rsidRDefault="003E4EF4">
      <w:pPr>
        <w:numPr>
          <w:ilvl w:val="0"/>
          <w:numId w:val="159"/>
        </w:numPr>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time.</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was automatically calculated using the above assumptions following the same reasoning as in the baseline.</w:t>
      </w:r>
    </w:p>
    <w:p w:rsidR="001B65FF" w:rsidRDefault="003E4EF4">
      <w:pPr>
        <w:numPr>
          <w:ilvl w:val="0"/>
          <w:numId w:val="159"/>
        </w:numPr>
        <w:ind w:left="36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continuous costs.</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It was automatically calculated </w:t>
      </w:r>
      <w:r>
        <w:rPr>
          <w:rFonts w:ascii="Times New Roman" w:eastAsiaTheme="minorHAnsi" w:hAnsi="Times New Roman" w:cs="Times New Roman"/>
          <w:noProof/>
          <w:sz w:val="24"/>
          <w:szCs w:val="24"/>
        </w:rPr>
        <w:t>using the above assumptions following the same reasoning as in the baseline.</w:t>
      </w:r>
    </w:p>
    <w:p w:rsidR="001B65FF" w:rsidRDefault="003E4EF4">
      <w:p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table below summarises the total continuous costs per year for this measure:</w:t>
      </w:r>
    </w:p>
    <w:p w:rsidR="001B65FF" w:rsidRDefault="001B65FF">
      <w:pPr>
        <w:contextualSpacing/>
        <w:jc w:val="both"/>
        <w:rPr>
          <w:rFonts w:ascii="Times New Roman" w:eastAsiaTheme="minorHAnsi" w:hAnsi="Times New Roman" w:cs="Times New Roman"/>
          <w:noProof/>
          <w:sz w:val="24"/>
          <w:szCs w:val="24"/>
        </w:rPr>
      </w:pPr>
    </w:p>
    <w:p w:rsidR="001B65FF" w:rsidRDefault="003E4EF4">
      <w:pPr>
        <w:contextualSpacing/>
        <w:jc w:val="both"/>
        <w:rPr>
          <w:rFonts w:ascii="Times New Roman" w:eastAsiaTheme="minorHAnsi" w:hAnsi="Times New Roman" w:cs="Times New Roman"/>
          <w:noProof/>
          <w:sz w:val="24"/>
          <w:szCs w:val="24"/>
        </w:rPr>
      </w:pPr>
      <w:r>
        <w:rPr>
          <w:noProof/>
          <w:lang w:eastAsia="en-GB"/>
        </w:rPr>
        <w:drawing>
          <wp:inline distT="0" distB="0" distL="0" distR="0" wp14:anchorId="5F1BC760" wp14:editId="47BC98DF">
            <wp:extent cx="5472430" cy="1006419"/>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72430" cy="1006419"/>
                    </a:xfrm>
                    <a:prstGeom prst="rect">
                      <a:avLst/>
                    </a:prstGeom>
                    <a:noFill/>
                    <a:ln>
                      <a:noFill/>
                    </a:ln>
                  </pic:spPr>
                </pic:pic>
              </a:graphicData>
            </a:graphic>
          </wp:inline>
        </w:drawing>
      </w:r>
    </w:p>
    <w:p w:rsidR="001B65FF" w:rsidRDefault="001B65FF">
      <w:pPr>
        <w:jc w:val="both"/>
        <w:rPr>
          <w:rFonts w:ascii="Times New Roman" w:eastAsiaTheme="minorHAnsi" w:hAnsi="Times New Roman" w:cs="Times New Roman"/>
          <w:noProof/>
          <w:sz w:val="24"/>
          <w:szCs w:val="24"/>
          <w:u w:val="single"/>
        </w:rPr>
      </w:pPr>
    </w:p>
    <w:p w:rsidR="001B65FF" w:rsidRDefault="003E4EF4">
      <w:pPr>
        <w:jc w:val="both"/>
        <w:rPr>
          <w:rFonts w:ascii="Times New Roman" w:eastAsiaTheme="minorHAnsi" w:hAnsi="Times New Roman" w:cs="Times New Roman"/>
          <w:noProof/>
          <w:sz w:val="24"/>
          <w:szCs w:val="24"/>
          <w:u w:val="single"/>
        </w:rPr>
      </w:pPr>
      <w:r>
        <w:rPr>
          <w:rFonts w:ascii="Times New Roman" w:eastAsiaTheme="minorHAnsi" w:hAnsi="Times New Roman" w:cs="Times New Roman"/>
          <w:noProof/>
          <w:sz w:val="24"/>
          <w:szCs w:val="24"/>
          <w:u w:val="single"/>
        </w:rPr>
        <w:t>Measure 6: access to data without individualised review</w:t>
      </w:r>
    </w:p>
    <w:p w:rsidR="001B65FF" w:rsidRDefault="003E4EF4">
      <w:pPr>
        <w:numPr>
          <w:ilvl w:val="0"/>
          <w:numId w:val="169"/>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One-off costs.</w:t>
      </w:r>
    </w:p>
    <w:p w:rsidR="001B65FF" w:rsidRDefault="003E4EF4">
      <w:pPr>
        <w:numPr>
          <w:ilvl w:val="0"/>
          <w:numId w:val="168"/>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w:t>
      </w:r>
    </w:p>
    <w:p w:rsidR="001B65FF" w:rsidRDefault="003E4EF4">
      <w:pPr>
        <w:numPr>
          <w:ilvl w:val="1"/>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Tra</w:t>
      </w:r>
      <w:r>
        <w:rPr>
          <w:rFonts w:ascii="Times New Roman" w:eastAsiaTheme="minorHAnsi" w:hAnsi="Times New Roman" w:cs="Times New Roman"/>
          <w:noProof/>
          <w:sz w:val="24"/>
          <w:szCs w:val="24"/>
        </w:rPr>
        <w:t>nspose EU legislation:</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100 working days x 27 Member States: time of 100 working days based on a previous Commission study</w:t>
      </w:r>
      <w:r>
        <w:rPr>
          <w:rFonts w:ascii="Times New Roman" w:eastAsiaTheme="minorHAnsi" w:hAnsi="Times New Roman" w:cs="Times New Roman"/>
          <w:noProof/>
          <w:sz w:val="24"/>
          <w:szCs w:val="24"/>
          <w:vertAlign w:val="superscript"/>
        </w:rPr>
        <w:footnoteReference w:id="188"/>
      </w:r>
      <w:r>
        <w:rPr>
          <w:rFonts w:ascii="Times New Roman" w:eastAsiaTheme="minorHAnsi" w:hAnsi="Times New Roman" w:cs="Times New Roman"/>
          <w:noProof/>
          <w:sz w:val="24"/>
          <w:szCs w:val="24"/>
        </w:rPr>
        <w:t xml:space="preserve">. Assumes all Member States would take part, except DK. </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Assumes that the instrument would be a directive. If the instrument were a re</w:t>
      </w:r>
      <w:r>
        <w:rPr>
          <w:rFonts w:ascii="Times New Roman" w:eastAsiaTheme="minorHAnsi" w:hAnsi="Times New Roman" w:cs="Times New Roman"/>
          <w:noProof/>
          <w:sz w:val="24"/>
          <w:szCs w:val="24"/>
        </w:rPr>
        <w:t xml:space="preserve">gulation it would not require transposition. </w:t>
      </w:r>
    </w:p>
    <w:p w:rsidR="001B65FF" w:rsidRDefault="003E4EF4">
      <w:pPr>
        <w:numPr>
          <w:ilvl w:val="0"/>
          <w:numId w:val="169"/>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Time per attempt per 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this measure does not affect judicial cooperation times.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this measure does not affect judicial cooperation times.</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impact since this measure does not affect the direct cooperation times from the public authorities perspective. </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impact on time it takes to process direct cooperation requests. </w:t>
      </w:r>
    </w:p>
    <w:p w:rsidR="001B65FF" w:rsidRDefault="001B65FF">
      <w:pPr>
        <w:ind w:left="1800"/>
        <w:contextualSpacing/>
        <w:jc w:val="both"/>
        <w:rPr>
          <w:rFonts w:ascii="Times New Roman" w:eastAsiaTheme="minorHAnsi" w:hAnsi="Times New Roman" w:cs="Times New Roman"/>
          <w:noProof/>
          <w:sz w:val="24"/>
          <w:szCs w:val="24"/>
        </w:rPr>
      </w:pP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w:t>
      </w:r>
      <w:r>
        <w:rPr>
          <w:rFonts w:ascii="Times New Roman" w:eastAsiaTheme="minorHAnsi" w:hAnsi="Times New Roman" w:cs="Times New Roman"/>
          <w:noProof/>
          <w:sz w:val="24"/>
          <w:szCs w:val="24"/>
        </w:rPr>
        <w:t xml:space="preserve">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impact since this measure does not affect direct access times. </w:t>
      </w:r>
    </w:p>
    <w:p w:rsidR="001B65FF" w:rsidRDefault="001B65FF">
      <w:pPr>
        <w:ind w:left="360"/>
        <w:contextualSpacing/>
        <w:jc w:val="both"/>
        <w:rPr>
          <w:rFonts w:ascii="Times New Roman" w:eastAsiaTheme="minorHAnsi" w:hAnsi="Times New Roman" w:cs="Times New Roman"/>
          <w:noProof/>
          <w:sz w:val="24"/>
          <w:szCs w:val="24"/>
        </w:rPr>
      </w:pPr>
    </w:p>
    <w:p w:rsidR="001B65FF" w:rsidRDefault="003E4EF4">
      <w:pPr>
        <w:numPr>
          <w:ilvl w:val="0"/>
          <w:numId w:val="169"/>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number of attempts per 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-50</w:t>
      </w:r>
      <w:r>
        <w:rPr>
          <w:rFonts w:ascii="Times New Roman" w:eastAsiaTheme="minorHAnsi" w:hAnsi="Times New Roman"/>
          <w:b/>
          <w:noProof/>
          <w:sz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Transfer of requests from j</w:t>
      </w:r>
      <w:r>
        <w:rPr>
          <w:rFonts w:ascii="Times New Roman" w:eastAsiaTheme="minorHAnsi" w:hAnsi="Times New Roman" w:cs="Times New Roman"/>
          <w:noProof/>
          <w:sz w:val="24"/>
          <w:szCs w:val="24"/>
        </w:rPr>
        <w:t xml:space="preserve">udicial cooperation to direct cooperation, since public authorities would be able to access directly the Whois databases instead of making individualised requests to service providers.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 complete transfer is to be expected as the assumed increase in the b</w:t>
      </w:r>
      <w:r>
        <w:rPr>
          <w:rFonts w:ascii="Times New Roman" w:eastAsiaTheme="minorHAnsi" w:hAnsi="Times New Roman" w:cs="Times New Roman"/>
          <w:noProof/>
          <w:sz w:val="24"/>
          <w:szCs w:val="24"/>
        </w:rPr>
        <w:t xml:space="preserve">aseline only reflects those requests that are made directly to the database today. No change is to be expected in requests that already are made through judicial cooperation today (e.g. privacy and proxy services). </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-50</w:t>
      </w:r>
      <w:r>
        <w:rPr>
          <w:rFonts w:ascii="Times New Roman" w:eastAsiaTheme="minorHAnsi" w:hAnsi="Times New Roman"/>
          <w:b/>
          <w:noProof/>
          <w:sz w:val="24"/>
        </w:rPr>
        <w:t>%</w:t>
      </w:r>
      <w:r>
        <w:rPr>
          <w:rFonts w:ascii="Times New Roman" w:eastAsiaTheme="minorHAnsi" w:hAnsi="Times New Roman" w:cs="Times New Roman"/>
          <w:noProof/>
          <w:sz w:val="24"/>
          <w:szCs w:val="24"/>
        </w:rPr>
        <w:t xml:space="preserve"> in relation to t</w:t>
      </w:r>
      <w:r>
        <w:rPr>
          <w:rFonts w:ascii="Times New Roman" w:eastAsiaTheme="minorHAnsi" w:hAnsi="Times New Roman" w:cs="Times New Roman"/>
          <w:noProof/>
          <w:sz w:val="24"/>
          <w:szCs w:val="24"/>
        </w:rPr>
        <w: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Idem public authorities.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 change is in relation with the number of attempts in the baseline.</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 0</w:t>
      </w:r>
      <w:r>
        <w:rPr>
          <w:rFonts w:ascii="Times New Roman" w:eastAsiaTheme="minorHAnsi" w:hAnsi="Times New Roman" w:cs="Times New Roman"/>
          <w:b/>
          <w:noProof/>
          <w:sz w:val="24"/>
          <w:szCs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43" w:hanging="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change is to be expected as there would be no need to resort to </w:t>
      </w:r>
      <w:r>
        <w:rPr>
          <w:rFonts w:ascii="Times New Roman" w:eastAsiaTheme="minorHAnsi" w:hAnsi="Times New Roman" w:cs="Times New Roman"/>
          <w:noProof/>
          <w:sz w:val="24"/>
          <w:szCs w:val="24"/>
        </w:rPr>
        <w:t>direct requests if access to the database system can be continued.</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Idem public authorities. </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spacing w:after="0"/>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impact since this measure does not affect </w:t>
      </w:r>
      <w:r>
        <w:rPr>
          <w:rFonts w:ascii="Times New Roman" w:eastAsiaTheme="minorHAnsi" w:hAnsi="Times New Roman" w:cs="Times New Roman"/>
          <w:noProof/>
          <w:sz w:val="24"/>
          <w:szCs w:val="24"/>
        </w:rPr>
        <w:t>the number of direct access attempts.</w:t>
      </w:r>
    </w:p>
    <w:p w:rsidR="001B65FF" w:rsidRDefault="001B65FF">
      <w:pPr>
        <w:spacing w:after="0"/>
        <w:jc w:val="both"/>
        <w:rPr>
          <w:rFonts w:ascii="Times New Roman" w:eastAsiaTheme="minorHAnsi" w:hAnsi="Times New Roman" w:cs="Times New Roman"/>
          <w:noProof/>
          <w:sz w:val="24"/>
          <w:szCs w:val="24"/>
        </w:rPr>
      </w:pPr>
    </w:p>
    <w:p w:rsidR="001B65FF" w:rsidRDefault="003E4EF4">
      <w:pPr>
        <w:spacing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table below summarises the above modifiers for this measure:</w:t>
      </w:r>
    </w:p>
    <w:p w:rsidR="001B65FF" w:rsidRDefault="001B65FF">
      <w:pPr>
        <w:spacing w:after="0"/>
        <w:jc w:val="both"/>
        <w:rPr>
          <w:rFonts w:ascii="Times New Roman" w:eastAsiaTheme="minorHAnsi" w:hAnsi="Times New Roman" w:cs="Times New Roman"/>
          <w:noProof/>
          <w:sz w:val="24"/>
          <w:szCs w:val="24"/>
        </w:rPr>
      </w:pPr>
    </w:p>
    <w:p w:rsidR="001B65FF" w:rsidRDefault="003E4EF4">
      <w:pPr>
        <w:spacing w:after="0"/>
        <w:jc w:val="both"/>
        <w:rPr>
          <w:rFonts w:ascii="Times New Roman" w:eastAsiaTheme="minorHAnsi" w:hAnsi="Times New Roman" w:cs="Times New Roman"/>
          <w:noProof/>
          <w:sz w:val="24"/>
          <w:szCs w:val="24"/>
        </w:rPr>
      </w:pPr>
      <w:r>
        <w:rPr>
          <w:noProof/>
          <w:lang w:eastAsia="en-GB"/>
        </w:rPr>
        <w:drawing>
          <wp:inline distT="0" distB="0" distL="0" distR="0" wp14:anchorId="29418B8A" wp14:editId="5292EF85">
            <wp:extent cx="5472430" cy="872047"/>
            <wp:effectExtent l="0" t="0" r="0"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72430" cy="872047"/>
                    </a:xfrm>
                    <a:prstGeom prst="rect">
                      <a:avLst/>
                    </a:prstGeom>
                    <a:noFill/>
                    <a:ln>
                      <a:noFill/>
                    </a:ln>
                  </pic:spPr>
                </pic:pic>
              </a:graphicData>
            </a:graphic>
          </wp:inline>
        </w:drawing>
      </w:r>
    </w:p>
    <w:p w:rsidR="001B65FF" w:rsidRDefault="001B65FF">
      <w:pPr>
        <w:spacing w:after="0"/>
        <w:jc w:val="both"/>
        <w:rPr>
          <w:rFonts w:ascii="Times New Roman" w:eastAsiaTheme="minorHAnsi" w:hAnsi="Times New Roman" w:cs="Times New Roman"/>
          <w:noProof/>
          <w:sz w:val="24"/>
          <w:szCs w:val="24"/>
        </w:rPr>
      </w:pPr>
    </w:p>
    <w:p w:rsidR="001B65FF" w:rsidRDefault="003E4EF4">
      <w:pPr>
        <w:numPr>
          <w:ilvl w:val="0"/>
          <w:numId w:val="169"/>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time.</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was automatically calculated using the above assumptions following the same reasoning as in the baseline.</w:t>
      </w:r>
    </w:p>
    <w:p w:rsidR="001B65FF" w:rsidRDefault="003E4EF4">
      <w:pPr>
        <w:numPr>
          <w:ilvl w:val="0"/>
          <w:numId w:val="169"/>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continuous costs.</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It </w:t>
      </w:r>
      <w:r>
        <w:rPr>
          <w:rFonts w:ascii="Times New Roman" w:eastAsiaTheme="minorHAnsi" w:hAnsi="Times New Roman" w:cs="Times New Roman"/>
          <w:noProof/>
          <w:sz w:val="24"/>
          <w:szCs w:val="24"/>
        </w:rPr>
        <w:t>was automatically calculated using the above assumptions following the same reasoning as in the baseline.</w:t>
      </w:r>
    </w:p>
    <w:p w:rsidR="001B65FF" w:rsidRDefault="003E4EF4">
      <w:p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table below summarises the total continuous costs per year for this measure:</w:t>
      </w:r>
    </w:p>
    <w:p w:rsidR="001B65FF" w:rsidRDefault="001B65FF">
      <w:pPr>
        <w:contextualSpacing/>
        <w:jc w:val="both"/>
        <w:rPr>
          <w:rFonts w:ascii="Times New Roman" w:eastAsiaTheme="minorHAnsi" w:hAnsi="Times New Roman" w:cs="Times New Roman"/>
          <w:noProof/>
          <w:sz w:val="24"/>
          <w:szCs w:val="24"/>
        </w:rPr>
      </w:pPr>
    </w:p>
    <w:p w:rsidR="001B65FF" w:rsidRDefault="003E4EF4">
      <w:pPr>
        <w:contextualSpacing/>
        <w:jc w:val="both"/>
        <w:rPr>
          <w:rFonts w:ascii="Times New Roman" w:eastAsiaTheme="minorHAnsi" w:hAnsi="Times New Roman" w:cs="Times New Roman"/>
          <w:noProof/>
          <w:sz w:val="24"/>
          <w:szCs w:val="24"/>
        </w:rPr>
      </w:pPr>
      <w:r>
        <w:rPr>
          <w:noProof/>
          <w:lang w:eastAsia="en-GB"/>
        </w:rPr>
        <w:drawing>
          <wp:inline distT="0" distB="0" distL="0" distR="0" wp14:anchorId="69FB989B" wp14:editId="741A6399">
            <wp:extent cx="5472430" cy="1006419"/>
            <wp:effectExtent l="0" t="0" r="0" b="38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72430" cy="1006419"/>
                    </a:xfrm>
                    <a:prstGeom prst="rect">
                      <a:avLst/>
                    </a:prstGeom>
                    <a:noFill/>
                    <a:ln>
                      <a:noFill/>
                    </a:ln>
                  </pic:spPr>
                </pic:pic>
              </a:graphicData>
            </a:graphic>
          </wp:inline>
        </w:drawing>
      </w:r>
    </w:p>
    <w:p w:rsidR="001B65FF" w:rsidRDefault="001B65FF">
      <w:pPr>
        <w:jc w:val="both"/>
        <w:rPr>
          <w:rFonts w:ascii="Times New Roman" w:eastAsiaTheme="minorHAnsi" w:hAnsi="Times New Roman" w:cs="Times New Roman"/>
          <w:noProof/>
          <w:sz w:val="24"/>
          <w:szCs w:val="24"/>
        </w:rPr>
      </w:pPr>
    </w:p>
    <w:p w:rsidR="001B65FF" w:rsidRDefault="003E4EF4">
      <w:pPr>
        <w:jc w:val="both"/>
        <w:rPr>
          <w:rFonts w:ascii="Times New Roman" w:eastAsiaTheme="minorHAnsi" w:hAnsi="Times New Roman" w:cs="Times New Roman"/>
          <w:noProof/>
          <w:sz w:val="24"/>
          <w:szCs w:val="24"/>
          <w:u w:val="single"/>
        </w:rPr>
      </w:pPr>
      <w:r>
        <w:rPr>
          <w:rFonts w:ascii="Times New Roman" w:eastAsiaTheme="minorHAnsi" w:hAnsi="Times New Roman" w:cs="Times New Roman"/>
          <w:noProof/>
          <w:sz w:val="24"/>
          <w:szCs w:val="24"/>
          <w:u w:val="single"/>
        </w:rPr>
        <w:t>Measure 7: legal framework for direct access</w:t>
      </w:r>
    </w:p>
    <w:p w:rsidR="001B65FF" w:rsidRDefault="003E4EF4">
      <w:pPr>
        <w:numPr>
          <w:ilvl w:val="0"/>
          <w:numId w:val="170"/>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One-off costs.</w:t>
      </w:r>
    </w:p>
    <w:p w:rsidR="001B65FF" w:rsidRDefault="003E4EF4">
      <w:pPr>
        <w:numPr>
          <w:ilvl w:val="0"/>
          <w:numId w:val="168"/>
        </w:numPr>
        <w:spacing w:after="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w:t>
      </w:r>
    </w:p>
    <w:p w:rsidR="001B65FF" w:rsidRDefault="003E4EF4">
      <w:pPr>
        <w:numPr>
          <w:ilvl w:val="1"/>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Transpose EU legislation:</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100 working days x 27 Member States: time of 100 working days based on a previous Commission study</w:t>
      </w:r>
      <w:r>
        <w:rPr>
          <w:rFonts w:ascii="Times New Roman" w:eastAsiaTheme="minorHAnsi" w:hAnsi="Times New Roman" w:cs="Times New Roman"/>
          <w:noProof/>
          <w:sz w:val="24"/>
          <w:szCs w:val="24"/>
          <w:vertAlign w:val="superscript"/>
        </w:rPr>
        <w:footnoteReference w:id="189"/>
      </w:r>
      <w:r>
        <w:rPr>
          <w:rFonts w:ascii="Times New Roman" w:eastAsiaTheme="minorHAnsi" w:hAnsi="Times New Roman" w:cs="Times New Roman"/>
          <w:noProof/>
          <w:sz w:val="24"/>
          <w:szCs w:val="24"/>
        </w:rPr>
        <w:t xml:space="preserve">. Assumes all Member States would take part, except DK. </w:t>
      </w:r>
    </w:p>
    <w:p w:rsidR="001B65FF" w:rsidRDefault="003E4EF4">
      <w:pPr>
        <w:numPr>
          <w:ilvl w:val="2"/>
          <w:numId w:val="168"/>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Assumes that the instrument would be a directive. If t</w:t>
      </w:r>
      <w:r>
        <w:rPr>
          <w:rFonts w:ascii="Times New Roman" w:eastAsiaTheme="minorHAnsi" w:hAnsi="Times New Roman" w:cs="Times New Roman"/>
          <w:noProof/>
          <w:sz w:val="24"/>
          <w:szCs w:val="24"/>
        </w:rPr>
        <w:t xml:space="preserve">he instrument were a regulation it would not require transposition. </w:t>
      </w:r>
    </w:p>
    <w:p w:rsidR="001B65FF" w:rsidRDefault="003E4EF4">
      <w:pPr>
        <w:numPr>
          <w:ilvl w:val="0"/>
          <w:numId w:val="170"/>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Time per attempt per 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this measure does not affect judicial cooperation times.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Service pr</w:t>
      </w:r>
      <w:r>
        <w:rPr>
          <w:rFonts w:ascii="Times New Roman" w:eastAsiaTheme="minorHAnsi" w:hAnsi="Times New Roman" w:cs="Times New Roman"/>
          <w:noProof/>
          <w:sz w:val="24"/>
          <w:szCs w:val="24"/>
        </w:rPr>
        <w:t xml:space="preserve">oviders: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this measure does not affect judicial cooperation times.</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impact since this measure does not affect the direct cooperation times. </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0</w:t>
      </w:r>
      <w:r>
        <w:rPr>
          <w:rFonts w:ascii="Times New Roman" w:eastAsiaTheme="minorHAnsi" w:hAnsi="Times New Roman"/>
          <w:b/>
          <w:noProof/>
          <w:sz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No impact since this measure does not affect the direct cooperation times. </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+5%</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Additional time to ensure compliance with safeguards and statistics.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significant change in time expected as most Member States already have rules in place that would need to be slightly adapted, if at all.</w:t>
      </w:r>
    </w:p>
    <w:p w:rsidR="001B65FF" w:rsidRDefault="001B65FF">
      <w:pPr>
        <w:ind w:left="360"/>
        <w:contextualSpacing/>
        <w:jc w:val="both"/>
        <w:rPr>
          <w:rFonts w:ascii="Times New Roman" w:eastAsiaTheme="minorHAnsi" w:hAnsi="Times New Roman" w:cs="Times New Roman"/>
          <w:noProof/>
          <w:sz w:val="24"/>
          <w:szCs w:val="24"/>
        </w:rPr>
      </w:pPr>
    </w:p>
    <w:p w:rsidR="001B65FF" w:rsidRDefault="003E4EF4">
      <w:pPr>
        <w:numPr>
          <w:ilvl w:val="0"/>
          <w:numId w:val="170"/>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number of</w:t>
      </w:r>
      <w:r>
        <w:rPr>
          <w:rFonts w:ascii="Times New Roman" w:eastAsiaTheme="minorHAnsi" w:hAnsi="Times New Roman" w:cs="Times New Roman"/>
          <w:noProof/>
          <w:sz w:val="24"/>
          <w:szCs w:val="24"/>
        </w:rPr>
        <w:t xml:space="preserve"> attempts per channel.</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Judicial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Public authorities: -3</w:t>
      </w:r>
      <w:r>
        <w:rPr>
          <w:rFonts w:ascii="Times New Roman" w:eastAsiaTheme="minorHAnsi" w:hAnsi="Times New Roman" w:cs="Times New Roman"/>
          <w:b/>
          <w:noProof/>
          <w:sz w:val="24"/>
          <w:szCs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Transfer of requests from judicial cooperation to direct access from Member States that do not have direct access today and need to rely on judicial cooperati</w:t>
      </w:r>
      <w:r>
        <w:rPr>
          <w:rFonts w:ascii="Times New Roman" w:eastAsiaTheme="minorHAnsi" w:hAnsi="Times New Roman" w:cs="Times New Roman"/>
          <w:noProof/>
          <w:sz w:val="24"/>
          <w:szCs w:val="24"/>
        </w:rPr>
        <w:t xml:space="preserve">on (possibly unsuccessfully). </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Service providers: -3</w:t>
      </w:r>
      <w:r>
        <w:rPr>
          <w:rFonts w:ascii="Times New Roman" w:eastAsiaTheme="minorHAnsi" w:hAnsi="Times New Roman" w:cs="Times New Roman"/>
          <w:b/>
          <w:noProof/>
          <w:sz w:val="24"/>
          <w:szCs w:val="24"/>
        </w:rPr>
        <w:t>%</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Idem public authorities. </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 change is in relation with the number of attempts in the baseline.</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cooperation:</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43" w:hanging="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w:t>
      </w:r>
      <w:r>
        <w:rPr>
          <w:rFonts w:ascii="Times New Roman" w:eastAsiaTheme="minorHAnsi" w:hAnsi="Times New Roman" w:cs="Times New Roman"/>
          <w:noProof/>
          <w:sz w:val="24"/>
          <w:szCs w:val="24"/>
        </w:rPr>
        <w:t xml:space="preserve"> impact since this measure does not affect the number of direct cooperation attempts.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Service providers: </w:t>
      </w:r>
      <w:r>
        <w:rPr>
          <w:rFonts w:ascii="Times New Roman" w:eastAsiaTheme="minorHAnsi" w:hAnsi="Times New Roman" w:cs="Times New Roman"/>
          <w:b/>
          <w:noProof/>
          <w:sz w:val="24"/>
          <w:szCs w:val="24"/>
        </w:rPr>
        <w:t>0%</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43" w:hanging="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No impact since this measure does not affect the number of direct cooperation attempts.</w:t>
      </w:r>
    </w:p>
    <w:p w:rsidR="001B65FF" w:rsidRDefault="003E4EF4">
      <w:pPr>
        <w:numPr>
          <w:ilvl w:val="0"/>
          <w:numId w:val="161"/>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Direct access:</w:t>
      </w:r>
    </w:p>
    <w:p w:rsidR="001B65FF" w:rsidRDefault="003E4EF4">
      <w:pPr>
        <w:numPr>
          <w:ilvl w:val="2"/>
          <w:numId w:val="161"/>
        </w:numPr>
        <w:ind w:left="108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Public authorities: </w:t>
      </w:r>
      <w:r>
        <w:rPr>
          <w:rFonts w:ascii="Times New Roman" w:eastAsiaTheme="minorHAnsi" w:hAnsi="Times New Roman" w:cs="Times New Roman"/>
          <w:b/>
          <w:noProof/>
          <w:sz w:val="24"/>
          <w:szCs w:val="24"/>
        </w:rPr>
        <w:t>+15%</w:t>
      </w:r>
      <w:r>
        <w:rPr>
          <w:rFonts w:ascii="Times New Roman" w:eastAsiaTheme="minorHAnsi" w:hAnsi="Times New Roman" w:cs="Times New Roman"/>
          <w:noProof/>
          <w:sz w:val="24"/>
          <w:szCs w:val="24"/>
        </w:rPr>
        <w:t xml:space="preserve"> in relation to the baseline.</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Use of direct access subject to conditions and safeguards in cases which today are not clearly addressed by the present-day legal framework.</w:t>
      </w:r>
    </w:p>
    <w:p w:rsidR="001B65FF" w:rsidRDefault="003E4EF4">
      <w:pPr>
        <w:numPr>
          <w:ilvl w:val="3"/>
          <w:numId w:val="161"/>
        </w:numPr>
        <w:ind w:left="180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Transfer of requests from judicial cooperation to direct acce</w:t>
      </w:r>
      <w:r>
        <w:rPr>
          <w:rFonts w:ascii="Times New Roman" w:eastAsiaTheme="minorHAnsi" w:hAnsi="Times New Roman" w:cs="Times New Roman"/>
          <w:noProof/>
          <w:sz w:val="24"/>
          <w:szCs w:val="24"/>
        </w:rPr>
        <w:t>ss from Member States that do not have direct access today and need to rely on judicial cooperation (possibly unsuccessfully).</w:t>
      </w:r>
    </w:p>
    <w:p w:rsidR="001B65FF" w:rsidRDefault="001B65FF">
      <w:pPr>
        <w:spacing w:after="0"/>
        <w:jc w:val="both"/>
        <w:rPr>
          <w:rFonts w:ascii="Times New Roman" w:eastAsiaTheme="minorHAnsi" w:hAnsi="Times New Roman" w:cs="Times New Roman"/>
          <w:noProof/>
          <w:sz w:val="24"/>
          <w:szCs w:val="24"/>
        </w:rPr>
      </w:pPr>
    </w:p>
    <w:p w:rsidR="001B65FF" w:rsidRDefault="003E4EF4">
      <w:pPr>
        <w:spacing w:after="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table below summarises the above modifiers for this measure:</w:t>
      </w:r>
    </w:p>
    <w:p w:rsidR="001B65FF" w:rsidRDefault="001B65FF">
      <w:pPr>
        <w:spacing w:after="0"/>
        <w:jc w:val="both"/>
        <w:rPr>
          <w:rFonts w:ascii="Times New Roman" w:eastAsiaTheme="minorHAnsi" w:hAnsi="Times New Roman" w:cs="Times New Roman"/>
          <w:noProof/>
          <w:sz w:val="24"/>
          <w:szCs w:val="24"/>
        </w:rPr>
      </w:pPr>
    </w:p>
    <w:p w:rsidR="001B65FF" w:rsidRDefault="003E4EF4">
      <w:pPr>
        <w:spacing w:after="0"/>
        <w:jc w:val="both"/>
        <w:rPr>
          <w:rFonts w:ascii="Times New Roman" w:eastAsiaTheme="minorHAnsi" w:hAnsi="Times New Roman" w:cs="Times New Roman"/>
          <w:noProof/>
          <w:sz w:val="24"/>
          <w:szCs w:val="24"/>
        </w:rPr>
      </w:pPr>
      <w:r>
        <w:rPr>
          <w:noProof/>
          <w:lang w:eastAsia="en-GB"/>
        </w:rPr>
        <w:drawing>
          <wp:inline distT="0" distB="0" distL="0" distR="0" wp14:anchorId="336BD700" wp14:editId="4B23DC90">
            <wp:extent cx="5472430" cy="872047"/>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72430" cy="872047"/>
                    </a:xfrm>
                    <a:prstGeom prst="rect">
                      <a:avLst/>
                    </a:prstGeom>
                    <a:noFill/>
                    <a:ln>
                      <a:noFill/>
                    </a:ln>
                  </pic:spPr>
                </pic:pic>
              </a:graphicData>
            </a:graphic>
          </wp:inline>
        </w:drawing>
      </w:r>
    </w:p>
    <w:p w:rsidR="001B65FF" w:rsidRDefault="001B65FF">
      <w:pPr>
        <w:spacing w:after="0"/>
        <w:jc w:val="both"/>
        <w:rPr>
          <w:rFonts w:ascii="Times New Roman" w:eastAsiaTheme="minorHAnsi" w:hAnsi="Times New Roman" w:cs="Times New Roman"/>
          <w:noProof/>
          <w:sz w:val="24"/>
          <w:szCs w:val="24"/>
        </w:rPr>
      </w:pPr>
    </w:p>
    <w:p w:rsidR="001B65FF" w:rsidRDefault="003E4EF4">
      <w:pPr>
        <w:numPr>
          <w:ilvl w:val="0"/>
          <w:numId w:val="170"/>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time.</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was automatically calculated using the above</w:t>
      </w:r>
      <w:r>
        <w:rPr>
          <w:rFonts w:ascii="Times New Roman" w:eastAsiaTheme="minorHAnsi" w:hAnsi="Times New Roman" w:cs="Times New Roman"/>
          <w:noProof/>
          <w:sz w:val="24"/>
          <w:szCs w:val="24"/>
        </w:rPr>
        <w:t xml:space="preserve"> assumptions following the same reasoning as in the baseline.</w:t>
      </w:r>
    </w:p>
    <w:p w:rsidR="001B65FF" w:rsidRDefault="003E4EF4">
      <w:pPr>
        <w:numPr>
          <w:ilvl w:val="0"/>
          <w:numId w:val="170"/>
        </w:num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Total continuous costs.</w:t>
      </w:r>
    </w:p>
    <w:p w:rsidR="001B65FF" w:rsidRDefault="003E4EF4">
      <w:pPr>
        <w:ind w:left="36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It was automatically calculated using the above assumptions following the same reasoning as in the baseline.</w:t>
      </w:r>
    </w:p>
    <w:p w:rsidR="001B65FF" w:rsidRDefault="003E4EF4">
      <w:pPr>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table below summarises the total continuous costs per yea</w:t>
      </w:r>
      <w:r>
        <w:rPr>
          <w:rFonts w:ascii="Times New Roman" w:eastAsiaTheme="minorHAnsi" w:hAnsi="Times New Roman" w:cs="Times New Roman"/>
          <w:noProof/>
          <w:sz w:val="24"/>
          <w:szCs w:val="24"/>
        </w:rPr>
        <w:t>r for this measure:</w:t>
      </w:r>
    </w:p>
    <w:p w:rsidR="001B65FF" w:rsidRDefault="001B65FF">
      <w:pPr>
        <w:contextualSpacing/>
        <w:jc w:val="both"/>
        <w:rPr>
          <w:rFonts w:ascii="Times New Roman" w:eastAsiaTheme="minorHAnsi" w:hAnsi="Times New Roman" w:cs="Times New Roman"/>
          <w:noProof/>
          <w:sz w:val="24"/>
          <w:szCs w:val="24"/>
        </w:rPr>
      </w:pPr>
    </w:p>
    <w:p w:rsidR="001B65FF" w:rsidRDefault="003E4EF4">
      <w:pPr>
        <w:contextualSpacing/>
        <w:jc w:val="both"/>
        <w:rPr>
          <w:rFonts w:ascii="Times New Roman" w:eastAsiaTheme="minorHAnsi" w:hAnsi="Times New Roman" w:cs="Times New Roman"/>
          <w:noProof/>
          <w:sz w:val="24"/>
          <w:szCs w:val="24"/>
        </w:rPr>
      </w:pPr>
      <w:r>
        <w:rPr>
          <w:noProof/>
          <w:lang w:eastAsia="en-GB"/>
        </w:rPr>
        <w:drawing>
          <wp:inline distT="0" distB="0" distL="0" distR="0" wp14:anchorId="39D157AE" wp14:editId="2F1D801C">
            <wp:extent cx="5472430" cy="1006419"/>
            <wp:effectExtent l="0" t="0" r="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72430" cy="1006419"/>
                    </a:xfrm>
                    <a:prstGeom prst="rect">
                      <a:avLst/>
                    </a:prstGeom>
                    <a:noFill/>
                    <a:ln>
                      <a:noFill/>
                    </a:ln>
                  </pic:spPr>
                </pic:pic>
              </a:graphicData>
            </a:graphic>
          </wp:inline>
        </w:drawing>
      </w:r>
    </w:p>
    <w:p w:rsidR="001B65FF" w:rsidRDefault="001B65FF">
      <w:pPr>
        <w:spacing w:after="0"/>
        <w:ind w:left="360"/>
        <w:jc w:val="both"/>
        <w:rPr>
          <w:rFonts w:ascii="Times New Roman" w:eastAsiaTheme="minorHAnsi" w:hAnsi="Times New Roman"/>
          <w:noProof/>
          <w:sz w:val="24"/>
        </w:rPr>
      </w:pPr>
    </w:p>
    <w:p w:rsidR="001B65FF" w:rsidRDefault="003E4EF4">
      <w:pPr>
        <w:keepNext/>
        <w:numPr>
          <w:ilvl w:val="0"/>
          <w:numId w:val="156"/>
        </w:numPr>
        <w:ind w:left="357" w:hanging="357"/>
        <w:contextualSpacing/>
        <w:jc w:val="both"/>
        <w:rPr>
          <w:rFonts w:ascii="Times New Roman" w:eastAsiaTheme="minorHAnsi" w:hAnsi="Times New Roman" w:cs="Times New Roman"/>
          <w:b/>
          <w:noProof/>
          <w:sz w:val="24"/>
          <w:szCs w:val="24"/>
          <w:lang w:val="en-US"/>
        </w:rPr>
      </w:pPr>
      <w:r>
        <w:rPr>
          <w:rFonts w:ascii="Times New Roman" w:eastAsiaTheme="minorHAnsi" w:hAnsi="Times New Roman" w:cs="Times New Roman"/>
          <w:b/>
          <w:noProof/>
          <w:sz w:val="24"/>
          <w:szCs w:val="24"/>
          <w:lang w:val="en-US"/>
        </w:rPr>
        <w:t>Limitations</w:t>
      </w:r>
    </w:p>
    <w:p w:rsidR="001B65FF" w:rsidRDefault="003E4EF4">
      <w:pPr>
        <w:numPr>
          <w:ilvl w:val="0"/>
          <w:numId w:val="118"/>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estimated cost of each </w:t>
      </w:r>
      <w:r>
        <w:rPr>
          <w:rFonts w:ascii="Times New Roman" w:hAnsi="Times New Roman" w:cs="Times New Roman"/>
          <w:b/>
          <w:noProof/>
          <w:sz w:val="24"/>
          <w:lang w:eastAsia="en-GB"/>
        </w:rPr>
        <w:t>policy option</w:t>
      </w:r>
      <w:r>
        <w:rPr>
          <w:rFonts w:ascii="Times New Roman" w:hAnsi="Times New Roman" w:cs="Times New Roman"/>
          <w:noProof/>
          <w:sz w:val="24"/>
          <w:lang w:eastAsia="en-GB"/>
        </w:rPr>
        <w:t xml:space="preserve"> was assumed to be the </w:t>
      </w:r>
      <w:r>
        <w:rPr>
          <w:rFonts w:ascii="Times New Roman" w:hAnsi="Times New Roman" w:cs="Times New Roman"/>
          <w:b/>
          <w:noProof/>
          <w:sz w:val="24"/>
          <w:lang w:eastAsia="en-GB"/>
        </w:rPr>
        <w:t xml:space="preserve">sum </w:t>
      </w:r>
      <w:r>
        <w:rPr>
          <w:rFonts w:ascii="Times New Roman" w:hAnsi="Times New Roman" w:cs="Times New Roman"/>
          <w:noProof/>
          <w:sz w:val="24"/>
          <w:lang w:eastAsia="en-GB"/>
        </w:rPr>
        <w:t xml:space="preserve">of the estimated costs of the </w:t>
      </w:r>
      <w:r>
        <w:rPr>
          <w:rFonts w:ascii="Times New Roman" w:hAnsi="Times New Roman" w:cs="Times New Roman"/>
          <w:b/>
          <w:noProof/>
          <w:sz w:val="24"/>
          <w:lang w:eastAsia="en-GB"/>
        </w:rPr>
        <w:t>policy measures</w:t>
      </w:r>
      <w:r>
        <w:rPr>
          <w:rFonts w:ascii="Times New Roman" w:hAnsi="Times New Roman" w:cs="Times New Roman"/>
          <w:noProof/>
          <w:sz w:val="24"/>
          <w:lang w:eastAsia="en-GB"/>
        </w:rPr>
        <w:t xml:space="preserve"> it is made of. This could lead to an </w:t>
      </w:r>
      <w:r>
        <w:rPr>
          <w:rFonts w:ascii="Times New Roman" w:hAnsi="Times New Roman" w:cs="Times New Roman"/>
          <w:b/>
          <w:noProof/>
          <w:sz w:val="24"/>
          <w:lang w:eastAsia="en-GB"/>
        </w:rPr>
        <w:t>overestimation</w:t>
      </w:r>
      <w:r>
        <w:rPr>
          <w:rFonts w:ascii="Times New Roman" w:hAnsi="Times New Roman" w:cs="Times New Roman"/>
          <w:noProof/>
          <w:sz w:val="24"/>
          <w:lang w:eastAsia="en-GB"/>
        </w:rPr>
        <w:t xml:space="preserve"> of the costs, since some economies can occur when developing/transposing legislation combining two or more legislative and/or non-legislative measures.</w:t>
      </w:r>
    </w:p>
    <w:p w:rsidR="001B65FF" w:rsidRDefault="003E4EF4">
      <w:pPr>
        <w:numPr>
          <w:ilvl w:val="0"/>
          <w:numId w:val="118"/>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estimates in the model consider the averages of </w:t>
      </w:r>
      <w:r>
        <w:rPr>
          <w:rFonts w:ascii="Times New Roman" w:hAnsi="Times New Roman" w:cs="Times New Roman"/>
          <w:b/>
          <w:noProof/>
          <w:sz w:val="24"/>
          <w:lang w:eastAsia="en-GB"/>
        </w:rPr>
        <w:t>content/non-content</w:t>
      </w:r>
      <w:r>
        <w:rPr>
          <w:rFonts w:ascii="Times New Roman" w:hAnsi="Times New Roman" w:cs="Times New Roman"/>
          <w:noProof/>
          <w:sz w:val="24"/>
          <w:lang w:eastAsia="en-GB"/>
        </w:rPr>
        <w:t xml:space="preserve"> requests and requests </w:t>
      </w:r>
      <w:r>
        <w:rPr>
          <w:rFonts w:ascii="Times New Roman" w:hAnsi="Times New Roman" w:cs="Times New Roman"/>
          <w:b/>
          <w:noProof/>
          <w:sz w:val="24"/>
          <w:lang w:eastAsia="en-GB"/>
        </w:rPr>
        <w:t>within th</w:t>
      </w:r>
      <w:r>
        <w:rPr>
          <w:rFonts w:ascii="Times New Roman" w:hAnsi="Times New Roman" w:cs="Times New Roman"/>
          <w:b/>
          <w:noProof/>
          <w:sz w:val="24"/>
          <w:lang w:eastAsia="en-GB"/>
        </w:rPr>
        <w:t>e EU and with non-EU countries,</w:t>
      </w:r>
      <w:r>
        <w:rPr>
          <w:rFonts w:ascii="Times New Roman" w:hAnsi="Times New Roman" w:cs="Times New Roman"/>
          <w:noProof/>
          <w:sz w:val="24"/>
          <w:lang w:eastAsia="en-GB"/>
        </w:rPr>
        <w:t xml:space="preserve"> so it does not allow for the breakdown of the results based on these variables.</w:t>
      </w:r>
    </w:p>
    <w:p w:rsidR="001B65FF" w:rsidRDefault="001B65FF">
      <w:pPr>
        <w:jc w:val="both"/>
        <w:rPr>
          <w:rFonts w:ascii="Times New Roman" w:hAnsi="Times New Roman" w:cs="Times New Roman"/>
          <w:noProof/>
          <w:sz w:val="24"/>
          <w:lang w:eastAsia="en-GB"/>
        </w:rPr>
      </w:pPr>
    </w:p>
    <w:p w:rsidR="001B65FF" w:rsidRDefault="001B65FF">
      <w:pPr>
        <w:rPr>
          <w:rFonts w:ascii="Times New Roman" w:hAnsi="Times New Roman" w:cs="Times New Roman"/>
          <w:noProof/>
        </w:rPr>
      </w:pPr>
    </w:p>
    <w:p w:rsidR="001B65FF" w:rsidRDefault="001B65FF">
      <w:pPr>
        <w:rPr>
          <w:rFonts w:ascii="Times New Roman" w:hAnsi="Times New Roman" w:cs="Times New Roman"/>
          <w:noProof/>
        </w:rPr>
      </w:pPr>
    </w:p>
    <w:p w:rsidR="001B65FF" w:rsidRDefault="003E4EF4">
      <w:pPr>
        <w:keepNext/>
        <w:spacing w:before="240" w:after="240" w:line="240" w:lineRule="auto"/>
        <w:jc w:val="both"/>
        <w:outlineLvl w:val="0"/>
        <w:rPr>
          <w:rFonts w:ascii="Times New Roman" w:hAnsi="Times New Roman" w:cs="Times New Roman"/>
          <w:noProof/>
        </w:rPr>
      </w:pPr>
      <w:r>
        <w:rPr>
          <w:rFonts w:ascii="Times New Roman" w:hAnsi="Times New Roman" w:cs="Times New Roman"/>
          <w:noProof/>
        </w:rPr>
        <w:br w:type="page"/>
      </w:r>
      <w:bookmarkStart w:id="2113" w:name="_Toc498509838"/>
      <w:bookmarkStart w:id="2114" w:name="_Toc498518124"/>
      <w:bookmarkStart w:id="2115" w:name="_Toc498521180"/>
      <w:bookmarkStart w:id="2116" w:name="_Toc498521340"/>
      <w:bookmarkStart w:id="2117" w:name="_Toc498702002"/>
      <w:bookmarkStart w:id="2118" w:name="_Toc498704734"/>
      <w:bookmarkStart w:id="2119" w:name="_Toc499020489"/>
      <w:bookmarkStart w:id="2120" w:name="_Toc499030423"/>
      <w:bookmarkStart w:id="2121" w:name="_Toc499044965"/>
      <w:bookmarkStart w:id="2122" w:name="_Toc499051381"/>
      <w:bookmarkStart w:id="2123" w:name="_Toc499133341"/>
      <w:bookmarkStart w:id="2124" w:name="_Toc499142912"/>
      <w:bookmarkStart w:id="2125" w:name="_Toc510952907"/>
      <w:r>
        <w:rPr>
          <w:rFonts w:ascii="Times New Roman" w:eastAsia="Times New Roman" w:hAnsi="Times New Roman" w:cs="Times New Roman"/>
          <w:b/>
          <w:smallCaps/>
          <w:noProof/>
          <w:sz w:val="24"/>
          <w:szCs w:val="20"/>
        </w:rPr>
        <w:t>Annex 5: List of relevant legislation and policies</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rsidR="001B65FF" w:rsidRDefault="003E4EF4">
      <w:pPr>
        <w:jc w:val="both"/>
        <w:rPr>
          <w:rFonts w:ascii="Times New Roman" w:hAnsi="Times New Roman" w:cs="Times New Roman"/>
          <w:noProof/>
          <w:sz w:val="24"/>
          <w:szCs w:val="24"/>
        </w:rPr>
      </w:pPr>
      <w:r>
        <w:rPr>
          <w:rFonts w:ascii="Times New Roman" w:hAnsi="Times New Roman" w:cs="Times New Roman"/>
          <w:noProof/>
          <w:sz w:val="24"/>
          <w:szCs w:val="24"/>
        </w:rPr>
        <w:t>The following legislative instruments and policies are relevant for improving cross-borde</w:t>
      </w:r>
      <w:r>
        <w:rPr>
          <w:rFonts w:ascii="Times New Roman" w:hAnsi="Times New Roman" w:cs="Times New Roman"/>
          <w:noProof/>
          <w:sz w:val="24"/>
          <w:szCs w:val="24"/>
        </w:rPr>
        <w:t xml:space="preserve">r access to </w:t>
      </w:r>
      <w:r>
        <w:rPr>
          <w:rFonts w:ascii="Times New Roman" w:hAnsi="Times New Roman" w:cs="Times New Roman"/>
          <w:noProof/>
          <w:sz w:val="24"/>
        </w:rPr>
        <w:t>electronic</w:t>
      </w:r>
      <w:r>
        <w:rPr>
          <w:rFonts w:ascii="Times New Roman" w:hAnsi="Times New Roman" w:cs="Times New Roman"/>
          <w:noProof/>
          <w:sz w:val="24"/>
          <w:szCs w:val="24"/>
        </w:rPr>
        <w:t xml:space="preserve"> evidence:</w:t>
      </w:r>
    </w:p>
    <w:p w:rsidR="001B65FF" w:rsidRDefault="003E4EF4">
      <w:pPr>
        <w:pStyle w:val="Heading2"/>
        <w:numPr>
          <w:ilvl w:val="0"/>
          <w:numId w:val="171"/>
        </w:numPr>
        <w:rPr>
          <w:rFonts w:ascii="Times New Roman" w:hAnsi="Times New Roman" w:cs="Times New Roman"/>
          <w:noProof/>
          <w:sz w:val="24"/>
        </w:rPr>
      </w:pPr>
      <w:bookmarkStart w:id="2126" w:name="_Toc498509839"/>
      <w:bookmarkStart w:id="2127" w:name="_Toc498518125"/>
      <w:bookmarkStart w:id="2128" w:name="_Toc498521181"/>
      <w:bookmarkStart w:id="2129" w:name="_Toc498521341"/>
      <w:bookmarkStart w:id="2130" w:name="_Toc498702003"/>
      <w:bookmarkStart w:id="2131" w:name="_Toc498704735"/>
      <w:bookmarkStart w:id="2132" w:name="_Toc499020490"/>
      <w:bookmarkStart w:id="2133" w:name="_Toc499030424"/>
      <w:bookmarkStart w:id="2134" w:name="_Toc499044966"/>
      <w:bookmarkStart w:id="2135" w:name="_Toc499051382"/>
      <w:bookmarkStart w:id="2136" w:name="_Toc499130064"/>
      <w:bookmarkStart w:id="2137" w:name="_Toc499133342"/>
      <w:bookmarkStart w:id="2138" w:name="_Toc499142913"/>
      <w:bookmarkStart w:id="2139" w:name="_Toc499143358"/>
      <w:bookmarkStart w:id="2140" w:name="_Toc510952908"/>
      <w:r>
        <w:rPr>
          <w:rFonts w:ascii="Times New Roman" w:hAnsi="Times New Roman" w:cs="Times New Roman"/>
          <w:noProof/>
          <w:sz w:val="24"/>
        </w:rPr>
        <w:t>EU cooperation mechanisms in criminal matters</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r>
        <w:rPr>
          <w:rFonts w:ascii="Times New Roman" w:hAnsi="Times New Roman" w:cs="Times New Roman"/>
          <w:noProof/>
          <w:sz w:val="24"/>
        </w:rPr>
        <w:t xml:space="preserve"> </w:t>
      </w:r>
    </w:p>
    <w:p w:rsidR="001B65FF" w:rsidRDefault="003E4EF4">
      <w:pPr>
        <w:contextualSpacing/>
        <w:jc w:val="both"/>
        <w:rPr>
          <w:rFonts w:ascii="Times New Roman" w:hAnsi="Times New Roman" w:cs="Times New Roman"/>
          <w:noProof/>
          <w:sz w:val="24"/>
        </w:rPr>
      </w:pPr>
      <w:r>
        <w:rPr>
          <w:rFonts w:ascii="Times New Roman" w:hAnsi="Times New Roman" w:cs="Times New Roman"/>
          <w:bCs/>
          <w:noProof/>
          <w:sz w:val="24"/>
          <w:lang w:eastAsia="en-GB"/>
        </w:rPr>
        <w:t>Cooperation mechanisms facilitate cross-border investigations and coordination of prosecutions. These include:</w:t>
      </w:r>
    </w:p>
    <w:p w:rsidR="001B65FF" w:rsidRDefault="003E4EF4">
      <w:pPr>
        <w:numPr>
          <w:ilvl w:val="0"/>
          <w:numId w:val="9"/>
        </w:numPr>
        <w:contextualSpacing/>
        <w:jc w:val="both"/>
        <w:rPr>
          <w:rFonts w:ascii="Times New Roman" w:hAnsi="Times New Roman" w:cs="Times New Roman"/>
          <w:bCs/>
          <w:noProof/>
          <w:sz w:val="28"/>
          <w:lang w:eastAsia="en-GB"/>
        </w:rPr>
      </w:pPr>
      <w:r>
        <w:rPr>
          <w:rFonts w:ascii="Times New Roman" w:hAnsi="Times New Roman" w:cs="Times New Roman"/>
          <w:noProof/>
          <w:sz w:val="24"/>
        </w:rPr>
        <w:t xml:space="preserve">Directive 2014/41/EU regarding the </w:t>
      </w:r>
      <w:r>
        <w:rPr>
          <w:rFonts w:ascii="Times New Roman" w:hAnsi="Times New Roman" w:cs="Times New Roman"/>
          <w:b/>
          <w:noProof/>
          <w:sz w:val="24"/>
        </w:rPr>
        <w:t>European Investigation Order</w:t>
      </w:r>
      <w:r>
        <w:rPr>
          <w:rFonts w:ascii="Times New Roman" w:hAnsi="Times New Roman" w:cs="Times New Roman"/>
          <w:noProof/>
          <w:sz w:val="24"/>
        </w:rPr>
        <w:t xml:space="preserve"> in criminal matters</w:t>
      </w:r>
      <w:r>
        <w:rPr>
          <w:rFonts w:ascii="Times New Roman" w:hAnsi="Times New Roman" w:cs="Times New Roman"/>
          <w:noProof/>
          <w:sz w:val="24"/>
          <w:vertAlign w:val="superscript"/>
        </w:rPr>
        <w:footnoteReference w:id="190"/>
      </w:r>
      <w:r>
        <w:rPr>
          <w:rFonts w:ascii="Times New Roman" w:hAnsi="Times New Roman" w:cs="Times New Roman"/>
          <w:noProof/>
          <w:sz w:val="24"/>
        </w:rPr>
        <w:t xml:space="preserve"> (EIO Directive), in application since May 2017. It is based on mutual recognition of judicial decisions, and updated the legal framework applicable to the gathering and transfer of evidence between Member States. In particular, it rep</w:t>
      </w:r>
      <w:r>
        <w:rPr>
          <w:rFonts w:ascii="Times New Roman" w:hAnsi="Times New Roman" w:cs="Times New Roman"/>
          <w:noProof/>
          <w:sz w:val="24"/>
        </w:rPr>
        <w:t>laced the Convention on Mutual Assistance in Criminal Matters between the Member States of the European Union</w:t>
      </w:r>
      <w:r>
        <w:rPr>
          <w:rFonts w:ascii="Times New Roman" w:hAnsi="Times New Roman" w:cs="Times New Roman"/>
          <w:noProof/>
          <w:sz w:val="24"/>
          <w:vertAlign w:val="superscript"/>
        </w:rPr>
        <w:footnoteReference w:id="191"/>
      </w:r>
      <w:r>
        <w:rPr>
          <w:rFonts w:ascii="Times New Roman" w:hAnsi="Times New Roman" w:cs="Times New Roman"/>
          <w:noProof/>
          <w:sz w:val="24"/>
        </w:rPr>
        <w:t>, which sets out the conditions for mutual legal assistance. This Directive allows an authority in one Member State (the "issuing authority") to r</w:t>
      </w:r>
      <w:r>
        <w:rPr>
          <w:rFonts w:ascii="Times New Roman" w:hAnsi="Times New Roman" w:cs="Times New Roman"/>
          <w:noProof/>
          <w:sz w:val="24"/>
        </w:rPr>
        <w:t xml:space="preserve">equest that specific criminal investigative measures be carried out by an authority in another Member State (the "executing authority"). </w:t>
      </w:r>
      <w:r>
        <w:rPr>
          <w:rFonts w:ascii="Times New Roman" w:hAnsi="Times New Roman" w:cs="Times New Roman"/>
          <w:noProof/>
          <w:sz w:val="24"/>
          <w:szCs w:val="24"/>
        </w:rPr>
        <w:t>The EIO Directive covers any investigative measure except for joint investigation teams (cf. Art. 3). This means all ty</w:t>
      </w:r>
      <w:r>
        <w:rPr>
          <w:rFonts w:ascii="Times New Roman" w:hAnsi="Times New Roman" w:cs="Times New Roman"/>
          <w:noProof/>
          <w:sz w:val="24"/>
          <w:szCs w:val="24"/>
        </w:rPr>
        <w:t xml:space="preserve">pes of evidence are covered, including electronic evidence. While the EIO Directive contains specific provisions on the interception of telecommunications, it does not contain any specific provisions on </w:t>
      </w:r>
      <w:r>
        <w:rPr>
          <w:rFonts w:ascii="Times New Roman" w:hAnsi="Times New Roman" w:cs="Times New Roman"/>
          <w:b/>
          <w:noProof/>
          <w:sz w:val="24"/>
          <w:szCs w:val="24"/>
        </w:rPr>
        <w:t xml:space="preserve">access </w:t>
      </w:r>
      <w:r>
        <w:rPr>
          <w:rFonts w:ascii="Times New Roman" w:hAnsi="Times New Roman" w:cs="Times New Roman"/>
          <w:noProof/>
          <w:sz w:val="24"/>
          <w:szCs w:val="24"/>
        </w:rPr>
        <w:t>to electronic evidence, except for a reference</w:t>
      </w:r>
      <w:r>
        <w:rPr>
          <w:rFonts w:ascii="Times New Roman" w:hAnsi="Times New Roman" w:cs="Times New Roman"/>
          <w:noProof/>
          <w:sz w:val="24"/>
          <w:szCs w:val="24"/>
        </w:rPr>
        <w:t xml:space="preserve"> to the identification of a person holding an IP address in Art. 10(2)(e), for which double criminality cannot be invoked as ground for refusal.</w:t>
      </w:r>
    </w:p>
    <w:p w:rsidR="001B65FF" w:rsidRDefault="003E4EF4">
      <w:pPr>
        <w:numPr>
          <w:ilvl w:val="0"/>
          <w:numId w:val="9"/>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Council Decision 2002/187/JHA setting up </w:t>
      </w:r>
      <w:r>
        <w:rPr>
          <w:rFonts w:ascii="Times New Roman" w:hAnsi="Times New Roman" w:cs="Times New Roman"/>
          <w:b/>
          <w:noProof/>
          <w:sz w:val="24"/>
          <w:szCs w:val="24"/>
        </w:rPr>
        <w:t>Eurojust</w:t>
      </w:r>
      <w:r>
        <w:rPr>
          <w:rFonts w:ascii="Times New Roman" w:hAnsi="Times New Roman" w:cs="Times New Roman"/>
          <w:noProof/>
          <w:sz w:val="24"/>
          <w:szCs w:val="24"/>
          <w:vertAlign w:val="superscript"/>
        </w:rPr>
        <w:footnoteReference w:id="192"/>
      </w:r>
      <w:r>
        <w:rPr>
          <w:rFonts w:ascii="Times New Roman" w:hAnsi="Times New Roman" w:cs="Times New Roman"/>
          <w:noProof/>
          <w:sz w:val="24"/>
          <w:szCs w:val="24"/>
        </w:rPr>
        <w:t>, which facilitates cross-border judicial cooperation in crim</w:t>
      </w:r>
      <w:r>
        <w:rPr>
          <w:rFonts w:ascii="Times New Roman" w:hAnsi="Times New Roman" w:cs="Times New Roman"/>
          <w:noProof/>
          <w:sz w:val="24"/>
          <w:szCs w:val="24"/>
        </w:rPr>
        <w:t xml:space="preserve">inal matters. The </w:t>
      </w:r>
      <w:r>
        <w:rPr>
          <w:rFonts w:ascii="Times New Roman" w:hAnsi="Times New Roman" w:cs="Times New Roman"/>
          <w:b/>
          <w:noProof/>
          <w:sz w:val="24"/>
          <w:szCs w:val="24"/>
        </w:rPr>
        <w:t>European Judicial Cybercrime Network</w:t>
      </w:r>
      <w:r>
        <w:rPr>
          <w:rFonts w:ascii="Times New Roman" w:hAnsi="Times New Roman" w:cs="Times New Roman"/>
          <w:noProof/>
          <w:sz w:val="24"/>
          <w:szCs w:val="24"/>
        </w:rPr>
        <w:t>, supported by Eurojust and established by Council conclusions on 9 June 2016</w:t>
      </w:r>
      <w:r>
        <w:rPr>
          <w:rFonts w:ascii="Times New Roman" w:hAnsi="Times New Roman" w:cs="Times New Roman"/>
          <w:noProof/>
          <w:sz w:val="24"/>
          <w:szCs w:val="24"/>
          <w:vertAlign w:val="superscript"/>
        </w:rPr>
        <w:footnoteReference w:id="193"/>
      </w:r>
      <w:r>
        <w:rPr>
          <w:rFonts w:ascii="Times New Roman" w:hAnsi="Times New Roman" w:cs="Times New Roman"/>
          <w:noProof/>
          <w:sz w:val="24"/>
          <w:szCs w:val="24"/>
        </w:rPr>
        <w:t xml:space="preserve">, </w:t>
      </w:r>
      <w:r>
        <w:rPr>
          <w:rFonts w:ascii="Times New Roman" w:hAnsi="Times New Roman" w:cs="Times New Roman"/>
          <w:noProof/>
          <w:color w:val="000000"/>
        </w:rPr>
        <w:t xml:space="preserve"> </w:t>
      </w:r>
      <w:r>
        <w:rPr>
          <w:rFonts w:ascii="Times New Roman" w:hAnsi="Times New Roman" w:cs="Times New Roman"/>
          <w:noProof/>
          <w:sz w:val="24"/>
          <w:szCs w:val="24"/>
        </w:rPr>
        <w:t>brings together judicial authorities from the EU Member States with the objective to facilitate and enhance cooperation b</w:t>
      </w:r>
      <w:r>
        <w:rPr>
          <w:rFonts w:ascii="Times New Roman" w:hAnsi="Times New Roman" w:cs="Times New Roman"/>
          <w:noProof/>
          <w:sz w:val="24"/>
          <w:szCs w:val="24"/>
        </w:rPr>
        <w:t xml:space="preserve">etween the competent judicial authorities dealing with cybercrime, cyber-enabled crime and investigations in cyberspace.       </w:t>
      </w:r>
    </w:p>
    <w:p w:rsidR="001B65FF" w:rsidRDefault="003E4EF4">
      <w:pPr>
        <w:numPr>
          <w:ilvl w:val="0"/>
          <w:numId w:val="9"/>
        </w:numPr>
        <w:contextualSpacing/>
        <w:jc w:val="both"/>
        <w:rPr>
          <w:rFonts w:ascii="Times New Roman" w:hAnsi="Times New Roman" w:cs="Times New Roman"/>
          <w:bCs/>
          <w:noProof/>
          <w:sz w:val="24"/>
          <w:lang w:eastAsia="en-GB"/>
        </w:rPr>
      </w:pPr>
      <w:r>
        <w:rPr>
          <w:rFonts w:ascii="Times New Roman" w:hAnsi="Times New Roman" w:cs="Times New Roman"/>
          <w:noProof/>
          <w:sz w:val="24"/>
          <w:szCs w:val="24"/>
        </w:rPr>
        <w:t xml:space="preserve">Regulation (EU) 2016/794 on </w:t>
      </w:r>
      <w:r>
        <w:rPr>
          <w:rFonts w:ascii="Times New Roman" w:hAnsi="Times New Roman" w:cs="Times New Roman"/>
          <w:b/>
          <w:noProof/>
          <w:sz w:val="24"/>
          <w:szCs w:val="24"/>
        </w:rPr>
        <w:t>Europol</w:t>
      </w:r>
      <w:r>
        <w:rPr>
          <w:rFonts w:ascii="Times New Roman" w:hAnsi="Times New Roman" w:cs="Times New Roman"/>
          <w:noProof/>
          <w:sz w:val="24"/>
          <w:szCs w:val="24"/>
          <w:vertAlign w:val="superscript"/>
        </w:rPr>
        <w:footnoteReference w:id="194"/>
      </w:r>
      <w:r>
        <w:rPr>
          <w:rFonts w:ascii="Times New Roman" w:hAnsi="Times New Roman" w:cs="Times New Roman"/>
          <w:noProof/>
          <w:sz w:val="24"/>
          <w:szCs w:val="24"/>
        </w:rPr>
        <w:t xml:space="preserve">, which sets up the rules for Europol, in particular its objectives, tasks and scrutiny, </w:t>
      </w:r>
      <w:r>
        <w:rPr>
          <w:rFonts w:ascii="Times New Roman" w:hAnsi="Times New Roman" w:cs="Times New Roman"/>
          <w:noProof/>
          <w:sz w:val="24"/>
          <w:szCs w:val="24"/>
        </w:rPr>
        <w:t>including monitoring of Europol’s processing of personal data.</w:t>
      </w:r>
    </w:p>
    <w:p w:rsidR="001B65FF" w:rsidRDefault="003E4EF4">
      <w:pPr>
        <w:numPr>
          <w:ilvl w:val="0"/>
          <w:numId w:val="9"/>
        </w:numPr>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Council Framework Decision 2002/465/JHA on </w:t>
      </w:r>
      <w:r>
        <w:rPr>
          <w:rFonts w:ascii="Times New Roman" w:hAnsi="Times New Roman" w:cs="Times New Roman"/>
          <w:b/>
          <w:bCs/>
          <w:noProof/>
          <w:sz w:val="24"/>
          <w:lang w:eastAsia="en-GB"/>
        </w:rPr>
        <w:t>joint investigation teams</w:t>
      </w:r>
      <w:r>
        <w:rPr>
          <w:rFonts w:ascii="Times New Roman" w:hAnsi="Times New Roman" w:cs="Times New Roman"/>
          <w:bCs/>
          <w:noProof/>
          <w:sz w:val="24"/>
          <w:vertAlign w:val="superscript"/>
          <w:lang w:eastAsia="en-GB"/>
        </w:rPr>
        <w:footnoteReference w:id="195"/>
      </w:r>
      <w:r>
        <w:rPr>
          <w:rFonts w:ascii="Times New Roman" w:hAnsi="Times New Roman" w:cs="Times New Roman"/>
          <w:b/>
          <w:bCs/>
          <w:noProof/>
          <w:sz w:val="24"/>
          <w:lang w:eastAsia="en-GB"/>
        </w:rPr>
        <w:t xml:space="preserve"> </w:t>
      </w:r>
      <w:r>
        <w:rPr>
          <w:rFonts w:ascii="Times New Roman" w:hAnsi="Times New Roman" w:cs="Times New Roman"/>
          <w:bCs/>
          <w:noProof/>
          <w:sz w:val="24"/>
          <w:lang w:eastAsia="en-GB"/>
        </w:rPr>
        <w:t>sets up rules on the creation of such teams for carrying out criminal investigations.</w:t>
      </w:r>
      <w:r>
        <w:rPr>
          <w:rFonts w:ascii="Times New Roman" w:hAnsi="Times New Roman" w:cs="Times New Roman"/>
          <w:noProof/>
          <w:sz w:val="24"/>
          <w:szCs w:val="24"/>
        </w:rPr>
        <w:t xml:space="preserve"> </w:t>
      </w:r>
    </w:p>
    <w:p w:rsidR="001B65FF" w:rsidRDefault="003E4EF4">
      <w:pPr>
        <w:numPr>
          <w:ilvl w:val="0"/>
          <w:numId w:val="9"/>
        </w:numPr>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An initiative is ongoing to ensure t</w:t>
      </w:r>
      <w:r>
        <w:rPr>
          <w:rFonts w:ascii="Times New Roman" w:hAnsi="Times New Roman" w:cs="Times New Roman"/>
          <w:bCs/>
          <w:noProof/>
          <w:sz w:val="24"/>
          <w:lang w:eastAsia="en-GB"/>
        </w:rPr>
        <w:t xml:space="preserve">he future financing and governance of the </w:t>
      </w:r>
      <w:r>
        <w:rPr>
          <w:rFonts w:ascii="Times New Roman" w:hAnsi="Times New Roman" w:cs="Times New Roman"/>
          <w:b/>
          <w:bCs/>
          <w:noProof/>
          <w:sz w:val="24"/>
          <w:lang w:eastAsia="en-GB"/>
        </w:rPr>
        <w:t>e-CODEX</w:t>
      </w:r>
      <w:r>
        <w:rPr>
          <w:rFonts w:ascii="Times New Roman" w:hAnsi="Times New Roman" w:cs="Times New Roman"/>
          <w:bCs/>
          <w:noProof/>
          <w:sz w:val="24"/>
          <w:lang w:eastAsia="en-GB"/>
        </w:rPr>
        <w:t xml:space="preserve"> system.  e-CODEX is an IT system developed by a consortium of Member States for cross border judicial cooperation which allows users, be they judicial authorities, legal practitioners or citizens, to send a</w:t>
      </w:r>
      <w:r>
        <w:rPr>
          <w:rFonts w:ascii="Times New Roman" w:hAnsi="Times New Roman" w:cs="Times New Roman"/>
          <w:bCs/>
          <w:noProof/>
          <w:sz w:val="24"/>
          <w:lang w:eastAsia="en-GB"/>
        </w:rPr>
        <w:t>nd receive documents, legal forms, evidence or other information in a secure manner. e-CODEX is the cornerstone of the upcoming EIO platform, which is being developed by the Commission as one of the practical measures under the e-evidence initiative.</w:t>
      </w:r>
      <w:r>
        <w:rPr>
          <w:noProof/>
          <w:color w:val="1F497D" w:themeColor="text2"/>
        </w:rPr>
        <w:t xml:space="preserve"> </w:t>
      </w:r>
      <w:r>
        <w:rPr>
          <w:rFonts w:ascii="Times New Roman" w:hAnsi="Times New Roman" w:cs="Times New Roman"/>
          <w:bCs/>
          <w:noProof/>
          <w:sz w:val="24"/>
          <w:lang w:eastAsia="en-GB"/>
        </w:rPr>
        <w:t>The e</w:t>
      </w:r>
      <w:r>
        <w:rPr>
          <w:rFonts w:ascii="Times New Roman" w:hAnsi="Times New Roman" w:cs="Times New Roman"/>
          <w:bCs/>
          <w:noProof/>
          <w:sz w:val="24"/>
          <w:lang w:eastAsia="en-GB"/>
        </w:rPr>
        <w:t xml:space="preserve">Codex project was not included in the baseline as it is still under development and the degree to which it would be implemented in relation to cross-border access to e-evidence is still unclear. Given the range of possible outcomes of the e-Codex project, </w:t>
      </w:r>
      <w:r>
        <w:rPr>
          <w:rFonts w:ascii="Times New Roman" w:hAnsi="Times New Roman" w:cs="Times New Roman"/>
          <w:bCs/>
          <w:noProof/>
          <w:sz w:val="24"/>
          <w:lang w:eastAsia="en-GB"/>
        </w:rPr>
        <w:t>it was preferred to evaluate it as part of one of the practical measures rather than as part of the baseline. Since the evaluation of impacts of the policy options is done in relation to the baseline, it was preferred to consider a more stable baseline wit</w:t>
      </w:r>
      <w:r>
        <w:rPr>
          <w:rFonts w:ascii="Times New Roman" w:hAnsi="Times New Roman" w:cs="Times New Roman"/>
          <w:bCs/>
          <w:noProof/>
          <w:sz w:val="24"/>
          <w:lang w:eastAsia="en-GB"/>
        </w:rPr>
        <w:t>hout e-Codex.</w:t>
      </w:r>
    </w:p>
    <w:p w:rsidR="001B65FF" w:rsidRDefault="003E4EF4">
      <w:pPr>
        <w:numPr>
          <w:ilvl w:val="0"/>
          <w:numId w:val="10"/>
        </w:numPr>
        <w:contextualSpacing/>
        <w:jc w:val="both"/>
        <w:rPr>
          <w:rFonts w:ascii="Times New Roman" w:hAnsi="Times New Roman" w:cs="Times New Roman"/>
          <w:noProof/>
          <w:sz w:val="24"/>
          <w:lang w:eastAsia="en-GB"/>
        </w:rPr>
      </w:pPr>
      <w:r>
        <w:rPr>
          <w:rFonts w:ascii="Times New Roman" w:hAnsi="Times New Roman" w:cs="Times New Roman"/>
          <w:bCs/>
          <w:noProof/>
          <w:sz w:val="24"/>
          <w:lang w:eastAsia="en-GB"/>
        </w:rPr>
        <w:t xml:space="preserve">Finally, the </w:t>
      </w:r>
      <w:r>
        <w:rPr>
          <w:rFonts w:ascii="Times New Roman" w:hAnsi="Times New Roman" w:cs="Times New Roman"/>
          <w:b/>
          <w:bCs/>
          <w:noProof/>
          <w:sz w:val="24"/>
          <w:lang w:eastAsia="en-GB"/>
        </w:rPr>
        <w:t>Commission's Communication on Tackling illegal content online</w:t>
      </w:r>
      <w:r>
        <w:rPr>
          <w:rFonts w:ascii="Times New Roman" w:hAnsi="Times New Roman" w:cs="Times New Roman"/>
          <w:bCs/>
          <w:noProof/>
          <w:sz w:val="24"/>
          <w:lang w:eastAsia="en-GB"/>
        </w:rPr>
        <w:t xml:space="preserve"> from 28 September 2017, while calling for a prompt removal of illegal content by online intermediaries, highlighted that removal of such content should not impede the </w:t>
      </w:r>
      <w:r>
        <w:rPr>
          <w:rFonts w:ascii="Times New Roman" w:hAnsi="Times New Roman" w:cs="Times New Roman"/>
          <w:bCs/>
          <w:noProof/>
          <w:sz w:val="24"/>
          <w:lang w:eastAsia="en-GB"/>
        </w:rPr>
        <w:t>prosecution of or other follow-up to any underlying breach of law. Evidence sharing amongst public authorities and online platforms is an important policy in this regard, and reference is also made to the present initiative to facilitate cross-border acces</w:t>
      </w:r>
      <w:r>
        <w:rPr>
          <w:rFonts w:ascii="Times New Roman" w:hAnsi="Times New Roman" w:cs="Times New Roman"/>
          <w:bCs/>
          <w:noProof/>
          <w:sz w:val="24"/>
          <w:lang w:eastAsia="en-GB"/>
        </w:rPr>
        <w:t>s to evidence.</w:t>
      </w:r>
      <w:r>
        <w:rPr>
          <w:rStyle w:val="FootnoteReference"/>
          <w:rFonts w:ascii="Times New Roman" w:hAnsi="Times New Roman" w:cs="Times New Roman"/>
          <w:bCs/>
          <w:noProof/>
          <w:sz w:val="24"/>
          <w:lang w:eastAsia="en-GB"/>
        </w:rPr>
        <w:footnoteReference w:id="196"/>
      </w:r>
    </w:p>
    <w:p w:rsidR="001B65FF" w:rsidRDefault="003E4EF4">
      <w:pPr>
        <w:pStyle w:val="Heading2"/>
        <w:numPr>
          <w:ilvl w:val="0"/>
          <w:numId w:val="171"/>
        </w:numPr>
        <w:rPr>
          <w:rFonts w:ascii="Times New Roman" w:hAnsi="Times New Roman" w:cs="Times New Roman"/>
          <w:noProof/>
          <w:sz w:val="24"/>
        </w:rPr>
      </w:pPr>
      <w:bookmarkStart w:id="2141" w:name="_Toc498509840"/>
      <w:bookmarkStart w:id="2142" w:name="_Toc498518126"/>
      <w:bookmarkStart w:id="2143" w:name="_Toc498521182"/>
      <w:bookmarkStart w:id="2144" w:name="_Toc498521342"/>
      <w:bookmarkStart w:id="2145" w:name="_Toc498702004"/>
      <w:bookmarkStart w:id="2146" w:name="_Toc498704736"/>
      <w:bookmarkStart w:id="2147" w:name="_Toc499020491"/>
      <w:bookmarkStart w:id="2148" w:name="_Toc499030425"/>
      <w:bookmarkStart w:id="2149" w:name="_Toc499044967"/>
      <w:bookmarkStart w:id="2150" w:name="_Toc499051383"/>
      <w:bookmarkStart w:id="2151" w:name="_Toc499130065"/>
      <w:bookmarkStart w:id="2152" w:name="_Toc499133343"/>
      <w:bookmarkStart w:id="2153" w:name="_Toc499142914"/>
      <w:bookmarkStart w:id="2154" w:name="_Toc499143359"/>
      <w:bookmarkStart w:id="2155" w:name="_Toc510952909"/>
      <w:r>
        <w:rPr>
          <w:rFonts w:ascii="Times New Roman" w:hAnsi="Times New Roman" w:cs="Times New Roman"/>
          <w:noProof/>
          <w:sz w:val="24"/>
        </w:rPr>
        <w:t>EU data protection legislation</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r>
        <w:rPr>
          <w:rFonts w:ascii="Times New Roman" w:hAnsi="Times New Roman" w:cs="Times New Roman"/>
          <w:noProof/>
          <w:sz w:val="24"/>
        </w:rPr>
        <w:t xml:space="preserve"> </w:t>
      </w:r>
    </w:p>
    <w:p w:rsidR="001B65FF" w:rsidRDefault="003E4EF4">
      <w:pPr>
        <w:numPr>
          <w:ilvl w:val="0"/>
          <w:numId w:val="6"/>
        </w:numPr>
        <w:spacing w:after="0"/>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The legislation resulting from the data protection reform</w:t>
      </w:r>
      <w:r>
        <w:rPr>
          <w:rFonts w:ascii="Times New Roman" w:hAnsi="Times New Roman" w:cs="Times New Roman"/>
          <w:noProof/>
          <w:sz w:val="24"/>
          <w:vertAlign w:val="superscript"/>
          <w:lang w:eastAsia="en-GB"/>
        </w:rPr>
        <w:footnoteReference w:id="197"/>
      </w:r>
      <w:r>
        <w:rPr>
          <w:rFonts w:ascii="Times New Roman" w:hAnsi="Times New Roman" w:cs="Times New Roman"/>
          <w:bCs/>
          <w:noProof/>
          <w:sz w:val="24"/>
          <w:lang w:eastAsia="en-GB"/>
        </w:rPr>
        <w:t xml:space="preserve"> is of critical importance in the context of cross-border access to electronic evidence:</w:t>
      </w:r>
    </w:p>
    <w:p w:rsidR="001B65FF" w:rsidRDefault="003E4EF4">
      <w:pPr>
        <w:numPr>
          <w:ilvl w:val="0"/>
          <w:numId w:val="8"/>
        </w:numPr>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Regulation (EU) 2016/679 on the protection of natural persons</w:t>
      </w:r>
      <w:r>
        <w:rPr>
          <w:rFonts w:ascii="Times New Roman" w:hAnsi="Times New Roman" w:cs="Times New Roman"/>
          <w:bCs/>
          <w:noProof/>
          <w:sz w:val="24"/>
          <w:lang w:eastAsia="en-GB"/>
        </w:rPr>
        <w:t xml:space="preserve"> with regard to the processing of personal data and on the free movement of such data</w:t>
      </w:r>
      <w:r>
        <w:rPr>
          <w:rFonts w:ascii="Times New Roman" w:hAnsi="Times New Roman" w:cs="Times New Roman"/>
          <w:bCs/>
          <w:noProof/>
          <w:sz w:val="24"/>
          <w:vertAlign w:val="superscript"/>
          <w:lang w:eastAsia="en-GB"/>
        </w:rPr>
        <w:footnoteReference w:id="198"/>
      </w:r>
      <w:r>
        <w:rPr>
          <w:rFonts w:ascii="Times New Roman" w:hAnsi="Times New Roman" w:cs="Times New Roman"/>
          <w:bCs/>
          <w:noProof/>
          <w:sz w:val="24"/>
          <w:lang w:eastAsia="en-GB"/>
        </w:rPr>
        <w:t xml:space="preserve"> (</w:t>
      </w:r>
      <w:r>
        <w:rPr>
          <w:rFonts w:ascii="Times New Roman" w:hAnsi="Times New Roman" w:cs="Times New Roman"/>
          <w:b/>
          <w:bCs/>
          <w:noProof/>
          <w:sz w:val="24"/>
          <w:lang w:eastAsia="en-GB"/>
        </w:rPr>
        <w:t>General Data Protection Regulation, GDPR</w:t>
      </w:r>
      <w:r>
        <w:rPr>
          <w:rFonts w:ascii="Times New Roman" w:hAnsi="Times New Roman" w:cs="Times New Roman"/>
          <w:bCs/>
          <w:noProof/>
          <w:sz w:val="24"/>
          <w:lang w:eastAsia="en-GB"/>
        </w:rPr>
        <w:t xml:space="preserve">). </w:t>
      </w:r>
    </w:p>
    <w:p w:rsidR="001B65FF" w:rsidRDefault="003E4EF4">
      <w:pPr>
        <w:numPr>
          <w:ilvl w:val="0"/>
          <w:numId w:val="8"/>
        </w:numPr>
        <w:spacing w:after="0"/>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Directive (EU) 2016/680 on the protection of natural persons with regard to the processing of personal data by competent aut</w:t>
      </w:r>
      <w:r>
        <w:rPr>
          <w:rFonts w:ascii="Times New Roman" w:hAnsi="Times New Roman" w:cs="Times New Roman"/>
          <w:bCs/>
          <w:noProof/>
          <w:sz w:val="24"/>
          <w:lang w:eastAsia="en-GB"/>
        </w:rPr>
        <w:t>horities for the purposes of the prevention, investigation, detection or prosecution of criminal offences or the execution of criminal penalties, and on the free movement of such data</w:t>
      </w:r>
      <w:r>
        <w:rPr>
          <w:rFonts w:ascii="Times New Roman" w:hAnsi="Times New Roman" w:cs="Times New Roman"/>
          <w:bCs/>
          <w:noProof/>
          <w:sz w:val="24"/>
          <w:vertAlign w:val="superscript"/>
          <w:lang w:eastAsia="en-GB"/>
        </w:rPr>
        <w:footnoteReference w:id="199"/>
      </w:r>
      <w:r>
        <w:rPr>
          <w:rFonts w:ascii="Times New Roman" w:hAnsi="Times New Roman" w:cs="Times New Roman"/>
          <w:bCs/>
          <w:noProof/>
          <w:sz w:val="24"/>
          <w:lang w:eastAsia="en-GB"/>
        </w:rPr>
        <w:t xml:space="preserve"> (</w:t>
      </w:r>
      <w:r>
        <w:rPr>
          <w:rFonts w:ascii="Times New Roman" w:hAnsi="Times New Roman" w:cs="Times New Roman"/>
          <w:b/>
          <w:bCs/>
          <w:noProof/>
          <w:sz w:val="24"/>
          <w:lang w:eastAsia="en-GB"/>
        </w:rPr>
        <w:t>Police Directive</w:t>
      </w:r>
      <w:r>
        <w:rPr>
          <w:rFonts w:ascii="Times New Roman" w:hAnsi="Times New Roman" w:cs="Times New Roman"/>
          <w:bCs/>
          <w:noProof/>
          <w:sz w:val="24"/>
          <w:lang w:eastAsia="en-GB"/>
        </w:rPr>
        <w:t xml:space="preserve">). </w:t>
      </w:r>
    </w:p>
    <w:p w:rsidR="001B65FF" w:rsidRDefault="003E4EF4">
      <w:pPr>
        <w:numPr>
          <w:ilvl w:val="0"/>
          <w:numId w:val="10"/>
        </w:numPr>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The 2009 </w:t>
      </w:r>
      <w:r>
        <w:rPr>
          <w:rFonts w:ascii="Times New Roman" w:hAnsi="Times New Roman" w:cs="Times New Roman"/>
          <w:b/>
          <w:noProof/>
          <w:sz w:val="24"/>
          <w:szCs w:val="24"/>
        </w:rPr>
        <w:t>ePrivacy Directive</w:t>
      </w:r>
      <w:r>
        <w:rPr>
          <w:rFonts w:ascii="Times New Roman" w:hAnsi="Times New Roman" w:cs="Times New Roman"/>
          <w:noProof/>
          <w:sz w:val="24"/>
          <w:szCs w:val="24"/>
          <w:vertAlign w:val="superscript"/>
        </w:rPr>
        <w:footnoteReference w:id="200"/>
      </w:r>
      <w:r>
        <w:rPr>
          <w:rFonts w:ascii="Times New Roman" w:hAnsi="Times New Roman" w:cs="Times New Roman"/>
          <w:noProof/>
          <w:sz w:val="24"/>
          <w:szCs w:val="24"/>
        </w:rPr>
        <w:t xml:space="preserve"> ensures that all comm</w:t>
      </w:r>
      <w:r>
        <w:rPr>
          <w:rFonts w:ascii="Times New Roman" w:hAnsi="Times New Roman" w:cs="Times New Roman"/>
          <w:noProof/>
          <w:sz w:val="24"/>
          <w:szCs w:val="24"/>
        </w:rPr>
        <w:t>unications over public networks maintain respect for fundamental rights, in particular a high level of data protection and of privacy, regardless of the technology used. In January 2017 the Commission adopted a proposal for a Regulation on Privacy and Elec</w:t>
      </w:r>
      <w:r>
        <w:rPr>
          <w:rFonts w:ascii="Times New Roman" w:hAnsi="Times New Roman" w:cs="Times New Roman"/>
          <w:noProof/>
          <w:sz w:val="24"/>
          <w:szCs w:val="24"/>
        </w:rPr>
        <w:t>tronic Communications</w:t>
      </w:r>
      <w:r>
        <w:rPr>
          <w:rFonts w:ascii="Times New Roman" w:hAnsi="Times New Roman" w:cs="Times New Roman"/>
          <w:noProof/>
          <w:sz w:val="24"/>
          <w:vertAlign w:val="superscript"/>
        </w:rPr>
        <w:footnoteReference w:id="201"/>
      </w:r>
      <w:r>
        <w:rPr>
          <w:rFonts w:ascii="Times New Roman" w:hAnsi="Times New Roman" w:cs="Times New Roman"/>
          <w:noProof/>
          <w:sz w:val="24"/>
          <w:szCs w:val="24"/>
        </w:rPr>
        <w:t xml:space="preserve"> to replace the 2009 Directive. This proposal is still under negotiation.</w:t>
      </w:r>
    </w:p>
    <w:p w:rsidR="001B65FF" w:rsidRDefault="001B65FF">
      <w:pPr>
        <w:ind w:left="720"/>
        <w:contextualSpacing/>
        <w:jc w:val="both"/>
        <w:rPr>
          <w:rFonts w:ascii="Times New Roman" w:hAnsi="Times New Roman" w:cs="Times New Roman"/>
          <w:bCs/>
          <w:noProof/>
          <w:sz w:val="24"/>
          <w:lang w:eastAsia="en-GB"/>
        </w:rPr>
      </w:pPr>
    </w:p>
    <w:p w:rsidR="001B65FF" w:rsidRDefault="003E4EF4">
      <w:pPr>
        <w:spacing w:after="0"/>
        <w:jc w:val="both"/>
        <w:rPr>
          <w:rFonts w:ascii="Times New Roman" w:hAnsi="Times New Roman" w:cs="Times New Roman"/>
          <w:bCs/>
          <w:noProof/>
          <w:sz w:val="24"/>
          <w:lang w:eastAsia="en-GB"/>
        </w:rPr>
      </w:pPr>
      <w:r>
        <w:rPr>
          <w:rFonts w:ascii="Times New Roman" w:hAnsi="Times New Roman" w:cs="Times New Roman"/>
          <w:bCs/>
          <w:noProof/>
          <w:sz w:val="24"/>
          <w:lang w:eastAsia="en-GB"/>
        </w:rPr>
        <w:t>The following recent proposals, also under negotiation by the European Parliament and the Council, are also relevant:</w:t>
      </w:r>
    </w:p>
    <w:p w:rsidR="001B65FF" w:rsidRDefault="003E4EF4">
      <w:pPr>
        <w:numPr>
          <w:ilvl w:val="0"/>
          <w:numId w:val="10"/>
        </w:numPr>
        <w:contextualSpacing/>
        <w:jc w:val="both"/>
        <w:rPr>
          <w:rFonts w:ascii="Times New Roman" w:hAnsi="Times New Roman" w:cs="Times New Roman"/>
          <w:bCs/>
          <w:noProof/>
          <w:sz w:val="24"/>
          <w:lang w:eastAsia="en-GB"/>
        </w:rPr>
      </w:pPr>
      <w:r>
        <w:rPr>
          <w:rFonts w:ascii="Times New Roman" w:hAnsi="Times New Roman" w:cs="Times New Roman"/>
          <w:noProof/>
          <w:sz w:val="24"/>
          <w:szCs w:val="24"/>
        </w:rPr>
        <w:t>The proposal for a Regulation on a framew</w:t>
      </w:r>
      <w:r>
        <w:rPr>
          <w:rFonts w:ascii="Times New Roman" w:hAnsi="Times New Roman" w:cs="Times New Roman"/>
          <w:noProof/>
          <w:sz w:val="24"/>
          <w:szCs w:val="24"/>
        </w:rPr>
        <w:t xml:space="preserve">ork for the </w:t>
      </w:r>
      <w:r>
        <w:rPr>
          <w:rFonts w:ascii="Times New Roman" w:hAnsi="Times New Roman" w:cs="Times New Roman"/>
          <w:b/>
          <w:noProof/>
          <w:sz w:val="24"/>
          <w:szCs w:val="24"/>
        </w:rPr>
        <w:t>free flow of non-personal data</w:t>
      </w:r>
      <w:r>
        <w:rPr>
          <w:rFonts w:ascii="Times New Roman" w:hAnsi="Times New Roman" w:cs="Times New Roman"/>
          <w:noProof/>
          <w:sz w:val="24"/>
          <w:szCs w:val="24"/>
        </w:rPr>
        <w:t xml:space="preserve"> in the European Union</w:t>
      </w:r>
      <w:r>
        <w:rPr>
          <w:rFonts w:ascii="Times New Roman" w:hAnsi="Times New Roman" w:cs="Times New Roman"/>
          <w:noProof/>
          <w:sz w:val="24"/>
          <w:szCs w:val="24"/>
          <w:vertAlign w:val="superscript"/>
        </w:rPr>
        <w:footnoteReference w:id="202"/>
      </w:r>
      <w:r>
        <w:rPr>
          <w:rFonts w:ascii="Times New Roman" w:hAnsi="Times New Roman" w:cs="Times New Roman"/>
          <w:noProof/>
          <w:sz w:val="24"/>
          <w:szCs w:val="24"/>
        </w:rPr>
        <w:t xml:space="preserve"> aims to facilitate the storage and processing of non-personal data across the Union to contribute to the building of the European data economy and boost the competitiveness of European busin</w:t>
      </w:r>
      <w:r>
        <w:rPr>
          <w:rFonts w:ascii="Times New Roman" w:hAnsi="Times New Roman" w:cs="Times New Roman"/>
          <w:noProof/>
          <w:sz w:val="24"/>
          <w:szCs w:val="24"/>
        </w:rPr>
        <w:t>esses, while enhancing the availability of modern data storage and processing services to public authorities. Article 5 foresees a general cooperation mechanism for national authorities to obtain access to data stored in another Member State, to be applied</w:t>
      </w:r>
      <w:r>
        <w:rPr>
          <w:rFonts w:ascii="Times New Roman" w:hAnsi="Times New Roman" w:cs="Times New Roman"/>
          <w:noProof/>
          <w:sz w:val="24"/>
          <w:szCs w:val="24"/>
        </w:rPr>
        <w:t xml:space="preserve"> only if no specific cooperation mechanism exists under Union law or international agreements to exchange data between competent authorities of different Member States.</w:t>
      </w:r>
    </w:p>
    <w:p w:rsidR="001B65FF" w:rsidRDefault="003E4EF4">
      <w:pPr>
        <w:numPr>
          <w:ilvl w:val="0"/>
          <w:numId w:val="10"/>
        </w:numPr>
        <w:contextualSpacing/>
        <w:jc w:val="both"/>
        <w:rPr>
          <w:rFonts w:ascii="Times New Roman" w:hAnsi="Times New Roman" w:cs="Times New Roman"/>
          <w:bCs/>
          <w:noProof/>
          <w:sz w:val="24"/>
          <w:lang w:eastAsia="en-GB"/>
        </w:rPr>
      </w:pPr>
      <w:r>
        <w:rPr>
          <w:rFonts w:ascii="Times New Roman" w:hAnsi="Times New Roman" w:cs="Times New Roman"/>
          <w:noProof/>
          <w:sz w:val="24"/>
          <w:szCs w:val="24"/>
        </w:rPr>
        <w:t>Although not directly dealing with data protection, the proposal for a Directive establ</w:t>
      </w:r>
      <w:r>
        <w:rPr>
          <w:rFonts w:ascii="Times New Roman" w:hAnsi="Times New Roman" w:cs="Times New Roman"/>
          <w:noProof/>
          <w:sz w:val="24"/>
          <w:szCs w:val="24"/>
        </w:rPr>
        <w:t xml:space="preserve">ishing the </w:t>
      </w:r>
      <w:r>
        <w:rPr>
          <w:rFonts w:ascii="Times New Roman" w:hAnsi="Times New Roman" w:cs="Times New Roman"/>
          <w:b/>
          <w:noProof/>
          <w:sz w:val="24"/>
          <w:szCs w:val="24"/>
        </w:rPr>
        <w:t>European Electronic Communications Code</w:t>
      </w:r>
      <w:r>
        <w:rPr>
          <w:rFonts w:ascii="Times New Roman" w:hAnsi="Times New Roman" w:cs="Times New Roman"/>
          <w:noProof/>
          <w:sz w:val="24"/>
          <w:szCs w:val="24"/>
        </w:rPr>
        <w:t xml:space="preserve"> (Recast)</w:t>
      </w:r>
      <w:r>
        <w:rPr>
          <w:rFonts w:ascii="Times New Roman" w:hAnsi="Times New Roman" w:cs="Times New Roman"/>
          <w:noProof/>
          <w:sz w:val="24"/>
          <w:szCs w:val="24"/>
          <w:vertAlign w:val="superscript"/>
        </w:rPr>
        <w:footnoteReference w:id="203"/>
      </w:r>
      <w:r>
        <w:rPr>
          <w:rFonts w:ascii="Times New Roman" w:hAnsi="Times New Roman" w:cs="Times New Roman"/>
          <w:noProof/>
          <w:sz w:val="24"/>
          <w:szCs w:val="24"/>
        </w:rPr>
        <w:t xml:space="preserve"> is important for data protection considerations and cross-border access to data, as it modernises its scope of application (i.e. the definition of electronic communications service) and aims to c</w:t>
      </w:r>
      <w:r>
        <w:rPr>
          <w:rFonts w:ascii="Times New Roman" w:hAnsi="Times New Roman" w:cs="Times New Roman"/>
          <w:noProof/>
          <w:sz w:val="24"/>
          <w:szCs w:val="24"/>
        </w:rPr>
        <w:t xml:space="preserve">ontribute to ubiquitous connectivity in the internal market, which would likely increase significantly the volume of data generated. </w:t>
      </w:r>
    </w:p>
    <w:p w:rsidR="001B65FF" w:rsidRDefault="003E4EF4">
      <w:pPr>
        <w:pStyle w:val="Heading2"/>
        <w:numPr>
          <w:ilvl w:val="0"/>
          <w:numId w:val="171"/>
        </w:numPr>
        <w:rPr>
          <w:rFonts w:ascii="Times New Roman" w:hAnsi="Times New Roman" w:cs="Times New Roman"/>
          <w:noProof/>
          <w:sz w:val="24"/>
        </w:rPr>
      </w:pPr>
      <w:bookmarkStart w:id="2156" w:name="_Toc498509841"/>
      <w:bookmarkStart w:id="2157" w:name="_Toc498518127"/>
      <w:bookmarkStart w:id="2158" w:name="_Toc498521183"/>
      <w:bookmarkStart w:id="2159" w:name="_Toc498521343"/>
      <w:bookmarkStart w:id="2160" w:name="_Toc498702005"/>
      <w:bookmarkStart w:id="2161" w:name="_Toc498704737"/>
      <w:bookmarkStart w:id="2162" w:name="_Toc499020492"/>
      <w:bookmarkStart w:id="2163" w:name="_Toc499030426"/>
      <w:bookmarkStart w:id="2164" w:name="_Toc499044968"/>
      <w:bookmarkStart w:id="2165" w:name="_Toc499051384"/>
      <w:bookmarkStart w:id="2166" w:name="_Toc499130066"/>
      <w:bookmarkStart w:id="2167" w:name="_Toc499133344"/>
      <w:bookmarkStart w:id="2168" w:name="_Toc499142915"/>
      <w:bookmarkStart w:id="2169" w:name="_Toc499143360"/>
      <w:bookmarkStart w:id="2170" w:name="_Toc510952910"/>
      <w:r>
        <w:rPr>
          <w:rFonts w:ascii="Times New Roman" w:hAnsi="Times New Roman" w:cs="Times New Roman"/>
          <w:noProof/>
          <w:sz w:val="24"/>
        </w:rPr>
        <w:t>Others</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rsidR="001B65FF" w:rsidRDefault="003E4EF4">
      <w:pPr>
        <w:numPr>
          <w:ilvl w:val="0"/>
          <w:numId w:val="9"/>
        </w:numPr>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The </w:t>
      </w:r>
      <w:r>
        <w:rPr>
          <w:rFonts w:ascii="Times New Roman" w:hAnsi="Times New Roman" w:cs="Times New Roman"/>
          <w:b/>
          <w:bCs/>
          <w:noProof/>
          <w:sz w:val="24"/>
          <w:lang w:eastAsia="en-GB"/>
        </w:rPr>
        <w:t>E-commerce Directive 2000/31</w:t>
      </w:r>
      <w:r>
        <w:rPr>
          <w:rStyle w:val="FootnoteReference"/>
          <w:rFonts w:ascii="Times New Roman" w:hAnsi="Times New Roman" w:cs="Times New Roman"/>
          <w:b/>
          <w:bCs/>
          <w:noProof/>
          <w:sz w:val="24"/>
          <w:lang w:eastAsia="en-GB"/>
        </w:rPr>
        <w:footnoteReference w:id="204"/>
      </w:r>
      <w:r>
        <w:rPr>
          <w:rFonts w:ascii="Times New Roman" w:hAnsi="Times New Roman" w:cs="Times New Roman"/>
          <w:bCs/>
          <w:noProof/>
          <w:sz w:val="24"/>
          <w:lang w:eastAsia="en-GB"/>
        </w:rPr>
        <w:t xml:space="preserve"> establishes the free provision of information society services inside the EU. These services providers (which are also partially within the scope of the present initiative) should be subject only to the rules applicable in their country of establishment a</w:t>
      </w:r>
      <w:r>
        <w:rPr>
          <w:rFonts w:ascii="Times New Roman" w:hAnsi="Times New Roman" w:cs="Times New Roman"/>
          <w:bCs/>
          <w:noProof/>
          <w:sz w:val="24"/>
          <w:lang w:eastAsia="en-GB"/>
        </w:rPr>
        <w:t>nd Member States cannot restrict the provision of such services in the coordinated field. However, they can apply their national rules on criminal law and criminal proceedings with a view to taking all investigative and other measures necessary for the det</w:t>
      </w:r>
      <w:r>
        <w:rPr>
          <w:rFonts w:ascii="Times New Roman" w:hAnsi="Times New Roman" w:cs="Times New Roman"/>
          <w:bCs/>
          <w:noProof/>
          <w:sz w:val="24"/>
          <w:lang w:eastAsia="en-GB"/>
        </w:rPr>
        <w:t>ection and prosecution of criminal offences, without there being a need to respect the notification procedure under this Directive (Recital 26). Private law disputes are not covered by this exception.</w:t>
      </w:r>
    </w:p>
    <w:p w:rsidR="001B65FF" w:rsidRDefault="003E4EF4">
      <w:pPr>
        <w:numPr>
          <w:ilvl w:val="0"/>
          <w:numId w:val="10"/>
        </w:numPr>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The </w:t>
      </w:r>
      <w:r>
        <w:rPr>
          <w:rFonts w:ascii="Times New Roman" w:hAnsi="Times New Roman" w:cs="Times New Roman"/>
          <w:b/>
          <w:bCs/>
          <w:noProof/>
          <w:sz w:val="24"/>
          <w:lang w:eastAsia="en-GB"/>
        </w:rPr>
        <w:t>proposal for a Directive to empower the competition</w:t>
      </w:r>
      <w:r>
        <w:rPr>
          <w:rFonts w:ascii="Times New Roman" w:hAnsi="Times New Roman" w:cs="Times New Roman"/>
          <w:b/>
          <w:bCs/>
          <w:noProof/>
          <w:sz w:val="24"/>
          <w:lang w:eastAsia="en-GB"/>
        </w:rPr>
        <w:t xml:space="preserve"> authorities of the Member States to be more effective enforcers and to ensure the proper functioning of the internal market</w:t>
      </w:r>
      <w:r>
        <w:rPr>
          <w:rFonts w:ascii="Times New Roman" w:hAnsi="Times New Roman" w:cs="Times New Roman"/>
          <w:bCs/>
          <w:noProof/>
          <w:sz w:val="24"/>
          <w:vertAlign w:val="superscript"/>
          <w:lang w:eastAsia="en-GB"/>
        </w:rPr>
        <w:footnoteReference w:id="205"/>
      </w:r>
      <w:r>
        <w:rPr>
          <w:rFonts w:ascii="Times New Roman" w:hAnsi="Times New Roman" w:cs="Times New Roman"/>
          <w:bCs/>
          <w:noProof/>
          <w:sz w:val="24"/>
          <w:lang w:eastAsia="en-GB"/>
        </w:rPr>
        <w:t xml:space="preserve"> </w:t>
      </w:r>
      <w:r>
        <w:rPr>
          <w:rFonts w:ascii="Times New Roman" w:hAnsi="Times New Roman" w:cs="Times New Roman"/>
          <w:noProof/>
          <w:sz w:val="24"/>
          <w:szCs w:val="24"/>
        </w:rPr>
        <w:t>is also important for data protection considerations and cross-border access to data. This proposal clarifies that national compet</w:t>
      </w:r>
      <w:r>
        <w:rPr>
          <w:rFonts w:ascii="Times New Roman" w:hAnsi="Times New Roman" w:cs="Times New Roman"/>
          <w:noProof/>
          <w:sz w:val="24"/>
          <w:szCs w:val="24"/>
        </w:rPr>
        <w:t xml:space="preserve">ition authorities should have access to data accessible to a company in the EU, even if that data is stored in the cloud or held by a parent company in another Member State or outside of the EU. </w:t>
      </w:r>
    </w:p>
    <w:p w:rsidR="001B65FF" w:rsidRDefault="003E4EF4">
      <w:pPr>
        <w:numPr>
          <w:ilvl w:val="0"/>
          <w:numId w:val="10"/>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Two other ongoing initiatives concern the </w:t>
      </w:r>
      <w:r>
        <w:rPr>
          <w:rFonts w:ascii="Times New Roman" w:hAnsi="Times New Roman" w:cs="Times New Roman"/>
          <w:b/>
          <w:noProof/>
          <w:sz w:val="24"/>
          <w:szCs w:val="24"/>
        </w:rPr>
        <w:t>taking of evidence</w:t>
      </w:r>
      <w:r>
        <w:rPr>
          <w:rFonts w:ascii="Times New Roman" w:hAnsi="Times New Roman" w:cs="Times New Roman"/>
          <w:noProof/>
          <w:sz w:val="24"/>
          <w:szCs w:val="24"/>
        </w:rPr>
        <w:t xml:space="preserve"> and the </w:t>
      </w:r>
      <w:r>
        <w:rPr>
          <w:rFonts w:ascii="Times New Roman" w:hAnsi="Times New Roman" w:cs="Times New Roman"/>
          <w:b/>
          <w:noProof/>
          <w:sz w:val="24"/>
          <w:szCs w:val="24"/>
        </w:rPr>
        <w:t>serving of documents</w:t>
      </w:r>
      <w:r>
        <w:rPr>
          <w:rFonts w:ascii="Times New Roman" w:hAnsi="Times New Roman" w:cs="Times New Roman"/>
          <w:noProof/>
          <w:sz w:val="24"/>
          <w:szCs w:val="24"/>
        </w:rPr>
        <w:t xml:space="preserve"> in civil judicial procedures. Both initiatives aim among others to modernise existing instruments with a view to digitalisation. One of the aims of the initiative to revise the existing Regulation 1206/2001 on taking of eviden</w:t>
      </w:r>
      <w:r>
        <w:rPr>
          <w:rFonts w:ascii="Times New Roman" w:hAnsi="Times New Roman" w:cs="Times New Roman"/>
          <w:noProof/>
          <w:sz w:val="24"/>
          <w:szCs w:val="24"/>
        </w:rPr>
        <w:t>ce in civil and commercial matters</w:t>
      </w:r>
      <w:r>
        <w:rPr>
          <w:rStyle w:val="FootnoteReference"/>
          <w:rFonts w:ascii="Times New Roman" w:hAnsi="Times New Roman" w:cs="Times New Roman"/>
          <w:noProof/>
          <w:sz w:val="24"/>
          <w:szCs w:val="24"/>
        </w:rPr>
        <w:footnoteReference w:id="206"/>
      </w:r>
      <w:r>
        <w:rPr>
          <w:rFonts w:ascii="Times New Roman" w:hAnsi="Times New Roman" w:cs="Times New Roman"/>
          <w:noProof/>
          <w:sz w:val="24"/>
          <w:szCs w:val="24"/>
        </w:rPr>
        <w:t xml:space="preserve"> is to adapt the system to the technical developments provided by the digitalisation (thereby facilitating the switch from paper-based channels to electronic ones), to ensure mutual recognition of domestic systems of elec</w:t>
      </w:r>
      <w:r>
        <w:rPr>
          <w:rFonts w:ascii="Times New Roman" w:hAnsi="Times New Roman" w:cs="Times New Roman"/>
          <w:noProof/>
          <w:sz w:val="24"/>
          <w:szCs w:val="24"/>
        </w:rPr>
        <w:t>tronic service of documents and electronic evidence.</w:t>
      </w:r>
    </w:p>
    <w:p w:rsidR="001B65FF" w:rsidRDefault="003E4EF4">
      <w:pPr>
        <w:pStyle w:val="Heading2"/>
        <w:numPr>
          <w:ilvl w:val="0"/>
          <w:numId w:val="171"/>
        </w:numPr>
        <w:rPr>
          <w:rFonts w:ascii="Times New Roman" w:hAnsi="Times New Roman" w:cs="Times New Roman"/>
          <w:noProof/>
          <w:sz w:val="24"/>
        </w:rPr>
      </w:pPr>
      <w:bookmarkStart w:id="2171" w:name="_Toc498509842"/>
      <w:bookmarkStart w:id="2172" w:name="_Toc498518128"/>
      <w:bookmarkStart w:id="2173" w:name="_Toc498521184"/>
      <w:bookmarkStart w:id="2174" w:name="_Toc498521344"/>
      <w:bookmarkStart w:id="2175" w:name="_Toc498702006"/>
      <w:bookmarkStart w:id="2176" w:name="_Toc498704738"/>
      <w:bookmarkStart w:id="2177" w:name="_Toc499020493"/>
      <w:bookmarkStart w:id="2178" w:name="_Toc499030427"/>
      <w:bookmarkStart w:id="2179" w:name="_Toc499044969"/>
      <w:bookmarkStart w:id="2180" w:name="_Toc499051385"/>
      <w:bookmarkStart w:id="2181" w:name="_Toc499130067"/>
      <w:bookmarkStart w:id="2182" w:name="_Toc499133345"/>
      <w:bookmarkStart w:id="2183" w:name="_Toc499142916"/>
      <w:bookmarkStart w:id="2184" w:name="_Toc499143361"/>
      <w:bookmarkStart w:id="2185" w:name="_Toc510952911"/>
      <w:r>
        <w:rPr>
          <w:rFonts w:ascii="Times New Roman" w:hAnsi="Times New Roman" w:cs="Times New Roman"/>
          <w:noProof/>
          <w:sz w:val="24"/>
        </w:rPr>
        <w:t>International law (involving non-EU countries):</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rsidR="001B65FF" w:rsidRDefault="003E4EF4">
      <w:pPr>
        <w:numPr>
          <w:ilvl w:val="0"/>
          <w:numId w:val="6"/>
        </w:numPr>
        <w:shd w:val="clear" w:color="auto" w:fill="FFFFFF"/>
        <w:spacing w:after="0"/>
        <w:jc w:val="both"/>
        <w:rPr>
          <w:rFonts w:ascii="Times New Roman" w:hAnsi="Times New Roman" w:cs="Times New Roman"/>
          <w:i/>
          <w:noProof/>
          <w:sz w:val="24"/>
          <w:szCs w:val="24"/>
        </w:rPr>
      </w:pPr>
      <w:r>
        <w:rPr>
          <w:rFonts w:ascii="Times New Roman" w:hAnsi="Times New Roman" w:cs="Times New Roman"/>
          <w:b/>
          <w:noProof/>
          <w:sz w:val="24"/>
          <w:szCs w:val="24"/>
        </w:rPr>
        <w:t>Multilateral agreements:</w:t>
      </w:r>
    </w:p>
    <w:p w:rsidR="001B65FF" w:rsidRDefault="003E4EF4">
      <w:pPr>
        <w:numPr>
          <w:ilvl w:val="1"/>
          <w:numId w:val="6"/>
        </w:numPr>
        <w:shd w:val="clear" w:color="auto" w:fill="FFFFFF"/>
        <w:spacing w:after="0"/>
        <w:jc w:val="both"/>
        <w:rPr>
          <w:rFonts w:ascii="Times New Roman" w:hAnsi="Times New Roman" w:cs="Times New Roman"/>
          <w:i/>
          <w:noProof/>
          <w:sz w:val="24"/>
          <w:szCs w:val="24"/>
        </w:rPr>
      </w:pPr>
      <w:r>
        <w:rPr>
          <w:rFonts w:ascii="Times New Roman" w:hAnsi="Times New Roman" w:cs="Times New Roman"/>
          <w:noProof/>
          <w:sz w:val="24"/>
          <w:szCs w:val="24"/>
        </w:rPr>
        <w:t xml:space="preserve">Council of Europe </w:t>
      </w:r>
      <w:r>
        <w:rPr>
          <w:rFonts w:ascii="Times New Roman" w:hAnsi="Times New Roman" w:cs="Times New Roman"/>
          <w:b/>
          <w:noProof/>
          <w:sz w:val="24"/>
          <w:szCs w:val="24"/>
        </w:rPr>
        <w:t>Convention on Cybercrime</w:t>
      </w:r>
      <w:r>
        <w:rPr>
          <w:rFonts w:ascii="Times New Roman" w:hAnsi="Times New Roman" w:cs="Times New Roman"/>
          <w:noProof/>
          <w:sz w:val="24"/>
          <w:szCs w:val="24"/>
        </w:rPr>
        <w:t xml:space="preserve"> (Budapest Convention).</w:t>
      </w:r>
      <w:r>
        <w:rPr>
          <w:rFonts w:ascii="Times New Roman" w:hAnsi="Times New Roman" w:cs="Times New Roman"/>
          <w:noProof/>
          <w:sz w:val="24"/>
          <w:szCs w:val="24"/>
          <w:vertAlign w:val="superscript"/>
        </w:rPr>
        <w:footnoteReference w:id="207"/>
      </w:r>
      <w:r>
        <w:rPr>
          <w:rFonts w:ascii="Times New Roman" w:hAnsi="Times New Roman" w:cs="Times New Roman"/>
          <w:noProof/>
          <w:sz w:val="24"/>
          <w:szCs w:val="24"/>
        </w:rPr>
        <w:t xml:space="preserve"> This 2001 instrument provides, among others, a framework for mutual legal assistance and a definition of electronic evidence. The Parties have recently started negotiating an additional protocol to the Convention dealing with cross-border access to e-evid</w:t>
      </w:r>
      <w:r>
        <w:rPr>
          <w:rFonts w:ascii="Times New Roman" w:hAnsi="Times New Roman" w:cs="Times New Roman"/>
          <w:noProof/>
          <w:sz w:val="24"/>
          <w:szCs w:val="24"/>
        </w:rPr>
        <w:t>ence.</w:t>
      </w:r>
    </w:p>
    <w:p w:rsidR="001B65FF" w:rsidRDefault="003E4EF4">
      <w:pPr>
        <w:numPr>
          <w:ilvl w:val="0"/>
          <w:numId w:val="6"/>
        </w:numPr>
        <w:shd w:val="clear" w:color="auto" w:fill="FFFFFF"/>
        <w:spacing w:after="0"/>
        <w:jc w:val="both"/>
        <w:rPr>
          <w:rFonts w:ascii="Times New Roman" w:hAnsi="Times New Roman" w:cs="Times New Roman"/>
          <w:i/>
          <w:noProof/>
          <w:sz w:val="24"/>
          <w:szCs w:val="24"/>
        </w:rPr>
      </w:pPr>
      <w:r>
        <w:rPr>
          <w:rFonts w:ascii="Times New Roman" w:hAnsi="Times New Roman" w:cs="Times New Roman"/>
          <w:b/>
          <w:noProof/>
          <w:sz w:val="24"/>
          <w:szCs w:val="24"/>
        </w:rPr>
        <w:t>Bilateral agreements</w:t>
      </w:r>
      <w:r>
        <w:rPr>
          <w:rFonts w:ascii="Times New Roman" w:hAnsi="Times New Roman" w:cs="Times New Roman"/>
          <w:noProof/>
          <w:sz w:val="24"/>
          <w:szCs w:val="24"/>
        </w:rPr>
        <w:t>:</w:t>
      </w:r>
    </w:p>
    <w:p w:rsidR="001B65FF" w:rsidRDefault="003E4EF4">
      <w:pPr>
        <w:numPr>
          <w:ilvl w:val="1"/>
          <w:numId w:val="6"/>
        </w:numPr>
        <w:shd w:val="clear" w:color="auto" w:fill="FFFFFF"/>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Between the EU and non-EU countries, such as the 2000 Agreement on </w:t>
      </w:r>
      <w:r>
        <w:rPr>
          <w:rFonts w:ascii="Times New Roman" w:hAnsi="Times New Roman" w:cs="Times New Roman"/>
          <w:b/>
          <w:noProof/>
          <w:sz w:val="24"/>
          <w:szCs w:val="24"/>
        </w:rPr>
        <w:t>Mutual Legal Assistance between the EU and the US</w:t>
      </w:r>
      <w:r>
        <w:rPr>
          <w:rFonts w:ascii="Times New Roman" w:hAnsi="Times New Roman" w:cs="Times New Roman"/>
          <w:noProof/>
          <w:sz w:val="24"/>
          <w:szCs w:val="24"/>
          <w:vertAlign w:val="superscript"/>
        </w:rPr>
        <w:footnoteReference w:id="208"/>
      </w:r>
      <w:r>
        <w:rPr>
          <w:rFonts w:ascii="Times New Roman" w:hAnsi="Times New Roman" w:cs="Times New Roman"/>
          <w:noProof/>
          <w:sz w:val="24"/>
          <w:szCs w:val="24"/>
        </w:rPr>
        <w:t xml:space="preserve">. The EU-US </w:t>
      </w:r>
      <w:r>
        <w:rPr>
          <w:rFonts w:ascii="Times New Roman" w:hAnsi="Times New Roman" w:cs="Times New Roman"/>
          <w:b/>
          <w:noProof/>
          <w:sz w:val="24"/>
          <w:szCs w:val="24"/>
        </w:rPr>
        <w:t>Umbrella Agreement</w:t>
      </w:r>
      <w:r>
        <w:rPr>
          <w:rStyle w:val="FootnoteReference"/>
          <w:rFonts w:ascii="Times New Roman" w:hAnsi="Times New Roman" w:cs="Times New Roman"/>
          <w:b/>
          <w:noProof/>
          <w:sz w:val="24"/>
          <w:szCs w:val="24"/>
        </w:rPr>
        <w:footnoteReference w:id="209"/>
      </w:r>
      <w:r>
        <w:rPr>
          <w:rFonts w:ascii="Times New Roman" w:hAnsi="Times New Roman" w:cs="Times New Roman"/>
          <w:noProof/>
          <w:sz w:val="24"/>
          <w:szCs w:val="24"/>
        </w:rPr>
        <w:t xml:space="preserve"> complements existing EU-US and Member State –US agreements by a comprehensive high-level data protection framework for EU-US law enforcement cooperation. The </w:t>
      </w:r>
      <w:r>
        <w:rPr>
          <w:rFonts w:ascii="Times New Roman" w:hAnsi="Times New Roman" w:cs="Times New Roman"/>
          <w:b/>
          <w:noProof/>
          <w:sz w:val="24"/>
          <w:szCs w:val="24"/>
        </w:rPr>
        <w:t>EU-US Privacy Shield</w:t>
      </w:r>
      <w:r>
        <w:rPr>
          <w:rFonts w:ascii="Times New Roman" w:hAnsi="Times New Roman" w:cs="Times New Roman"/>
          <w:noProof/>
          <w:sz w:val="24"/>
          <w:szCs w:val="24"/>
          <w:vertAlign w:val="superscript"/>
        </w:rPr>
        <w:footnoteReference w:id="210"/>
      </w:r>
      <w:r>
        <w:rPr>
          <w:rFonts w:ascii="Times New Roman" w:hAnsi="Times New Roman" w:cs="Times New Roman"/>
          <w:noProof/>
          <w:sz w:val="24"/>
          <w:szCs w:val="24"/>
        </w:rPr>
        <w:t>, a data-sharing agreement which ensures the flow of personal information fo</w:t>
      </w:r>
      <w:r>
        <w:rPr>
          <w:rFonts w:ascii="Times New Roman" w:hAnsi="Times New Roman" w:cs="Times New Roman"/>
          <w:noProof/>
          <w:sz w:val="24"/>
          <w:szCs w:val="24"/>
        </w:rPr>
        <w:t>r commercial purposes across the Atlantic, is also relevant.</w:t>
      </w:r>
    </w:p>
    <w:p w:rsidR="001B65FF" w:rsidRDefault="003E4EF4">
      <w:pPr>
        <w:numPr>
          <w:ilvl w:val="1"/>
          <w:numId w:val="6"/>
        </w:numPr>
        <w:shd w:val="clear" w:color="auto" w:fill="FFFFFF"/>
        <w:spacing w:after="0"/>
        <w:jc w:val="both"/>
        <w:rPr>
          <w:rFonts w:ascii="Times New Roman" w:hAnsi="Times New Roman" w:cs="Times New Roman"/>
          <w:i/>
          <w:noProof/>
          <w:sz w:val="24"/>
          <w:szCs w:val="24"/>
        </w:rPr>
      </w:pPr>
      <w:r>
        <w:rPr>
          <w:rFonts w:ascii="Times New Roman" w:hAnsi="Times New Roman" w:cs="Times New Roman"/>
          <w:noProof/>
          <w:sz w:val="24"/>
          <w:szCs w:val="24"/>
        </w:rPr>
        <w:t xml:space="preserve">Between </w:t>
      </w:r>
      <w:r>
        <w:rPr>
          <w:rFonts w:ascii="Times New Roman" w:hAnsi="Times New Roman" w:cs="Times New Roman"/>
          <w:b/>
          <w:noProof/>
          <w:sz w:val="24"/>
          <w:szCs w:val="24"/>
        </w:rPr>
        <w:t>EU Member States and non-EU countries</w:t>
      </w:r>
      <w:r>
        <w:rPr>
          <w:rFonts w:ascii="Times New Roman" w:hAnsi="Times New Roman" w:cs="Times New Roman"/>
          <w:noProof/>
          <w:sz w:val="24"/>
          <w:szCs w:val="24"/>
        </w:rPr>
        <w:t xml:space="preserve"> </w:t>
      </w:r>
      <w:r>
        <w:rPr>
          <w:rFonts w:ascii="Times New Roman" w:hAnsi="Times New Roman" w:cs="Times New Roman"/>
          <w:b/>
          <w:noProof/>
          <w:sz w:val="24"/>
          <w:szCs w:val="24"/>
        </w:rPr>
        <w:t>on mutual legal assistance</w:t>
      </w:r>
      <w:r>
        <w:rPr>
          <w:rFonts w:ascii="Times New Roman" w:hAnsi="Times New Roman" w:cs="Times New Roman"/>
          <w:noProof/>
          <w:sz w:val="24"/>
          <w:szCs w:val="24"/>
        </w:rPr>
        <w:t>. A large number of them exist</w:t>
      </w:r>
      <w:r>
        <w:rPr>
          <w:rFonts w:ascii="Times New Roman" w:hAnsi="Times New Roman" w:cs="Times New Roman"/>
          <w:noProof/>
          <w:sz w:val="24"/>
          <w:szCs w:val="24"/>
          <w:vertAlign w:val="superscript"/>
        </w:rPr>
        <w:footnoteReference w:id="211"/>
      </w:r>
      <w:r>
        <w:rPr>
          <w:rFonts w:ascii="Times New Roman" w:hAnsi="Times New Roman" w:cs="Times New Roman"/>
          <w:noProof/>
          <w:sz w:val="24"/>
          <w:szCs w:val="24"/>
        </w:rPr>
        <w:t>.</w:t>
      </w:r>
    </w:p>
    <w:p w:rsidR="001B65FF" w:rsidRDefault="003E4EF4">
      <w:pPr>
        <w:shd w:val="clear" w:color="auto" w:fill="FFFFFF"/>
        <w:spacing w:after="0"/>
        <w:ind w:left="1440"/>
        <w:jc w:val="both"/>
        <w:rPr>
          <w:rFonts w:ascii="Times New Roman" w:hAnsi="Times New Roman" w:cs="Times New Roman"/>
          <w:noProof/>
          <w:sz w:val="24"/>
          <w:szCs w:val="24"/>
        </w:rPr>
      </w:pPr>
      <w:r>
        <w:rPr>
          <w:rFonts w:ascii="Times New Roman" w:hAnsi="Times New Roman" w:cs="Times New Roman"/>
          <w:noProof/>
          <w:sz w:val="24"/>
          <w:szCs w:val="24"/>
        </w:rPr>
        <w:t xml:space="preserve">It has been reported that the </w:t>
      </w:r>
      <w:r>
        <w:rPr>
          <w:rFonts w:ascii="Times New Roman" w:hAnsi="Times New Roman" w:cs="Times New Roman"/>
          <w:b/>
          <w:noProof/>
          <w:sz w:val="24"/>
          <w:szCs w:val="24"/>
        </w:rPr>
        <w:t>UK and the US</w:t>
      </w:r>
      <w:r>
        <w:rPr>
          <w:rFonts w:ascii="Times New Roman" w:hAnsi="Times New Roman" w:cs="Times New Roman"/>
          <w:noProof/>
          <w:sz w:val="24"/>
          <w:szCs w:val="24"/>
        </w:rPr>
        <w:t xml:space="preserve"> are currently negotiating a bilateral agreemen</w:t>
      </w:r>
      <w:r>
        <w:rPr>
          <w:rFonts w:ascii="Times New Roman" w:hAnsi="Times New Roman" w:cs="Times New Roman"/>
          <w:noProof/>
          <w:sz w:val="24"/>
          <w:szCs w:val="24"/>
        </w:rPr>
        <w:t>t that would permit UK-based law enforcement to request stored communications and live intercepts directly from US-based providers, including content data, as an alternative to MLAT (on a reciprocal basis).</w:t>
      </w:r>
      <w:r>
        <w:rPr>
          <w:rFonts w:ascii="Times New Roman" w:hAnsi="Times New Roman" w:cs="Times New Roman"/>
          <w:noProof/>
          <w:sz w:val="24"/>
          <w:szCs w:val="24"/>
          <w:vertAlign w:val="superscript"/>
        </w:rPr>
        <w:footnoteReference w:id="212"/>
      </w:r>
    </w:p>
    <w:p w:rsidR="001B65FF" w:rsidRDefault="001B65FF">
      <w:pPr>
        <w:shd w:val="clear" w:color="auto" w:fill="FFFFFF"/>
        <w:spacing w:after="0"/>
        <w:ind w:left="1440"/>
        <w:jc w:val="both"/>
        <w:rPr>
          <w:rFonts w:ascii="Times New Roman" w:hAnsi="Times New Roman" w:cs="Times New Roman"/>
          <w:noProof/>
          <w:sz w:val="24"/>
          <w:szCs w:val="24"/>
        </w:rPr>
      </w:pPr>
    </w:p>
    <w:p w:rsidR="001B65FF" w:rsidRDefault="003E4EF4">
      <w:pPr>
        <w:pStyle w:val="Heading2"/>
        <w:numPr>
          <w:ilvl w:val="0"/>
          <w:numId w:val="171"/>
        </w:numPr>
        <w:rPr>
          <w:rFonts w:ascii="Times New Roman" w:hAnsi="Times New Roman" w:cs="Times New Roman"/>
          <w:noProof/>
          <w:sz w:val="24"/>
        </w:rPr>
      </w:pPr>
      <w:bookmarkStart w:id="2186" w:name="_Toc498509843"/>
      <w:bookmarkStart w:id="2187" w:name="_Toc498518129"/>
      <w:bookmarkStart w:id="2188" w:name="_Toc498521185"/>
      <w:bookmarkStart w:id="2189" w:name="_Toc498521345"/>
      <w:bookmarkStart w:id="2190" w:name="_Toc498702007"/>
      <w:bookmarkStart w:id="2191" w:name="_Toc498704739"/>
      <w:bookmarkStart w:id="2192" w:name="_Toc499020494"/>
      <w:bookmarkStart w:id="2193" w:name="_Toc499030428"/>
      <w:bookmarkStart w:id="2194" w:name="_Toc499044970"/>
      <w:bookmarkStart w:id="2195" w:name="_Toc499051386"/>
      <w:bookmarkStart w:id="2196" w:name="_Toc499130068"/>
      <w:bookmarkStart w:id="2197" w:name="_Toc499133346"/>
      <w:bookmarkStart w:id="2198" w:name="_Toc499142917"/>
      <w:bookmarkStart w:id="2199" w:name="_Toc499143362"/>
      <w:bookmarkStart w:id="2200" w:name="_Toc510952912"/>
      <w:r>
        <w:rPr>
          <w:rFonts w:ascii="Times New Roman" w:hAnsi="Times New Roman" w:cs="Times New Roman"/>
          <w:noProof/>
          <w:sz w:val="24"/>
        </w:rPr>
        <w:t>National law</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rsidR="001B65FF" w:rsidRDefault="003E4EF4">
      <w:pPr>
        <w:numPr>
          <w:ilvl w:val="0"/>
          <w:numId w:val="6"/>
        </w:numPr>
        <w:shd w:val="clear" w:color="auto" w:fill="FFFFFF"/>
        <w:spacing w:after="0"/>
        <w:contextualSpacing/>
        <w:jc w:val="both"/>
        <w:rPr>
          <w:rFonts w:ascii="Times New Roman" w:hAnsi="Times New Roman" w:cs="Times New Roman"/>
          <w:noProof/>
          <w:sz w:val="24"/>
          <w:szCs w:val="24"/>
        </w:rPr>
      </w:pPr>
      <w:r>
        <w:rPr>
          <w:rFonts w:ascii="Times New Roman" w:hAnsi="Times New Roman" w:cs="Times New Roman"/>
          <w:b/>
          <w:noProof/>
          <w:sz w:val="24"/>
          <w:szCs w:val="24"/>
        </w:rPr>
        <w:t>Of Member States</w:t>
      </w:r>
      <w:r>
        <w:rPr>
          <w:rFonts w:ascii="Times New Roman" w:hAnsi="Times New Roman" w:cs="Times New Roman"/>
          <w:noProof/>
          <w:sz w:val="24"/>
          <w:szCs w:val="24"/>
        </w:rPr>
        <w:t>, since some of th</w:t>
      </w:r>
      <w:r>
        <w:rPr>
          <w:rFonts w:ascii="Times New Roman" w:hAnsi="Times New Roman" w:cs="Times New Roman"/>
          <w:noProof/>
          <w:sz w:val="24"/>
          <w:szCs w:val="24"/>
        </w:rPr>
        <w:t xml:space="preserve">em have adopted national provisions to facilitate cross-border access to electronic evidence, for example through </w:t>
      </w:r>
      <w:r>
        <w:rPr>
          <w:rFonts w:ascii="Times New Roman" w:hAnsi="Times New Roman" w:cs="Times New Roman"/>
          <w:b/>
          <w:noProof/>
          <w:sz w:val="24"/>
          <w:szCs w:val="24"/>
        </w:rPr>
        <w:t>direct access</w:t>
      </w:r>
      <w:r>
        <w:rPr>
          <w:rFonts w:ascii="Times New Roman" w:hAnsi="Times New Roman" w:cs="Times New Roman"/>
          <w:noProof/>
          <w:sz w:val="24"/>
          <w:szCs w:val="24"/>
        </w:rPr>
        <w:t xml:space="preserve"> (see section 2).</w:t>
      </w:r>
    </w:p>
    <w:p w:rsidR="001B65FF" w:rsidRDefault="003E4EF4">
      <w:pPr>
        <w:numPr>
          <w:ilvl w:val="0"/>
          <w:numId w:val="6"/>
        </w:numPr>
        <w:shd w:val="clear" w:color="auto" w:fill="FFFFFF"/>
        <w:spacing w:after="0"/>
        <w:contextualSpacing/>
        <w:jc w:val="both"/>
        <w:rPr>
          <w:rFonts w:ascii="Times New Roman" w:hAnsi="Times New Roman" w:cs="Times New Roman"/>
          <w:noProof/>
          <w:sz w:val="24"/>
          <w:szCs w:val="24"/>
        </w:rPr>
      </w:pPr>
      <w:r>
        <w:rPr>
          <w:rFonts w:ascii="Times New Roman" w:hAnsi="Times New Roman" w:cs="Times New Roman"/>
          <w:b/>
          <w:noProof/>
          <w:sz w:val="24"/>
          <w:szCs w:val="24"/>
        </w:rPr>
        <w:t>Of non-EU countries</w:t>
      </w:r>
      <w:r>
        <w:rPr>
          <w:rFonts w:ascii="Times New Roman" w:hAnsi="Times New Roman" w:cs="Times New Roman"/>
          <w:noProof/>
          <w:sz w:val="24"/>
          <w:szCs w:val="24"/>
        </w:rPr>
        <w:t xml:space="preserve">: since many of the service providers whose cooperation is required to obtain certain types </w:t>
      </w:r>
      <w:r>
        <w:rPr>
          <w:rFonts w:ascii="Times New Roman" w:hAnsi="Times New Roman" w:cs="Times New Roman"/>
          <w:noProof/>
          <w:sz w:val="24"/>
          <w:szCs w:val="24"/>
        </w:rPr>
        <w:t xml:space="preserve">of electronic evidence are headquartered in the US or other non-EU countries, the internal legal framework of those non-EU countries is also relevant in this context. In particular, the national </w:t>
      </w:r>
      <w:r>
        <w:rPr>
          <w:rFonts w:ascii="Times New Roman" w:hAnsi="Times New Roman" w:cs="Times New Roman"/>
          <w:b/>
          <w:noProof/>
          <w:sz w:val="24"/>
          <w:szCs w:val="24"/>
        </w:rPr>
        <w:t>US law</w:t>
      </w:r>
      <w:r>
        <w:rPr>
          <w:rFonts w:ascii="Times New Roman" w:hAnsi="Times New Roman" w:cs="Times New Roman"/>
          <w:noProof/>
          <w:sz w:val="24"/>
          <w:szCs w:val="24"/>
        </w:rPr>
        <w:t xml:space="preserve"> of relevance includes: </w:t>
      </w:r>
    </w:p>
    <w:p w:rsidR="001B65FF" w:rsidRDefault="003E4EF4">
      <w:pPr>
        <w:numPr>
          <w:ilvl w:val="0"/>
          <w:numId w:val="24"/>
        </w:numPr>
        <w:shd w:val="clear" w:color="auto" w:fill="FFFFFF"/>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Electronic Communications </w:t>
      </w:r>
      <w:r>
        <w:rPr>
          <w:rFonts w:ascii="Times New Roman" w:hAnsi="Times New Roman" w:cs="Times New Roman"/>
          <w:noProof/>
          <w:sz w:val="24"/>
          <w:szCs w:val="24"/>
        </w:rPr>
        <w:t>Privacy Act of 1986</w:t>
      </w:r>
      <w:r>
        <w:rPr>
          <w:rFonts w:ascii="Times New Roman" w:hAnsi="Times New Roman" w:cs="Times New Roman"/>
          <w:noProof/>
          <w:sz w:val="24"/>
          <w:szCs w:val="24"/>
          <w:vertAlign w:val="superscript"/>
        </w:rPr>
        <w:footnoteReference w:id="213"/>
      </w:r>
      <w:r>
        <w:rPr>
          <w:rFonts w:ascii="Times New Roman" w:hAnsi="Times New Roman" w:cs="Times New Roman"/>
          <w:noProof/>
          <w:sz w:val="24"/>
          <w:szCs w:val="24"/>
        </w:rPr>
        <w:t xml:space="preserve"> ;</w:t>
      </w:r>
    </w:p>
    <w:p w:rsidR="001B65FF" w:rsidRDefault="003E4EF4">
      <w:pPr>
        <w:numPr>
          <w:ilvl w:val="0"/>
          <w:numId w:val="24"/>
        </w:numPr>
        <w:shd w:val="clear" w:color="auto" w:fill="FFFFFF"/>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a proposal put forward by the US Department of Justice in 2016 and 2017</w:t>
      </w:r>
      <w:r>
        <w:rPr>
          <w:rFonts w:ascii="Times New Roman" w:hAnsi="Times New Roman" w:cs="Times New Roman"/>
          <w:noProof/>
          <w:sz w:val="24"/>
          <w:szCs w:val="24"/>
          <w:vertAlign w:val="superscript"/>
        </w:rPr>
        <w:footnoteReference w:id="214"/>
      </w:r>
      <w:r>
        <w:rPr>
          <w:rFonts w:ascii="Times New Roman" w:hAnsi="Times New Roman" w:cs="Times New Roman"/>
          <w:noProof/>
          <w:sz w:val="24"/>
          <w:szCs w:val="24"/>
        </w:rPr>
        <w:t xml:space="preserve"> to improve the current access to e-evidence</w:t>
      </w:r>
      <w:r>
        <w:rPr>
          <w:rStyle w:val="FootnoteReference"/>
          <w:rFonts w:ascii="Times New Roman" w:hAnsi="Times New Roman" w:cs="Times New Roman"/>
          <w:noProof/>
          <w:sz w:val="24"/>
          <w:szCs w:val="24"/>
        </w:rPr>
        <w:footnoteReference w:id="215"/>
      </w:r>
      <w:r>
        <w:rPr>
          <w:rFonts w:ascii="Times New Roman" w:hAnsi="Times New Roman" w:cs="Times New Roman"/>
          <w:noProof/>
          <w:sz w:val="24"/>
          <w:szCs w:val="24"/>
        </w:rPr>
        <w:t xml:space="preserve"> (see Annex 10); </w:t>
      </w:r>
    </w:p>
    <w:p w:rsidR="001B65FF" w:rsidRDefault="003E4EF4">
      <w:pPr>
        <w:numPr>
          <w:ilvl w:val="0"/>
          <w:numId w:val="24"/>
        </w:numPr>
        <w:shd w:val="clear" w:color="auto" w:fill="FFFFFF"/>
        <w:spacing w:after="0"/>
        <w:contextualSpacing/>
        <w:jc w:val="both"/>
        <w:rPr>
          <w:rFonts w:ascii="Times New Roman" w:hAnsi="Times New Roman" w:cs="Times New Roman"/>
          <w:noProof/>
          <w:sz w:val="24"/>
          <w:szCs w:val="24"/>
        </w:rPr>
      </w:pPr>
      <w:r>
        <w:rPr>
          <w:rFonts w:ascii="Times New Roman" w:hAnsi="Times New Roman" w:cs="Times New Roman"/>
          <w:noProof/>
          <w:sz w:val="24"/>
          <w:lang w:eastAsia="en-GB"/>
        </w:rPr>
        <w:t>the International Communications Privacy Act</w:t>
      </w:r>
      <w:r>
        <w:rPr>
          <w:rFonts w:ascii="Times New Roman" w:hAnsi="Times New Roman" w:cs="Times New Roman"/>
          <w:noProof/>
          <w:sz w:val="24"/>
          <w:vertAlign w:val="superscript"/>
          <w:lang w:eastAsia="en-GB"/>
        </w:rPr>
        <w:footnoteReference w:id="216"/>
      </w:r>
      <w:r>
        <w:rPr>
          <w:rFonts w:ascii="Times New Roman" w:hAnsi="Times New Roman" w:cs="Times New Roman"/>
          <w:noProof/>
          <w:sz w:val="24"/>
          <w:lang w:eastAsia="en-GB"/>
        </w:rPr>
        <w:t xml:space="preserve">, a bipartisan proposal that aims to clarify US law </w:t>
      </w:r>
      <w:r>
        <w:rPr>
          <w:rFonts w:ascii="Times New Roman" w:hAnsi="Times New Roman" w:cs="Times New Roman"/>
          <w:noProof/>
          <w:sz w:val="24"/>
          <w:lang w:eastAsia="en-GB"/>
        </w:rPr>
        <w:t>enforcement’s ability to obtain e-evidence while respecting privacy laws of other countries.</w:t>
      </w:r>
    </w:p>
    <w:p w:rsidR="001B65FF" w:rsidRDefault="003E4EF4">
      <w:pPr>
        <w:pStyle w:val="Heading2"/>
        <w:numPr>
          <w:ilvl w:val="0"/>
          <w:numId w:val="171"/>
        </w:numPr>
        <w:rPr>
          <w:rFonts w:ascii="Times New Roman" w:hAnsi="Times New Roman" w:cs="Times New Roman"/>
          <w:noProof/>
          <w:sz w:val="24"/>
        </w:rPr>
      </w:pPr>
      <w:bookmarkStart w:id="2201" w:name="_Toc498509844"/>
      <w:bookmarkStart w:id="2202" w:name="_Toc498518130"/>
      <w:bookmarkStart w:id="2203" w:name="_Toc498521186"/>
      <w:bookmarkStart w:id="2204" w:name="_Toc498521346"/>
      <w:bookmarkStart w:id="2205" w:name="_Toc498702008"/>
      <w:bookmarkStart w:id="2206" w:name="_Toc498704740"/>
      <w:bookmarkStart w:id="2207" w:name="_Toc499020495"/>
      <w:bookmarkStart w:id="2208" w:name="_Toc499030429"/>
      <w:bookmarkStart w:id="2209" w:name="_Toc499044971"/>
      <w:bookmarkStart w:id="2210" w:name="_Toc499051387"/>
      <w:bookmarkStart w:id="2211" w:name="_Toc499130069"/>
      <w:bookmarkStart w:id="2212" w:name="_Toc499133347"/>
      <w:bookmarkStart w:id="2213" w:name="_Toc499142918"/>
      <w:bookmarkStart w:id="2214" w:name="_Toc499143363"/>
      <w:bookmarkStart w:id="2215" w:name="_Toc510952913"/>
      <w:r>
        <w:rPr>
          <w:rFonts w:ascii="Times New Roman" w:hAnsi="Times New Roman" w:cs="Times New Roman"/>
          <w:noProof/>
          <w:sz w:val="24"/>
        </w:rPr>
        <w:t>EU policy</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p w:rsidR="001B65FF" w:rsidRDefault="003E4EF4">
      <w:pPr>
        <w:spacing w:before="240" w:after="0"/>
        <w:contextualSpacing/>
        <w:jc w:val="both"/>
        <w:rPr>
          <w:rFonts w:ascii="Times New Roman" w:hAnsi="Times New Roman" w:cs="Times New Roman"/>
          <w:bCs/>
          <w:noProof/>
          <w:sz w:val="24"/>
          <w:lang w:eastAsia="en-GB"/>
        </w:rPr>
      </w:pPr>
      <w:r>
        <w:rPr>
          <w:rFonts w:ascii="Times New Roman" w:eastAsia="Times New Roman" w:hAnsi="Times New Roman" w:cs="Times New Roman"/>
          <w:noProof/>
          <w:sz w:val="24"/>
          <w:szCs w:val="20"/>
        </w:rPr>
        <w:t>In addition to the above legislative instruments, three important EU policies are key</w:t>
      </w:r>
      <w:r>
        <w:rPr>
          <w:rFonts w:ascii="Times New Roman" w:hAnsi="Times New Roman" w:cs="Times New Roman"/>
          <w:bCs/>
          <w:noProof/>
          <w:sz w:val="24"/>
          <w:lang w:eastAsia="en-GB"/>
        </w:rPr>
        <w:t xml:space="preserve"> to understand the context of improving cross-border access to e-evi</w:t>
      </w:r>
      <w:r>
        <w:rPr>
          <w:rFonts w:ascii="Times New Roman" w:hAnsi="Times New Roman" w:cs="Times New Roman"/>
          <w:bCs/>
          <w:noProof/>
          <w:sz w:val="24"/>
          <w:lang w:eastAsia="en-GB"/>
        </w:rPr>
        <w:t>dence:</w:t>
      </w:r>
    </w:p>
    <w:p w:rsidR="001B65FF" w:rsidRDefault="003E4EF4">
      <w:pPr>
        <w:numPr>
          <w:ilvl w:val="0"/>
          <w:numId w:val="7"/>
        </w:numPr>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the </w:t>
      </w:r>
      <w:r>
        <w:rPr>
          <w:rFonts w:ascii="Times New Roman" w:hAnsi="Times New Roman" w:cs="Times New Roman"/>
          <w:b/>
          <w:bCs/>
          <w:noProof/>
          <w:sz w:val="24"/>
          <w:lang w:eastAsia="en-GB"/>
        </w:rPr>
        <w:t>European Agenda on Security</w:t>
      </w:r>
      <w:r>
        <w:rPr>
          <w:rFonts w:ascii="Times New Roman" w:hAnsi="Times New Roman" w:cs="Times New Roman"/>
          <w:noProof/>
          <w:sz w:val="24"/>
          <w:vertAlign w:val="superscript"/>
          <w:lang w:eastAsia="en-GB"/>
        </w:rPr>
        <w:footnoteReference w:id="217"/>
      </w:r>
      <w:r>
        <w:rPr>
          <w:rFonts w:ascii="Times New Roman" w:hAnsi="Times New Roman" w:cs="Times New Roman"/>
          <w:bCs/>
          <w:noProof/>
          <w:sz w:val="24"/>
          <w:lang w:eastAsia="en-GB"/>
        </w:rPr>
        <w:t xml:space="preserve">, which sets out the principles for EU action to respond effectively to security threats and the main steps planned by the European Commission to implement these, and identifies the 3 priorities for immediate action, </w:t>
      </w:r>
      <w:r>
        <w:rPr>
          <w:rFonts w:ascii="Times New Roman" w:hAnsi="Times New Roman" w:cs="Times New Roman"/>
          <w:bCs/>
          <w:noProof/>
          <w:sz w:val="24"/>
          <w:lang w:eastAsia="en-GB"/>
        </w:rPr>
        <w:t>by both national governments and the EU institutions, which share responsibility for EU security: 1) preventing terrorism and countering radicalisation; 2) fighting organised crime; 3) fighting cybercrime.</w:t>
      </w:r>
    </w:p>
    <w:p w:rsidR="001B65FF" w:rsidRDefault="003E4EF4">
      <w:pPr>
        <w:numPr>
          <w:ilvl w:val="0"/>
          <w:numId w:val="7"/>
        </w:numPr>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the </w:t>
      </w:r>
      <w:r>
        <w:rPr>
          <w:rFonts w:ascii="Times New Roman" w:hAnsi="Times New Roman" w:cs="Times New Roman"/>
          <w:b/>
          <w:bCs/>
          <w:noProof/>
          <w:sz w:val="24"/>
          <w:lang w:eastAsia="en-GB"/>
        </w:rPr>
        <w:t>EU Cybersecurity Strategy</w:t>
      </w:r>
      <w:r>
        <w:rPr>
          <w:rFonts w:ascii="Times New Roman" w:hAnsi="Times New Roman" w:cs="Times New Roman"/>
          <w:bCs/>
          <w:noProof/>
          <w:sz w:val="24"/>
          <w:vertAlign w:val="superscript"/>
          <w:lang w:eastAsia="en-GB"/>
        </w:rPr>
        <w:footnoteReference w:id="218"/>
      </w:r>
      <w:r>
        <w:rPr>
          <w:rFonts w:ascii="Times New Roman" w:hAnsi="Times New Roman" w:cs="Times New Roman"/>
          <w:bCs/>
          <w:noProof/>
          <w:sz w:val="24"/>
          <w:lang w:eastAsia="en-GB"/>
        </w:rPr>
        <w:t xml:space="preserve">, which aims at </w:t>
      </w:r>
      <w:r>
        <w:rPr>
          <w:rFonts w:ascii="Times New Roman" w:hAnsi="Times New Roman" w:cs="Times New Roman"/>
          <w:bCs/>
          <w:noProof/>
          <w:sz w:val="24"/>
          <w:lang w:eastAsia="en-GB"/>
        </w:rPr>
        <w:t>creating the world’s most secure online environment in the EU, by providing for partnerships with the private sector and non-governmental organisations or interest groups, and concrete action to protect and promote citizens’ rights. This strategy was reinf</w:t>
      </w:r>
      <w:r>
        <w:rPr>
          <w:rFonts w:ascii="Times New Roman" w:hAnsi="Times New Roman" w:cs="Times New Roman"/>
          <w:bCs/>
          <w:noProof/>
          <w:sz w:val="24"/>
          <w:lang w:eastAsia="en-GB"/>
        </w:rPr>
        <w:t>orced with the adoption of the Cybersecurity Package in September 2017</w:t>
      </w:r>
      <w:r>
        <w:rPr>
          <w:rFonts w:ascii="Times New Roman" w:hAnsi="Times New Roman" w:cs="Times New Roman"/>
          <w:bCs/>
          <w:noProof/>
          <w:sz w:val="24"/>
          <w:vertAlign w:val="superscript"/>
          <w:lang w:eastAsia="en-GB"/>
        </w:rPr>
        <w:footnoteReference w:id="219"/>
      </w:r>
      <w:r>
        <w:rPr>
          <w:rFonts w:ascii="Times New Roman" w:hAnsi="Times New Roman" w:cs="Times New Roman"/>
          <w:bCs/>
          <w:noProof/>
          <w:sz w:val="24"/>
          <w:lang w:eastAsia="en-GB"/>
        </w:rPr>
        <w:t>, which included a proposal for an EU Cybersecurity Agency, proposals to step up EU’s cybersecurity capacity and proposals to create an effective criminal law response. It also highligh</w:t>
      </w:r>
      <w:r>
        <w:rPr>
          <w:rFonts w:ascii="Times New Roman" w:hAnsi="Times New Roman" w:cs="Times New Roman"/>
          <w:bCs/>
          <w:noProof/>
          <w:sz w:val="24"/>
          <w:lang w:eastAsia="en-GB"/>
        </w:rPr>
        <w:t>ted the availability and accuracy of WHOIS data as a key priority</w:t>
      </w:r>
      <w:r>
        <w:rPr>
          <w:rStyle w:val="FootnoteReference"/>
          <w:rFonts w:ascii="Times New Roman" w:hAnsi="Times New Roman" w:cs="Times New Roman"/>
          <w:bCs/>
          <w:noProof/>
          <w:sz w:val="24"/>
          <w:lang w:eastAsia="en-GB"/>
        </w:rPr>
        <w:footnoteReference w:id="220"/>
      </w:r>
      <w:r>
        <w:rPr>
          <w:rFonts w:ascii="Times New Roman" w:hAnsi="Times New Roman" w:cs="Times New Roman"/>
          <w:bCs/>
          <w:noProof/>
          <w:sz w:val="24"/>
          <w:lang w:eastAsia="en-GB"/>
        </w:rPr>
        <w:t xml:space="preserve">. </w:t>
      </w:r>
    </w:p>
    <w:p w:rsidR="001B65FF" w:rsidRDefault="003E4EF4">
      <w:pPr>
        <w:numPr>
          <w:ilvl w:val="0"/>
          <w:numId w:val="7"/>
        </w:numPr>
        <w:contextualSpacing/>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the </w:t>
      </w:r>
      <w:r>
        <w:rPr>
          <w:rFonts w:ascii="Times New Roman" w:hAnsi="Times New Roman" w:cs="Times New Roman"/>
          <w:b/>
          <w:bCs/>
          <w:noProof/>
          <w:sz w:val="24"/>
          <w:lang w:eastAsia="en-GB"/>
        </w:rPr>
        <w:t>Digital Single Market Strategy</w:t>
      </w:r>
      <w:r>
        <w:rPr>
          <w:rFonts w:ascii="Times New Roman" w:hAnsi="Times New Roman" w:cs="Times New Roman"/>
          <w:bCs/>
          <w:noProof/>
          <w:sz w:val="24"/>
          <w:vertAlign w:val="superscript"/>
          <w:lang w:eastAsia="en-GB"/>
        </w:rPr>
        <w:footnoteReference w:id="221"/>
      </w:r>
      <w:r>
        <w:rPr>
          <w:rFonts w:ascii="Times New Roman" w:hAnsi="Times New Roman" w:cs="Times New Roman"/>
          <w:bCs/>
          <w:noProof/>
          <w:sz w:val="24"/>
          <w:lang w:eastAsia="en-GB"/>
        </w:rPr>
        <w:t>, which sets out 16 targeted actions based on 3 pillars: 1) Better access for consumers to digital goods and services across Europe, 2) Creating the rig</w:t>
      </w:r>
      <w:r>
        <w:rPr>
          <w:rFonts w:ascii="Times New Roman" w:hAnsi="Times New Roman" w:cs="Times New Roman"/>
          <w:bCs/>
          <w:noProof/>
          <w:sz w:val="24"/>
          <w:lang w:eastAsia="en-GB"/>
        </w:rPr>
        <w:t>ht conditions and a level playing field for digital networks and innovative services to flourish and 3)</w:t>
      </w:r>
      <w:r>
        <w:rPr>
          <w:rFonts w:ascii="Times New Roman" w:hAnsi="Times New Roman" w:cs="Times New Roman"/>
          <w:noProof/>
        </w:rPr>
        <w:t xml:space="preserve"> </w:t>
      </w:r>
      <w:r>
        <w:rPr>
          <w:rFonts w:ascii="Times New Roman" w:hAnsi="Times New Roman" w:cs="Times New Roman"/>
          <w:bCs/>
          <w:noProof/>
          <w:sz w:val="24"/>
          <w:lang w:eastAsia="en-GB"/>
        </w:rPr>
        <w:t xml:space="preserve">Maximising the growth potential of the digital economy. </w:t>
      </w:r>
    </w:p>
    <w:p w:rsidR="001B65FF" w:rsidRDefault="001B65FF">
      <w:pPr>
        <w:spacing w:after="0"/>
        <w:ind w:left="270"/>
        <w:jc w:val="both"/>
        <w:rPr>
          <w:rFonts w:ascii="Times New Roman" w:hAnsi="Times New Roman" w:cs="Times New Roman"/>
          <w:noProof/>
          <w:sz w:val="24"/>
          <w:lang w:eastAsia="en-GB"/>
        </w:rPr>
      </w:pPr>
    </w:p>
    <w:p w:rsidR="001B65FF" w:rsidRDefault="003E4EF4">
      <w:pPr>
        <w:spacing w:after="0"/>
        <w:ind w:left="270"/>
        <w:jc w:val="both"/>
        <w:rPr>
          <w:rFonts w:ascii="Times New Roman" w:eastAsia="Times New Roman" w:hAnsi="Times New Roman" w:cs="Times New Roman"/>
          <w:noProof/>
          <w:sz w:val="24"/>
          <w:szCs w:val="24"/>
        </w:rPr>
      </w:pPr>
      <w:r>
        <w:rPr>
          <w:rFonts w:ascii="Times New Roman" w:hAnsi="Times New Roman" w:cs="Times New Roman"/>
          <w:noProof/>
          <w:sz w:val="24"/>
          <w:lang w:eastAsia="en-GB"/>
        </w:rPr>
        <w:t xml:space="preserve">On </w:t>
      </w:r>
      <w:r>
        <w:rPr>
          <w:rFonts w:ascii="Times New Roman" w:hAnsi="Times New Roman" w:cs="Times New Roman"/>
          <w:b/>
          <w:noProof/>
          <w:sz w:val="24"/>
          <w:lang w:eastAsia="en-GB"/>
        </w:rPr>
        <w:t>encryption</w:t>
      </w:r>
      <w:r>
        <w:rPr>
          <w:rFonts w:ascii="Times New Roman" w:hAnsi="Times New Roman" w:cs="Times New Roman"/>
          <w:noProof/>
          <w:sz w:val="24"/>
          <w:lang w:eastAsia="en-GB"/>
        </w:rPr>
        <w:t xml:space="preserve">, the Commission proposed in October 2017 a set of measures to support law enforcement in addressing the </w:t>
      </w:r>
      <w:r>
        <w:rPr>
          <w:rFonts w:ascii="Times New Roman" w:eastAsia="Times New Roman" w:hAnsi="Times New Roman" w:cs="Times New Roman"/>
          <w:noProof/>
          <w:sz w:val="24"/>
          <w:szCs w:val="24"/>
        </w:rPr>
        <w:t>challenges posed by the use of encryption by criminals, following consultations on technical and legal aspects with relevant stakeholders</w:t>
      </w:r>
      <w:r>
        <w:rPr>
          <w:rFonts w:ascii="Times New Roman" w:eastAsia="Times New Roman" w:hAnsi="Times New Roman" w:cs="Times New Roman"/>
          <w:noProof/>
          <w:sz w:val="24"/>
          <w:szCs w:val="24"/>
          <w:vertAlign w:val="superscript"/>
        </w:rPr>
        <w:footnoteReference w:id="222"/>
      </w:r>
      <w:r>
        <w:rPr>
          <w:rFonts w:ascii="Times New Roman" w:eastAsia="Times New Roman" w:hAnsi="Times New Roman" w:cs="Times New Roman"/>
          <w:noProof/>
          <w:sz w:val="24"/>
          <w:szCs w:val="24"/>
        </w:rPr>
        <w:t>. These inclu</w:t>
      </w:r>
      <w:r>
        <w:rPr>
          <w:rFonts w:ascii="Times New Roman" w:eastAsia="Times New Roman" w:hAnsi="Times New Roman" w:cs="Times New Roman"/>
          <w:noProof/>
          <w:sz w:val="24"/>
          <w:szCs w:val="24"/>
        </w:rPr>
        <w:t>ded experts from Europol, Eurojust, the European Judicial Cybercrime Network (EJCN), the European Union Agency for Network and Information Security (ENISA), the European Union Agency for Fundamental Rights (FRA) and Member States' law enforcement agencies,</w:t>
      </w:r>
      <w:r>
        <w:rPr>
          <w:rFonts w:ascii="Times New Roman" w:eastAsia="Times New Roman" w:hAnsi="Times New Roman" w:cs="Times New Roman"/>
          <w:noProof/>
          <w:sz w:val="24"/>
          <w:szCs w:val="24"/>
        </w:rPr>
        <w:t xml:space="preserve"> industry and civil society organisations. </w:t>
      </w:r>
    </w:p>
    <w:p w:rsidR="001B65FF" w:rsidRDefault="003E4EF4">
      <w:pPr>
        <w:spacing w:before="240" w:after="0"/>
        <w:ind w:left="27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Two sets of measures were proposed to support law enforcement in addressing the encryption challenges, without </w:t>
      </w:r>
      <w:r>
        <w:rPr>
          <w:rFonts w:ascii="Times New Roman" w:eastAsia="Times New Roman" w:hAnsi="Times New Roman" w:cs="Times New Roman"/>
          <w:b/>
          <w:noProof/>
          <w:sz w:val="24"/>
          <w:szCs w:val="24"/>
        </w:rPr>
        <w:t>prohibiting, limiting or weakening encryption</w:t>
      </w:r>
      <w:r>
        <w:rPr>
          <w:rFonts w:ascii="Times New Roman" w:eastAsia="Times New Roman" w:hAnsi="Times New Roman" w:cs="Times New Roman"/>
          <w:noProof/>
          <w:sz w:val="24"/>
          <w:szCs w:val="24"/>
        </w:rPr>
        <w:t xml:space="preserve"> (e.g. no “backdoors”):</w:t>
      </w:r>
    </w:p>
    <w:p w:rsidR="001B65FF" w:rsidRDefault="003E4EF4">
      <w:pPr>
        <w:numPr>
          <w:ilvl w:val="0"/>
          <w:numId w:val="39"/>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Legal framework for cross-border</w:t>
      </w:r>
      <w:r>
        <w:rPr>
          <w:rFonts w:ascii="Times New Roman" w:hAnsi="Times New Roman" w:cs="Times New Roman"/>
          <w:noProof/>
          <w:sz w:val="24"/>
          <w:lang w:eastAsia="en-GB"/>
        </w:rPr>
        <w:t xml:space="preserve"> access to electronic evidence (i.e. the initiative addressed in this impact assessment), including a set of practical measures to facilitate access.</w:t>
      </w:r>
    </w:p>
    <w:p w:rsidR="001B65FF" w:rsidRDefault="003E4EF4">
      <w:pPr>
        <w:numPr>
          <w:ilvl w:val="0"/>
          <w:numId w:val="39"/>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Technical measures, including supporting Europol to develop its decryption capability, setting up a networ</w:t>
      </w:r>
      <w:r>
        <w:rPr>
          <w:rFonts w:ascii="Times New Roman" w:hAnsi="Times New Roman" w:cs="Times New Roman"/>
          <w:noProof/>
          <w:sz w:val="24"/>
          <w:lang w:eastAsia="en-GB"/>
        </w:rPr>
        <w:t>k of points of expertise in Member States to exchange decryption techniques, facilitating dialogue with service providers and providing training programs for public authorities.</w:t>
      </w:r>
    </w:p>
    <w:p w:rsidR="001B65FF" w:rsidRDefault="003E4EF4">
      <w:pPr>
        <w:ind w:left="270"/>
        <w:jc w:val="both"/>
        <w:rPr>
          <w:rFonts w:ascii="Times New Roman" w:hAnsi="Times New Roman" w:cs="Times New Roman"/>
          <w:bCs/>
          <w:noProof/>
          <w:sz w:val="24"/>
          <w:lang w:eastAsia="en-GB"/>
        </w:rPr>
      </w:pPr>
      <w:r>
        <w:rPr>
          <w:rFonts w:ascii="Times New Roman" w:eastAsia="Times New Roman" w:hAnsi="Times New Roman" w:cs="Times New Roman"/>
          <w:noProof/>
          <w:sz w:val="24"/>
          <w:szCs w:val="24"/>
        </w:rPr>
        <w:t>In the absence of EU action to improve cross-border access to e-evidence (i.e.</w:t>
      </w:r>
      <w:r>
        <w:rPr>
          <w:rFonts w:ascii="Times New Roman" w:eastAsia="Times New Roman" w:hAnsi="Times New Roman" w:cs="Times New Roman"/>
          <w:noProof/>
          <w:sz w:val="24"/>
          <w:szCs w:val="24"/>
        </w:rPr>
        <w:t xml:space="preserve"> legal measures described above), an important part of the measures proposed to help law enforcement address encryption challenges would not materialise.   </w:t>
      </w:r>
    </w:p>
    <w:p w:rsidR="001B65FF" w:rsidRDefault="001B65FF">
      <w:pPr>
        <w:rPr>
          <w:rFonts w:ascii="Times New Roman" w:hAnsi="Times New Roman" w:cs="Times New Roman"/>
          <w:noProof/>
        </w:rPr>
        <w:sectPr w:rsidR="001B65FF">
          <w:headerReference w:type="even" r:id="rId136"/>
          <w:headerReference w:type="default" r:id="rId137"/>
          <w:footerReference w:type="even" r:id="rId138"/>
          <w:footerReference w:type="default" r:id="rId139"/>
          <w:headerReference w:type="first" r:id="rId140"/>
          <w:footerReference w:type="first" r:id="rId141"/>
          <w:pgSz w:w="11906" w:h="16838"/>
          <w:pgMar w:top="1020" w:right="1701" w:bottom="1020" w:left="1587" w:header="601" w:footer="1077" w:gutter="0"/>
          <w:cols w:space="720"/>
          <w:titlePg/>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2216" w:name="_Toc499020496"/>
      <w:bookmarkStart w:id="2217" w:name="_Toc499030430"/>
      <w:bookmarkStart w:id="2218" w:name="_Toc499044972"/>
      <w:bookmarkStart w:id="2219" w:name="_Toc499051388"/>
      <w:bookmarkStart w:id="2220" w:name="_Toc499133348"/>
      <w:bookmarkStart w:id="2221" w:name="_Toc499142919"/>
      <w:bookmarkStart w:id="2222" w:name="_Toc510952914"/>
      <w:bookmarkStart w:id="2223" w:name="_Toc497927311"/>
      <w:bookmarkStart w:id="2224" w:name="_Toc497927927"/>
      <w:bookmarkStart w:id="2225" w:name="_Toc497928193"/>
      <w:bookmarkStart w:id="2226" w:name="_Toc498509846"/>
      <w:bookmarkStart w:id="2227" w:name="_Toc498518132"/>
      <w:bookmarkStart w:id="2228" w:name="_Toc498521188"/>
      <w:bookmarkStart w:id="2229" w:name="_Toc498521348"/>
      <w:bookmarkStart w:id="2230" w:name="_Toc498702010"/>
      <w:bookmarkStart w:id="2231" w:name="_Toc498704742"/>
      <w:bookmarkStart w:id="2232" w:name="_Toc481484494"/>
      <w:bookmarkStart w:id="2233" w:name="_Toc497927310"/>
      <w:bookmarkStart w:id="2234" w:name="_Toc497927926"/>
      <w:bookmarkStart w:id="2235" w:name="_Toc497928192"/>
      <w:bookmarkStart w:id="2236" w:name="_Toc498509845"/>
      <w:bookmarkStart w:id="2237" w:name="_Toc498518131"/>
      <w:bookmarkStart w:id="2238" w:name="_Toc498521187"/>
      <w:bookmarkStart w:id="2239" w:name="_Toc498521347"/>
      <w:bookmarkStart w:id="2240" w:name="_Toc498702009"/>
      <w:bookmarkStart w:id="2241" w:name="_Toc498704741"/>
      <w:r>
        <w:rPr>
          <w:rFonts w:ascii="Times New Roman" w:eastAsia="Times New Roman" w:hAnsi="Times New Roman" w:cs="Times New Roman"/>
          <w:b/>
          <w:smallCaps/>
          <w:noProof/>
          <w:sz w:val="24"/>
          <w:szCs w:val="20"/>
        </w:rPr>
        <w:t>Annex 6</w:t>
      </w:r>
      <w:r>
        <w:rPr>
          <w:rFonts w:ascii="Times New Roman" w:eastAsia="Times New Roman" w:hAnsi="Times New Roman" w:cs="Times New Roman"/>
          <w:b/>
          <w:smallCaps/>
          <w:noProof/>
          <w:sz w:val="24"/>
          <w:szCs w:val="20"/>
        </w:rPr>
        <w:t>: Additional information on the problem drivers</w:t>
      </w:r>
      <w:bookmarkEnd w:id="2216"/>
      <w:bookmarkEnd w:id="2217"/>
      <w:bookmarkEnd w:id="2218"/>
      <w:bookmarkEnd w:id="2219"/>
      <w:bookmarkEnd w:id="2220"/>
      <w:bookmarkEnd w:id="2221"/>
      <w:bookmarkEnd w:id="2222"/>
    </w:p>
    <w:p w:rsidR="001B65FF" w:rsidRDefault="003E4EF4">
      <w:pPr>
        <w:pStyle w:val="ListParagraph"/>
        <w:numPr>
          <w:ilvl w:val="1"/>
          <w:numId w:val="180"/>
        </w:numPr>
        <w:tabs>
          <w:tab w:val="clear" w:pos="1200"/>
          <w:tab w:val="num" w:pos="567"/>
        </w:tabs>
        <w:ind w:left="567" w:hanging="567"/>
        <w:jc w:val="both"/>
        <w:rPr>
          <w:rFonts w:ascii="Times New Roman" w:eastAsiaTheme="majorEastAsia" w:hAnsi="Times New Roman" w:cs="Times New Roman"/>
          <w:bCs/>
          <w:noProof/>
          <w:sz w:val="24"/>
          <w:szCs w:val="26"/>
        </w:rPr>
      </w:pPr>
      <w:r>
        <w:rPr>
          <w:rFonts w:ascii="Times New Roman" w:eastAsiaTheme="majorEastAsia" w:hAnsi="Times New Roman" w:cs="Times New Roman"/>
          <w:bCs/>
          <w:noProof/>
          <w:sz w:val="24"/>
          <w:szCs w:val="26"/>
        </w:rPr>
        <w:t>It takes too long to access e-evidence across borders under existing judicial cooperation procedures, rendering investigations and prosecutions less effective.</w:t>
      </w:r>
    </w:p>
    <w:p w:rsidR="001B65FF" w:rsidRDefault="003E4EF4">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following figure describes a typical MLAT </w:t>
      </w:r>
      <w:r>
        <w:rPr>
          <w:rFonts w:ascii="Times New Roman" w:eastAsia="Times New Roman" w:hAnsi="Times New Roman" w:cs="Times New Roman"/>
          <w:noProof/>
          <w:sz w:val="24"/>
          <w:szCs w:val="20"/>
        </w:rPr>
        <w:t>process between a given country A (e.g. a Member State) and the US for requests of access to e-evidence:</w:t>
      </w:r>
    </w:p>
    <w:p w:rsidR="001B65FF" w:rsidRDefault="003E4EF4">
      <w:pPr>
        <w:jc w:val="center"/>
        <w:rPr>
          <w:rFonts w:ascii="Times New Roman" w:hAnsi="Times New Roman" w:cs="Times New Roman"/>
          <w:i/>
          <w:noProof/>
          <w:sz w:val="24"/>
        </w:rPr>
      </w:pPr>
      <w:r>
        <w:rPr>
          <w:rFonts w:ascii="Times New Roman" w:hAnsi="Times New Roman" w:cs="Times New Roman"/>
          <w:b/>
          <w:noProof/>
          <w:lang w:eastAsia="en-GB"/>
        </w:rPr>
        <mc:AlternateContent>
          <mc:Choice Requires="wps">
            <w:drawing>
              <wp:anchor distT="0" distB="0" distL="114300" distR="114300" simplePos="0" relativeHeight="251658315" behindDoc="0" locked="0" layoutInCell="1" allowOverlap="1" wp14:anchorId="19C87A1B" wp14:editId="3B011FAC">
                <wp:simplePos x="0" y="0"/>
                <wp:positionH relativeFrom="column">
                  <wp:posOffset>4188776</wp:posOffset>
                </wp:positionH>
                <wp:positionV relativeFrom="paragraph">
                  <wp:posOffset>-595948</wp:posOffset>
                </wp:positionV>
                <wp:extent cx="180341" cy="2399665"/>
                <wp:effectExtent l="0" t="4763" r="24448" b="24447"/>
                <wp:wrapNone/>
                <wp:docPr id="23" name="Right Bracket 23"/>
                <wp:cNvGraphicFramePr/>
                <a:graphic xmlns:a="http://schemas.openxmlformats.org/drawingml/2006/main">
                  <a:graphicData uri="http://schemas.microsoft.com/office/word/2010/wordprocessingShape">
                    <wps:wsp>
                      <wps:cNvSpPr/>
                      <wps:spPr>
                        <a:xfrm rot="16200000">
                          <a:off x="0" y="0"/>
                          <a:ext cx="180341" cy="2399665"/>
                        </a:xfrm>
                        <a:prstGeom prst="righ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3" o:spid="_x0000_s1026" type="#_x0000_t86" style="position:absolute;margin-left:329.8pt;margin-top:-46.95pt;width:14.2pt;height:188.95pt;rotation:-90;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" adj="135" strokecolor="windowTex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1658314" behindDoc="0" locked="0" layoutInCell="1" allowOverlap="1" wp14:anchorId="3528D65D" wp14:editId="7AB46F32">
                <wp:simplePos x="0" y="0"/>
                <wp:positionH relativeFrom="column">
                  <wp:posOffset>927100</wp:posOffset>
                </wp:positionH>
                <wp:positionV relativeFrom="paragraph">
                  <wp:posOffset>-220346</wp:posOffset>
                </wp:positionV>
                <wp:extent cx="175896" cy="1650365"/>
                <wp:effectExtent l="5715" t="0" r="20320" b="20320"/>
                <wp:wrapNone/>
                <wp:docPr id="22" name="Right Bracket 22"/>
                <wp:cNvGraphicFramePr/>
                <a:graphic xmlns:a="http://schemas.openxmlformats.org/drawingml/2006/main">
                  <a:graphicData uri="http://schemas.microsoft.com/office/word/2010/wordprocessingShape">
                    <wps:wsp>
                      <wps:cNvSpPr/>
                      <wps:spPr>
                        <a:xfrm rot="16200000">
                          <a:off x="0" y="0"/>
                          <a:ext cx="175896" cy="1650365"/>
                        </a:xfrm>
                        <a:prstGeom prst="righ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Right Bracket 22" o:spid="_x0000_s1026" type="#_x0000_t86" style="position:absolute;margin-left:73pt;margin-top:-17.35pt;width:13.85pt;height:129.95pt;rotation:-90;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" adj="192" strokecolor="windowText"/>
            </w:pict>
          </mc:Fallback>
        </mc:AlternateContent>
      </w:r>
      <w:r>
        <w:rPr>
          <w:rFonts w:ascii="Times New Roman" w:hAnsi="Times New Roman" w:cs="Times New Roman"/>
          <w:i/>
          <w:noProof/>
          <w:sz w:val="24"/>
        </w:rPr>
        <w:t xml:space="preserve">Figure 1: MLAT process between a Member State (country A) and the US </w:t>
      </w:r>
    </w:p>
    <w:p w:rsidR="001B65FF" w:rsidRDefault="003E4EF4">
      <w:pPr>
        <w:tabs>
          <w:tab w:val="left" w:pos="2302"/>
        </w:tabs>
        <w:spacing w:after="240" w:line="240" w:lineRule="auto"/>
        <w:rPr>
          <w:rFonts w:ascii="Times New Roman" w:eastAsia="Times New Roman" w:hAnsi="Times New Roman" w:cs="Times New Roman"/>
          <w:noProof/>
          <w:sz w:val="24"/>
          <w:szCs w:val="20"/>
        </w:rPr>
      </w:pPr>
      <w:r>
        <w:rPr>
          <w:rFonts w:ascii="Times New Roman" w:eastAsia="Times New Roman" w:hAnsi="Times New Roman" w:cs="Times New Roman"/>
          <w:b/>
          <w:noProof/>
          <w:sz w:val="20"/>
          <w:szCs w:val="20"/>
        </w:rPr>
        <w:t xml:space="preserve">                   COUNTRY A </w:t>
      </w:r>
      <w:r>
        <w:rPr>
          <w:rFonts w:ascii="Times New Roman" w:eastAsia="Times New Roman" w:hAnsi="Times New Roman" w:cs="Times New Roman"/>
          <w:b/>
          <w:noProof/>
          <w:sz w:val="20"/>
          <w:szCs w:val="20"/>
        </w:rPr>
        <w:tab/>
      </w:r>
      <w:r>
        <w:rPr>
          <w:rFonts w:ascii="Times New Roman" w:eastAsia="Times New Roman" w:hAnsi="Times New Roman" w:cs="Times New Roman"/>
          <w:b/>
          <w:noProof/>
          <w:sz w:val="20"/>
          <w:szCs w:val="20"/>
        </w:rPr>
        <w:tab/>
      </w:r>
      <w:r>
        <w:rPr>
          <w:rFonts w:ascii="Times New Roman" w:eastAsia="Times New Roman" w:hAnsi="Times New Roman" w:cs="Times New Roman"/>
          <w:b/>
          <w:noProof/>
          <w:sz w:val="20"/>
          <w:szCs w:val="20"/>
        </w:rPr>
        <w:tab/>
      </w:r>
      <w:r>
        <w:rPr>
          <w:rFonts w:ascii="Times New Roman" w:eastAsia="Times New Roman" w:hAnsi="Times New Roman" w:cs="Times New Roman"/>
          <w:noProof/>
          <w:sz w:val="20"/>
          <w:szCs w:val="20"/>
        </w:rPr>
        <w:tab/>
        <w:t xml:space="preserve">         </w:t>
      </w:r>
      <w:r>
        <w:rPr>
          <w:rFonts w:ascii="Times New Roman" w:eastAsia="Times New Roman" w:hAnsi="Times New Roman" w:cs="Times New Roman"/>
          <w:noProof/>
          <w:sz w:val="20"/>
          <w:szCs w:val="20"/>
        </w:rPr>
        <w:tab/>
      </w:r>
      <w:r>
        <w:rPr>
          <w:rFonts w:ascii="Times New Roman" w:eastAsia="Times New Roman" w:hAnsi="Times New Roman" w:cs="Times New Roman"/>
          <w:noProof/>
          <w:sz w:val="20"/>
          <w:szCs w:val="20"/>
        </w:rPr>
        <w:tab/>
        <w:t xml:space="preserve">  </w:t>
      </w:r>
      <w:r>
        <w:rPr>
          <w:rFonts w:ascii="Times New Roman" w:eastAsia="Times New Roman" w:hAnsi="Times New Roman" w:cs="Times New Roman"/>
          <w:b/>
          <w:noProof/>
          <w:sz w:val="20"/>
          <w:szCs w:val="20"/>
        </w:rPr>
        <w:t xml:space="preserve">UNITED STATES      </w:t>
      </w:r>
      <w:r>
        <w:rPr>
          <w:rFonts w:ascii="Times New Roman" w:eastAsia="Times New Roman" w:hAnsi="Times New Roman" w:cs="Times New Roman"/>
          <w:noProof/>
          <w:sz w:val="20"/>
          <w:szCs w:val="20"/>
        </w:rPr>
        <w:t xml:space="preserve">     </w:t>
      </w:r>
      <w:r>
        <w:rPr>
          <w:rFonts w:ascii="Times New Roman" w:eastAsia="Times New Roman" w:hAnsi="Times New Roman" w:cs="Times New Roman"/>
          <w:noProof/>
          <w:sz w:val="24"/>
          <w:szCs w:val="20"/>
          <w:lang w:eastAsia="en-GB"/>
        </w:rPr>
        <w:drawing>
          <wp:inline distT="0" distB="0" distL="0" distR="0" wp14:anchorId="771AC0F4" wp14:editId="58695124">
            <wp:extent cx="5472430" cy="2329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472430" cy="2329875"/>
                    </a:xfrm>
                    <a:prstGeom prst="rect">
                      <a:avLst/>
                    </a:prstGeom>
                  </pic:spPr>
                </pic:pic>
              </a:graphicData>
            </a:graphic>
          </wp:inline>
        </w:drawing>
      </w:r>
    </w:p>
    <w:p w:rsidR="001B65FF" w:rsidRDefault="003E4EF4">
      <w:pPr>
        <w:tabs>
          <w:tab w:val="left" w:pos="2302"/>
        </w:tabs>
        <w:spacing w:after="240"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Source:</w:t>
      </w:r>
      <w:r>
        <w:rPr>
          <w:rFonts w:ascii="Times New Roman" w:eastAsia="Times New Roman" w:hAnsi="Times New Roman" w:cs="Times New Roman"/>
          <w:noProof/>
          <w:sz w:val="20"/>
          <w:szCs w:val="20"/>
        </w:rPr>
        <w:t xml:space="preserve"> Harvard University</w:t>
      </w:r>
      <w:r>
        <w:rPr>
          <w:rFonts w:ascii="Times New Roman" w:eastAsia="Times New Roman" w:hAnsi="Times New Roman" w:cs="Times New Roman"/>
          <w:noProof/>
          <w:sz w:val="20"/>
          <w:szCs w:val="20"/>
          <w:vertAlign w:val="superscript"/>
        </w:rPr>
        <w:footnoteReference w:id="223"/>
      </w:r>
    </w:p>
    <w:p w:rsidR="001B65FF" w:rsidRDefault="003E4EF4">
      <w:pPr>
        <w:tabs>
          <w:tab w:val="left" w:pos="2302"/>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process is the following</w:t>
      </w:r>
      <w:r>
        <w:rPr>
          <w:rFonts w:ascii="Times New Roman" w:eastAsia="Times New Roman" w:hAnsi="Times New Roman" w:cs="Times New Roman"/>
          <w:noProof/>
          <w:sz w:val="24"/>
          <w:szCs w:val="20"/>
          <w:vertAlign w:val="superscript"/>
        </w:rPr>
        <w:footnoteReference w:id="224"/>
      </w:r>
      <w:r>
        <w:rPr>
          <w:rFonts w:ascii="Times New Roman" w:eastAsia="Times New Roman" w:hAnsi="Times New Roman" w:cs="Times New Roman"/>
          <w:noProof/>
          <w:sz w:val="24"/>
          <w:szCs w:val="20"/>
        </w:rPr>
        <w:t>:</w:t>
      </w:r>
    </w:p>
    <w:p w:rsidR="001B65FF" w:rsidRDefault="003E4EF4">
      <w:pPr>
        <w:numPr>
          <w:ilvl w:val="0"/>
          <w:numId w:val="25"/>
        </w:numPr>
        <w:spacing w:after="0"/>
        <w:contextualSpacing/>
        <w:jc w:val="both"/>
        <w:rPr>
          <w:rFonts w:ascii="Times New Roman" w:hAnsi="Times New Roman" w:cs="Times New Roman"/>
          <w:noProof/>
        </w:rPr>
      </w:pPr>
      <w:r>
        <w:rPr>
          <w:rFonts w:ascii="Times New Roman" w:eastAsia="Times New Roman" w:hAnsi="Times New Roman" w:cs="Times New Roman"/>
          <w:noProof/>
          <w:sz w:val="24"/>
          <w:szCs w:val="20"/>
        </w:rPr>
        <w:t xml:space="preserve">Law enforcement in country A, typically under judicial supervision, desiring access to data held by a US service provider, obtains internal and sometimes also regional approval to file a request with </w:t>
      </w:r>
      <w:r>
        <w:rPr>
          <w:rFonts w:ascii="Times New Roman" w:eastAsia="Times New Roman" w:hAnsi="Times New Roman" w:cs="Times New Roman"/>
          <w:noProof/>
          <w:sz w:val="24"/>
          <w:szCs w:val="20"/>
        </w:rPr>
        <w:t>their country’s designated central authority, which reviews the request.</w:t>
      </w:r>
    </w:p>
    <w:p w:rsidR="001B65FF" w:rsidRDefault="003E4EF4">
      <w:pPr>
        <w:numPr>
          <w:ilvl w:val="0"/>
          <w:numId w:val="25"/>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Once approved, public authorities in country A send the request to the US Department of Justice’s (DOJ) Office of International Affairs (OIA).</w:t>
      </w:r>
    </w:p>
    <w:p w:rsidR="001B65FF" w:rsidRDefault="003E4EF4">
      <w:pPr>
        <w:numPr>
          <w:ilvl w:val="0"/>
          <w:numId w:val="25"/>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OIA works with the public authoritie</w:t>
      </w:r>
      <w:r>
        <w:rPr>
          <w:rFonts w:ascii="Times New Roman" w:eastAsia="Times New Roman" w:hAnsi="Times New Roman" w:cs="Times New Roman"/>
          <w:noProof/>
          <w:sz w:val="24"/>
          <w:szCs w:val="20"/>
        </w:rPr>
        <w:t>s of country A to revise the request’s format and content to meet US standards.</w:t>
      </w:r>
    </w:p>
    <w:p w:rsidR="001B65FF" w:rsidRDefault="003E4EF4">
      <w:pPr>
        <w:numPr>
          <w:ilvl w:val="0"/>
          <w:numId w:val="25"/>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Once the OIA is satisfied, OIA works with a US District Attorney’s Office to send the request to a local US magistrate judge for review.</w:t>
      </w:r>
    </w:p>
    <w:p w:rsidR="001B65FF" w:rsidRDefault="003E4EF4">
      <w:pPr>
        <w:numPr>
          <w:ilvl w:val="0"/>
          <w:numId w:val="25"/>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court must find that the request is</w:t>
      </w:r>
      <w:r>
        <w:rPr>
          <w:rFonts w:ascii="Times New Roman" w:eastAsia="Times New Roman" w:hAnsi="Times New Roman" w:cs="Times New Roman"/>
          <w:noProof/>
          <w:sz w:val="24"/>
          <w:szCs w:val="20"/>
        </w:rPr>
        <w:t xml:space="preserve"> in keeping with all relevant US law, notably including the Fourth Amendment’s </w:t>
      </w:r>
      <w:r>
        <w:rPr>
          <w:rFonts w:ascii="Times New Roman" w:eastAsia="Times New Roman" w:hAnsi="Times New Roman" w:cs="Times New Roman"/>
          <w:b/>
          <w:noProof/>
          <w:sz w:val="24"/>
          <w:szCs w:val="20"/>
        </w:rPr>
        <w:t>probable cause</w:t>
      </w:r>
      <w:r>
        <w:rPr>
          <w:rFonts w:ascii="Times New Roman" w:eastAsia="Times New Roman" w:hAnsi="Times New Roman" w:cs="Times New Roman"/>
          <w:noProof/>
          <w:sz w:val="24"/>
          <w:szCs w:val="20"/>
        </w:rPr>
        <w:t xml:space="preserve"> standard where content data is concerned, rules of privilege, and the Fifth Amendment’s right to avoid self-incrimination. If any of these are not met, the OIA an</w:t>
      </w:r>
      <w:r>
        <w:rPr>
          <w:rFonts w:ascii="Times New Roman" w:eastAsia="Times New Roman" w:hAnsi="Times New Roman" w:cs="Times New Roman"/>
          <w:noProof/>
          <w:sz w:val="24"/>
          <w:szCs w:val="20"/>
        </w:rPr>
        <w:t>d the requesting country’s agency continue to work together until the court is satisfied.</w:t>
      </w:r>
    </w:p>
    <w:p w:rsidR="001B65FF" w:rsidRDefault="003E4EF4">
      <w:pPr>
        <w:numPr>
          <w:ilvl w:val="0"/>
          <w:numId w:val="25"/>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Once approved by the court and thus translated into a national order, the </w:t>
      </w:r>
      <w:r>
        <w:rPr>
          <w:rFonts w:ascii="Times New Roman" w:eastAsia="Times New Roman" w:hAnsi="Times New Roman" w:cs="Times New Roman"/>
          <w:b/>
          <w:noProof/>
          <w:sz w:val="24"/>
          <w:szCs w:val="20"/>
        </w:rPr>
        <w:t>request is served</w:t>
      </w:r>
      <w:r>
        <w:rPr>
          <w:rFonts w:ascii="Times New Roman" w:eastAsia="Times New Roman" w:hAnsi="Times New Roman" w:cs="Times New Roman"/>
          <w:noProof/>
          <w:sz w:val="24"/>
          <w:szCs w:val="20"/>
        </w:rPr>
        <w:t xml:space="preserve"> on the service provider.</w:t>
      </w:r>
    </w:p>
    <w:p w:rsidR="001B65FF" w:rsidRDefault="003E4EF4">
      <w:pPr>
        <w:numPr>
          <w:ilvl w:val="0"/>
          <w:numId w:val="25"/>
        </w:numPr>
        <w:tabs>
          <w:tab w:val="left" w:pos="2302"/>
        </w:tabs>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Once the service provider receives the request, i</w:t>
      </w:r>
      <w:r>
        <w:rPr>
          <w:rFonts w:ascii="Times New Roman" w:eastAsia="Times New Roman" w:hAnsi="Times New Roman" w:cs="Times New Roman"/>
          <w:noProof/>
          <w:sz w:val="24"/>
          <w:szCs w:val="20"/>
        </w:rPr>
        <w:t>t locates and submits the relevant evidence to the OIA.</w:t>
      </w:r>
    </w:p>
    <w:p w:rsidR="001B65FF" w:rsidRDefault="003E4EF4">
      <w:pPr>
        <w:numPr>
          <w:ilvl w:val="0"/>
          <w:numId w:val="25"/>
        </w:numPr>
        <w:tabs>
          <w:tab w:val="left" w:pos="2302"/>
        </w:tabs>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OIA </w:t>
      </w:r>
      <w:r>
        <w:rPr>
          <w:rFonts w:ascii="Times New Roman" w:eastAsia="Times New Roman" w:hAnsi="Times New Roman" w:cs="Times New Roman"/>
          <w:b/>
          <w:noProof/>
          <w:sz w:val="24"/>
          <w:szCs w:val="20"/>
        </w:rPr>
        <w:t>reviews the evidence</w:t>
      </w:r>
      <w:r>
        <w:rPr>
          <w:rFonts w:ascii="Times New Roman" w:eastAsia="Times New Roman" w:hAnsi="Times New Roman" w:cs="Times New Roman"/>
          <w:noProof/>
          <w:sz w:val="24"/>
          <w:szCs w:val="20"/>
        </w:rPr>
        <w:t xml:space="preserve"> to ensure it meets data minimisation and human rights standards.</w:t>
      </w:r>
    </w:p>
    <w:p w:rsidR="001B65FF" w:rsidRDefault="003E4EF4">
      <w:pPr>
        <w:numPr>
          <w:ilvl w:val="0"/>
          <w:numId w:val="25"/>
        </w:numPr>
        <w:tabs>
          <w:tab w:val="left" w:pos="2302"/>
        </w:tabs>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Finally, the evidence is sent back to the requesting country’s central processing agency.</w:t>
      </w:r>
    </w:p>
    <w:p w:rsidR="001B65FF" w:rsidRDefault="003E4EF4">
      <w:pPr>
        <w:numPr>
          <w:ilvl w:val="0"/>
          <w:numId w:val="25"/>
        </w:numPr>
        <w:tabs>
          <w:tab w:val="left" w:pos="2302"/>
        </w:tabs>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central proc</w:t>
      </w:r>
      <w:r>
        <w:rPr>
          <w:rFonts w:ascii="Times New Roman" w:eastAsia="Times New Roman" w:hAnsi="Times New Roman" w:cs="Times New Roman"/>
          <w:noProof/>
          <w:sz w:val="24"/>
          <w:szCs w:val="20"/>
        </w:rPr>
        <w:t xml:space="preserve">essing agency provides the evidence to the original investigating team. </w:t>
      </w:r>
    </w:p>
    <w:p w:rsidR="001B65FF" w:rsidRDefault="003E4EF4">
      <w:pPr>
        <w:tabs>
          <w:tab w:val="left" w:pos="2302"/>
        </w:tabs>
        <w:spacing w:before="240"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There were extensive consultations in the EU and the US to determine the reasons that explain the long duration of the MLAT process. These consultations included a fact-finding missio</w:t>
      </w:r>
      <w:r>
        <w:rPr>
          <w:rFonts w:ascii="Times New Roman" w:eastAsia="Times New Roman" w:hAnsi="Times New Roman" w:cs="Times New Roman"/>
          <w:noProof/>
          <w:sz w:val="24"/>
          <w:szCs w:val="20"/>
        </w:rPr>
        <w:t>n to the US to discuss in person with OIA representatives in the Department of Justice, as well as with Member States liaison magistrates that facilitate the communication between public authorities in the Member States and the OIA. The analysis below also</w:t>
      </w:r>
      <w:r>
        <w:rPr>
          <w:rFonts w:ascii="Times New Roman" w:eastAsia="Times New Roman" w:hAnsi="Times New Roman" w:cs="Times New Roman"/>
          <w:noProof/>
          <w:sz w:val="24"/>
          <w:szCs w:val="20"/>
        </w:rPr>
        <w:t xml:space="preserve"> includes the findings of the five year review of the EU-US MLA agreement carried out in 2016, as well as those of previous assessments</w:t>
      </w:r>
      <w:r>
        <w:rPr>
          <w:rFonts w:ascii="Times New Roman" w:eastAsia="Times New Roman" w:hAnsi="Times New Roman" w:cs="Times New Roman"/>
          <w:noProof/>
          <w:sz w:val="24"/>
          <w:szCs w:val="20"/>
          <w:vertAlign w:val="superscript"/>
        </w:rPr>
        <w:footnoteReference w:id="225"/>
      </w:r>
      <w:r>
        <w:rPr>
          <w:rFonts w:ascii="Times New Roman" w:eastAsia="Times New Roman" w:hAnsi="Times New Roman" w:cs="Times New Roman"/>
          <w:noProof/>
          <w:sz w:val="24"/>
          <w:szCs w:val="20"/>
        </w:rPr>
        <w:t>.</w:t>
      </w:r>
    </w:p>
    <w:p w:rsidR="001B65FF" w:rsidRDefault="003E4EF4">
      <w:pPr>
        <w:tabs>
          <w:tab w:val="left" w:pos="2302"/>
        </w:tabs>
        <w:spacing w:before="240"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stakeholders identified the </w:t>
      </w:r>
      <w:r>
        <w:rPr>
          <w:rFonts w:ascii="Times New Roman" w:eastAsia="Times New Roman" w:hAnsi="Times New Roman" w:cs="Times New Roman"/>
          <w:b/>
          <w:noProof/>
          <w:sz w:val="24"/>
          <w:szCs w:val="20"/>
        </w:rPr>
        <w:t>high volume of requests</w:t>
      </w:r>
      <w:r>
        <w:rPr>
          <w:rFonts w:ascii="Times New Roman" w:eastAsia="Times New Roman" w:hAnsi="Times New Roman" w:cs="Times New Roman"/>
          <w:noProof/>
          <w:sz w:val="24"/>
          <w:szCs w:val="20"/>
        </w:rPr>
        <w:t xml:space="preserve"> to access e-evidence as the main factor that has put the MLAT system under enormous strain, and has shown its weakness to deal effectively with the current needs. Although exact data of incoming MLAT requests is not available, the OIA indicated that it re</w:t>
      </w:r>
      <w:r>
        <w:rPr>
          <w:rFonts w:ascii="Times New Roman" w:eastAsia="Times New Roman" w:hAnsi="Times New Roman" w:cs="Times New Roman"/>
          <w:noProof/>
          <w:sz w:val="24"/>
          <w:szCs w:val="20"/>
        </w:rPr>
        <w:t xml:space="preserve">ceives around 30 new requests per week, a majority of which comes from Europe. In their 2015 fiscal year budget request, the Department of Justice stated that “request for assistance from foreign authorities had increased nearly </w:t>
      </w:r>
      <w:r>
        <w:rPr>
          <w:rFonts w:ascii="Times New Roman" w:eastAsia="Times New Roman" w:hAnsi="Times New Roman" w:cs="Times New Roman"/>
          <w:b/>
          <w:noProof/>
          <w:sz w:val="24"/>
          <w:szCs w:val="20"/>
        </w:rPr>
        <w:t>60 percent</w:t>
      </w:r>
      <w:r>
        <w:rPr>
          <w:rFonts w:ascii="Times New Roman" w:eastAsia="Times New Roman" w:hAnsi="Times New Roman" w:cs="Times New Roman"/>
          <w:noProof/>
          <w:sz w:val="24"/>
          <w:szCs w:val="20"/>
        </w:rPr>
        <w:t xml:space="preserve">, and the number </w:t>
      </w:r>
      <w:r>
        <w:rPr>
          <w:rFonts w:ascii="Times New Roman" w:eastAsia="Times New Roman" w:hAnsi="Times New Roman" w:cs="Times New Roman"/>
          <w:noProof/>
          <w:sz w:val="24"/>
          <w:szCs w:val="20"/>
        </w:rPr>
        <w:t xml:space="preserve">of requests for computer records has increased </w:t>
      </w:r>
      <w:r>
        <w:rPr>
          <w:rFonts w:ascii="Times New Roman" w:eastAsia="Times New Roman" w:hAnsi="Times New Roman" w:cs="Times New Roman"/>
          <w:b/>
          <w:noProof/>
          <w:sz w:val="24"/>
          <w:szCs w:val="20"/>
        </w:rPr>
        <w:t>ten-fold</w:t>
      </w:r>
      <w:r>
        <w:rPr>
          <w:rFonts w:ascii="Times New Roman" w:eastAsia="Times New Roman" w:hAnsi="Times New Roman" w:cs="Times New Roman"/>
          <w:noProof/>
          <w:sz w:val="24"/>
          <w:szCs w:val="20"/>
        </w:rPr>
        <w:t>” over the past decade, slowing processing times</w:t>
      </w:r>
      <w:r>
        <w:rPr>
          <w:rFonts w:ascii="Times New Roman" w:eastAsia="Times New Roman" w:hAnsi="Times New Roman" w:cs="Times New Roman"/>
          <w:noProof/>
          <w:sz w:val="24"/>
          <w:szCs w:val="20"/>
          <w:vertAlign w:val="superscript"/>
        </w:rPr>
        <w:footnoteReference w:id="226"/>
      </w:r>
      <w:r>
        <w:rPr>
          <w:rFonts w:ascii="Times New Roman" w:eastAsia="Times New Roman" w:hAnsi="Times New Roman" w:cs="Times New Roman"/>
          <w:noProof/>
          <w:sz w:val="24"/>
          <w:szCs w:val="20"/>
        </w:rPr>
        <w:t>. In 2016 OIA received around 1600 requests, a number that had been already overtaken by October 2017. There is a backlog of around 2000 requests global</w:t>
      </w:r>
      <w:r>
        <w:rPr>
          <w:rFonts w:ascii="Times New Roman" w:eastAsia="Times New Roman" w:hAnsi="Times New Roman" w:cs="Times New Roman"/>
          <w:noProof/>
          <w:sz w:val="24"/>
          <w:szCs w:val="20"/>
        </w:rPr>
        <w:t xml:space="preserve">ly. </w:t>
      </w:r>
      <w:r>
        <w:rPr>
          <w:rFonts w:ascii="Times New Roman" w:eastAsia="Times New Roman" w:hAnsi="Times New Roman" w:cs="Times New Roman"/>
          <w:noProof/>
          <w:sz w:val="24"/>
          <w:szCs w:val="24"/>
        </w:rPr>
        <w:t>In an effort to improve the situation, the US Department of Justice created a dedicated team for electronic evidence and obtained a change in legislation allowing them to make the relevant pleas before the local District of Columbia courts. Nonetheless</w:t>
      </w:r>
      <w:r>
        <w:rPr>
          <w:rFonts w:ascii="Times New Roman" w:eastAsia="Times New Roman" w:hAnsi="Times New Roman" w:cs="Times New Roman"/>
          <w:noProof/>
          <w:sz w:val="24"/>
          <w:szCs w:val="24"/>
        </w:rPr>
        <w:t>, resources continue to be overwhelmed by the swift growth in requests and response times have not significantly decreased.</w:t>
      </w:r>
    </w:p>
    <w:p w:rsidR="001B65FF" w:rsidRDefault="003E4EF4">
      <w:pPr>
        <w:tabs>
          <w:tab w:val="left" w:pos="2302"/>
        </w:tabs>
        <w:spacing w:before="24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addition to the high volume of requests, stakeholders identified the following three main factors that determine the response tim</w:t>
      </w:r>
      <w:r>
        <w:rPr>
          <w:rFonts w:ascii="Times New Roman" w:eastAsia="Times New Roman" w:hAnsi="Times New Roman" w:cs="Times New Roman"/>
          <w:noProof/>
          <w:sz w:val="24"/>
          <w:szCs w:val="20"/>
        </w:rPr>
        <w:t>es:</w:t>
      </w:r>
    </w:p>
    <w:p w:rsidR="001B65FF" w:rsidRDefault="001B65FF">
      <w:pPr>
        <w:tabs>
          <w:tab w:val="left" w:pos="2302"/>
        </w:tabs>
        <w:spacing w:before="240" w:after="120"/>
        <w:jc w:val="both"/>
        <w:rPr>
          <w:rFonts w:ascii="Times New Roman" w:eastAsia="Times New Roman" w:hAnsi="Times New Roman" w:cs="Times New Roman"/>
          <w:noProof/>
          <w:sz w:val="24"/>
          <w:szCs w:val="20"/>
        </w:rPr>
      </w:pPr>
    </w:p>
    <w:p w:rsidR="001B65FF" w:rsidRDefault="003E4EF4">
      <w:pPr>
        <w:numPr>
          <w:ilvl w:val="0"/>
          <w:numId w:val="27"/>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Quality of the request</w:t>
      </w:r>
      <w:r>
        <w:rPr>
          <w:rFonts w:ascii="Times New Roman" w:eastAsia="Times New Roman" w:hAnsi="Times New Roman" w:cs="Times New Roman"/>
          <w:noProof/>
          <w:sz w:val="24"/>
          <w:szCs w:val="20"/>
        </w:rPr>
        <w:t xml:space="preserve">. </w:t>
      </w:r>
    </w:p>
    <w:p w:rsidR="001B65FF" w:rsidRDefault="003E4EF4">
      <w:pPr>
        <w:tabs>
          <w:tab w:val="left" w:pos="2302"/>
        </w:tabs>
        <w:spacing w:after="0"/>
        <w:ind w:left="7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quality of the request can make the response time vary significantly. The complexity of the MLAT procedures requires specific expertise to prepare the requests, in particular with regard to the US’ legal system. The more t</w:t>
      </w:r>
      <w:r>
        <w:rPr>
          <w:rFonts w:ascii="Times New Roman" w:eastAsia="Times New Roman" w:hAnsi="Times New Roman" w:cs="Times New Roman"/>
          <w:noProof/>
          <w:sz w:val="24"/>
          <w:szCs w:val="20"/>
        </w:rPr>
        <w:t xml:space="preserve">he request follows the required standards the fewer the iterations required between the OIA and the public authorities of the Member State, and the faster the process can be. </w:t>
      </w:r>
    </w:p>
    <w:p w:rsidR="001B65FF" w:rsidRDefault="003E4EF4">
      <w:pPr>
        <w:tabs>
          <w:tab w:val="left" w:pos="2302"/>
        </w:tabs>
        <w:spacing w:after="0"/>
        <w:ind w:left="7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Some of the most common issues encountered in MLAT applications are:</w:t>
      </w:r>
    </w:p>
    <w:p w:rsidR="001B65FF" w:rsidRDefault="003E4EF4">
      <w:pPr>
        <w:numPr>
          <w:ilvl w:val="1"/>
          <w:numId w:val="27"/>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color w:val="000000"/>
          <w:sz w:val="24"/>
          <w:szCs w:val="20"/>
        </w:rPr>
        <w:t>Unclear</w:t>
      </w:r>
      <w:r>
        <w:rPr>
          <w:rFonts w:ascii="Times New Roman" w:eastAsia="Times New Roman" w:hAnsi="Times New Roman" w:cs="Times New Roman"/>
          <w:b/>
          <w:noProof/>
          <w:color w:val="000000"/>
          <w:sz w:val="24"/>
          <w:szCs w:val="20"/>
        </w:rPr>
        <w:t xml:space="preserve"> probable cause</w:t>
      </w:r>
      <w:r>
        <w:rPr>
          <w:rFonts w:ascii="Times New Roman" w:eastAsia="Times New Roman" w:hAnsi="Times New Roman" w:cs="Times New Roman"/>
          <w:noProof/>
          <w:color w:val="000000"/>
          <w:sz w:val="24"/>
          <w:szCs w:val="20"/>
        </w:rPr>
        <w:t xml:space="preserve"> in requests for content, e.g. the connection between the criminal activity and the account is unclear. In some cases, it might not be possible to gather all the data required to prove probable cause under US standards, in particular in the </w:t>
      </w:r>
      <w:r>
        <w:rPr>
          <w:rFonts w:ascii="Times New Roman" w:eastAsia="Times New Roman" w:hAnsi="Times New Roman" w:cs="Times New Roman"/>
          <w:noProof/>
          <w:color w:val="000000"/>
          <w:sz w:val="24"/>
          <w:szCs w:val="20"/>
        </w:rPr>
        <w:t>initial stages of case. In other cases, there can be a lack of understanding in Member States of the US legal system, due to the different legal traditions, including with regard to fundamental rights, and in particular freedom of speech. Also, these diffe</w:t>
      </w:r>
      <w:r>
        <w:rPr>
          <w:rFonts w:ascii="Times New Roman" w:eastAsia="Times New Roman" w:hAnsi="Times New Roman" w:cs="Times New Roman"/>
          <w:noProof/>
          <w:color w:val="000000"/>
          <w:sz w:val="24"/>
          <w:szCs w:val="20"/>
        </w:rPr>
        <w:t>rent legal systems use different legal terms that might be challenging to translate (e.g. the translation into English may be more representative of the UK legal system than the US one).</w:t>
      </w:r>
    </w:p>
    <w:p w:rsidR="001B65FF" w:rsidRDefault="003E4EF4">
      <w:pPr>
        <w:numPr>
          <w:ilvl w:val="1"/>
          <w:numId w:val="27"/>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Missing information, in particular the </w:t>
      </w:r>
      <w:r>
        <w:rPr>
          <w:rFonts w:ascii="Times New Roman" w:eastAsia="Times New Roman" w:hAnsi="Times New Roman" w:cs="Times New Roman"/>
          <w:b/>
          <w:noProof/>
          <w:sz w:val="24"/>
          <w:szCs w:val="20"/>
        </w:rPr>
        <w:t>timeframe</w:t>
      </w:r>
      <w:r>
        <w:rPr>
          <w:rFonts w:ascii="Times New Roman" w:eastAsia="Times New Roman" w:hAnsi="Times New Roman" w:cs="Times New Roman"/>
          <w:noProof/>
          <w:sz w:val="24"/>
          <w:szCs w:val="20"/>
        </w:rPr>
        <w:t xml:space="preserve"> relevant to the e-ev</w:t>
      </w:r>
      <w:r>
        <w:rPr>
          <w:rFonts w:ascii="Times New Roman" w:eastAsia="Times New Roman" w:hAnsi="Times New Roman" w:cs="Times New Roman"/>
          <w:noProof/>
          <w:sz w:val="24"/>
          <w:szCs w:val="20"/>
        </w:rPr>
        <w:t>idence sought. For example, the request does not specify the timeframe in which a potential criminal activity could have occurred in a suspect’s Facebook account.</w:t>
      </w:r>
    </w:p>
    <w:p w:rsidR="001B65FF" w:rsidRDefault="003E4EF4">
      <w:pPr>
        <w:numPr>
          <w:ilvl w:val="1"/>
          <w:numId w:val="27"/>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Since summer 2016, as a consequence of the Microsoft Ireland Court of Appeal ruling,</w:t>
      </w:r>
      <w:r>
        <w:rPr>
          <w:rStyle w:val="FootnoteReference"/>
          <w:rFonts w:ascii="Times New Roman" w:eastAsia="Times New Roman" w:hAnsi="Times New Roman" w:cs="Times New Roman"/>
          <w:noProof/>
          <w:sz w:val="24"/>
          <w:szCs w:val="20"/>
        </w:rPr>
        <w:footnoteReference w:id="227"/>
      </w:r>
      <w:r>
        <w:rPr>
          <w:rFonts w:ascii="Times New Roman" w:eastAsia="Times New Roman" w:hAnsi="Times New Roman" w:cs="Times New Roman"/>
          <w:noProof/>
          <w:sz w:val="24"/>
          <w:szCs w:val="20"/>
        </w:rPr>
        <w:t xml:space="preserve"> the DOJ</w:t>
      </w:r>
      <w:r>
        <w:rPr>
          <w:rFonts w:ascii="Times New Roman" w:eastAsia="Times New Roman" w:hAnsi="Times New Roman" w:cs="Times New Roman"/>
          <w:noProof/>
          <w:sz w:val="24"/>
          <w:szCs w:val="20"/>
        </w:rPr>
        <w:t xml:space="preserve"> has been asking foreign authorities filing MLA requests for e-evidence to first </w:t>
      </w:r>
      <w:r>
        <w:rPr>
          <w:rFonts w:ascii="Times New Roman" w:eastAsia="Times New Roman" w:hAnsi="Times New Roman" w:cs="Times New Roman"/>
          <w:b/>
          <w:noProof/>
          <w:sz w:val="24"/>
          <w:szCs w:val="20"/>
        </w:rPr>
        <w:t>verify with service providers that the data is stored in the US</w:t>
      </w:r>
      <w:r>
        <w:rPr>
          <w:rFonts w:ascii="Times New Roman" w:eastAsia="Times New Roman" w:hAnsi="Times New Roman" w:cs="Times New Roman"/>
          <w:noProof/>
          <w:sz w:val="24"/>
          <w:szCs w:val="20"/>
        </w:rPr>
        <w:t>. This further increases the time of the MLAT procedure (e.g. Microsoft recently announced that they needed 6 we</w:t>
      </w:r>
      <w:r>
        <w:rPr>
          <w:rFonts w:ascii="Times New Roman" w:eastAsia="Times New Roman" w:hAnsi="Times New Roman" w:cs="Times New Roman"/>
          <w:noProof/>
          <w:sz w:val="24"/>
          <w:szCs w:val="20"/>
        </w:rPr>
        <w:t>eks to identify the location of data). If the data is stored in a country other than the US, the DOJ generally finds itself unable to answer the MLA request.</w:t>
      </w:r>
    </w:p>
    <w:p w:rsidR="001B65FF" w:rsidRDefault="003E4EF4">
      <w:pPr>
        <w:numPr>
          <w:ilvl w:val="1"/>
          <w:numId w:val="27"/>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Paper submission: </w:t>
      </w:r>
      <w:r>
        <w:rPr>
          <w:rFonts w:ascii="Times New Roman" w:eastAsia="Times New Roman" w:hAnsi="Times New Roman" w:cs="Times New Roman"/>
          <w:noProof/>
          <w:color w:val="000000"/>
          <w:sz w:val="24"/>
          <w:szCs w:val="20"/>
        </w:rPr>
        <w:t xml:space="preserve">some countries submit the requests </w:t>
      </w:r>
      <w:r>
        <w:rPr>
          <w:rFonts w:ascii="Times New Roman" w:eastAsia="Times New Roman" w:hAnsi="Times New Roman" w:cs="Times New Roman"/>
          <w:b/>
          <w:bCs/>
          <w:noProof/>
          <w:color w:val="000000"/>
          <w:sz w:val="24"/>
          <w:szCs w:val="20"/>
        </w:rPr>
        <w:t>on paper</w:t>
      </w:r>
      <w:r>
        <w:rPr>
          <w:rFonts w:ascii="Times New Roman" w:eastAsia="Times New Roman" w:hAnsi="Times New Roman" w:cs="Times New Roman"/>
          <w:noProof/>
          <w:color w:val="000000"/>
          <w:sz w:val="24"/>
          <w:szCs w:val="20"/>
        </w:rPr>
        <w:t>, when there is no need for that on t</w:t>
      </w:r>
      <w:r>
        <w:rPr>
          <w:rFonts w:ascii="Times New Roman" w:eastAsia="Times New Roman" w:hAnsi="Times New Roman" w:cs="Times New Roman"/>
          <w:noProof/>
          <w:color w:val="000000"/>
          <w:sz w:val="24"/>
          <w:szCs w:val="20"/>
        </w:rPr>
        <w:t>he US side. The US authorities are in the process of making available an email mailbox to receive electronically the incoming requests and could provide formal paper documents if needed, after the request has been handled electronically.</w:t>
      </w:r>
    </w:p>
    <w:p w:rsidR="001B65FF" w:rsidRDefault="003E4EF4">
      <w:pPr>
        <w:tabs>
          <w:tab w:val="left" w:pos="2302"/>
        </w:tabs>
        <w:spacing w:before="240" w:after="0"/>
        <w:ind w:left="7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request is mor</w:t>
      </w:r>
      <w:r>
        <w:rPr>
          <w:rFonts w:ascii="Times New Roman" w:eastAsia="Times New Roman" w:hAnsi="Times New Roman" w:cs="Times New Roman"/>
          <w:noProof/>
          <w:sz w:val="24"/>
          <w:szCs w:val="20"/>
        </w:rPr>
        <w:t xml:space="preserve">e likely to suffer from the above and other quality issues in the absence of a </w:t>
      </w:r>
      <w:r>
        <w:rPr>
          <w:rFonts w:ascii="Times New Roman" w:eastAsia="Times New Roman" w:hAnsi="Times New Roman" w:cs="Times New Roman"/>
          <w:b/>
          <w:noProof/>
          <w:sz w:val="24"/>
          <w:szCs w:val="20"/>
        </w:rPr>
        <w:t>central authority</w:t>
      </w:r>
      <w:r>
        <w:rPr>
          <w:rFonts w:ascii="Times New Roman" w:eastAsia="Times New Roman" w:hAnsi="Times New Roman" w:cs="Times New Roman"/>
          <w:noProof/>
          <w:sz w:val="24"/>
          <w:szCs w:val="20"/>
        </w:rPr>
        <w:t xml:space="preserve"> in the Member State (not all of them have it) or in the absence of effective centralised procedures that serve as quality control (MLAT treaties typically do n</w:t>
      </w:r>
      <w:r>
        <w:rPr>
          <w:rFonts w:ascii="Times New Roman" w:eastAsia="Times New Roman" w:hAnsi="Times New Roman" w:cs="Times New Roman"/>
          <w:noProof/>
          <w:sz w:val="24"/>
          <w:szCs w:val="20"/>
        </w:rPr>
        <w:t xml:space="preserve">ot require the existence or use of a central authority). </w:t>
      </w:r>
    </w:p>
    <w:p w:rsidR="001B65FF" w:rsidRDefault="001B65FF">
      <w:pPr>
        <w:tabs>
          <w:tab w:val="left" w:pos="2302"/>
        </w:tabs>
        <w:spacing w:before="240" w:after="0"/>
        <w:ind w:left="720"/>
        <w:jc w:val="both"/>
        <w:rPr>
          <w:rFonts w:ascii="Times New Roman" w:eastAsia="Times New Roman" w:hAnsi="Times New Roman" w:cs="Times New Roman"/>
          <w:noProof/>
          <w:sz w:val="24"/>
          <w:szCs w:val="20"/>
        </w:rPr>
      </w:pPr>
    </w:p>
    <w:p w:rsidR="001B65FF" w:rsidRDefault="001B65FF">
      <w:pPr>
        <w:tabs>
          <w:tab w:val="left" w:pos="2302"/>
        </w:tabs>
        <w:spacing w:before="240" w:after="0"/>
        <w:ind w:left="720"/>
        <w:jc w:val="both"/>
        <w:rPr>
          <w:rFonts w:ascii="Times New Roman" w:eastAsia="Times New Roman" w:hAnsi="Times New Roman" w:cs="Times New Roman"/>
          <w:noProof/>
          <w:sz w:val="24"/>
          <w:szCs w:val="20"/>
        </w:rPr>
      </w:pPr>
    </w:p>
    <w:p w:rsidR="001B65FF" w:rsidRDefault="003E4EF4">
      <w:pPr>
        <w:numPr>
          <w:ilvl w:val="0"/>
          <w:numId w:val="27"/>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Type of request</w:t>
      </w:r>
      <w:r>
        <w:rPr>
          <w:rFonts w:ascii="Times New Roman" w:eastAsia="Times New Roman" w:hAnsi="Times New Roman" w:cs="Times New Roman"/>
          <w:noProof/>
          <w:sz w:val="24"/>
          <w:szCs w:val="20"/>
        </w:rPr>
        <w:t xml:space="preserve">. </w:t>
      </w:r>
    </w:p>
    <w:p w:rsidR="001B65FF" w:rsidRDefault="003E4EF4">
      <w:pPr>
        <w:tabs>
          <w:tab w:val="left" w:pos="2302"/>
        </w:tabs>
        <w:spacing w:after="0"/>
        <w:ind w:left="7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requests for </w:t>
      </w:r>
      <w:r>
        <w:rPr>
          <w:rFonts w:ascii="Times New Roman" w:eastAsia="Times New Roman" w:hAnsi="Times New Roman" w:cs="Times New Roman"/>
          <w:b/>
          <w:noProof/>
          <w:sz w:val="24"/>
          <w:szCs w:val="20"/>
        </w:rPr>
        <w:t xml:space="preserve">content </w:t>
      </w:r>
      <w:r>
        <w:rPr>
          <w:rFonts w:ascii="Times New Roman" w:eastAsia="Times New Roman" w:hAnsi="Times New Roman" w:cs="Times New Roman"/>
          <w:noProof/>
          <w:sz w:val="24"/>
          <w:szCs w:val="20"/>
        </w:rPr>
        <w:t>take much longer than the requests for non-content, as the former require higher standards such as proving probable cause</w:t>
      </w:r>
      <w:r>
        <w:rPr>
          <w:rFonts w:ascii="Times New Roman" w:eastAsia="Times New Roman" w:hAnsi="Times New Roman" w:cs="Times New Roman"/>
          <w:noProof/>
          <w:sz w:val="24"/>
          <w:szCs w:val="20"/>
          <w:vertAlign w:val="superscript"/>
        </w:rPr>
        <w:footnoteReference w:id="228"/>
      </w:r>
      <w:r>
        <w:rPr>
          <w:rFonts w:ascii="Times New Roman" w:eastAsia="Times New Roman" w:hAnsi="Times New Roman" w:cs="Times New Roman"/>
          <w:noProof/>
          <w:sz w:val="24"/>
          <w:szCs w:val="20"/>
        </w:rPr>
        <w:t xml:space="preserve"> (see step 5 above) and undergo</w:t>
      </w:r>
      <w:r>
        <w:rPr>
          <w:rFonts w:ascii="Times New Roman" w:eastAsia="Times New Roman" w:hAnsi="Times New Roman" w:cs="Times New Roman"/>
          <w:noProof/>
          <w:sz w:val="24"/>
          <w:szCs w:val="20"/>
        </w:rPr>
        <w:t xml:space="preserve"> more complex procedures such as:</w:t>
      </w:r>
    </w:p>
    <w:p w:rsidR="001B65FF" w:rsidRDefault="003E4EF4">
      <w:pPr>
        <w:numPr>
          <w:ilvl w:val="1"/>
          <w:numId w:val="27"/>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search warrant</w:t>
      </w:r>
      <w:r>
        <w:rPr>
          <w:rFonts w:ascii="Times New Roman" w:eastAsia="Times New Roman" w:hAnsi="Times New Roman" w:cs="Times New Roman"/>
          <w:noProof/>
          <w:sz w:val="24"/>
          <w:szCs w:val="20"/>
        </w:rPr>
        <w:t xml:space="preserve"> (step 6 above), in which the service provider is requested to make available </w:t>
      </w:r>
      <w:r>
        <w:rPr>
          <w:rFonts w:ascii="Times New Roman" w:eastAsia="Times New Roman" w:hAnsi="Times New Roman" w:cs="Times New Roman"/>
          <w:noProof/>
          <w:color w:val="000000"/>
          <w:sz w:val="24"/>
          <w:szCs w:val="20"/>
        </w:rPr>
        <w:t>all the information in a given account in the timeframe indicated</w:t>
      </w:r>
      <w:r>
        <w:rPr>
          <w:rFonts w:ascii="Times New Roman" w:eastAsia="Times New Roman" w:hAnsi="Times New Roman" w:cs="Times New Roman"/>
          <w:noProof/>
          <w:color w:val="000000"/>
          <w:sz w:val="24"/>
          <w:szCs w:val="20"/>
          <w:vertAlign w:val="superscript"/>
        </w:rPr>
        <w:footnoteReference w:id="229"/>
      </w:r>
      <w:r>
        <w:rPr>
          <w:rFonts w:ascii="Times New Roman" w:eastAsia="Times New Roman" w:hAnsi="Times New Roman" w:cs="Times New Roman"/>
          <w:noProof/>
          <w:color w:val="000000"/>
          <w:sz w:val="24"/>
          <w:szCs w:val="20"/>
        </w:rPr>
        <w:t>;</w:t>
      </w:r>
    </w:p>
    <w:p w:rsidR="001B65FF" w:rsidRDefault="003E4EF4">
      <w:pPr>
        <w:numPr>
          <w:ilvl w:val="1"/>
          <w:numId w:val="27"/>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 xml:space="preserve">filtering </w:t>
      </w:r>
      <w:r>
        <w:rPr>
          <w:rFonts w:ascii="Times New Roman" w:eastAsia="Times New Roman" w:hAnsi="Times New Roman" w:cs="Times New Roman"/>
          <w:noProof/>
          <w:sz w:val="24"/>
          <w:szCs w:val="20"/>
        </w:rPr>
        <w:t xml:space="preserve">(step 8 above), or data minimisation, in which an FBI agent reviews </w:t>
      </w:r>
      <w:r>
        <w:rPr>
          <w:rFonts w:ascii="Times New Roman" w:eastAsia="Times New Roman" w:hAnsi="Times New Roman" w:cs="Times New Roman"/>
          <w:noProof/>
          <w:color w:val="000000"/>
          <w:sz w:val="24"/>
          <w:szCs w:val="20"/>
        </w:rPr>
        <w:t>all the content provided to determine what is relevant to the offence and can be forwarded to the requesting country. This step can be particularly time consuming as not only the amount of</w:t>
      </w:r>
      <w:r>
        <w:rPr>
          <w:rFonts w:ascii="Times New Roman" w:eastAsia="Times New Roman" w:hAnsi="Times New Roman" w:cs="Times New Roman"/>
          <w:noProof/>
          <w:color w:val="000000"/>
          <w:sz w:val="24"/>
          <w:szCs w:val="20"/>
        </w:rPr>
        <w:t xml:space="preserve"> content to review can be significant but also because translations may be required. The requesting country is not informed of what has been filtered out.</w:t>
      </w:r>
      <w:r>
        <w:rPr>
          <w:rFonts w:ascii="Times New Roman" w:eastAsia="Times New Roman" w:hAnsi="Times New Roman" w:cs="Times New Roman"/>
          <w:noProof/>
          <w:sz w:val="24"/>
          <w:szCs w:val="20"/>
        </w:rPr>
        <w:t xml:space="preserve">   </w:t>
      </w:r>
    </w:p>
    <w:p w:rsidR="001B65FF" w:rsidRDefault="003E4EF4">
      <w:p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b/>
      </w:r>
    </w:p>
    <w:p w:rsidR="001B65FF" w:rsidRDefault="003E4EF4">
      <w:pPr>
        <w:ind w:left="630" w:firstLine="720"/>
        <w:jc w:val="center"/>
        <w:rPr>
          <w:rFonts w:ascii="Times New Roman" w:hAnsi="Times New Roman" w:cs="Times New Roman"/>
          <w:i/>
          <w:noProof/>
          <w:sz w:val="24"/>
          <w:lang w:eastAsia="en-GB"/>
        </w:rPr>
      </w:pPr>
      <w:r>
        <w:rPr>
          <w:rFonts w:ascii="Times New Roman" w:hAnsi="Times New Roman" w:cs="Times New Roman"/>
          <w:i/>
          <w:noProof/>
          <w:sz w:val="24"/>
          <w:lang w:eastAsia="en-GB"/>
        </w:rPr>
        <w:t xml:space="preserve">Box 1: ECPA, the US law that shapes the current  procedure for accessing e-evidence held by US </w:t>
      </w:r>
      <w:r>
        <w:rPr>
          <w:rFonts w:ascii="Times New Roman" w:hAnsi="Times New Roman" w:cs="Times New Roman"/>
          <w:i/>
          <w:noProof/>
          <w:sz w:val="24"/>
          <w:lang w:eastAsia="en-GB"/>
        </w:rPr>
        <w:t>service providers</w:t>
      </w:r>
      <w:r>
        <w:rPr>
          <w:rFonts w:ascii="Times New Roman" w:hAnsi="Times New Roman" w:cs="Times New Roman"/>
          <w:i/>
          <w:noProof/>
          <w:sz w:val="24"/>
          <w:vertAlign w:val="superscript"/>
          <w:lang w:eastAsia="en-GB"/>
        </w:rPr>
        <w:footnoteReference w:id="230"/>
      </w:r>
    </w:p>
    <w:tbl>
      <w:tblPr>
        <w:tblW w:w="8352" w:type="dxa"/>
        <w:tblInd w:w="82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352"/>
      </w:tblGrid>
      <w:tr w:rsidR="001B65FF">
        <w:tc>
          <w:tcPr>
            <w:tcW w:w="8352" w:type="dxa"/>
            <w:shd w:val="clear" w:color="auto" w:fill="F2F2F2" w:themeFill="background1" w:themeFillShade="F2"/>
            <w:hideMark/>
          </w:tcPr>
          <w:p w:rsidR="001B65FF" w:rsidRDefault="003E4EF4">
            <w:pPr>
              <w:tabs>
                <w:tab w:val="left" w:pos="7437"/>
              </w:tabs>
              <w:spacing w:before="24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Countries must follow the MLAT process to access data held in the US because US law (</w:t>
            </w:r>
            <w:r>
              <w:rPr>
                <w:rFonts w:ascii="Times New Roman" w:hAnsi="Times New Roman" w:cs="Times New Roman"/>
                <w:b/>
                <w:noProof/>
                <w:sz w:val="24"/>
                <w:lang w:eastAsia="en-GB"/>
              </w:rPr>
              <w:t>ECPA</w:t>
            </w:r>
            <w:r>
              <w:rPr>
                <w:rFonts w:ascii="Times New Roman" w:hAnsi="Times New Roman" w:cs="Times New Roman"/>
                <w:noProof/>
                <w:sz w:val="24"/>
                <w:vertAlign w:val="superscript"/>
                <w:lang w:eastAsia="en-GB"/>
              </w:rPr>
              <w:footnoteReference w:id="231"/>
            </w:r>
            <w:r>
              <w:rPr>
                <w:rFonts w:ascii="Times New Roman" w:hAnsi="Times New Roman" w:cs="Times New Roman"/>
                <w:noProof/>
                <w:sz w:val="24"/>
                <w:lang w:eastAsia="en-GB"/>
              </w:rPr>
              <w:t>) currently restricts the possibilities of US companies to disclose information to government entities. These restrictions have been interpreted to</w:t>
            </w:r>
            <w:r>
              <w:rPr>
                <w:rFonts w:ascii="Times New Roman" w:hAnsi="Times New Roman" w:cs="Times New Roman"/>
                <w:noProof/>
                <w:sz w:val="24"/>
                <w:lang w:eastAsia="en-GB"/>
              </w:rPr>
              <w:t xml:space="preserve"> cover any government entity, including foreign governments.</w:t>
            </w:r>
          </w:p>
          <w:p w:rsidR="001B65FF" w:rsidRDefault="003E4EF4">
            <w:pPr>
              <w:spacing w:after="0"/>
              <w:ind w:left="252" w:right="252"/>
              <w:jc w:val="both"/>
              <w:rPr>
                <w:rFonts w:ascii="Times New Roman" w:hAnsi="Times New Roman" w:cs="Times New Roman"/>
                <w:b/>
                <w:noProof/>
                <w:sz w:val="24"/>
                <w:lang w:eastAsia="en-GB"/>
              </w:rPr>
            </w:pPr>
            <w:r>
              <w:rPr>
                <w:rFonts w:ascii="Times New Roman" w:hAnsi="Times New Roman" w:cs="Times New Roman"/>
                <w:b/>
                <w:noProof/>
                <w:sz w:val="24"/>
                <w:lang w:eastAsia="en-GB"/>
              </w:rPr>
              <w:t xml:space="preserve">Why content requests take the longest: </w:t>
            </w:r>
          </w:p>
          <w:p w:rsidR="001B65FF" w:rsidRDefault="003E4EF4">
            <w:pPr>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ECPA (specifically, Title II of ECPA, also called the </w:t>
            </w:r>
            <w:r>
              <w:rPr>
                <w:rFonts w:ascii="Times New Roman" w:hAnsi="Times New Roman" w:cs="Times New Roman"/>
                <w:b/>
                <w:noProof/>
                <w:sz w:val="24"/>
                <w:lang w:eastAsia="en-GB"/>
              </w:rPr>
              <w:t>Stored Communications Act</w:t>
            </w:r>
            <w:r>
              <w:rPr>
                <w:rFonts w:ascii="Times New Roman" w:hAnsi="Times New Roman" w:cs="Times New Roman"/>
                <w:noProof/>
                <w:sz w:val="24"/>
                <w:lang w:eastAsia="en-GB"/>
              </w:rPr>
              <w:t xml:space="preserve">) contains blanket restrictions that prohibit US companies from sharing the </w:t>
            </w:r>
            <w:r>
              <w:rPr>
                <w:rFonts w:ascii="Times New Roman" w:hAnsi="Times New Roman" w:cs="Times New Roman"/>
                <w:noProof/>
                <w:sz w:val="24"/>
                <w:lang w:eastAsia="en-GB"/>
              </w:rPr>
              <w:t>content of stored electronic communications with government entities, other than pursuant to a US warrant or consent of the user</w:t>
            </w:r>
            <w:r>
              <w:rPr>
                <w:rFonts w:ascii="Times New Roman" w:hAnsi="Times New Roman" w:cs="Times New Roman"/>
                <w:noProof/>
                <w:sz w:val="24"/>
                <w:vertAlign w:val="superscript"/>
                <w:lang w:eastAsia="en-GB"/>
              </w:rPr>
              <w:footnoteReference w:id="232"/>
            </w:r>
            <w:r>
              <w:rPr>
                <w:rFonts w:ascii="Times New Roman" w:hAnsi="Times New Roman" w:cs="Times New Roman"/>
                <w:noProof/>
                <w:sz w:val="24"/>
                <w:lang w:eastAsia="en-GB"/>
              </w:rPr>
              <w:t>.</w:t>
            </w:r>
          </w:p>
          <w:p w:rsidR="001B65FF" w:rsidRDefault="003E4EF4">
            <w:pPr>
              <w:spacing w:after="0"/>
              <w:ind w:left="252" w:right="252"/>
              <w:jc w:val="both"/>
              <w:rPr>
                <w:rFonts w:ascii="Times New Roman" w:hAnsi="Times New Roman" w:cs="Times New Roman"/>
                <w:b/>
                <w:noProof/>
                <w:sz w:val="24"/>
                <w:lang w:eastAsia="en-GB"/>
              </w:rPr>
            </w:pPr>
            <w:r>
              <w:rPr>
                <w:rFonts w:ascii="Times New Roman" w:hAnsi="Times New Roman" w:cs="Times New Roman"/>
                <w:b/>
                <w:noProof/>
                <w:sz w:val="24"/>
                <w:lang w:eastAsia="en-GB"/>
              </w:rPr>
              <w:t>Why non-content requests are faster:</w:t>
            </w:r>
          </w:p>
          <w:p w:rsidR="001B65FF" w:rsidRDefault="003E4EF4">
            <w:pPr>
              <w:ind w:left="252" w:right="252"/>
              <w:jc w:val="both"/>
              <w:rPr>
                <w:rFonts w:ascii="Times New Roman" w:hAnsi="Times New Roman" w:cs="Times New Roman"/>
                <w:b/>
                <w:noProof/>
                <w:sz w:val="24"/>
                <w:lang w:eastAsia="en-GB"/>
              </w:rPr>
            </w:pPr>
            <w:r>
              <w:rPr>
                <w:rFonts w:ascii="Times New Roman" w:hAnsi="Times New Roman" w:cs="Times New Roman"/>
                <w:noProof/>
                <w:sz w:val="24"/>
                <w:lang w:eastAsia="en-GB"/>
              </w:rPr>
              <w:t>Companies are allowed to disclose voluntarily non-content data (subscriber information a</w:t>
            </w:r>
            <w:r>
              <w:rPr>
                <w:rFonts w:ascii="Times New Roman" w:hAnsi="Times New Roman" w:cs="Times New Roman"/>
                <w:noProof/>
                <w:sz w:val="24"/>
                <w:lang w:eastAsia="en-GB"/>
              </w:rPr>
              <w:t>nd metadata) to foreign governments directly upon request. While US government agencies must obtain a US court order, this is not required of foreign authorities</w:t>
            </w:r>
            <w:r>
              <w:rPr>
                <w:rFonts w:ascii="Times New Roman" w:hAnsi="Times New Roman" w:cs="Times New Roman"/>
                <w:noProof/>
                <w:sz w:val="24"/>
                <w:vertAlign w:val="superscript"/>
                <w:lang w:eastAsia="en-GB"/>
              </w:rPr>
              <w:footnoteReference w:id="233"/>
            </w:r>
            <w:r>
              <w:rPr>
                <w:rFonts w:ascii="Times New Roman" w:hAnsi="Times New Roman" w:cs="Times New Roman"/>
                <w:noProof/>
                <w:sz w:val="24"/>
                <w:lang w:eastAsia="en-GB"/>
              </w:rPr>
              <w:t>. However, the laws of most EU Member States also require a court order to request non-content</w:t>
            </w:r>
            <w:r>
              <w:rPr>
                <w:rFonts w:ascii="Times New Roman" w:hAnsi="Times New Roman" w:cs="Times New Roman"/>
                <w:noProof/>
                <w:sz w:val="24"/>
                <w:lang w:eastAsia="en-GB"/>
              </w:rPr>
              <w:t xml:space="preserve"> data, including for such direct cooperation requests. Where companies agree to comply with the non-binding requests from foreign authorities, the procedure is faster because the separate full review by US authorities is skipped.</w:t>
            </w:r>
          </w:p>
          <w:p w:rsidR="001B65FF" w:rsidRDefault="003E4EF4">
            <w:pPr>
              <w:spacing w:after="0"/>
              <w:ind w:left="252" w:right="252"/>
              <w:jc w:val="both"/>
              <w:rPr>
                <w:rFonts w:ascii="Times New Roman" w:hAnsi="Times New Roman" w:cs="Times New Roman"/>
                <w:noProof/>
                <w:sz w:val="24"/>
                <w:lang w:eastAsia="en-GB"/>
              </w:rPr>
            </w:pPr>
            <w:r>
              <w:rPr>
                <w:rFonts w:ascii="Times New Roman" w:hAnsi="Times New Roman" w:cs="Times New Roman"/>
                <w:b/>
                <w:noProof/>
                <w:sz w:val="24"/>
                <w:lang w:eastAsia="en-GB"/>
              </w:rPr>
              <w:t>Why emergency requests (ev</w:t>
            </w:r>
            <w:r>
              <w:rPr>
                <w:rFonts w:ascii="Times New Roman" w:hAnsi="Times New Roman" w:cs="Times New Roman"/>
                <w:b/>
                <w:noProof/>
                <w:sz w:val="24"/>
                <w:lang w:eastAsia="en-GB"/>
              </w:rPr>
              <w:t>en for content) are the fastest</w:t>
            </w:r>
            <w:r>
              <w:rPr>
                <w:rFonts w:ascii="Times New Roman" w:hAnsi="Times New Roman" w:cs="Times New Roman"/>
                <w:noProof/>
                <w:sz w:val="24"/>
                <w:lang w:eastAsia="en-GB"/>
              </w:rPr>
              <w:t xml:space="preserve">: </w:t>
            </w:r>
          </w:p>
          <w:p w:rsidR="001B65FF" w:rsidRDefault="003E4EF4">
            <w:pPr>
              <w:spacing w:after="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Companies are able to disclose content information voluntarily in the event of an emergency</w:t>
            </w:r>
            <w:r>
              <w:rPr>
                <w:rFonts w:ascii="Times New Roman" w:hAnsi="Times New Roman" w:cs="Times New Roman"/>
                <w:noProof/>
                <w:sz w:val="24"/>
                <w:vertAlign w:val="superscript"/>
                <w:lang w:eastAsia="en-GB"/>
              </w:rPr>
              <w:footnoteReference w:id="234"/>
            </w:r>
            <w:r>
              <w:rPr>
                <w:rFonts w:ascii="Times New Roman" w:hAnsi="Times New Roman" w:cs="Times New Roman"/>
                <w:noProof/>
                <w:sz w:val="24"/>
                <w:lang w:eastAsia="en-GB"/>
              </w:rPr>
              <w:t>. For example, in 2015, Microsoft responded to requests for contents of email 45 minutes after the Charlie Hebdo attacks. It did s</w:t>
            </w:r>
            <w:r>
              <w:rPr>
                <w:rFonts w:ascii="Times New Roman" w:hAnsi="Times New Roman" w:cs="Times New Roman"/>
                <w:noProof/>
                <w:sz w:val="24"/>
                <w:lang w:eastAsia="en-GB"/>
              </w:rPr>
              <w:t>o similarly after the November 2015 Paris attacks</w:t>
            </w:r>
            <w:r>
              <w:rPr>
                <w:rFonts w:ascii="Times New Roman" w:hAnsi="Times New Roman" w:cs="Times New Roman"/>
                <w:noProof/>
                <w:sz w:val="24"/>
                <w:vertAlign w:val="superscript"/>
                <w:lang w:eastAsia="en-GB"/>
              </w:rPr>
              <w:footnoteReference w:id="235"/>
            </w:r>
            <w:r>
              <w:rPr>
                <w:rFonts w:ascii="Times New Roman" w:hAnsi="Times New Roman" w:cs="Times New Roman"/>
                <w:noProof/>
                <w:sz w:val="24"/>
                <w:lang w:eastAsia="en-GB"/>
              </w:rPr>
              <w:t>.</w:t>
            </w:r>
          </w:p>
          <w:p w:rsidR="001B65FF" w:rsidRDefault="001B65FF">
            <w:pPr>
              <w:spacing w:after="0"/>
              <w:ind w:left="252" w:right="252"/>
              <w:jc w:val="both"/>
              <w:rPr>
                <w:rFonts w:ascii="Times New Roman" w:hAnsi="Times New Roman" w:cs="Times New Roman"/>
                <w:noProof/>
                <w:sz w:val="24"/>
                <w:lang w:eastAsia="en-GB"/>
              </w:rPr>
            </w:pPr>
          </w:p>
          <w:p w:rsidR="001B65FF" w:rsidRDefault="003E4EF4">
            <w:pPr>
              <w:spacing w:after="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ECPA was introduced in 1986 and there have been repeated calls for its reform, to adapt it to the technological realities of today.</w:t>
            </w:r>
          </w:p>
        </w:tc>
      </w:tr>
      <w:tr w:rsidR="001B65FF">
        <w:trPr>
          <w:trHeight w:val="70"/>
        </w:trPr>
        <w:tc>
          <w:tcPr>
            <w:tcW w:w="8352" w:type="dxa"/>
            <w:shd w:val="clear" w:color="auto" w:fill="F2F2F2" w:themeFill="background1" w:themeFillShade="F2"/>
          </w:tcPr>
          <w:p w:rsidR="001B65FF" w:rsidRDefault="001B65FF">
            <w:pPr>
              <w:tabs>
                <w:tab w:val="left" w:pos="7437"/>
              </w:tabs>
              <w:spacing w:after="0"/>
              <w:ind w:right="252"/>
              <w:jc w:val="both"/>
              <w:rPr>
                <w:rFonts w:ascii="Times New Roman" w:hAnsi="Times New Roman" w:cs="Times New Roman"/>
                <w:noProof/>
                <w:sz w:val="24"/>
                <w:lang w:eastAsia="en-GB"/>
              </w:rPr>
            </w:pPr>
          </w:p>
        </w:tc>
      </w:tr>
    </w:tbl>
    <w:p w:rsidR="001B65FF" w:rsidRDefault="001B65FF">
      <w:pPr>
        <w:tabs>
          <w:tab w:val="left" w:pos="2302"/>
        </w:tabs>
        <w:spacing w:after="0"/>
        <w:ind w:left="720"/>
        <w:jc w:val="both"/>
        <w:rPr>
          <w:rFonts w:ascii="Times New Roman" w:eastAsia="Times New Roman" w:hAnsi="Times New Roman" w:cs="Times New Roman"/>
          <w:noProof/>
          <w:sz w:val="24"/>
          <w:szCs w:val="20"/>
        </w:rPr>
      </w:pPr>
    </w:p>
    <w:p w:rsidR="001B65FF" w:rsidRDefault="003E4EF4">
      <w:pPr>
        <w:numPr>
          <w:ilvl w:val="0"/>
          <w:numId w:val="27"/>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Service providers’ internal procedures</w:t>
      </w:r>
      <w:r>
        <w:rPr>
          <w:rFonts w:ascii="Times New Roman" w:eastAsia="Times New Roman" w:hAnsi="Times New Roman" w:cs="Times New Roman"/>
          <w:noProof/>
          <w:sz w:val="24"/>
          <w:szCs w:val="20"/>
        </w:rPr>
        <w:t xml:space="preserve">. </w:t>
      </w:r>
    </w:p>
    <w:p w:rsidR="001B65FF" w:rsidRDefault="003E4EF4">
      <w:pPr>
        <w:tabs>
          <w:tab w:val="left" w:pos="2302"/>
        </w:tabs>
        <w:spacing w:after="0"/>
        <w:ind w:left="7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time that a service provider takes to process a request varies depending on its internal procedures. Member State authorities pointed out the </w:t>
      </w:r>
      <w:r>
        <w:rPr>
          <w:rFonts w:ascii="Times New Roman" w:eastAsia="Times New Roman" w:hAnsi="Times New Roman" w:cs="Times New Roman"/>
          <w:b/>
          <w:noProof/>
          <w:sz w:val="24"/>
          <w:szCs w:val="20"/>
        </w:rPr>
        <w:t>lack of transparency</w:t>
      </w:r>
      <w:r>
        <w:rPr>
          <w:rFonts w:ascii="Times New Roman" w:eastAsia="Times New Roman" w:hAnsi="Times New Roman" w:cs="Times New Roman"/>
          <w:noProof/>
          <w:sz w:val="24"/>
          <w:szCs w:val="20"/>
        </w:rPr>
        <w:t xml:space="preserve"> of these procedures</w:t>
      </w:r>
      <w:r>
        <w:rPr>
          <w:rFonts w:ascii="Times New Roman" w:eastAsia="Times New Roman" w:hAnsi="Times New Roman" w:cs="Times New Roman"/>
          <w:noProof/>
          <w:sz w:val="24"/>
          <w:szCs w:val="20"/>
          <w:vertAlign w:val="superscript"/>
        </w:rPr>
        <w:footnoteReference w:id="236"/>
      </w:r>
      <w:r>
        <w:rPr>
          <w:rFonts w:ascii="Times New Roman" w:eastAsia="Times New Roman" w:hAnsi="Times New Roman" w:cs="Times New Roman"/>
          <w:noProof/>
          <w:sz w:val="24"/>
          <w:szCs w:val="20"/>
        </w:rPr>
        <w:t>:</w:t>
      </w:r>
    </w:p>
    <w:p w:rsidR="001B65FF" w:rsidRDefault="003E4EF4">
      <w:pPr>
        <w:numPr>
          <w:ilvl w:val="0"/>
          <w:numId w:val="28"/>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service provider does not indicate the time that it will take to respond. </w:t>
      </w:r>
    </w:p>
    <w:p w:rsidR="001B65FF" w:rsidRDefault="003E4EF4">
      <w:pPr>
        <w:numPr>
          <w:ilvl w:val="0"/>
          <w:numId w:val="28"/>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criteria that the service provider uses to process the request are unclear.</w:t>
      </w:r>
    </w:p>
    <w:p w:rsidR="001B65FF" w:rsidRDefault="003E4EF4">
      <w:pPr>
        <w:numPr>
          <w:ilvl w:val="0"/>
          <w:numId w:val="28"/>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There is often no feedback given to the Member State on the reasons for non-compliance.</w:t>
      </w:r>
    </w:p>
    <w:p w:rsidR="001B65FF" w:rsidRDefault="001B65FF">
      <w:pPr>
        <w:spacing w:after="0"/>
        <w:jc w:val="both"/>
        <w:rPr>
          <w:rFonts w:ascii="Times New Roman" w:eastAsiaTheme="majorEastAsia" w:hAnsi="Times New Roman" w:cs="Times New Roman"/>
          <w:bCs/>
          <w:noProof/>
          <w:sz w:val="24"/>
          <w:szCs w:val="26"/>
        </w:rPr>
      </w:pPr>
    </w:p>
    <w:p w:rsidR="001B65FF" w:rsidRDefault="003E4EF4">
      <w:pPr>
        <w:pStyle w:val="ListParagraph"/>
        <w:numPr>
          <w:ilvl w:val="1"/>
          <w:numId w:val="180"/>
        </w:numPr>
        <w:tabs>
          <w:tab w:val="clear" w:pos="1200"/>
          <w:tab w:val="num" w:pos="567"/>
        </w:tabs>
        <w:ind w:left="567" w:hanging="567"/>
        <w:jc w:val="both"/>
        <w:rPr>
          <w:rFonts w:ascii="Times New Roman" w:eastAsiaTheme="majorEastAsia" w:hAnsi="Times New Roman" w:cs="Times New Roman"/>
          <w:bCs/>
          <w:noProof/>
          <w:sz w:val="24"/>
          <w:szCs w:val="26"/>
        </w:rPr>
      </w:pPr>
      <w:r>
        <w:rPr>
          <w:rFonts w:ascii="Times New Roman" w:eastAsiaTheme="majorEastAsia" w:hAnsi="Times New Roman" w:cs="Times New Roman"/>
          <w:bCs/>
          <w:noProof/>
          <w:sz w:val="24"/>
          <w:szCs w:val="26"/>
        </w:rPr>
        <w:t>Inefficiencies in public-private cooperation between service providers and public authorities hamper effective investigations and prosecutions.</w:t>
      </w:r>
    </w:p>
    <w:p w:rsidR="001B65FF" w:rsidRDefault="003E4EF4">
      <w:p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Stakeholders expressed general and practical concerns:</w:t>
      </w:r>
    </w:p>
    <w:p w:rsidR="001B65FF" w:rsidRDefault="003E4EF4">
      <w:pPr>
        <w:numPr>
          <w:ilvl w:val="0"/>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General:</w:t>
      </w:r>
    </w:p>
    <w:p w:rsidR="001B65FF" w:rsidRDefault="003E4EF4">
      <w:pPr>
        <w:numPr>
          <w:ilvl w:val="1"/>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transparency of the process;</w:t>
      </w:r>
    </w:p>
    <w:p w:rsidR="001B65FF" w:rsidRDefault="003E4EF4">
      <w:pPr>
        <w:numPr>
          <w:ilvl w:val="1"/>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reliability of stak</w:t>
      </w:r>
      <w:r>
        <w:rPr>
          <w:rFonts w:ascii="Times New Roman" w:eastAsia="Times New Roman" w:hAnsi="Times New Roman" w:cs="Times New Roman"/>
          <w:noProof/>
          <w:sz w:val="24"/>
          <w:szCs w:val="24"/>
        </w:rPr>
        <w:t>eholders;</w:t>
      </w:r>
    </w:p>
    <w:p w:rsidR="001B65FF" w:rsidRDefault="003E4EF4">
      <w:pPr>
        <w:numPr>
          <w:ilvl w:val="1"/>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accountability of stakeholders;</w:t>
      </w:r>
    </w:p>
    <w:p w:rsidR="001B65FF" w:rsidRDefault="003E4EF4">
      <w:pPr>
        <w:numPr>
          <w:ilvl w:val="1"/>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admissibility of evidence;</w:t>
      </w:r>
    </w:p>
    <w:p w:rsidR="001B65FF" w:rsidRDefault="003E4EF4">
      <w:pPr>
        <w:numPr>
          <w:ilvl w:val="1"/>
          <w:numId w:val="49"/>
        </w:numPr>
        <w:spacing w:after="0"/>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unequal treatment of Member States;</w:t>
      </w:r>
    </w:p>
    <w:p w:rsidR="001B65FF" w:rsidRDefault="003E4EF4">
      <w:pPr>
        <w:numPr>
          <w:ilvl w:val="1"/>
          <w:numId w:val="49"/>
        </w:numPr>
        <w:spacing w:after="0"/>
        <w:contextualSpacing/>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reimbursement of service providers’ costs;</w:t>
      </w:r>
    </w:p>
    <w:p w:rsidR="001B65FF" w:rsidRDefault="003E4EF4">
      <w:pPr>
        <w:numPr>
          <w:ilvl w:val="0"/>
          <w:numId w:val="49"/>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Practical:</w:t>
      </w:r>
    </w:p>
    <w:p w:rsidR="001B65FF" w:rsidRDefault="003E4EF4">
      <w:pPr>
        <w:numPr>
          <w:ilvl w:val="0"/>
          <w:numId w:val="225"/>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for authorities, how to identify and contact the relevant service provider;</w:t>
      </w:r>
    </w:p>
    <w:p w:rsidR="001B65FF" w:rsidRDefault="003E4EF4">
      <w:pPr>
        <w:numPr>
          <w:ilvl w:val="0"/>
          <w:numId w:val="225"/>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for service providers</w:t>
      </w:r>
      <w:r>
        <w:rPr>
          <w:rFonts w:ascii="Times New Roman" w:eastAsia="Times New Roman" w:hAnsi="Times New Roman" w:cs="Times New Roman"/>
          <w:noProof/>
          <w:sz w:val="24"/>
          <w:szCs w:val="24"/>
        </w:rPr>
        <w:t>, how to assess the authenticity and legitimacy of a request.</w:t>
      </w:r>
    </w:p>
    <w:p w:rsidR="001B65FF" w:rsidRDefault="001B65FF">
      <w:pPr>
        <w:tabs>
          <w:tab w:val="left" w:pos="2302"/>
        </w:tabs>
        <w:spacing w:after="0"/>
        <w:jc w:val="both"/>
        <w:rPr>
          <w:rFonts w:ascii="Times New Roman" w:eastAsia="Times New Roman" w:hAnsi="Times New Roman" w:cs="Times New Roman"/>
          <w:noProof/>
          <w:sz w:val="24"/>
          <w:szCs w:val="24"/>
        </w:rPr>
      </w:pPr>
    </w:p>
    <w:p w:rsidR="001B65FF" w:rsidRDefault="003E4EF4">
      <w:pPr>
        <w:numPr>
          <w:ilvl w:val="0"/>
          <w:numId w:val="50"/>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Transparency</w:t>
      </w:r>
      <w:r>
        <w:rPr>
          <w:rFonts w:ascii="Times New Roman" w:eastAsia="Times New Roman" w:hAnsi="Times New Roman" w:cs="Times New Roman"/>
          <w:noProof/>
          <w:sz w:val="24"/>
          <w:szCs w:val="24"/>
        </w:rPr>
        <w:t xml:space="preserve"> of the process.</w:t>
      </w:r>
    </w:p>
    <w:p w:rsidR="001B65FF" w:rsidRDefault="003E4EF4">
      <w:pPr>
        <w:spacing w:after="0"/>
        <w:ind w:firstLine="360"/>
        <w:jc w:val="both"/>
        <w:rPr>
          <w:rFonts w:ascii="Times New Roman" w:hAnsi="Times New Roman" w:cs="Times New Roman"/>
          <w:noProof/>
          <w:sz w:val="24"/>
          <w:szCs w:val="24"/>
        </w:rPr>
      </w:pPr>
      <w:r>
        <w:rPr>
          <w:rFonts w:ascii="Times New Roman" w:hAnsi="Times New Roman" w:cs="Times New Roman"/>
          <w:noProof/>
          <w:sz w:val="24"/>
          <w:szCs w:val="24"/>
        </w:rPr>
        <w:t>A lack of transparency is cited as an issue from several perspectives:</w:t>
      </w:r>
    </w:p>
    <w:p w:rsidR="001B65FF" w:rsidRDefault="003E4EF4">
      <w:pPr>
        <w:numPr>
          <w:ilvl w:val="0"/>
          <w:numId w:val="51"/>
        </w:numPr>
        <w:contextualSpacing/>
        <w:jc w:val="both"/>
        <w:rPr>
          <w:rFonts w:ascii="Times New Roman" w:hAnsi="Times New Roman" w:cs="Times New Roman"/>
          <w:noProof/>
          <w:sz w:val="24"/>
        </w:rPr>
      </w:pPr>
      <w:r>
        <w:rPr>
          <w:rFonts w:ascii="Times New Roman" w:hAnsi="Times New Roman" w:cs="Times New Roman"/>
          <w:i/>
          <w:noProof/>
          <w:sz w:val="24"/>
          <w:szCs w:val="24"/>
        </w:rPr>
        <w:t xml:space="preserve">Service providers </w:t>
      </w:r>
      <w:r>
        <w:rPr>
          <w:rFonts w:ascii="Times New Roman" w:hAnsi="Times New Roman" w:cs="Times New Roman"/>
          <w:noProof/>
          <w:sz w:val="24"/>
          <w:szCs w:val="24"/>
        </w:rPr>
        <w:t xml:space="preserve">have data protection obligations and wish to make it clear to the public </w:t>
      </w:r>
      <w:r>
        <w:rPr>
          <w:rFonts w:ascii="Times New Roman" w:hAnsi="Times New Roman" w:cs="Times New Roman"/>
          <w:noProof/>
          <w:sz w:val="24"/>
          <w:szCs w:val="24"/>
        </w:rPr>
        <w:t>that they take these obligations seriously, disclosing data only on the basis of a valid and legal request and notifying users where possible. However, sharing information about requests received may compromise an investigation.</w:t>
      </w:r>
      <w:r>
        <w:rPr>
          <w:rFonts w:ascii="Times New Roman" w:hAnsi="Times New Roman" w:cs="Times New Roman"/>
          <w:noProof/>
          <w:sz w:val="24"/>
        </w:rPr>
        <w:t xml:space="preserve"> </w:t>
      </w:r>
      <w:r>
        <w:rPr>
          <w:rFonts w:ascii="Times New Roman" w:hAnsi="Times New Roman" w:cs="Times New Roman"/>
          <w:noProof/>
          <w:sz w:val="24"/>
          <w:szCs w:val="24"/>
        </w:rPr>
        <w:t>Service providers have ther</w:t>
      </w:r>
      <w:r>
        <w:rPr>
          <w:rFonts w:ascii="Times New Roman" w:hAnsi="Times New Roman" w:cs="Times New Roman"/>
          <w:noProof/>
          <w:sz w:val="24"/>
          <w:szCs w:val="24"/>
        </w:rPr>
        <w:t xml:space="preserve">efore started to publish regular </w:t>
      </w:r>
      <w:r>
        <w:rPr>
          <w:rFonts w:ascii="Times New Roman" w:hAnsi="Times New Roman" w:cs="Times New Roman"/>
          <w:b/>
          <w:noProof/>
          <w:sz w:val="24"/>
          <w:szCs w:val="24"/>
        </w:rPr>
        <w:t>transparency reports</w:t>
      </w:r>
      <w:r>
        <w:rPr>
          <w:rFonts w:ascii="Times New Roman" w:hAnsi="Times New Roman" w:cs="Times New Roman"/>
          <w:noProof/>
          <w:sz w:val="24"/>
          <w:szCs w:val="24"/>
        </w:rPr>
        <w:t xml:space="preserve"> based on aggregated data to prevent being seen as insufficiently transparent about protecting and disclosing customer information.</w:t>
      </w:r>
    </w:p>
    <w:p w:rsidR="001B65FF" w:rsidRDefault="003E4EF4">
      <w:pPr>
        <w:numPr>
          <w:ilvl w:val="0"/>
          <w:numId w:val="51"/>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One of the major complaints from </w:t>
      </w:r>
      <w:r>
        <w:rPr>
          <w:rFonts w:ascii="Times New Roman" w:hAnsi="Times New Roman" w:cs="Times New Roman"/>
          <w:i/>
          <w:noProof/>
          <w:sz w:val="24"/>
          <w:szCs w:val="24"/>
        </w:rPr>
        <w:t>law enforcement authorities</w:t>
      </w:r>
      <w:r>
        <w:rPr>
          <w:rFonts w:ascii="Times New Roman" w:hAnsi="Times New Roman" w:cs="Times New Roman"/>
          <w:noProof/>
          <w:sz w:val="24"/>
          <w:szCs w:val="24"/>
        </w:rPr>
        <w:t xml:space="preserve"> concerns t</w:t>
      </w:r>
      <w:r>
        <w:rPr>
          <w:rFonts w:ascii="Times New Roman" w:hAnsi="Times New Roman" w:cs="Times New Roman"/>
          <w:noProof/>
          <w:sz w:val="24"/>
          <w:szCs w:val="24"/>
        </w:rPr>
        <w:t>he lack of transparency on the providers' side in relation to why a specific request is granted or refused and in which time frame. Investigating authorities often do not understand which arguments and procedures determine the final decision of the request</w:t>
      </w:r>
      <w:r>
        <w:rPr>
          <w:rFonts w:ascii="Times New Roman" w:hAnsi="Times New Roman" w:cs="Times New Roman"/>
          <w:noProof/>
          <w:sz w:val="24"/>
          <w:szCs w:val="24"/>
        </w:rPr>
        <w:t xml:space="preserve">ed service provider. </w:t>
      </w:r>
    </w:p>
    <w:p w:rsidR="001B65FF" w:rsidRDefault="003E4EF4">
      <w:pPr>
        <w:numPr>
          <w:ilvl w:val="0"/>
          <w:numId w:val="51"/>
        </w:numPr>
        <w:contextualSpacing/>
        <w:jc w:val="both"/>
        <w:rPr>
          <w:rFonts w:ascii="Times New Roman" w:hAnsi="Times New Roman" w:cs="Times New Roman"/>
          <w:b/>
          <w:noProof/>
          <w:sz w:val="24"/>
          <w:szCs w:val="24"/>
        </w:rPr>
      </w:pPr>
      <w:r>
        <w:rPr>
          <w:rFonts w:ascii="Times New Roman" w:eastAsia="Calibri" w:hAnsi="Times New Roman" w:cs="Times New Roman"/>
          <w:noProof/>
          <w:sz w:val="24"/>
        </w:rPr>
        <w:t>Stakeholders highlighted the need to ensure</w:t>
      </w:r>
      <w:r>
        <w:rPr>
          <w:rFonts w:ascii="Times New Roman" w:eastAsia="Calibri" w:hAnsi="Times New Roman" w:cs="Times New Roman"/>
          <w:b/>
          <w:noProof/>
          <w:sz w:val="24"/>
        </w:rPr>
        <w:t xml:space="preserve"> the protection of rights to privacy</w:t>
      </w:r>
      <w:r>
        <w:rPr>
          <w:rFonts w:ascii="Times New Roman" w:eastAsia="Calibri" w:hAnsi="Times New Roman" w:cs="Times New Roman"/>
          <w:noProof/>
          <w:sz w:val="24"/>
        </w:rPr>
        <w:t xml:space="preserve"> and provide measures to that extent, including user notification. The majority of providers underlined the importance of user notification, which should o</w:t>
      </w:r>
      <w:r>
        <w:rPr>
          <w:rFonts w:ascii="Times New Roman" w:eastAsia="Calibri" w:hAnsi="Times New Roman" w:cs="Times New Roman"/>
          <w:noProof/>
          <w:sz w:val="24"/>
        </w:rPr>
        <w:t>nly exceptionally be deferred or prohibited.</w:t>
      </w:r>
      <w:r>
        <w:rPr>
          <w:rFonts w:ascii="Times New Roman" w:eastAsia="Calibri" w:hAnsi="Times New Roman" w:cs="Times New Roman"/>
          <w:noProof/>
          <w:sz w:val="24"/>
          <w:vertAlign w:val="superscript"/>
        </w:rPr>
        <w:footnoteReference w:id="237"/>
      </w:r>
      <w:r>
        <w:rPr>
          <w:rFonts w:ascii="Times New Roman" w:eastAsia="Calibri" w:hAnsi="Times New Roman" w:cs="Times New Roman"/>
          <w:noProof/>
          <w:sz w:val="24"/>
        </w:rPr>
        <w:t xml:space="preserve"> Any such exceptions should be specific and not provide for indefinite blanket coverage. </w:t>
      </w:r>
    </w:p>
    <w:p w:rsidR="001B65FF" w:rsidRDefault="003E4EF4">
      <w:pPr>
        <w:numPr>
          <w:ilvl w:val="0"/>
          <w:numId w:val="51"/>
        </w:numPr>
        <w:contextualSpacing/>
        <w:jc w:val="both"/>
        <w:rPr>
          <w:rFonts w:ascii="Times New Roman" w:hAnsi="Times New Roman" w:cs="Times New Roman"/>
          <w:b/>
          <w:noProof/>
          <w:sz w:val="24"/>
          <w:szCs w:val="24"/>
        </w:rPr>
      </w:pPr>
      <w:r>
        <w:rPr>
          <w:rFonts w:ascii="Times New Roman" w:hAnsi="Times New Roman" w:cs="Times New Roman"/>
          <w:b/>
          <w:noProof/>
          <w:sz w:val="24"/>
        </w:rPr>
        <w:t>User</w:t>
      </w:r>
      <w:r>
        <w:rPr>
          <w:rFonts w:ascii="Times New Roman" w:hAnsi="Times New Roman" w:cs="Times New Roman"/>
          <w:b/>
          <w:noProof/>
          <w:sz w:val="24"/>
          <w:szCs w:val="24"/>
        </w:rPr>
        <w:t xml:space="preserve"> notification</w:t>
      </w:r>
      <w:r>
        <w:rPr>
          <w:rFonts w:ascii="Times New Roman" w:hAnsi="Times New Roman" w:cs="Times New Roman"/>
          <w:noProof/>
          <w:sz w:val="24"/>
          <w:szCs w:val="24"/>
        </w:rPr>
        <w:t>, as a tool for transparency, creates its own challenges in cross-border situations for all parties invo</w:t>
      </w:r>
      <w:r>
        <w:rPr>
          <w:rFonts w:ascii="Times New Roman" w:hAnsi="Times New Roman" w:cs="Times New Roman"/>
          <w:noProof/>
          <w:sz w:val="24"/>
          <w:szCs w:val="24"/>
        </w:rPr>
        <w:t>lved, as national laws and company policies provide for different modalities and exceptions for user notification. In some Member States, it is obligatory for the investigating authority to provide notice to the user of an investigative act as long as it d</w:t>
      </w:r>
      <w:r>
        <w:rPr>
          <w:rFonts w:ascii="Times New Roman" w:hAnsi="Times New Roman" w:cs="Times New Roman"/>
          <w:noProof/>
          <w:sz w:val="24"/>
          <w:szCs w:val="24"/>
        </w:rPr>
        <w:t xml:space="preserve">oes not jeopardise the investigations; in others, the notification is prohibited. The rules on when notice has to take place also vary widely. </w:t>
      </w:r>
      <w:r>
        <w:rPr>
          <w:rFonts w:ascii="Times New Roman" w:eastAsia="Calibri" w:hAnsi="Times New Roman" w:cs="Times New Roman"/>
          <w:noProof/>
          <w:sz w:val="24"/>
        </w:rPr>
        <w:t>Service providers indicated that it is often unclear to them from law enforcement requests and applicable rules w</w:t>
      </w:r>
      <w:r>
        <w:rPr>
          <w:rFonts w:ascii="Times New Roman" w:eastAsia="Calibri" w:hAnsi="Times New Roman" w:cs="Times New Roman"/>
          <w:noProof/>
          <w:sz w:val="24"/>
        </w:rPr>
        <w:t xml:space="preserve">hether they are allowed to notify a customer, and if not, whether a law enforcement authority will do it and under which conditions. </w:t>
      </w:r>
      <w:r>
        <w:rPr>
          <w:rFonts w:ascii="Times New Roman" w:hAnsi="Times New Roman" w:cs="Times New Roman"/>
          <w:noProof/>
          <w:sz w:val="24"/>
          <w:szCs w:val="24"/>
        </w:rPr>
        <w:t>This can lead to situations where Member States' authorities request data from a US provider without realising that the pro</w:t>
      </w:r>
      <w:r>
        <w:rPr>
          <w:rFonts w:ascii="Times New Roman" w:hAnsi="Times New Roman" w:cs="Times New Roman"/>
          <w:noProof/>
          <w:sz w:val="24"/>
          <w:szCs w:val="24"/>
        </w:rPr>
        <w:t>vider will notify the user concerned unless a specific request to refrain from immediate notice is made and granted; this in turn may compromise an investigation under way.</w:t>
      </w:r>
    </w:p>
    <w:p w:rsidR="001B65FF" w:rsidRDefault="003E4EF4">
      <w:pPr>
        <w:numPr>
          <w:ilvl w:val="0"/>
          <w:numId w:val="51"/>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Transparent information and fair processing are core principles of EU data protecti</w:t>
      </w:r>
      <w:r>
        <w:rPr>
          <w:rFonts w:ascii="Times New Roman" w:eastAsia="Calibri" w:hAnsi="Times New Roman" w:cs="Times New Roman"/>
          <w:noProof/>
          <w:sz w:val="24"/>
        </w:rPr>
        <w:t>on rules; access, rectification and erasure rights are also guaranteed. However, restrictions might be imposed by way of legislative measures to safeguard, inter alia, public security or the prevention, investigation and prosecution of criminal offences or</w:t>
      </w:r>
      <w:r>
        <w:rPr>
          <w:rFonts w:ascii="Times New Roman" w:eastAsia="Calibri" w:hAnsi="Times New Roman" w:cs="Times New Roman"/>
          <w:noProof/>
          <w:sz w:val="24"/>
        </w:rPr>
        <w:t xml:space="preserve"> the execution of criminal penalties</w:t>
      </w:r>
      <w:r>
        <w:rPr>
          <w:rFonts w:ascii="Times New Roman" w:eastAsia="Calibri" w:hAnsi="Times New Roman" w:cs="Times New Roman"/>
          <w:noProof/>
          <w:sz w:val="24"/>
          <w:vertAlign w:val="superscript"/>
        </w:rPr>
        <w:footnoteReference w:id="238"/>
      </w:r>
      <w:r>
        <w:rPr>
          <w:rFonts w:ascii="Times New Roman" w:eastAsia="Calibri" w:hAnsi="Times New Roman" w:cs="Times New Roman"/>
          <w:noProof/>
          <w:sz w:val="24"/>
        </w:rPr>
        <w:t xml:space="preserve">. </w:t>
      </w:r>
    </w:p>
    <w:p w:rsidR="001B65FF" w:rsidRDefault="001B65FF">
      <w:pPr>
        <w:ind w:left="720"/>
        <w:contextualSpacing/>
        <w:jc w:val="both"/>
        <w:rPr>
          <w:rFonts w:ascii="Times New Roman" w:hAnsi="Times New Roman" w:cs="Times New Roman"/>
          <w:b/>
          <w:noProof/>
          <w:sz w:val="28"/>
          <w:szCs w:val="24"/>
        </w:rPr>
      </w:pPr>
    </w:p>
    <w:p w:rsidR="001B65FF" w:rsidRDefault="003E4EF4">
      <w:pPr>
        <w:numPr>
          <w:ilvl w:val="0"/>
          <w:numId w:val="50"/>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Reliability</w:t>
      </w:r>
      <w:r>
        <w:rPr>
          <w:rFonts w:ascii="Times New Roman" w:eastAsia="Times New Roman" w:hAnsi="Times New Roman" w:cs="Times New Roman"/>
          <w:noProof/>
          <w:sz w:val="24"/>
          <w:szCs w:val="24"/>
        </w:rPr>
        <w:t xml:space="preserve"> of stakeholders.</w:t>
      </w:r>
    </w:p>
    <w:p w:rsidR="001B65FF" w:rsidRDefault="003E4EF4">
      <w:pPr>
        <w:spacing w:after="0"/>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The process, regulated only through individual company policy on the provider side, is </w:t>
      </w:r>
      <w:r>
        <w:rPr>
          <w:rFonts w:ascii="Times New Roman" w:hAnsi="Times New Roman" w:cs="Times New Roman"/>
          <w:b/>
          <w:noProof/>
          <w:sz w:val="24"/>
          <w:szCs w:val="24"/>
        </w:rPr>
        <w:t>not predictable</w:t>
      </w:r>
      <w:r>
        <w:rPr>
          <w:rFonts w:ascii="Times New Roman" w:hAnsi="Times New Roman" w:cs="Times New Roman"/>
          <w:noProof/>
          <w:sz w:val="24"/>
          <w:szCs w:val="24"/>
        </w:rPr>
        <w:t xml:space="preserve"> and thus not reliable for both service providers and law enforcement authorities. Data availability and service providers’ requirements and conditions for providing that data vary widely, as does the quality of law enforcement requests.</w:t>
      </w:r>
    </w:p>
    <w:p w:rsidR="001B65FF" w:rsidRDefault="003E4EF4">
      <w:pPr>
        <w:numPr>
          <w:ilvl w:val="0"/>
          <w:numId w:val="52"/>
        </w:numPr>
        <w:contextualSpacing/>
        <w:jc w:val="both"/>
        <w:rPr>
          <w:rFonts w:ascii="Times New Roman" w:hAnsi="Times New Roman" w:cs="Times New Roman"/>
          <w:noProof/>
          <w:sz w:val="24"/>
        </w:rPr>
      </w:pPr>
      <w:r>
        <w:rPr>
          <w:rFonts w:ascii="Times New Roman" w:hAnsi="Times New Roman" w:cs="Times New Roman"/>
          <w:i/>
          <w:noProof/>
          <w:sz w:val="24"/>
          <w:szCs w:val="24"/>
        </w:rPr>
        <w:t>Service providers</w:t>
      </w:r>
      <w:r>
        <w:rPr>
          <w:rFonts w:ascii="Times New Roman" w:hAnsi="Times New Roman" w:cs="Times New Roman"/>
          <w:noProof/>
          <w:sz w:val="24"/>
        </w:rPr>
        <w:t xml:space="preserve"> </w:t>
      </w:r>
      <w:r>
        <w:rPr>
          <w:rFonts w:ascii="Times New Roman" w:hAnsi="Times New Roman" w:cs="Times New Roman"/>
          <w:noProof/>
          <w:sz w:val="24"/>
          <w:szCs w:val="24"/>
        </w:rPr>
        <w:t xml:space="preserve">complain about the wide variety of request formats and about requests sent in a way that prevents authentication, e.g. if no secure channel of communication is used or the request is sent to a general info or press mailbox. Where forms are made available, </w:t>
      </w:r>
      <w:r>
        <w:rPr>
          <w:rFonts w:ascii="Times New Roman" w:hAnsi="Times New Roman" w:cs="Times New Roman"/>
          <w:noProof/>
          <w:sz w:val="24"/>
          <w:szCs w:val="24"/>
        </w:rPr>
        <w:t>they may be poorly filled out, sometimes due to language issues.</w:t>
      </w:r>
      <w:r>
        <w:rPr>
          <w:rFonts w:ascii="Times New Roman" w:hAnsi="Times New Roman" w:cs="Times New Roman"/>
          <w:noProof/>
          <w:sz w:val="24"/>
        </w:rPr>
        <w:t xml:space="preserve"> </w:t>
      </w:r>
      <w:r>
        <w:rPr>
          <w:rFonts w:ascii="Times New Roman" w:hAnsi="Times New Roman" w:cs="Times New Roman"/>
          <w:noProof/>
          <w:sz w:val="24"/>
          <w:szCs w:val="24"/>
        </w:rPr>
        <w:t>Issuing authorities sometimes omit contact details, making follow-up questions difficult.</w:t>
      </w:r>
    </w:p>
    <w:p w:rsidR="001B65FF" w:rsidRDefault="003E4EF4">
      <w:pPr>
        <w:numPr>
          <w:ilvl w:val="0"/>
          <w:numId w:val="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For </w:t>
      </w:r>
      <w:r>
        <w:rPr>
          <w:rFonts w:ascii="Times New Roman" w:hAnsi="Times New Roman" w:cs="Times New Roman"/>
          <w:i/>
          <w:noProof/>
          <w:sz w:val="24"/>
          <w:szCs w:val="24"/>
        </w:rPr>
        <w:t>law enforcement authorities</w:t>
      </w:r>
      <w:r>
        <w:rPr>
          <w:rFonts w:ascii="Times New Roman" w:hAnsi="Times New Roman" w:cs="Times New Roman"/>
          <w:noProof/>
          <w:sz w:val="24"/>
          <w:szCs w:val="24"/>
        </w:rPr>
        <w:t>, it can be unpredictable whether a request will be answered at all. A</w:t>
      </w:r>
      <w:r>
        <w:rPr>
          <w:rFonts w:ascii="Times New Roman" w:hAnsi="Times New Roman" w:cs="Times New Roman"/>
          <w:noProof/>
          <w:sz w:val="24"/>
          <w:szCs w:val="24"/>
        </w:rPr>
        <w:t>s the cooperation takes place on a voluntary basis, providers are under no obligation to state reasons for refusal of disclosure or even to respond at all. Major service providers' approaches also differ with regard to the law enforcement agencies they wil</w:t>
      </w:r>
      <w:r>
        <w:rPr>
          <w:rFonts w:ascii="Times New Roman" w:hAnsi="Times New Roman" w:cs="Times New Roman"/>
          <w:noProof/>
          <w:sz w:val="24"/>
          <w:szCs w:val="24"/>
        </w:rPr>
        <w:t>l respond to, the supporting documentation they require, and the link to the investigating country that they demand. For example, some service providers do not request details of the case under investigation, while others do; also while one provider may re</w:t>
      </w:r>
      <w:r>
        <w:rPr>
          <w:rFonts w:ascii="Times New Roman" w:hAnsi="Times New Roman" w:cs="Times New Roman"/>
          <w:noProof/>
          <w:sz w:val="24"/>
          <w:szCs w:val="24"/>
        </w:rPr>
        <w:t>quire that an underlying IP address resolve to the investigating country, another will provide data as long as the IP address does not resolve to the US. In addition, there are no binding deadlines for responses.</w:t>
      </w:r>
    </w:p>
    <w:p w:rsidR="001B65FF" w:rsidRDefault="003E4EF4">
      <w:pPr>
        <w:numPr>
          <w:ilvl w:val="0"/>
          <w:numId w:val="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Besides the larger service providers which </w:t>
      </w:r>
      <w:r>
        <w:rPr>
          <w:rFonts w:ascii="Times New Roman" w:hAnsi="Times New Roman" w:cs="Times New Roman"/>
          <w:noProof/>
          <w:sz w:val="24"/>
          <w:szCs w:val="24"/>
        </w:rPr>
        <w:t>have often already established a range of different channels and policies to deal with requests, there is also a growing number of smaller service providers and a plethora of apps that can become relevant in criminal investigations. In these situations, ex</w:t>
      </w:r>
      <w:r>
        <w:rPr>
          <w:rFonts w:ascii="Times New Roman" w:hAnsi="Times New Roman" w:cs="Times New Roman"/>
          <w:noProof/>
          <w:sz w:val="24"/>
          <w:szCs w:val="24"/>
        </w:rPr>
        <w:t>perts highlighted that cooperation was often more challenging because both sides were unfamiliar with each other, there was a lack of specific rules and policies, and a lack of familiarity with the framework.</w:t>
      </w:r>
    </w:p>
    <w:p w:rsidR="001B65FF" w:rsidRDefault="003E4EF4">
      <w:pPr>
        <w:numPr>
          <w:ilvl w:val="0"/>
          <w:numId w:val="52"/>
        </w:numPr>
        <w:contextualSpacing/>
        <w:jc w:val="both"/>
        <w:rPr>
          <w:rFonts w:ascii="Times New Roman" w:hAnsi="Times New Roman" w:cs="Times New Roman"/>
          <w:noProof/>
          <w:sz w:val="24"/>
          <w:szCs w:val="24"/>
        </w:rPr>
      </w:pPr>
      <w:r>
        <w:rPr>
          <w:rFonts w:ascii="Times New Roman" w:hAnsi="Times New Roman" w:cs="Times New Roman"/>
          <w:noProof/>
          <w:sz w:val="24"/>
          <w:szCs w:val="24"/>
        </w:rPr>
        <w:t>Even if law enforcement authorities are aware o</w:t>
      </w:r>
      <w:r>
        <w:rPr>
          <w:rFonts w:ascii="Times New Roman" w:hAnsi="Times New Roman" w:cs="Times New Roman"/>
          <w:noProof/>
          <w:sz w:val="24"/>
          <w:szCs w:val="24"/>
        </w:rPr>
        <w:t>f certain procedures required by a company at a certain point of time, providers may change their policies at any time without notice.</w:t>
      </w:r>
    </w:p>
    <w:p w:rsidR="001B65FF" w:rsidRDefault="001B65FF">
      <w:pPr>
        <w:ind w:left="720"/>
        <w:contextualSpacing/>
        <w:jc w:val="both"/>
        <w:rPr>
          <w:rFonts w:ascii="Times New Roman" w:hAnsi="Times New Roman" w:cs="Times New Roman"/>
          <w:noProof/>
          <w:sz w:val="24"/>
          <w:szCs w:val="24"/>
        </w:rPr>
      </w:pPr>
    </w:p>
    <w:p w:rsidR="001B65FF" w:rsidRDefault="003E4EF4">
      <w:pPr>
        <w:numPr>
          <w:ilvl w:val="0"/>
          <w:numId w:val="50"/>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Accountability</w:t>
      </w:r>
      <w:r>
        <w:rPr>
          <w:rFonts w:ascii="Times New Roman" w:eastAsia="Times New Roman" w:hAnsi="Times New Roman" w:cs="Times New Roman"/>
          <w:noProof/>
          <w:sz w:val="24"/>
          <w:szCs w:val="24"/>
        </w:rPr>
        <w:t xml:space="preserve"> of stakeholders.</w:t>
      </w:r>
    </w:p>
    <w:p w:rsidR="001B65FF" w:rsidRDefault="003E4EF4">
      <w:pPr>
        <w:spacing w:after="0"/>
        <w:jc w:val="both"/>
        <w:rPr>
          <w:rFonts w:ascii="Times New Roman" w:hAnsi="Times New Roman" w:cs="Times New Roman"/>
          <w:noProof/>
          <w:sz w:val="24"/>
          <w:szCs w:val="24"/>
        </w:rPr>
      </w:pPr>
      <w:r>
        <w:rPr>
          <w:rFonts w:ascii="Times New Roman" w:hAnsi="Times New Roman" w:cs="Times New Roman"/>
          <w:noProof/>
          <w:sz w:val="24"/>
          <w:szCs w:val="24"/>
        </w:rPr>
        <w:t>The problems of lacking accountability go hand in hand with those of transparency and re</w:t>
      </w:r>
      <w:r>
        <w:rPr>
          <w:rFonts w:ascii="Times New Roman" w:hAnsi="Times New Roman" w:cs="Times New Roman"/>
          <w:noProof/>
          <w:sz w:val="24"/>
          <w:szCs w:val="24"/>
        </w:rPr>
        <w:t>liability.</w:t>
      </w:r>
    </w:p>
    <w:p w:rsidR="001B65FF" w:rsidRDefault="003E4EF4">
      <w:pPr>
        <w:numPr>
          <w:ilvl w:val="0"/>
          <w:numId w:val="53"/>
        </w:numPr>
        <w:contextualSpacing/>
        <w:jc w:val="both"/>
        <w:rPr>
          <w:rFonts w:ascii="Times New Roman" w:hAnsi="Times New Roman" w:cs="Times New Roman"/>
          <w:noProof/>
          <w:sz w:val="24"/>
          <w:szCs w:val="24"/>
        </w:rPr>
      </w:pPr>
      <w:r>
        <w:rPr>
          <w:rFonts w:ascii="Times New Roman" w:hAnsi="Times New Roman" w:cs="Times New Roman"/>
          <w:i/>
          <w:noProof/>
          <w:sz w:val="24"/>
          <w:szCs w:val="24"/>
        </w:rPr>
        <w:t xml:space="preserve">Service providers </w:t>
      </w:r>
      <w:r>
        <w:rPr>
          <w:rFonts w:ascii="Times New Roman" w:hAnsi="Times New Roman" w:cs="Times New Roman"/>
          <w:noProof/>
          <w:sz w:val="24"/>
          <w:szCs w:val="24"/>
        </w:rPr>
        <w:t>frequently have no insight into which crimes are being investigated as this may be confidential information. This makes it difficult for the providers to be accountable to their users.</w:t>
      </w:r>
      <w:r>
        <w:rPr>
          <w:rFonts w:ascii="Times New Roman" w:hAnsi="Times New Roman" w:cs="Times New Roman"/>
          <w:noProof/>
          <w:sz w:val="24"/>
        </w:rPr>
        <w:t xml:space="preserve"> </w:t>
      </w:r>
      <w:r>
        <w:rPr>
          <w:rFonts w:ascii="Times New Roman" w:hAnsi="Times New Roman" w:cs="Times New Roman"/>
          <w:noProof/>
          <w:sz w:val="24"/>
          <w:szCs w:val="24"/>
        </w:rPr>
        <w:t>As data is provided without a legal obliga</w:t>
      </w:r>
      <w:r>
        <w:rPr>
          <w:rFonts w:ascii="Times New Roman" w:hAnsi="Times New Roman" w:cs="Times New Roman"/>
          <w:noProof/>
          <w:sz w:val="24"/>
          <w:szCs w:val="24"/>
        </w:rPr>
        <w:t>tion under US law, service providers are also not accountable to law enforcement authorities for submitting no, incomplete or even false information. Requests are not enforceable under US law (this would require going through mutual legal assistance instea</w:t>
      </w:r>
      <w:r>
        <w:rPr>
          <w:rFonts w:ascii="Times New Roman" w:hAnsi="Times New Roman" w:cs="Times New Roman"/>
          <w:noProof/>
          <w:sz w:val="24"/>
          <w:szCs w:val="24"/>
        </w:rPr>
        <w:t>d).</w:t>
      </w:r>
    </w:p>
    <w:p w:rsidR="001B65FF" w:rsidRDefault="003E4EF4">
      <w:pPr>
        <w:numPr>
          <w:ilvl w:val="0"/>
          <w:numId w:val="53"/>
        </w:numPr>
        <w:contextualSpacing/>
        <w:jc w:val="both"/>
        <w:rPr>
          <w:rFonts w:ascii="Times New Roman" w:hAnsi="Times New Roman"/>
          <w:noProof/>
          <w:sz w:val="24"/>
        </w:rPr>
      </w:pPr>
      <w:r>
        <w:rPr>
          <w:rFonts w:ascii="Times New Roman" w:eastAsia="Calibri" w:hAnsi="Times New Roman" w:cs="Times New Roman"/>
          <w:noProof/>
          <w:sz w:val="24"/>
        </w:rPr>
        <w:t xml:space="preserve">In relation to privacy and data protection, stakeholders from the private sector also highlighted the specific expectations of </w:t>
      </w:r>
      <w:r>
        <w:rPr>
          <w:rFonts w:ascii="Times New Roman" w:eastAsia="Calibri" w:hAnsi="Times New Roman" w:cs="Times New Roman"/>
          <w:b/>
          <w:noProof/>
          <w:sz w:val="24"/>
        </w:rPr>
        <w:t>corporate customers</w:t>
      </w:r>
      <w:r>
        <w:rPr>
          <w:rFonts w:ascii="Times New Roman" w:eastAsia="Calibri" w:hAnsi="Times New Roman" w:cs="Times New Roman"/>
          <w:noProof/>
          <w:sz w:val="24"/>
        </w:rPr>
        <w:t xml:space="preserve"> that a provider of corporate systems and services should in principle not be asked to provide information pertaining to their corporate client. Rather, it was pointed out, authorities should consider requesting the information from the corporate client it</w:t>
      </w:r>
      <w:r>
        <w:rPr>
          <w:rFonts w:ascii="Times New Roman" w:eastAsia="Calibri" w:hAnsi="Times New Roman" w:cs="Times New Roman"/>
          <w:noProof/>
          <w:sz w:val="24"/>
        </w:rPr>
        <w:t>self.</w:t>
      </w:r>
    </w:p>
    <w:p w:rsidR="001B65FF" w:rsidRDefault="003E4EF4">
      <w:pPr>
        <w:numPr>
          <w:ilvl w:val="0"/>
          <w:numId w:val="53"/>
        </w:numPr>
        <w:contextualSpacing/>
        <w:jc w:val="both"/>
        <w:rPr>
          <w:rFonts w:ascii="Times New Roman" w:hAnsi="Times New Roman" w:cs="Times New Roman"/>
          <w:noProof/>
          <w:sz w:val="24"/>
        </w:rPr>
      </w:pPr>
      <w:r>
        <w:rPr>
          <w:rFonts w:ascii="Times New Roman" w:hAnsi="Times New Roman" w:cs="Times New Roman"/>
          <w:i/>
          <w:noProof/>
          <w:sz w:val="24"/>
          <w:szCs w:val="24"/>
        </w:rPr>
        <w:t>Law enforcement authorities</w:t>
      </w:r>
      <w:r>
        <w:rPr>
          <w:rFonts w:ascii="Times New Roman" w:hAnsi="Times New Roman" w:cs="Times New Roman"/>
          <w:noProof/>
          <w:sz w:val="24"/>
          <w:szCs w:val="24"/>
        </w:rPr>
        <w:t xml:space="preserve"> are held accountable through various processes including the need for prior authorisation by a judge and the possibility to refute admissibility of evidence gathered in violation of procedural rules in a subsequent court p</w:t>
      </w:r>
      <w:r>
        <w:rPr>
          <w:rFonts w:ascii="Times New Roman" w:hAnsi="Times New Roman" w:cs="Times New Roman"/>
          <w:noProof/>
          <w:sz w:val="24"/>
          <w:szCs w:val="24"/>
        </w:rPr>
        <w:t>roceeding. However, these processes are usually not designed to take account of this direct cooperation across borders and therefore are deemed unsatisfactory by some.</w:t>
      </w:r>
    </w:p>
    <w:p w:rsidR="001B65FF" w:rsidRDefault="001B65FF">
      <w:pPr>
        <w:ind w:left="720"/>
        <w:contextualSpacing/>
        <w:jc w:val="both"/>
        <w:rPr>
          <w:rFonts w:ascii="Times New Roman" w:hAnsi="Times New Roman" w:cs="Times New Roman"/>
          <w:noProof/>
          <w:sz w:val="24"/>
        </w:rPr>
      </w:pPr>
    </w:p>
    <w:p w:rsidR="001B65FF" w:rsidRDefault="003E4EF4">
      <w:pPr>
        <w:numPr>
          <w:ilvl w:val="0"/>
          <w:numId w:val="50"/>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Admissibility</w:t>
      </w:r>
      <w:r>
        <w:rPr>
          <w:rFonts w:ascii="Times New Roman" w:eastAsia="Times New Roman" w:hAnsi="Times New Roman" w:cs="Times New Roman"/>
          <w:noProof/>
          <w:sz w:val="24"/>
          <w:szCs w:val="24"/>
        </w:rPr>
        <w:t xml:space="preserve"> of evidence.</w:t>
      </w:r>
    </w:p>
    <w:p w:rsidR="001B65FF" w:rsidRDefault="003E4EF4">
      <w:pPr>
        <w:tabs>
          <w:tab w:val="left" w:pos="2302"/>
        </w:tabs>
        <w:spacing w:after="0"/>
        <w:ind w:left="3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Given that direct requests from law enforcement authorities </w:t>
      </w:r>
      <w:r>
        <w:rPr>
          <w:rFonts w:ascii="Times New Roman" w:eastAsia="Times New Roman" w:hAnsi="Times New Roman" w:cs="Times New Roman"/>
          <w:noProof/>
          <w:sz w:val="24"/>
          <w:szCs w:val="24"/>
        </w:rPr>
        <w:t>in an EU Member State to service providers established elsewhere are not explicitly foreseen under most national laws of criminal procedure, there can be problems with the admissibility of evidence gathered through direct cooperation in a subsequent crimin</w:t>
      </w:r>
      <w:r>
        <w:rPr>
          <w:rFonts w:ascii="Times New Roman" w:eastAsia="Times New Roman" w:hAnsi="Times New Roman" w:cs="Times New Roman"/>
          <w:noProof/>
          <w:sz w:val="24"/>
          <w:szCs w:val="24"/>
        </w:rPr>
        <w:t>al trial, both for requests that undergo individualised review and for database searches. This is also highlighted in the GENVAL Final Report, which refers to the specific challenges arising from the nature of e-evidence and the ease with which it can be m</w:t>
      </w:r>
      <w:r>
        <w:rPr>
          <w:rFonts w:ascii="Times New Roman" w:eastAsia="Times New Roman" w:hAnsi="Times New Roman" w:cs="Times New Roman"/>
          <w:noProof/>
          <w:sz w:val="24"/>
          <w:szCs w:val="24"/>
        </w:rPr>
        <w:t>anipulated or falsified</w:t>
      </w:r>
      <w:r>
        <w:rPr>
          <w:rStyle w:val="FootnoteReference"/>
          <w:rFonts w:ascii="Times New Roman" w:eastAsia="Times New Roman" w:hAnsi="Times New Roman" w:cs="Times New Roman"/>
          <w:noProof/>
          <w:sz w:val="24"/>
          <w:szCs w:val="24"/>
        </w:rPr>
        <w:footnoteReference w:id="239"/>
      </w:r>
      <w:r>
        <w:rPr>
          <w:rFonts w:ascii="Times New Roman" w:eastAsia="Times New Roman" w:hAnsi="Times New Roman" w:cs="Times New Roman"/>
          <w:noProof/>
          <w:sz w:val="24"/>
          <w:szCs w:val="24"/>
        </w:rPr>
        <w:t>.</w:t>
      </w:r>
    </w:p>
    <w:p w:rsidR="001B65FF" w:rsidRDefault="001B65FF">
      <w:pPr>
        <w:tabs>
          <w:tab w:val="left" w:pos="2302"/>
        </w:tabs>
        <w:spacing w:after="0"/>
        <w:jc w:val="both"/>
        <w:rPr>
          <w:rFonts w:ascii="Times New Roman" w:eastAsia="Times New Roman" w:hAnsi="Times New Roman" w:cs="Times New Roman"/>
          <w:noProof/>
          <w:sz w:val="24"/>
          <w:szCs w:val="24"/>
        </w:rPr>
      </w:pPr>
    </w:p>
    <w:p w:rsidR="001B65FF" w:rsidRDefault="003E4EF4">
      <w:pPr>
        <w:numPr>
          <w:ilvl w:val="0"/>
          <w:numId w:val="50"/>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Unequal treatment</w:t>
      </w:r>
      <w:r>
        <w:rPr>
          <w:rFonts w:ascii="Times New Roman" w:eastAsia="Times New Roman" w:hAnsi="Times New Roman" w:cs="Times New Roman"/>
          <w:noProof/>
          <w:sz w:val="24"/>
          <w:szCs w:val="24"/>
        </w:rPr>
        <w:t xml:space="preserve"> of Member States.</w:t>
      </w:r>
    </w:p>
    <w:p w:rsidR="001B65FF" w:rsidRDefault="003E4EF4">
      <w:pPr>
        <w:ind w:left="360"/>
        <w:jc w:val="both"/>
        <w:rPr>
          <w:rFonts w:ascii="Times New Roman" w:hAnsi="Times New Roman" w:cs="Times New Roman"/>
          <w:noProof/>
          <w:sz w:val="24"/>
          <w:szCs w:val="24"/>
        </w:rPr>
      </w:pPr>
      <w:r>
        <w:rPr>
          <w:rFonts w:ascii="Times New Roman" w:hAnsi="Times New Roman" w:cs="Times New Roman"/>
          <w:i/>
          <w:noProof/>
          <w:sz w:val="24"/>
          <w:szCs w:val="24"/>
        </w:rPr>
        <w:t>Law</w:t>
      </w:r>
      <w:r>
        <w:rPr>
          <w:rFonts w:ascii="Times New Roman" w:hAnsi="Times New Roman" w:cs="Times New Roman"/>
          <w:i/>
          <w:noProof/>
          <w:sz w:val="24"/>
        </w:rPr>
        <w:t xml:space="preserve"> enforcement</w:t>
      </w:r>
      <w:r>
        <w:rPr>
          <w:rFonts w:ascii="Times New Roman" w:hAnsi="Times New Roman" w:cs="Times New Roman"/>
          <w:i/>
          <w:noProof/>
          <w:sz w:val="24"/>
          <w:szCs w:val="24"/>
        </w:rPr>
        <w:t xml:space="preserve"> authorities</w:t>
      </w:r>
      <w:r>
        <w:rPr>
          <w:rFonts w:ascii="Times New Roman" w:hAnsi="Times New Roman" w:cs="Times New Roman"/>
          <w:noProof/>
          <w:sz w:val="24"/>
          <w:szCs w:val="24"/>
        </w:rPr>
        <w:t xml:space="preserve"> from different Member States indicate that providers respond differently depending on where requests come from. This is confirmed by an analysis</w:t>
      </w:r>
      <w:r>
        <w:rPr>
          <w:rFonts w:ascii="Times New Roman" w:hAnsi="Times New Roman" w:cs="Times New Roman"/>
          <w:noProof/>
          <w:sz w:val="24"/>
        </w:rPr>
        <w:t xml:space="preserve"> of </w:t>
      </w:r>
      <w:r>
        <w:rPr>
          <w:rFonts w:ascii="Times New Roman" w:hAnsi="Times New Roman" w:cs="Times New Roman"/>
          <w:noProof/>
          <w:sz w:val="24"/>
          <w:szCs w:val="24"/>
        </w:rPr>
        <w:t xml:space="preserve">transparency </w:t>
      </w:r>
      <w:r>
        <w:rPr>
          <w:rFonts w:ascii="Times New Roman" w:hAnsi="Times New Roman" w:cs="Times New Roman"/>
          <w:noProof/>
          <w:sz w:val="24"/>
          <w:szCs w:val="24"/>
        </w:rPr>
        <w:t>reports of some of the major</w:t>
      </w:r>
      <w:r>
        <w:rPr>
          <w:rFonts w:ascii="Times New Roman" w:hAnsi="Times New Roman" w:cs="Times New Roman"/>
          <w:noProof/>
          <w:sz w:val="24"/>
        </w:rPr>
        <w:t xml:space="preserve"> service providers</w:t>
      </w:r>
      <w:r>
        <w:rPr>
          <w:rFonts w:ascii="Times New Roman" w:hAnsi="Times New Roman" w:cs="Times New Roman"/>
          <w:noProof/>
          <w:sz w:val="24"/>
          <w:szCs w:val="24"/>
        </w:rPr>
        <w:t>:</w:t>
      </w:r>
      <w:r>
        <w:rPr>
          <w:rFonts w:ascii="Times New Roman" w:hAnsi="Times New Roman" w:cs="Times New Roman"/>
          <w:noProof/>
          <w:sz w:val="24"/>
        </w:rPr>
        <w:t xml:space="preserve"> the average percentage of disclosure of data following all requests sent to Apple, Facebook, Google, Microsoft, Twitter and Yahoo in 2014 varied among EU Member States  from 31 % (Poland) up to 78 % (</w:t>
      </w:r>
      <w:r>
        <w:rPr>
          <w:rFonts w:ascii="Times New Roman" w:hAnsi="Times New Roman" w:cs="Times New Roman"/>
          <w:noProof/>
          <w:sz w:val="24"/>
          <w:szCs w:val="24"/>
        </w:rPr>
        <w:t>the</w:t>
      </w:r>
      <w:r>
        <w:rPr>
          <w:rFonts w:ascii="Times New Roman" w:hAnsi="Times New Roman" w:cs="Times New Roman"/>
          <w:noProof/>
          <w:sz w:val="24"/>
        </w:rPr>
        <w:t xml:space="preserve"> Neth</w:t>
      </w:r>
      <w:r>
        <w:rPr>
          <w:rFonts w:ascii="Times New Roman" w:hAnsi="Times New Roman" w:cs="Times New Roman"/>
          <w:noProof/>
          <w:sz w:val="24"/>
        </w:rPr>
        <w:t>erlands)</w:t>
      </w:r>
      <w:r>
        <w:rPr>
          <w:rFonts w:ascii="Times New Roman" w:hAnsi="Times New Roman" w:cs="Times New Roman"/>
          <w:noProof/>
          <w:sz w:val="24"/>
          <w:vertAlign w:val="superscript"/>
        </w:rPr>
        <w:t xml:space="preserve"> </w:t>
      </w:r>
      <w:r>
        <w:rPr>
          <w:rFonts w:ascii="Times New Roman" w:hAnsi="Times New Roman" w:cs="Times New Roman"/>
          <w:noProof/>
          <w:sz w:val="24"/>
          <w:vertAlign w:val="superscript"/>
        </w:rPr>
        <w:footnoteReference w:id="240"/>
      </w:r>
      <w:r>
        <w:rPr>
          <w:rFonts w:ascii="Times New Roman" w:hAnsi="Times New Roman" w:cs="Times New Roman"/>
          <w:noProof/>
          <w:sz w:val="24"/>
        </w:rPr>
        <w:t>.</w:t>
      </w:r>
    </w:p>
    <w:p w:rsidR="001B65FF" w:rsidRDefault="003E4EF4">
      <w:pPr>
        <w:ind w:left="360"/>
        <w:jc w:val="both"/>
        <w:rPr>
          <w:rFonts w:ascii="Times New Roman" w:hAnsi="Times New Roman" w:cs="Times New Roman"/>
          <w:noProof/>
          <w:sz w:val="24"/>
          <w:szCs w:val="24"/>
        </w:rPr>
      </w:pPr>
      <w:r>
        <w:rPr>
          <w:rFonts w:ascii="Times New Roman" w:hAnsi="Times New Roman" w:cs="Times New Roman"/>
          <w:noProof/>
          <w:sz w:val="24"/>
          <w:szCs w:val="24"/>
        </w:rPr>
        <w:t>The following tables illustrate the problem, using data from 2014 transparency reports of the respective companies</w:t>
      </w:r>
      <w:r>
        <w:rPr>
          <w:rFonts w:ascii="Times New Roman" w:hAnsi="Times New Roman" w:cs="Times New Roman"/>
          <w:noProof/>
          <w:sz w:val="24"/>
          <w:szCs w:val="24"/>
          <w:vertAlign w:val="superscript"/>
        </w:rPr>
        <w:footnoteReference w:id="241"/>
      </w:r>
      <w:r>
        <w:rPr>
          <w:rFonts w:ascii="Times New Roman" w:hAnsi="Times New Roman" w:cs="Times New Roman"/>
          <w:noProof/>
          <w:sz w:val="24"/>
          <w:szCs w:val="24"/>
        </w:rPr>
        <w:t>:</w:t>
      </w:r>
    </w:p>
    <w:p w:rsidR="001B65FF" w:rsidRDefault="003E4EF4">
      <w:pPr>
        <w:ind w:left="360"/>
        <w:jc w:val="center"/>
        <w:rPr>
          <w:rFonts w:ascii="Times New Roman" w:hAnsi="Times New Roman" w:cs="Times New Roman"/>
          <w:i/>
          <w:noProof/>
          <w:sz w:val="24"/>
        </w:rPr>
      </w:pPr>
      <w:r>
        <w:rPr>
          <w:rFonts w:ascii="Times New Roman" w:hAnsi="Times New Roman" w:cs="Times New Roman"/>
          <w:i/>
          <w:noProof/>
          <w:sz w:val="24"/>
          <w:szCs w:val="24"/>
        </w:rPr>
        <w:t xml:space="preserve">Table 1: range of rate of disclosure by Member State </w:t>
      </w:r>
    </w:p>
    <w:tbl>
      <w:tblPr>
        <w:tblStyle w:val="TableGrid"/>
        <w:tblW w:w="0" w:type="auto"/>
        <w:tblInd w:w="720" w:type="dxa"/>
        <w:tblLook w:val="04A0" w:firstRow="1" w:lastRow="0" w:firstColumn="1" w:lastColumn="0" w:noHBand="0" w:noVBand="1"/>
      </w:tblPr>
      <w:tblGrid>
        <w:gridCol w:w="4278"/>
        <w:gridCol w:w="4288"/>
      </w:tblGrid>
      <w:tr w:rsidR="001B65FF">
        <w:trPr>
          <w:trHeight w:val="463"/>
        </w:trPr>
        <w:tc>
          <w:tcPr>
            <w:tcW w:w="4644" w:type="dxa"/>
          </w:tcPr>
          <w:p w:rsidR="001B65FF" w:rsidRDefault="003E4EF4">
            <w:pPr>
              <w:jc w:val="center"/>
              <w:rPr>
                <w:b/>
                <w:noProof/>
                <w:sz w:val="24"/>
                <w:szCs w:val="24"/>
              </w:rPr>
            </w:pPr>
            <w:r>
              <w:rPr>
                <w:b/>
                <w:noProof/>
                <w:sz w:val="24"/>
                <w:szCs w:val="24"/>
              </w:rPr>
              <w:t>Service provider</w:t>
            </w:r>
          </w:p>
        </w:tc>
        <w:tc>
          <w:tcPr>
            <w:tcW w:w="4644" w:type="dxa"/>
          </w:tcPr>
          <w:p w:rsidR="001B65FF" w:rsidRDefault="003E4EF4">
            <w:pPr>
              <w:jc w:val="center"/>
              <w:rPr>
                <w:b/>
                <w:noProof/>
                <w:sz w:val="24"/>
                <w:szCs w:val="24"/>
              </w:rPr>
            </w:pPr>
            <w:r>
              <w:rPr>
                <w:b/>
                <w:noProof/>
                <w:sz w:val="24"/>
                <w:szCs w:val="24"/>
              </w:rPr>
              <w:t>Range of rate of disclosure</w:t>
            </w:r>
          </w:p>
        </w:tc>
      </w:tr>
      <w:tr w:rsidR="001B65FF">
        <w:trPr>
          <w:trHeight w:val="616"/>
        </w:trPr>
        <w:tc>
          <w:tcPr>
            <w:tcW w:w="4644" w:type="dxa"/>
            <w:vAlign w:val="center"/>
          </w:tcPr>
          <w:p w:rsidR="001B65FF" w:rsidRDefault="003E4EF4">
            <w:pPr>
              <w:jc w:val="center"/>
              <w:rPr>
                <w:noProof/>
                <w:sz w:val="24"/>
                <w:szCs w:val="24"/>
              </w:rPr>
            </w:pPr>
            <w:r>
              <w:rPr>
                <w:noProof/>
                <w:sz w:val="24"/>
                <w:szCs w:val="24"/>
              </w:rPr>
              <w:t>Google / Youtube</w:t>
            </w:r>
          </w:p>
        </w:tc>
        <w:tc>
          <w:tcPr>
            <w:tcW w:w="4644" w:type="dxa"/>
            <w:vAlign w:val="center"/>
          </w:tcPr>
          <w:p w:rsidR="001B65FF" w:rsidRDefault="003E4EF4">
            <w:pPr>
              <w:jc w:val="center"/>
              <w:rPr>
                <w:noProof/>
                <w:sz w:val="24"/>
                <w:szCs w:val="24"/>
              </w:rPr>
            </w:pPr>
            <w:r>
              <w:rPr>
                <w:noProof/>
                <w:sz w:val="24"/>
                <w:szCs w:val="24"/>
              </w:rPr>
              <w:t>0 % (Hunga</w:t>
            </w:r>
            <w:r>
              <w:rPr>
                <w:noProof/>
                <w:sz w:val="24"/>
                <w:szCs w:val="24"/>
              </w:rPr>
              <w:t>ry) - 83 % (Finland)</w:t>
            </w:r>
          </w:p>
        </w:tc>
      </w:tr>
      <w:tr w:rsidR="001B65FF">
        <w:trPr>
          <w:trHeight w:val="535"/>
        </w:trPr>
        <w:tc>
          <w:tcPr>
            <w:tcW w:w="4644" w:type="dxa"/>
            <w:vAlign w:val="center"/>
          </w:tcPr>
          <w:p w:rsidR="001B65FF" w:rsidRDefault="003E4EF4">
            <w:pPr>
              <w:jc w:val="center"/>
              <w:rPr>
                <w:noProof/>
                <w:sz w:val="24"/>
                <w:szCs w:val="24"/>
              </w:rPr>
            </w:pPr>
            <w:r>
              <w:rPr>
                <w:noProof/>
                <w:sz w:val="24"/>
                <w:szCs w:val="24"/>
              </w:rPr>
              <w:t>Facebook</w:t>
            </w:r>
          </w:p>
        </w:tc>
        <w:tc>
          <w:tcPr>
            <w:tcW w:w="4644" w:type="dxa"/>
            <w:vAlign w:val="center"/>
          </w:tcPr>
          <w:p w:rsidR="001B65FF" w:rsidRDefault="003E4EF4">
            <w:pPr>
              <w:jc w:val="center"/>
              <w:rPr>
                <w:noProof/>
                <w:sz w:val="24"/>
                <w:szCs w:val="24"/>
              </w:rPr>
            </w:pPr>
            <w:r>
              <w:rPr>
                <w:noProof/>
                <w:sz w:val="24"/>
                <w:szCs w:val="24"/>
              </w:rPr>
              <w:t>15 % (Austria) - 80 % (Croatia)</w:t>
            </w:r>
          </w:p>
        </w:tc>
      </w:tr>
      <w:tr w:rsidR="001B65FF">
        <w:trPr>
          <w:trHeight w:val="616"/>
        </w:trPr>
        <w:tc>
          <w:tcPr>
            <w:tcW w:w="4644" w:type="dxa"/>
            <w:vAlign w:val="center"/>
          </w:tcPr>
          <w:p w:rsidR="001B65FF" w:rsidRDefault="003E4EF4">
            <w:pPr>
              <w:jc w:val="center"/>
              <w:rPr>
                <w:noProof/>
                <w:sz w:val="24"/>
                <w:szCs w:val="24"/>
              </w:rPr>
            </w:pPr>
            <w:r>
              <w:rPr>
                <w:noProof/>
                <w:sz w:val="24"/>
                <w:szCs w:val="24"/>
              </w:rPr>
              <w:t>Apple</w:t>
            </w:r>
          </w:p>
        </w:tc>
        <w:tc>
          <w:tcPr>
            <w:tcW w:w="4644" w:type="dxa"/>
            <w:vAlign w:val="center"/>
          </w:tcPr>
          <w:p w:rsidR="001B65FF" w:rsidRDefault="003E4EF4">
            <w:pPr>
              <w:jc w:val="center"/>
              <w:rPr>
                <w:noProof/>
                <w:sz w:val="24"/>
                <w:szCs w:val="24"/>
              </w:rPr>
            </w:pPr>
            <w:r>
              <w:rPr>
                <w:noProof/>
                <w:sz w:val="24"/>
                <w:szCs w:val="24"/>
              </w:rPr>
              <w:t>29 % (France) - 90 % (Austria)</w:t>
            </w:r>
          </w:p>
        </w:tc>
      </w:tr>
    </w:tbl>
    <w:p w:rsidR="001B65FF" w:rsidRDefault="003E4EF4">
      <w:pPr>
        <w:ind w:left="360"/>
        <w:jc w:val="center"/>
        <w:rPr>
          <w:rFonts w:ascii="Times New Roman" w:hAnsi="Times New Roman" w:cs="Times New Roman"/>
          <w:i/>
          <w:noProof/>
          <w:sz w:val="24"/>
        </w:rPr>
      </w:pPr>
      <w:r>
        <w:rPr>
          <w:rFonts w:ascii="Times New Roman" w:hAnsi="Times New Roman" w:cs="Times New Roman"/>
          <w:i/>
          <w:noProof/>
          <w:sz w:val="24"/>
          <w:szCs w:val="24"/>
        </w:rPr>
        <w:t xml:space="preserve">Table 2: range of rate of disclosure by service provider </w:t>
      </w:r>
    </w:p>
    <w:tbl>
      <w:tblPr>
        <w:tblStyle w:val="TableGrid"/>
        <w:tblW w:w="0" w:type="auto"/>
        <w:tblInd w:w="720" w:type="dxa"/>
        <w:tblLook w:val="04A0" w:firstRow="1" w:lastRow="0" w:firstColumn="1" w:lastColumn="0" w:noHBand="0" w:noVBand="1"/>
      </w:tblPr>
      <w:tblGrid>
        <w:gridCol w:w="2627"/>
        <w:gridCol w:w="5939"/>
      </w:tblGrid>
      <w:tr w:rsidR="001B65FF">
        <w:trPr>
          <w:trHeight w:val="373"/>
        </w:trPr>
        <w:tc>
          <w:tcPr>
            <w:tcW w:w="2628" w:type="dxa"/>
          </w:tcPr>
          <w:p w:rsidR="001B65FF" w:rsidRDefault="003E4EF4">
            <w:pPr>
              <w:jc w:val="center"/>
              <w:rPr>
                <w:b/>
                <w:noProof/>
                <w:sz w:val="24"/>
                <w:szCs w:val="24"/>
              </w:rPr>
            </w:pPr>
            <w:r>
              <w:rPr>
                <w:b/>
                <w:noProof/>
                <w:sz w:val="24"/>
                <w:szCs w:val="24"/>
              </w:rPr>
              <w:t>Member State</w:t>
            </w:r>
          </w:p>
        </w:tc>
        <w:tc>
          <w:tcPr>
            <w:tcW w:w="5940" w:type="dxa"/>
          </w:tcPr>
          <w:p w:rsidR="001B65FF" w:rsidRDefault="003E4EF4">
            <w:pPr>
              <w:jc w:val="center"/>
              <w:rPr>
                <w:b/>
                <w:noProof/>
                <w:sz w:val="24"/>
                <w:szCs w:val="24"/>
              </w:rPr>
            </w:pPr>
            <w:r>
              <w:rPr>
                <w:b/>
                <w:noProof/>
                <w:sz w:val="24"/>
                <w:szCs w:val="24"/>
              </w:rPr>
              <w:t>Range of rate of disclosure</w:t>
            </w:r>
          </w:p>
        </w:tc>
      </w:tr>
      <w:tr w:rsidR="001B65FF">
        <w:trPr>
          <w:trHeight w:val="643"/>
        </w:trPr>
        <w:tc>
          <w:tcPr>
            <w:tcW w:w="2628" w:type="dxa"/>
            <w:vAlign w:val="center"/>
          </w:tcPr>
          <w:p w:rsidR="001B65FF" w:rsidRDefault="003E4EF4">
            <w:pPr>
              <w:jc w:val="center"/>
              <w:rPr>
                <w:noProof/>
                <w:sz w:val="24"/>
                <w:szCs w:val="24"/>
              </w:rPr>
            </w:pPr>
            <w:r>
              <w:rPr>
                <w:noProof/>
                <w:sz w:val="24"/>
                <w:szCs w:val="24"/>
              </w:rPr>
              <w:t>Austria</w:t>
            </w:r>
          </w:p>
        </w:tc>
        <w:tc>
          <w:tcPr>
            <w:tcW w:w="5940" w:type="dxa"/>
            <w:vAlign w:val="center"/>
          </w:tcPr>
          <w:p w:rsidR="001B65FF" w:rsidRDefault="003E4EF4">
            <w:pPr>
              <w:jc w:val="center"/>
              <w:rPr>
                <w:noProof/>
                <w:sz w:val="24"/>
                <w:szCs w:val="24"/>
              </w:rPr>
            </w:pPr>
            <w:r>
              <w:rPr>
                <w:noProof/>
                <w:sz w:val="24"/>
                <w:szCs w:val="24"/>
              </w:rPr>
              <w:t>27 % (Google / Youtube) - 90 % (Apple)</w:t>
            </w:r>
          </w:p>
        </w:tc>
      </w:tr>
      <w:tr w:rsidR="001B65FF">
        <w:tc>
          <w:tcPr>
            <w:tcW w:w="2628" w:type="dxa"/>
            <w:vAlign w:val="center"/>
          </w:tcPr>
          <w:p w:rsidR="001B65FF" w:rsidRDefault="003E4EF4">
            <w:pPr>
              <w:spacing w:before="240"/>
              <w:jc w:val="center"/>
              <w:rPr>
                <w:noProof/>
                <w:sz w:val="24"/>
                <w:szCs w:val="24"/>
              </w:rPr>
            </w:pPr>
            <w:r>
              <w:rPr>
                <w:noProof/>
                <w:sz w:val="24"/>
                <w:szCs w:val="24"/>
              </w:rPr>
              <w:t>Germany</w:t>
            </w:r>
          </w:p>
        </w:tc>
        <w:tc>
          <w:tcPr>
            <w:tcW w:w="5940" w:type="dxa"/>
            <w:vAlign w:val="center"/>
          </w:tcPr>
          <w:p w:rsidR="001B65FF" w:rsidRDefault="003E4EF4">
            <w:pPr>
              <w:jc w:val="center"/>
              <w:rPr>
                <w:noProof/>
                <w:sz w:val="24"/>
                <w:szCs w:val="24"/>
              </w:rPr>
            </w:pPr>
            <w:r>
              <w:rPr>
                <w:noProof/>
                <w:sz w:val="24"/>
                <w:szCs w:val="24"/>
              </w:rPr>
              <w:t>38 % (Google / Youtube) – 79 % (Microsoft/Skype)</w:t>
            </w:r>
          </w:p>
        </w:tc>
      </w:tr>
      <w:tr w:rsidR="001B65FF">
        <w:tc>
          <w:tcPr>
            <w:tcW w:w="2628" w:type="dxa"/>
            <w:vAlign w:val="center"/>
          </w:tcPr>
          <w:p w:rsidR="001B65FF" w:rsidRDefault="003E4EF4">
            <w:pPr>
              <w:spacing w:before="240"/>
              <w:jc w:val="center"/>
              <w:rPr>
                <w:noProof/>
                <w:sz w:val="24"/>
                <w:szCs w:val="24"/>
              </w:rPr>
            </w:pPr>
            <w:r>
              <w:rPr>
                <w:noProof/>
                <w:sz w:val="24"/>
                <w:szCs w:val="24"/>
              </w:rPr>
              <w:t>Hungary</w:t>
            </w:r>
          </w:p>
        </w:tc>
        <w:tc>
          <w:tcPr>
            <w:tcW w:w="5940" w:type="dxa"/>
            <w:vAlign w:val="center"/>
          </w:tcPr>
          <w:p w:rsidR="001B65FF" w:rsidRDefault="003E4EF4">
            <w:pPr>
              <w:jc w:val="center"/>
              <w:rPr>
                <w:noProof/>
                <w:sz w:val="24"/>
                <w:szCs w:val="24"/>
              </w:rPr>
            </w:pPr>
            <w:r>
              <w:rPr>
                <w:noProof/>
                <w:sz w:val="24"/>
                <w:szCs w:val="24"/>
              </w:rPr>
              <w:t>34 % (Facebook) - 83 % (Microsoft / Skype)</w:t>
            </w:r>
          </w:p>
        </w:tc>
      </w:tr>
      <w:tr w:rsidR="001B65FF">
        <w:tc>
          <w:tcPr>
            <w:tcW w:w="2628" w:type="dxa"/>
            <w:vAlign w:val="center"/>
          </w:tcPr>
          <w:p w:rsidR="001B65FF" w:rsidRDefault="003E4EF4">
            <w:pPr>
              <w:spacing w:before="240"/>
              <w:jc w:val="center"/>
              <w:rPr>
                <w:noProof/>
                <w:sz w:val="24"/>
                <w:szCs w:val="24"/>
              </w:rPr>
            </w:pPr>
            <w:r>
              <w:rPr>
                <w:noProof/>
                <w:sz w:val="24"/>
                <w:szCs w:val="24"/>
              </w:rPr>
              <w:t>Slovakia</w:t>
            </w:r>
          </w:p>
        </w:tc>
        <w:tc>
          <w:tcPr>
            <w:tcW w:w="5940" w:type="dxa"/>
            <w:vAlign w:val="center"/>
          </w:tcPr>
          <w:p w:rsidR="001B65FF" w:rsidRDefault="003E4EF4">
            <w:pPr>
              <w:jc w:val="center"/>
              <w:rPr>
                <w:noProof/>
                <w:sz w:val="24"/>
                <w:szCs w:val="24"/>
              </w:rPr>
            </w:pPr>
            <w:r>
              <w:rPr>
                <w:noProof/>
                <w:sz w:val="24"/>
                <w:szCs w:val="24"/>
              </w:rPr>
              <w:t>8 % (Google / Youtube) – 81 % (Microsoft/Skype)</w:t>
            </w:r>
          </w:p>
        </w:tc>
      </w:tr>
    </w:tbl>
    <w:p w:rsidR="001B65FF" w:rsidRDefault="001B65FF">
      <w:pPr>
        <w:ind w:left="720"/>
        <w:jc w:val="both"/>
        <w:rPr>
          <w:rFonts w:ascii="Times New Roman" w:hAnsi="Times New Roman" w:cs="Times New Roman"/>
          <w:noProof/>
          <w:sz w:val="24"/>
          <w:szCs w:val="24"/>
        </w:rPr>
      </w:pPr>
    </w:p>
    <w:p w:rsidR="001B65FF" w:rsidRDefault="003E4EF4">
      <w:pPr>
        <w:ind w:firstLine="360"/>
        <w:jc w:val="both"/>
        <w:rPr>
          <w:rFonts w:ascii="Times New Roman" w:hAnsi="Times New Roman" w:cs="Times New Roman"/>
          <w:noProof/>
          <w:szCs w:val="24"/>
        </w:rPr>
      </w:pPr>
      <w:r>
        <w:rPr>
          <w:rFonts w:ascii="Times New Roman" w:hAnsi="Times New Roman" w:cs="Times New Roman"/>
          <w:noProof/>
          <w:sz w:val="24"/>
          <w:szCs w:val="24"/>
        </w:rPr>
        <w:t>In addition, there are a number of providers which do not reply to any requests at all.</w:t>
      </w:r>
      <w:r>
        <w:rPr>
          <w:rFonts w:ascii="Times New Roman" w:hAnsi="Times New Roman" w:cs="Times New Roman"/>
          <w:noProof/>
          <w:szCs w:val="24"/>
        </w:rPr>
        <w:tab/>
      </w:r>
    </w:p>
    <w:p w:rsidR="001B65FF" w:rsidRDefault="003E4EF4">
      <w:pPr>
        <w:numPr>
          <w:ilvl w:val="0"/>
          <w:numId w:val="50"/>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Reimbursement</w:t>
      </w:r>
      <w:r>
        <w:rPr>
          <w:rFonts w:ascii="Times New Roman" w:eastAsia="Times New Roman" w:hAnsi="Times New Roman" w:cs="Times New Roman"/>
          <w:noProof/>
          <w:sz w:val="24"/>
          <w:szCs w:val="24"/>
        </w:rPr>
        <w:t xml:space="preserve"> of service providers’ costs.</w:t>
      </w:r>
    </w:p>
    <w:p w:rsidR="001B65FF" w:rsidRDefault="003E4EF4">
      <w:pPr>
        <w:spacing w:after="0"/>
        <w:ind w:left="3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While service providers usually receive some form of </w:t>
      </w:r>
      <w:r>
        <w:rPr>
          <w:rFonts w:ascii="Times New Roman" w:eastAsia="Times New Roman" w:hAnsi="Times New Roman" w:cs="Times New Roman"/>
          <w:b/>
          <w:noProof/>
          <w:sz w:val="24"/>
          <w:szCs w:val="24"/>
        </w:rPr>
        <w:t>cost reimbursement</w:t>
      </w:r>
      <w:r>
        <w:rPr>
          <w:rFonts w:ascii="Times New Roman" w:eastAsia="Times New Roman" w:hAnsi="Times New Roman" w:cs="Times New Roman"/>
          <w:noProof/>
          <w:sz w:val="24"/>
          <w:szCs w:val="24"/>
        </w:rPr>
        <w:t xml:space="preserve"> in relation to requests made in the domestic setting, notably domestic providers of telecommunications services, this is different when considering cross-border requests. </w:t>
      </w:r>
    </w:p>
    <w:p w:rsidR="001B65FF" w:rsidRDefault="003E4EF4">
      <w:pPr>
        <w:numPr>
          <w:ilvl w:val="0"/>
          <w:numId w:val="57"/>
        </w:numPr>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Several US-based service providers indicated that they currently respond to law enf</w:t>
      </w:r>
      <w:r>
        <w:rPr>
          <w:rFonts w:ascii="Times New Roman" w:eastAsia="Times New Roman" w:hAnsi="Times New Roman" w:cs="Times New Roman"/>
          <w:noProof/>
          <w:sz w:val="24"/>
          <w:szCs w:val="24"/>
        </w:rPr>
        <w:t xml:space="preserve">orcement requests without asking for a reimbursement of related costs. </w:t>
      </w:r>
    </w:p>
    <w:p w:rsidR="001B65FF" w:rsidRDefault="003E4EF4">
      <w:pPr>
        <w:numPr>
          <w:ilvl w:val="0"/>
          <w:numId w:val="57"/>
        </w:numPr>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Linked to this, some stakeholders have stressed that smaller companies may struggle to meet requirements that larger companies might be able to meet comparatively easily because of the</w:t>
      </w:r>
      <w:r>
        <w:rPr>
          <w:rFonts w:ascii="Times New Roman" w:eastAsia="Times New Roman" w:hAnsi="Times New Roman" w:cs="Times New Roman"/>
          <w:noProof/>
          <w:sz w:val="24"/>
          <w:szCs w:val="24"/>
        </w:rPr>
        <w:t xml:space="preserve">ir scale. </w:t>
      </w:r>
    </w:p>
    <w:p w:rsidR="001B65FF" w:rsidRDefault="003E4EF4">
      <w:pPr>
        <w:numPr>
          <w:ilvl w:val="0"/>
          <w:numId w:val="57"/>
        </w:numPr>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relation to possible new obligations, it was pointed out that service providers might incur unforeseen expenses. </w:t>
      </w:r>
    </w:p>
    <w:p w:rsidR="001B65FF" w:rsidRDefault="003E4EF4">
      <w:pPr>
        <w:numPr>
          <w:ilvl w:val="0"/>
          <w:numId w:val="57"/>
        </w:numPr>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Some stakeholders suggested that a requirement for a reimbursement of costs could also be seen as a safeguard to ensure that the</w:t>
      </w:r>
      <w:r>
        <w:rPr>
          <w:rFonts w:ascii="Times New Roman" w:eastAsia="Times New Roman" w:hAnsi="Times New Roman" w:cs="Times New Roman"/>
          <w:noProof/>
          <w:sz w:val="24"/>
          <w:szCs w:val="24"/>
        </w:rPr>
        <w:t xml:space="preserve"> authorities' requests are limited to the absolute minimum.</w:t>
      </w:r>
    </w:p>
    <w:p w:rsidR="001B65FF" w:rsidRDefault="001B65FF">
      <w:pPr>
        <w:ind w:left="1080"/>
        <w:contextualSpacing/>
        <w:jc w:val="both"/>
        <w:rPr>
          <w:rFonts w:ascii="Times New Roman" w:eastAsia="Times New Roman" w:hAnsi="Times New Roman" w:cs="Times New Roman"/>
          <w:noProof/>
          <w:sz w:val="24"/>
          <w:szCs w:val="24"/>
        </w:rPr>
      </w:pPr>
    </w:p>
    <w:p w:rsidR="001B65FF" w:rsidRDefault="003E4EF4">
      <w:pPr>
        <w:numPr>
          <w:ilvl w:val="0"/>
          <w:numId w:val="50"/>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How to </w:t>
      </w:r>
      <w:r>
        <w:rPr>
          <w:rFonts w:ascii="Times New Roman" w:eastAsia="Times New Roman" w:hAnsi="Times New Roman" w:cs="Times New Roman"/>
          <w:b/>
          <w:noProof/>
          <w:sz w:val="24"/>
          <w:szCs w:val="24"/>
        </w:rPr>
        <w:t>identify and contact</w:t>
      </w:r>
      <w:r>
        <w:rPr>
          <w:rFonts w:ascii="Times New Roman" w:eastAsia="Times New Roman" w:hAnsi="Times New Roman" w:cs="Times New Roman"/>
          <w:noProof/>
          <w:sz w:val="24"/>
          <w:szCs w:val="24"/>
        </w:rPr>
        <w:t xml:space="preserve"> the relevant service provider.</w:t>
      </w:r>
    </w:p>
    <w:p w:rsidR="001B65FF" w:rsidRDefault="003E4EF4">
      <w:pPr>
        <w:numPr>
          <w:ilvl w:val="0"/>
          <w:numId w:val="54"/>
        </w:numPr>
        <w:spacing w:after="0"/>
        <w:contextualSpacing/>
        <w:jc w:val="both"/>
        <w:rPr>
          <w:rFonts w:ascii="Times New Roman" w:hAnsi="Times New Roman" w:cs="Times New Roman"/>
          <w:noProof/>
          <w:sz w:val="24"/>
          <w:szCs w:val="24"/>
        </w:rPr>
      </w:pPr>
      <w:r>
        <w:rPr>
          <w:rFonts w:ascii="Times New Roman" w:hAnsi="Times New Roman" w:cs="Times New Roman"/>
          <w:i/>
          <w:noProof/>
          <w:sz w:val="24"/>
          <w:szCs w:val="24"/>
        </w:rPr>
        <w:t>Law enforcement authorities</w:t>
      </w:r>
      <w:r>
        <w:rPr>
          <w:rFonts w:ascii="Times New Roman" w:hAnsi="Times New Roman" w:cs="Times New Roman"/>
          <w:noProof/>
          <w:sz w:val="24"/>
          <w:szCs w:val="24"/>
        </w:rPr>
        <w:t xml:space="preserve"> report problems in identifying which service provider can provide data on, e.g., an email account encountere</w:t>
      </w:r>
      <w:r>
        <w:rPr>
          <w:rFonts w:ascii="Times New Roman" w:hAnsi="Times New Roman" w:cs="Times New Roman"/>
          <w:noProof/>
          <w:sz w:val="24"/>
          <w:szCs w:val="24"/>
        </w:rPr>
        <w:t xml:space="preserve">d during the investigation. Furthermore, while most service providers offer a special </w:t>
      </w:r>
      <w:r>
        <w:rPr>
          <w:rFonts w:ascii="Times New Roman" w:hAnsi="Times New Roman" w:cs="Times New Roman"/>
          <w:b/>
          <w:noProof/>
          <w:sz w:val="24"/>
          <w:szCs w:val="24"/>
        </w:rPr>
        <w:t>point of contact</w:t>
      </w:r>
      <w:r>
        <w:rPr>
          <w:rFonts w:ascii="Times New Roman" w:hAnsi="Times New Roman" w:cs="Times New Roman"/>
          <w:noProof/>
          <w:sz w:val="24"/>
          <w:szCs w:val="24"/>
        </w:rPr>
        <w:t xml:space="preserve"> for an official request, these contact points may be at national level, set up for regions (like Europe), or  directly at the seat of the company which m</w:t>
      </w:r>
      <w:r>
        <w:rPr>
          <w:rFonts w:ascii="Times New Roman" w:hAnsi="Times New Roman" w:cs="Times New Roman"/>
          <w:noProof/>
          <w:sz w:val="24"/>
          <w:szCs w:val="24"/>
        </w:rPr>
        <w:t>ay be anywhere in the world.</w:t>
      </w:r>
    </w:p>
    <w:p w:rsidR="001B65FF" w:rsidRDefault="003E4EF4">
      <w:pPr>
        <w:numPr>
          <w:ilvl w:val="0"/>
          <w:numId w:val="54"/>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Even if the contact point has been clarified for a specific case, establishing actual contact can still be difficult: there is no common line among providers regarding the use of platforms, forms, required content of a request,</w:t>
      </w:r>
      <w:r>
        <w:rPr>
          <w:rFonts w:ascii="Times New Roman" w:eastAsia="Times New Roman" w:hAnsi="Times New Roman" w:cs="Times New Roman"/>
          <w:noProof/>
          <w:sz w:val="24"/>
          <w:szCs w:val="24"/>
        </w:rPr>
        <w:t xml:space="preserve"> language or communication channels. Law enforcement authorities have to tailor their approach to each individual company.</w:t>
      </w:r>
    </w:p>
    <w:p w:rsidR="001B65FF" w:rsidRDefault="001B65FF">
      <w:pPr>
        <w:tabs>
          <w:tab w:val="left" w:pos="2302"/>
        </w:tabs>
        <w:spacing w:after="0"/>
        <w:ind w:left="720"/>
        <w:jc w:val="both"/>
        <w:rPr>
          <w:rFonts w:ascii="Times New Roman" w:eastAsia="Times New Roman" w:hAnsi="Times New Roman" w:cs="Times New Roman"/>
          <w:noProof/>
          <w:sz w:val="24"/>
          <w:szCs w:val="24"/>
        </w:rPr>
      </w:pPr>
    </w:p>
    <w:p w:rsidR="001B65FF" w:rsidRDefault="003E4EF4">
      <w:pPr>
        <w:numPr>
          <w:ilvl w:val="0"/>
          <w:numId w:val="50"/>
        </w:numPr>
        <w:tabs>
          <w:tab w:val="left" w:pos="2302"/>
        </w:tabs>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How to assess the </w:t>
      </w:r>
      <w:r>
        <w:rPr>
          <w:rFonts w:ascii="Times New Roman" w:eastAsia="Times New Roman" w:hAnsi="Times New Roman" w:cs="Times New Roman"/>
          <w:b/>
          <w:noProof/>
          <w:sz w:val="24"/>
          <w:szCs w:val="24"/>
        </w:rPr>
        <w:t>authenticity and legitimacy</w:t>
      </w:r>
      <w:r>
        <w:rPr>
          <w:rFonts w:ascii="Times New Roman" w:eastAsia="Times New Roman" w:hAnsi="Times New Roman" w:cs="Times New Roman"/>
          <w:noProof/>
          <w:sz w:val="24"/>
          <w:szCs w:val="24"/>
        </w:rPr>
        <w:t xml:space="preserve"> of a request.</w:t>
      </w:r>
    </w:p>
    <w:p w:rsidR="001B65FF" w:rsidRDefault="003E4EF4">
      <w:pPr>
        <w:numPr>
          <w:ilvl w:val="0"/>
          <w:numId w:val="55"/>
        </w:numPr>
        <w:contextualSpacing/>
        <w:jc w:val="both"/>
        <w:rPr>
          <w:rFonts w:ascii="Times New Roman" w:hAnsi="Times New Roman" w:cs="Times New Roman"/>
          <w:b/>
          <w:noProof/>
          <w:sz w:val="24"/>
          <w:szCs w:val="24"/>
        </w:rPr>
      </w:pPr>
      <w:r>
        <w:rPr>
          <w:rFonts w:ascii="Times New Roman" w:hAnsi="Times New Roman" w:cs="Times New Roman"/>
          <w:noProof/>
          <w:sz w:val="24"/>
          <w:szCs w:val="24"/>
        </w:rPr>
        <w:t xml:space="preserve">Most </w:t>
      </w:r>
      <w:r>
        <w:rPr>
          <w:rFonts w:ascii="Times New Roman" w:hAnsi="Times New Roman" w:cs="Times New Roman"/>
          <w:i/>
          <w:noProof/>
          <w:sz w:val="24"/>
          <w:szCs w:val="24"/>
        </w:rPr>
        <w:t>service providers</w:t>
      </w:r>
      <w:r>
        <w:rPr>
          <w:rFonts w:ascii="Times New Roman" w:hAnsi="Times New Roman" w:cs="Times New Roman"/>
          <w:noProof/>
          <w:sz w:val="24"/>
          <w:szCs w:val="24"/>
        </w:rPr>
        <w:t xml:space="preserve"> assess whether the request complies with the dome</w:t>
      </w:r>
      <w:r>
        <w:rPr>
          <w:rFonts w:ascii="Times New Roman" w:hAnsi="Times New Roman" w:cs="Times New Roman"/>
          <w:noProof/>
          <w:sz w:val="24"/>
          <w:szCs w:val="24"/>
        </w:rPr>
        <w:t>stic legal framework of the requesting authority. This extends to checking whether the requesting authority would have the power to request a certain type of data from a service provider at the domestic level, as a direct request to a foreign service provi</w:t>
      </w:r>
      <w:r>
        <w:rPr>
          <w:rFonts w:ascii="Times New Roman" w:hAnsi="Times New Roman" w:cs="Times New Roman"/>
          <w:noProof/>
          <w:sz w:val="24"/>
          <w:szCs w:val="24"/>
        </w:rPr>
        <w:t>der, while permissible, is usually not explicitly provided for in national legislation. Taking this assessment seriously creates significant legal expenses for providers, especially since national provisions differ widely even among Member States.</w:t>
      </w:r>
    </w:p>
    <w:p w:rsidR="001B65FF" w:rsidRDefault="003E4EF4">
      <w:pPr>
        <w:numPr>
          <w:ilvl w:val="0"/>
          <w:numId w:val="5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Furtherm</w:t>
      </w:r>
      <w:r>
        <w:rPr>
          <w:rFonts w:ascii="Times New Roman" w:hAnsi="Times New Roman" w:cs="Times New Roman"/>
          <w:noProof/>
          <w:sz w:val="24"/>
          <w:szCs w:val="24"/>
        </w:rPr>
        <w:t>ore, in order to avoid civil and/or criminal liability for sharing data with unauthorised parties, service providers have to ensure authenticity of the request. This can be difficult.</w:t>
      </w:r>
    </w:p>
    <w:p w:rsidR="001B65FF" w:rsidRDefault="003E4EF4">
      <w:pPr>
        <w:pStyle w:val="ListParagraph"/>
        <w:numPr>
          <w:ilvl w:val="0"/>
          <w:numId w:val="55"/>
        </w:numPr>
        <w:spacing w:after="0"/>
        <w:jc w:val="both"/>
        <w:rPr>
          <w:rFonts w:ascii="Times New Roman" w:eastAsiaTheme="majorEastAsia" w:hAnsi="Times New Roman" w:cs="Times New Roman"/>
          <w:bCs/>
          <w:noProof/>
          <w:sz w:val="24"/>
          <w:szCs w:val="26"/>
        </w:rPr>
      </w:pPr>
      <w:r>
        <w:rPr>
          <w:rFonts w:ascii="Times New Roman" w:eastAsia="Times New Roman" w:hAnsi="Times New Roman" w:cs="Times New Roman"/>
          <w:noProof/>
          <w:sz w:val="24"/>
          <w:szCs w:val="24"/>
        </w:rPr>
        <w:t xml:space="preserve">Member States' </w:t>
      </w:r>
      <w:r>
        <w:rPr>
          <w:rFonts w:ascii="Times New Roman" w:eastAsia="Times New Roman" w:hAnsi="Times New Roman" w:cs="Times New Roman"/>
          <w:i/>
          <w:noProof/>
          <w:sz w:val="24"/>
          <w:szCs w:val="24"/>
        </w:rPr>
        <w:t>law enforcement and judicial authorities</w:t>
      </w:r>
      <w:r>
        <w:rPr>
          <w:rFonts w:ascii="Times New Roman" w:eastAsia="Times New Roman" w:hAnsi="Times New Roman" w:cs="Times New Roman"/>
          <w:noProof/>
          <w:sz w:val="24"/>
          <w:szCs w:val="24"/>
        </w:rPr>
        <w:t xml:space="preserve"> frequently view the assessment of compliance with national law as inappropriate. In their view, it should not be up to a private company to privately challenge a judicial assessment on whether conditions under national law for the disclosure of data are m</w:t>
      </w:r>
      <w:r>
        <w:rPr>
          <w:rFonts w:ascii="Times New Roman" w:eastAsia="Times New Roman" w:hAnsi="Times New Roman" w:cs="Times New Roman"/>
          <w:noProof/>
          <w:sz w:val="24"/>
          <w:szCs w:val="24"/>
        </w:rPr>
        <w:t>et. However, as there are no enforcement mechanisms attached to this form of cooperation, the service provider's assessment determines compliance.</w:t>
      </w:r>
    </w:p>
    <w:p w:rsidR="001B65FF" w:rsidRDefault="001B65FF">
      <w:pPr>
        <w:spacing w:after="0"/>
        <w:jc w:val="both"/>
        <w:rPr>
          <w:rFonts w:ascii="Times New Roman" w:eastAsiaTheme="majorEastAsia" w:hAnsi="Times New Roman" w:cs="Times New Roman"/>
          <w:bCs/>
          <w:noProof/>
          <w:sz w:val="24"/>
          <w:szCs w:val="26"/>
        </w:rPr>
      </w:pPr>
    </w:p>
    <w:p w:rsidR="001B65FF" w:rsidRDefault="003E4EF4">
      <w:pPr>
        <w:pStyle w:val="ListParagraph"/>
        <w:numPr>
          <w:ilvl w:val="1"/>
          <w:numId w:val="180"/>
        </w:numPr>
        <w:tabs>
          <w:tab w:val="clear" w:pos="1200"/>
          <w:tab w:val="num" w:pos="567"/>
        </w:tabs>
        <w:ind w:left="567" w:hanging="567"/>
        <w:jc w:val="both"/>
        <w:rPr>
          <w:rFonts w:ascii="Times New Roman" w:eastAsiaTheme="majorEastAsia" w:hAnsi="Times New Roman" w:cs="Times New Roman"/>
          <w:bCs/>
          <w:noProof/>
          <w:sz w:val="24"/>
          <w:szCs w:val="26"/>
        </w:rPr>
      </w:pPr>
      <w:r>
        <w:rPr>
          <w:rFonts w:ascii="Times New Roman" w:hAnsi="Times New Roman" w:cs="Times New Roman"/>
          <w:noProof/>
          <w:sz w:val="24"/>
          <w:lang w:eastAsia="en-GB"/>
        </w:rPr>
        <w:t xml:space="preserve">Shortcomings </w:t>
      </w:r>
      <w:r>
        <w:rPr>
          <w:rFonts w:ascii="Times New Roman" w:eastAsiaTheme="majorEastAsia" w:hAnsi="Times New Roman" w:cs="Times New Roman"/>
          <w:bCs/>
          <w:noProof/>
          <w:sz w:val="24"/>
          <w:szCs w:val="26"/>
        </w:rPr>
        <w:t>in defining jurisdiction can hinder effective cross-border investigations and prosecutions.</w:t>
      </w:r>
    </w:p>
    <w:p w:rsidR="001B65FF" w:rsidRDefault="003E4EF4">
      <w:pPr>
        <w:ind w:left="567"/>
        <w:rPr>
          <w:rFonts w:ascii="Times New Roman" w:eastAsia="Times New Roman" w:hAnsi="Times New Roman" w:cs="Times New Roman"/>
          <w:noProof/>
          <w:sz w:val="24"/>
        </w:rPr>
      </w:pPr>
      <w:r>
        <w:rPr>
          <w:rFonts w:ascii="Times New Roman" w:eastAsia="Times New Roman" w:hAnsi="Times New Roman" w:cs="Times New Roman"/>
          <w:noProof/>
          <w:sz w:val="24"/>
        </w:rPr>
        <w:t>See</w:t>
      </w:r>
      <w:r>
        <w:rPr>
          <w:rFonts w:ascii="Times New Roman" w:eastAsia="Times New Roman" w:hAnsi="Times New Roman" w:cs="Times New Roman"/>
          <w:noProof/>
          <w:sz w:val="24"/>
        </w:rPr>
        <w:t xml:space="preserve"> section 2.2.3.</w:t>
      </w:r>
    </w:p>
    <w:p w:rsidR="001B65FF" w:rsidRDefault="001B65FF">
      <w:pPr>
        <w:ind w:left="567"/>
        <w:rPr>
          <w:rFonts w:ascii="Times New Roman" w:eastAsia="Times New Roman" w:hAnsi="Times New Roman" w:cs="Times New Roman"/>
          <w:noProof/>
          <w:sz w:val="24"/>
        </w:rPr>
      </w:pPr>
    </w:p>
    <w:p w:rsidR="001B65FF" w:rsidRDefault="001B65FF">
      <w:pPr>
        <w:ind w:left="567"/>
        <w:rPr>
          <w:rFonts w:ascii="Times New Roman" w:eastAsia="Times New Roman" w:hAnsi="Times New Roman" w:cs="Times New Roman"/>
          <w:noProof/>
          <w:sz w:val="24"/>
        </w:rPr>
        <w:sectPr w:rsidR="001B65FF">
          <w:headerReference w:type="even" r:id="rId143"/>
          <w:headerReference w:type="default" r:id="rId144"/>
          <w:footerReference w:type="even" r:id="rId145"/>
          <w:footerReference w:type="default" r:id="rId146"/>
          <w:headerReference w:type="first" r:id="rId147"/>
          <w:footerReference w:type="first" r:id="rId148"/>
          <w:pgSz w:w="11906" w:h="16838"/>
          <w:pgMar w:top="1418" w:right="1418" w:bottom="1134" w:left="1418" w:header="709" w:footer="709" w:gutter="0"/>
          <w:cols w:space="708"/>
          <w:docGrid w:linePitch="360"/>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2242" w:name="_Toc499020497"/>
      <w:bookmarkStart w:id="2243" w:name="_Toc499030431"/>
      <w:bookmarkStart w:id="2244" w:name="_Toc499044973"/>
      <w:bookmarkStart w:id="2245" w:name="_Toc499051389"/>
      <w:bookmarkStart w:id="2246" w:name="_Toc499133349"/>
      <w:bookmarkStart w:id="2247" w:name="_Toc499142920"/>
      <w:bookmarkStart w:id="2248" w:name="_Toc510952915"/>
      <w:r>
        <w:rPr>
          <w:rFonts w:ascii="Times New Roman" w:eastAsia="Times New Roman" w:hAnsi="Times New Roman" w:cs="Times New Roman"/>
          <w:b/>
          <w:smallCaps/>
          <w:noProof/>
          <w:sz w:val="24"/>
          <w:szCs w:val="20"/>
        </w:rPr>
        <w:t>Annex 7: Additional information on the policy measures</w:t>
      </w:r>
      <w:bookmarkEnd w:id="2242"/>
      <w:bookmarkEnd w:id="2243"/>
      <w:bookmarkEnd w:id="2244"/>
      <w:bookmarkEnd w:id="2245"/>
      <w:bookmarkEnd w:id="2246"/>
      <w:bookmarkEnd w:id="2247"/>
      <w:bookmarkEnd w:id="2248"/>
    </w:p>
    <w:p w:rsidR="001B65FF" w:rsidRDefault="003E4EF4">
      <w:pPr>
        <w:rPr>
          <w:rFonts w:ascii="Times New Roman" w:hAnsi="Times New Roman"/>
          <w:b/>
          <w:noProof/>
          <w:sz w:val="24"/>
        </w:rPr>
      </w:pPr>
      <w:r>
        <w:rPr>
          <w:rFonts w:ascii="Times New Roman" w:eastAsiaTheme="majorEastAsia" w:hAnsi="Times New Roman" w:cs="Times New Roman"/>
          <w:b/>
          <w:noProof/>
          <w:sz w:val="24"/>
        </w:rPr>
        <w:t>Non-legislative action</w:t>
      </w:r>
    </w:p>
    <w:p w:rsidR="001B65FF" w:rsidRDefault="003E4EF4">
      <w:pPr>
        <w:pStyle w:val="Heading2"/>
        <w:rPr>
          <w:rFonts w:ascii="Times New Roman" w:eastAsia="Times New Roman" w:hAnsi="Times New Roman" w:cs="Times New Roman"/>
          <w:b w:val="0"/>
          <w:noProof/>
          <w:sz w:val="24"/>
          <w:u w:val="single"/>
        </w:rPr>
      </w:pPr>
      <w:bookmarkStart w:id="2249" w:name="_Toc499020498"/>
      <w:bookmarkStart w:id="2250" w:name="_Toc499030432"/>
      <w:bookmarkStart w:id="2251" w:name="_Toc499044974"/>
      <w:bookmarkStart w:id="2252" w:name="_Toc499051390"/>
      <w:bookmarkStart w:id="2253" w:name="_Toc499130072"/>
      <w:bookmarkStart w:id="2254" w:name="_Toc499133350"/>
      <w:bookmarkStart w:id="2255" w:name="_Toc499142921"/>
      <w:bookmarkStart w:id="2256" w:name="_Toc499143366"/>
      <w:bookmarkStart w:id="2257" w:name="_Toc510952916"/>
      <w:r>
        <w:rPr>
          <w:rFonts w:ascii="Times New Roman" w:eastAsia="Times New Roman" w:hAnsi="Times New Roman" w:cs="Times New Roman"/>
          <w:b w:val="0"/>
          <w:noProof/>
          <w:sz w:val="24"/>
          <w:u w:val="single"/>
        </w:rPr>
        <w:t>Measure 1: practical measures to enhance judicial cooperation</w:t>
      </w:r>
      <w:bookmarkEnd w:id="2249"/>
      <w:bookmarkEnd w:id="2250"/>
      <w:bookmarkEnd w:id="2251"/>
      <w:bookmarkEnd w:id="2252"/>
      <w:bookmarkEnd w:id="2253"/>
      <w:bookmarkEnd w:id="2254"/>
      <w:bookmarkEnd w:id="2255"/>
      <w:bookmarkEnd w:id="2256"/>
      <w:bookmarkEnd w:id="2257"/>
      <w:r>
        <w:rPr>
          <w:rFonts w:ascii="Times New Roman" w:eastAsia="Times New Roman" w:hAnsi="Times New Roman" w:cs="Times New Roman"/>
          <w:b w:val="0"/>
          <w:noProof/>
          <w:sz w:val="24"/>
          <w:u w:val="single"/>
        </w:rPr>
        <w:t xml:space="preserve"> </w:t>
      </w:r>
    </w:p>
    <w:p w:rsidR="001B65FF" w:rsidRDefault="003E4EF4">
      <w:pPr>
        <w:spacing w:before="240"/>
        <w:jc w:val="both"/>
        <w:rPr>
          <w:rFonts w:ascii="Times New Roman" w:eastAsiaTheme="minorHAnsi" w:hAnsi="Times New Roman" w:cs="Times New Roman"/>
          <w:i/>
          <w:noProof/>
          <w:sz w:val="24"/>
        </w:rPr>
      </w:pPr>
      <w:r>
        <w:rPr>
          <w:rFonts w:ascii="Times New Roman" w:hAnsi="Times New Roman" w:cs="Times New Roman"/>
          <w:i/>
          <w:noProof/>
          <w:sz w:val="24"/>
        </w:rPr>
        <w:t xml:space="preserve">a) </w:t>
      </w:r>
      <w:r>
        <w:rPr>
          <w:rFonts w:ascii="Times New Roman" w:hAnsi="Times New Roman" w:cs="Times New Roman"/>
          <w:i/>
          <w:noProof/>
          <w:sz w:val="24"/>
        </w:rPr>
        <w:t>Judicial cooperation with the US (MLA)</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 xml:space="preserve">The expert consultation process identified the following practical measures to enhance judicial cooperation between </w:t>
      </w:r>
      <w:r>
        <w:rPr>
          <w:rFonts w:ascii="Times New Roman" w:hAnsi="Times New Roman" w:cs="Times New Roman"/>
          <w:b/>
          <w:noProof/>
          <w:sz w:val="24"/>
        </w:rPr>
        <w:t>public authorities in the EU and the US</w:t>
      </w:r>
      <w:r>
        <w:rPr>
          <w:rFonts w:ascii="Times New Roman" w:hAnsi="Times New Roman" w:cs="Times New Roman"/>
          <w:noProof/>
          <w:sz w:val="24"/>
        </w:rPr>
        <w:t>, on the basis of the existing mutual legal assistance procedu</w:t>
      </w:r>
      <w:r>
        <w:rPr>
          <w:rFonts w:ascii="Times New Roman" w:hAnsi="Times New Roman" w:cs="Times New Roman"/>
          <w:noProof/>
          <w:sz w:val="24"/>
        </w:rPr>
        <w:t xml:space="preserve">res: </w:t>
      </w:r>
    </w:p>
    <w:p w:rsidR="001B65FF" w:rsidRDefault="003E4EF4">
      <w:pPr>
        <w:numPr>
          <w:ilvl w:val="0"/>
          <w:numId w:val="182"/>
        </w:numPr>
        <w:contextualSpacing/>
        <w:jc w:val="both"/>
        <w:rPr>
          <w:rFonts w:ascii="Times New Roman" w:hAnsi="Times New Roman" w:cs="Times New Roman"/>
          <w:noProof/>
          <w:sz w:val="24"/>
        </w:rPr>
      </w:pPr>
      <w:r>
        <w:rPr>
          <w:rFonts w:ascii="Times New Roman" w:hAnsi="Times New Roman" w:cs="Times New Roman"/>
          <w:b/>
          <w:noProof/>
          <w:sz w:val="24"/>
        </w:rPr>
        <w:t xml:space="preserve">Organise regular technical dialogues with the US Department of Justice </w:t>
      </w:r>
      <w:r>
        <w:rPr>
          <w:rFonts w:ascii="Times New Roman" w:hAnsi="Times New Roman" w:cs="Times New Roman"/>
          <w:noProof/>
          <w:sz w:val="24"/>
        </w:rPr>
        <w:t>to continue to improve the process, speed and success rate of MLA requests for e-evidence, in particular in relation to content data. In order to ensure a common approach and to a</w:t>
      </w:r>
      <w:r>
        <w:rPr>
          <w:rFonts w:ascii="Times New Roman" w:hAnsi="Times New Roman" w:cs="Times New Roman"/>
          <w:noProof/>
          <w:sz w:val="24"/>
        </w:rPr>
        <w:t>void conflicts of law, both the EU and the US could benefit from a closer collaboration, including through visits, to work not only on practical aspects but also to discuss legislative developments on both sides of the Atlantic. Applicable law in the US is</w:t>
      </w:r>
      <w:r>
        <w:rPr>
          <w:rFonts w:ascii="Times New Roman" w:hAnsi="Times New Roman" w:cs="Times New Roman"/>
          <w:noProof/>
          <w:sz w:val="24"/>
        </w:rPr>
        <w:t xml:space="preserve"> currently subject to review, and conflicting legislative approaches between the EU and the US should be avoided. At the December 2016 EU-US Justice and Home Affairs Ministerial meeting, it was already agreed to step up the collaboration on cybercrime, inc</w:t>
      </w:r>
      <w:r>
        <w:rPr>
          <w:rFonts w:ascii="Times New Roman" w:hAnsi="Times New Roman" w:cs="Times New Roman"/>
          <w:noProof/>
          <w:sz w:val="24"/>
        </w:rPr>
        <w:t>luding on cross-border access to electronic evidence</w:t>
      </w:r>
      <w:r>
        <w:rPr>
          <w:rFonts w:ascii="Times New Roman" w:hAnsi="Times New Roman" w:cs="Times New Roman"/>
          <w:noProof/>
          <w:vertAlign w:val="superscript"/>
        </w:rPr>
        <w:footnoteReference w:id="242"/>
      </w:r>
      <w:r>
        <w:rPr>
          <w:rFonts w:ascii="Times New Roman" w:hAnsi="Times New Roman" w:cs="Times New Roman"/>
          <w:noProof/>
          <w:sz w:val="24"/>
        </w:rPr>
        <w:t>. Regular videoconferences and phone calls have taken place since (see Annex 2).</w:t>
      </w:r>
      <w:r>
        <w:rPr>
          <w:rFonts w:ascii="Times New Roman" w:hAnsi="Times New Roman" w:cs="Times New Roman"/>
          <w:noProof/>
          <w:sz w:val="24"/>
          <w:vertAlign w:val="superscript"/>
        </w:rPr>
        <w:t xml:space="preserve"> </w:t>
      </w:r>
      <w:r>
        <w:rPr>
          <w:rFonts w:ascii="Times New Roman" w:hAnsi="Times New Roman" w:cs="Times New Roman"/>
          <w:noProof/>
          <w:sz w:val="24"/>
        </w:rPr>
        <w:t>Collaboration could be continued and expanded.</w:t>
      </w:r>
    </w:p>
    <w:p w:rsidR="001B65FF" w:rsidRDefault="001B65FF">
      <w:pPr>
        <w:ind w:left="360"/>
        <w:contextualSpacing/>
        <w:jc w:val="both"/>
        <w:rPr>
          <w:rFonts w:ascii="Times New Roman" w:hAnsi="Times New Roman" w:cs="Times New Roman"/>
          <w:noProof/>
          <w:sz w:val="24"/>
        </w:rPr>
      </w:pPr>
    </w:p>
    <w:p w:rsidR="001B65FF" w:rsidRDefault="003E4EF4">
      <w:pPr>
        <w:numPr>
          <w:ilvl w:val="0"/>
          <w:numId w:val="182"/>
        </w:numPr>
        <w:spacing w:before="240"/>
        <w:contextualSpacing/>
        <w:jc w:val="both"/>
        <w:rPr>
          <w:rFonts w:ascii="Times New Roman" w:hAnsi="Times New Roman" w:cs="Times New Roman"/>
          <w:noProof/>
          <w:sz w:val="24"/>
        </w:rPr>
      </w:pPr>
      <w:r>
        <w:rPr>
          <w:rFonts w:ascii="Times New Roman" w:hAnsi="Times New Roman" w:cs="Times New Roman"/>
          <w:b/>
          <w:noProof/>
          <w:sz w:val="24"/>
        </w:rPr>
        <w:t xml:space="preserve">Facilitate regular contacts between the EU Delegation to the US, the </w:t>
      </w:r>
      <w:r>
        <w:rPr>
          <w:rFonts w:ascii="Times New Roman" w:hAnsi="Times New Roman" w:cs="Times New Roman"/>
          <w:b/>
          <w:noProof/>
          <w:sz w:val="24"/>
        </w:rPr>
        <w:t>Commission and liaison magistrates</w:t>
      </w:r>
      <w:r>
        <w:rPr>
          <w:rFonts w:ascii="Times New Roman" w:hAnsi="Times New Roman" w:cs="Times New Roman"/>
          <w:noProof/>
          <w:sz w:val="24"/>
        </w:rPr>
        <w:t xml:space="preserve"> of Member States in the US to discuss issues affecting the MLA process. EU Member States liaison magistrates have significant operational experience in the MLA process and play a key role in facilitating the communication</w:t>
      </w:r>
      <w:r>
        <w:rPr>
          <w:rFonts w:ascii="Times New Roman" w:hAnsi="Times New Roman" w:cs="Times New Roman"/>
          <w:noProof/>
          <w:sz w:val="24"/>
        </w:rPr>
        <w:t xml:space="preserve"> between EU and US judicial authorities. Their experience can be a source of information on the issues faced and on possible practical/legislative solutions. As part of the expert consultation process, the Commission and the EU Delegation to the US facilit</w:t>
      </w:r>
      <w:r>
        <w:rPr>
          <w:rFonts w:ascii="Times New Roman" w:hAnsi="Times New Roman" w:cs="Times New Roman"/>
          <w:noProof/>
          <w:sz w:val="24"/>
        </w:rPr>
        <w:t>ated a number of meetings, which provided for an opportunity to share experiences and to learn about practical problems liaison magistrates of Member States are facing in their day-to-day work on cross-border access to electronic evidence, both on the basi</w:t>
      </w:r>
      <w:r>
        <w:rPr>
          <w:rFonts w:ascii="Times New Roman" w:hAnsi="Times New Roman" w:cs="Times New Roman"/>
          <w:noProof/>
          <w:sz w:val="24"/>
        </w:rPr>
        <w:t>s of direct cooperation and on the basis of mutual legal assistance procedures. The Commission and the EU Delegation could continue to facilitate such regular contacts to ensure that both policy development and practical cooperation benefit from the expert</w:t>
      </w:r>
      <w:r>
        <w:rPr>
          <w:rFonts w:ascii="Times New Roman" w:hAnsi="Times New Roman" w:cs="Times New Roman"/>
          <w:noProof/>
          <w:sz w:val="24"/>
        </w:rPr>
        <w:t xml:space="preserve"> input of the liaison magistrates. </w:t>
      </w:r>
    </w:p>
    <w:p w:rsidR="001B65FF" w:rsidRDefault="001B65FF">
      <w:pPr>
        <w:ind w:left="360"/>
        <w:contextualSpacing/>
        <w:jc w:val="both"/>
        <w:rPr>
          <w:rFonts w:ascii="Times New Roman" w:hAnsi="Times New Roman" w:cs="Times New Roman"/>
          <w:noProof/>
          <w:sz w:val="24"/>
        </w:rPr>
      </w:pPr>
    </w:p>
    <w:p w:rsidR="001B65FF" w:rsidRDefault="003E4EF4">
      <w:pPr>
        <w:numPr>
          <w:ilvl w:val="0"/>
          <w:numId w:val="182"/>
        </w:numPr>
        <w:spacing w:after="0"/>
        <w:contextualSpacing/>
        <w:jc w:val="both"/>
        <w:rPr>
          <w:rFonts w:ascii="Times New Roman" w:hAnsi="Times New Roman" w:cs="Times New Roman"/>
          <w:noProof/>
          <w:sz w:val="24"/>
        </w:rPr>
      </w:pPr>
      <w:r>
        <w:rPr>
          <w:rFonts w:ascii="Times New Roman" w:hAnsi="Times New Roman" w:cs="Times New Roman"/>
          <w:b/>
          <w:noProof/>
          <w:sz w:val="24"/>
        </w:rPr>
        <w:t>Provide opportunities for the exchange of best practice and further training</w:t>
      </w:r>
      <w:r>
        <w:rPr>
          <w:rFonts w:ascii="Times New Roman" w:hAnsi="Times New Roman" w:cs="Times New Roman"/>
          <w:noProof/>
          <w:sz w:val="24"/>
        </w:rPr>
        <w:t xml:space="preserve"> for EU practitioners on applicable rules in the US relate to the MLA procedure. The Commission has made available </w:t>
      </w:r>
      <w:r>
        <w:rPr>
          <w:rFonts w:ascii="Times New Roman" w:hAnsi="Times New Roman" w:cs="Times New Roman"/>
          <w:b/>
          <w:noProof/>
          <w:sz w:val="24"/>
        </w:rPr>
        <w:t>EUR 500 000</w:t>
      </w:r>
      <w:r>
        <w:rPr>
          <w:rFonts w:ascii="Times New Roman" w:hAnsi="Times New Roman" w:cs="Times New Roman"/>
          <w:noProof/>
          <w:sz w:val="24"/>
        </w:rPr>
        <w:t xml:space="preserve"> under the Partne</w:t>
      </w:r>
      <w:r>
        <w:rPr>
          <w:rFonts w:ascii="Times New Roman" w:hAnsi="Times New Roman" w:cs="Times New Roman"/>
          <w:noProof/>
          <w:sz w:val="24"/>
        </w:rPr>
        <w:t>rship Instrument</w:t>
      </w:r>
      <w:r>
        <w:rPr>
          <w:rFonts w:ascii="Times New Roman" w:hAnsi="Times New Roman" w:cs="Times New Roman"/>
          <w:noProof/>
          <w:vertAlign w:val="superscript"/>
        </w:rPr>
        <w:footnoteReference w:id="243"/>
      </w:r>
      <w:r>
        <w:rPr>
          <w:rFonts w:ascii="Times New Roman" w:hAnsi="Times New Roman" w:cs="Times New Roman"/>
          <w:noProof/>
          <w:sz w:val="24"/>
        </w:rPr>
        <w:t xml:space="preserve"> to fund the creation of training materials and the organisation of courses, meetings and conferences. Some examples of exchanges of best practice and further trainings could include:</w:t>
      </w:r>
    </w:p>
    <w:p w:rsidR="001B65FF" w:rsidRDefault="003E4EF4">
      <w:pPr>
        <w:numPr>
          <w:ilvl w:val="1"/>
          <w:numId w:val="182"/>
        </w:numPr>
        <w:contextualSpacing/>
        <w:jc w:val="both"/>
        <w:rPr>
          <w:rFonts w:ascii="Times New Roman" w:hAnsi="Times New Roman" w:cs="Times New Roman"/>
          <w:noProof/>
          <w:sz w:val="24"/>
        </w:rPr>
      </w:pPr>
      <w:r>
        <w:rPr>
          <w:rFonts w:ascii="Times New Roman" w:hAnsi="Times New Roman" w:cs="Times New Roman"/>
          <w:noProof/>
          <w:sz w:val="24"/>
        </w:rPr>
        <w:t xml:space="preserve">Training on US legal concepts, including the criterion </w:t>
      </w:r>
      <w:r>
        <w:rPr>
          <w:rFonts w:ascii="Times New Roman" w:hAnsi="Times New Roman" w:cs="Times New Roman"/>
          <w:noProof/>
          <w:sz w:val="24"/>
        </w:rPr>
        <w:t xml:space="preserve">of </w:t>
      </w:r>
      <w:r>
        <w:rPr>
          <w:rFonts w:ascii="Times New Roman" w:hAnsi="Times New Roman" w:cs="Times New Roman"/>
          <w:b/>
          <w:noProof/>
          <w:sz w:val="24"/>
        </w:rPr>
        <w:t>probable cause</w:t>
      </w:r>
      <w:r>
        <w:rPr>
          <w:rFonts w:ascii="Times New Roman" w:hAnsi="Times New Roman" w:cs="Times New Roman"/>
          <w:noProof/>
          <w:sz w:val="24"/>
        </w:rPr>
        <w:t xml:space="preserve"> relevant for access to content, how to draft an order, how to draft complementary records to e.g. prove probable cause or MLA checklists.</w:t>
      </w:r>
    </w:p>
    <w:p w:rsidR="001B65FF" w:rsidRDefault="003E4EF4">
      <w:pPr>
        <w:numPr>
          <w:ilvl w:val="1"/>
          <w:numId w:val="182"/>
        </w:numPr>
        <w:contextualSpacing/>
        <w:jc w:val="both"/>
        <w:rPr>
          <w:rFonts w:ascii="Times New Roman" w:hAnsi="Times New Roman" w:cs="Times New Roman"/>
          <w:noProof/>
          <w:sz w:val="24"/>
        </w:rPr>
      </w:pPr>
      <w:r>
        <w:rPr>
          <w:rFonts w:ascii="Times New Roman" w:hAnsi="Times New Roman" w:cs="Times New Roman"/>
          <w:noProof/>
          <w:sz w:val="24"/>
        </w:rPr>
        <w:t>Sharing/centralisation of training materials at EU level in a single website. Now each liaison magis</w:t>
      </w:r>
      <w:r>
        <w:rPr>
          <w:rFonts w:ascii="Times New Roman" w:hAnsi="Times New Roman" w:cs="Times New Roman"/>
          <w:noProof/>
          <w:sz w:val="24"/>
        </w:rPr>
        <w:t>trate prepares MLA guidelines on applicable rules and procedures for his/her own country’s judges</w:t>
      </w:r>
      <w:r>
        <w:rPr>
          <w:rFonts w:ascii="Times New Roman" w:hAnsi="Times New Roman" w:cs="Times New Roman"/>
          <w:noProof/>
          <w:sz w:val="24"/>
        </w:rPr>
        <w:footnoteReference w:id="244"/>
      </w:r>
      <w:r>
        <w:rPr>
          <w:rFonts w:ascii="Times New Roman" w:hAnsi="Times New Roman" w:cs="Times New Roman"/>
          <w:noProof/>
          <w:sz w:val="24"/>
        </w:rPr>
        <w:t xml:space="preserve">. Centralising the guidelines and other training materials in a single website could help facilitate the exchange of best practices and possibly the </w:t>
      </w:r>
      <w:r>
        <w:rPr>
          <w:rFonts w:ascii="Times New Roman" w:hAnsi="Times New Roman" w:cs="Times New Roman"/>
          <w:noProof/>
          <w:sz w:val="24"/>
        </w:rPr>
        <w:t>production of common best practices at EU level, which would also benefit Member States that do not have a liaison magistrate posted to the US.</w:t>
      </w:r>
    </w:p>
    <w:p w:rsidR="001B65FF" w:rsidRDefault="003E4EF4">
      <w:pPr>
        <w:numPr>
          <w:ilvl w:val="1"/>
          <w:numId w:val="182"/>
        </w:numPr>
        <w:contextualSpacing/>
        <w:jc w:val="both"/>
        <w:rPr>
          <w:rFonts w:ascii="Times New Roman" w:hAnsi="Times New Roman" w:cs="Times New Roman"/>
          <w:noProof/>
          <w:sz w:val="24"/>
        </w:rPr>
      </w:pPr>
      <w:r>
        <w:rPr>
          <w:rFonts w:ascii="Times New Roman" w:hAnsi="Times New Roman" w:cs="Times New Roman"/>
          <w:noProof/>
          <w:sz w:val="24"/>
        </w:rPr>
        <w:t>The exchange of best practices could also address the workflow and organisation at the national level, in partic</w:t>
      </w:r>
      <w:r>
        <w:rPr>
          <w:rFonts w:ascii="Times New Roman" w:hAnsi="Times New Roman" w:cs="Times New Roman"/>
          <w:noProof/>
          <w:sz w:val="24"/>
        </w:rPr>
        <w:t>ular with regard to the use of a centralised authority to ensure the quality of the outgoing requests and facilitate communication. Some liaison magistrates also indicated the translation services as another possible area for improvement at national level.</w:t>
      </w:r>
    </w:p>
    <w:p w:rsidR="001B65FF" w:rsidRDefault="003E4EF4">
      <w:pPr>
        <w:numPr>
          <w:ilvl w:val="1"/>
          <w:numId w:val="182"/>
        </w:numPr>
        <w:contextualSpacing/>
        <w:jc w:val="both"/>
        <w:rPr>
          <w:rFonts w:ascii="Times New Roman" w:hAnsi="Times New Roman" w:cs="Times New Roman"/>
          <w:noProof/>
          <w:sz w:val="24"/>
        </w:rPr>
      </w:pPr>
      <w:r>
        <w:rPr>
          <w:rFonts w:ascii="Times New Roman" w:hAnsi="Times New Roman" w:cs="Times New Roman"/>
          <w:noProof/>
          <w:sz w:val="24"/>
        </w:rPr>
        <w:t xml:space="preserve">The trainings could be filmed, subtitled and made available to judicial authorities throughout the EU, possibly through the centralised website described above. </w:t>
      </w:r>
    </w:p>
    <w:p w:rsidR="001B65FF" w:rsidRDefault="001B65FF">
      <w:pPr>
        <w:contextualSpacing/>
        <w:jc w:val="both"/>
        <w:rPr>
          <w:rFonts w:ascii="Times New Roman" w:hAnsi="Times New Roman" w:cs="Times New Roman"/>
          <w:noProof/>
          <w:sz w:val="28"/>
        </w:rPr>
      </w:pPr>
    </w:p>
    <w:p w:rsidR="001B65FF" w:rsidRDefault="003E4EF4">
      <w:pPr>
        <w:spacing w:before="240"/>
        <w:jc w:val="both"/>
        <w:rPr>
          <w:rFonts w:ascii="Times New Roman" w:hAnsi="Times New Roman" w:cs="Times New Roman"/>
          <w:i/>
          <w:noProof/>
          <w:sz w:val="24"/>
        </w:rPr>
      </w:pPr>
      <w:r>
        <w:rPr>
          <w:rFonts w:ascii="Times New Roman" w:hAnsi="Times New Roman" w:cs="Times New Roman"/>
          <w:i/>
          <w:noProof/>
          <w:sz w:val="24"/>
        </w:rPr>
        <w:t xml:space="preserve">b) </w:t>
      </w:r>
      <w:r>
        <w:rPr>
          <w:rFonts w:ascii="Times New Roman" w:eastAsiaTheme="minorHAnsi" w:hAnsi="Times New Roman" w:cs="Times New Roman"/>
          <w:i/>
          <w:noProof/>
          <w:sz w:val="24"/>
        </w:rPr>
        <w:t>Judicial</w:t>
      </w:r>
      <w:r>
        <w:rPr>
          <w:rFonts w:ascii="Times New Roman" w:hAnsi="Times New Roman" w:cs="Times New Roman"/>
          <w:i/>
          <w:noProof/>
          <w:sz w:val="24"/>
        </w:rPr>
        <w:t xml:space="preserve"> cooperation within the EU</w:t>
      </w:r>
      <w:r>
        <w:rPr>
          <w:rFonts w:ascii="Times New Roman" w:eastAsiaTheme="minorHAnsi" w:hAnsi="Times New Roman" w:cs="Times New Roman"/>
          <w:i/>
          <w:noProof/>
          <w:sz w:val="24"/>
        </w:rPr>
        <w:t xml:space="preserve"> (EIO)</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This measure addresses problem driver 1 on judic</w:t>
      </w:r>
      <w:r>
        <w:rPr>
          <w:rFonts w:ascii="Times New Roman" w:hAnsi="Times New Roman" w:cs="Times New Roman"/>
          <w:noProof/>
          <w:sz w:val="24"/>
        </w:rPr>
        <w:t xml:space="preserve">ial cooperation channels by facilitating the implementation of existing EU law, specifically the Directive 2014/41/EU on the </w:t>
      </w:r>
      <w:r>
        <w:rPr>
          <w:rFonts w:ascii="Times New Roman" w:hAnsi="Times New Roman" w:cs="Times New Roman"/>
          <w:b/>
          <w:noProof/>
          <w:sz w:val="24"/>
        </w:rPr>
        <w:t>European Investigation Order</w:t>
      </w:r>
      <w:r>
        <w:rPr>
          <w:rFonts w:ascii="Times New Roman" w:hAnsi="Times New Roman" w:cs="Times New Roman"/>
          <w:noProof/>
          <w:sz w:val="24"/>
        </w:rPr>
        <w:t xml:space="preserve"> in criminal matters</w:t>
      </w:r>
      <w:r>
        <w:rPr>
          <w:rFonts w:ascii="Times New Roman" w:hAnsi="Times New Roman" w:cs="Times New Roman"/>
          <w:noProof/>
          <w:sz w:val="24"/>
          <w:vertAlign w:val="superscript"/>
        </w:rPr>
        <w:footnoteReference w:id="245"/>
      </w:r>
      <w:r>
        <w:rPr>
          <w:rFonts w:ascii="Times New Roman" w:hAnsi="Times New Roman" w:cs="Times New Roman"/>
          <w:noProof/>
          <w:sz w:val="24"/>
        </w:rPr>
        <w:t xml:space="preserve"> (EIO Directive). This directive, in application since May 2017 and based on mutua</w:t>
      </w:r>
      <w:r>
        <w:rPr>
          <w:rFonts w:ascii="Times New Roman" w:hAnsi="Times New Roman" w:cs="Times New Roman"/>
          <w:noProof/>
          <w:sz w:val="24"/>
        </w:rPr>
        <w:t>l recognition of judicial decisions, updated the legal framework applicable to the gathering and transfer of evidence between Member States</w:t>
      </w:r>
      <w:r>
        <w:rPr>
          <w:rFonts w:ascii="Times New Roman" w:hAnsi="Times New Roman" w:cs="Times New Roman"/>
          <w:noProof/>
          <w:sz w:val="24"/>
          <w:vertAlign w:val="superscript"/>
        </w:rPr>
        <w:footnoteReference w:id="246"/>
      </w:r>
      <w:r>
        <w:rPr>
          <w:rFonts w:ascii="Times New Roman" w:hAnsi="Times New Roman" w:cs="Times New Roman"/>
          <w:noProof/>
          <w:sz w:val="24"/>
        </w:rPr>
        <w:t>.</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EIO Directive aims to make cross-border investigations faster and more efficient by setting out mandatory dead</w:t>
      </w:r>
      <w:r>
        <w:rPr>
          <w:rFonts w:ascii="Times New Roman" w:hAnsi="Times New Roman" w:cs="Times New Roman"/>
          <w:noProof/>
          <w:sz w:val="24"/>
        </w:rPr>
        <w:t>lines and limiting grounds for refusal. This will to some extent improve the expediency of proceedings, which is the major issue outlined by Member States concerning the cross-border access to e-evidence within the EU through judicial cooperation channels.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Ireland and Denmark do not participate in it and will continue to rely on MLA channels for their cooperation with other countries, including other Member States.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To facilitate the implementation of the EIO Directive, three expert meetings have been organi</w:t>
      </w:r>
      <w:r>
        <w:rPr>
          <w:rFonts w:ascii="Times New Roman" w:hAnsi="Times New Roman" w:cs="Times New Roman"/>
          <w:noProof/>
          <w:sz w:val="24"/>
        </w:rPr>
        <w:t>sed in 2016-2017. Further meetings are expected to be organised in 2018-2019 with a view to preparing a report on the application of the EIO Directive</w:t>
      </w:r>
      <w:r>
        <w:rPr>
          <w:rFonts w:ascii="Times New Roman" w:hAnsi="Times New Roman" w:cs="Times New Roman"/>
          <w:noProof/>
          <w:sz w:val="24"/>
          <w:vertAlign w:val="superscript"/>
        </w:rPr>
        <w:footnoteReference w:id="247"/>
      </w:r>
      <w:r>
        <w:rPr>
          <w:rFonts w:ascii="Times New Roman" w:hAnsi="Times New Roman" w:cs="Times New Roman"/>
          <w:noProof/>
          <w:sz w:val="24"/>
        </w:rPr>
        <w:t xml:space="preserve">.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To this date the EIO Directive has not yet been implemented by all participating Member States. The Co</w:t>
      </w:r>
      <w:r>
        <w:rPr>
          <w:rFonts w:ascii="Times New Roman" w:hAnsi="Times New Roman" w:cs="Times New Roman"/>
          <w:noProof/>
          <w:sz w:val="24"/>
        </w:rPr>
        <w:t>mmission will continue monitoring the implementation process and, whenever necessary, take legal action against Member States for failing to comply with their obligations under EU law.</w:t>
      </w:r>
    </w:p>
    <w:p w:rsidR="001B65FF" w:rsidRDefault="003E4EF4">
      <w:pPr>
        <w:jc w:val="both"/>
        <w:rPr>
          <w:rFonts w:ascii="Times New Roman" w:hAnsi="Times New Roman" w:cs="Times New Roman"/>
          <w:noProof/>
          <w:sz w:val="24"/>
        </w:rPr>
      </w:pPr>
      <w:r>
        <w:rPr>
          <w:rFonts w:ascii="Times New Roman" w:hAnsi="Times New Roman" w:cs="Times New Roman"/>
          <w:noProof/>
          <w:sz w:val="24"/>
        </w:rPr>
        <w:t>In addition to supporting Member States through expert meetings and the</w:t>
      </w:r>
      <w:r>
        <w:rPr>
          <w:rFonts w:ascii="Times New Roman" w:hAnsi="Times New Roman" w:cs="Times New Roman"/>
          <w:noProof/>
          <w:sz w:val="24"/>
        </w:rPr>
        <w:t xml:space="preserve"> usual monitoring work of the Commission, this measure also proposes to facilitate the implementation of the EIO Directive through a set of non-legislative/practical measures that could further improve the speed of judicial cooperation requests to access e</w:t>
      </w:r>
      <w:r>
        <w:rPr>
          <w:rFonts w:ascii="Times New Roman" w:hAnsi="Times New Roman" w:cs="Times New Roman"/>
          <w:noProof/>
          <w:sz w:val="24"/>
        </w:rPr>
        <w:t xml:space="preserve">-evidence within the EU.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These practical measures are:</w:t>
      </w:r>
    </w:p>
    <w:p w:rsidR="001B65FF" w:rsidRDefault="003E4EF4">
      <w:pPr>
        <w:numPr>
          <w:ilvl w:val="0"/>
          <w:numId w:val="183"/>
        </w:numPr>
        <w:contextualSpacing/>
        <w:jc w:val="both"/>
        <w:rPr>
          <w:rFonts w:ascii="Times New Roman" w:hAnsi="Times New Roman" w:cs="Times New Roman"/>
          <w:noProof/>
          <w:sz w:val="24"/>
        </w:rPr>
      </w:pPr>
      <w:r>
        <w:rPr>
          <w:rFonts w:ascii="Times New Roman" w:hAnsi="Times New Roman" w:cs="Times New Roman"/>
          <w:noProof/>
          <w:sz w:val="24"/>
        </w:rPr>
        <w:t xml:space="preserve">An </w:t>
      </w:r>
      <w:r>
        <w:rPr>
          <w:rFonts w:ascii="Times New Roman" w:hAnsi="Times New Roman" w:cs="Times New Roman"/>
          <w:b/>
          <w:noProof/>
          <w:sz w:val="24"/>
        </w:rPr>
        <w:t xml:space="preserve">electronic user-friendly version </w:t>
      </w:r>
      <w:r>
        <w:rPr>
          <w:rFonts w:ascii="Times New Roman" w:hAnsi="Times New Roman" w:cs="Times New Roman"/>
          <w:noProof/>
          <w:sz w:val="24"/>
        </w:rPr>
        <w:t>of the forms set out in these annexes of the EIO Directive:</w:t>
      </w:r>
    </w:p>
    <w:p w:rsidR="001B65FF" w:rsidRDefault="003E4EF4">
      <w:pPr>
        <w:numPr>
          <w:ilvl w:val="1"/>
          <w:numId w:val="183"/>
        </w:numPr>
        <w:contextualSpacing/>
        <w:jc w:val="both"/>
        <w:rPr>
          <w:rFonts w:ascii="Times New Roman" w:hAnsi="Times New Roman" w:cs="Times New Roman"/>
          <w:noProof/>
          <w:sz w:val="24"/>
        </w:rPr>
      </w:pPr>
      <w:r>
        <w:rPr>
          <w:rFonts w:ascii="Times New Roman" w:hAnsi="Times New Roman" w:cs="Times New Roman"/>
          <w:noProof/>
          <w:sz w:val="24"/>
        </w:rPr>
        <w:t>annex A, on requesting e-evidence,</w:t>
      </w:r>
    </w:p>
    <w:p w:rsidR="001B65FF" w:rsidRDefault="003E4EF4">
      <w:pPr>
        <w:numPr>
          <w:ilvl w:val="1"/>
          <w:numId w:val="183"/>
        </w:numPr>
        <w:contextualSpacing/>
        <w:jc w:val="both"/>
        <w:rPr>
          <w:rFonts w:ascii="Times New Roman" w:hAnsi="Times New Roman" w:cs="Times New Roman"/>
          <w:noProof/>
          <w:sz w:val="24"/>
        </w:rPr>
      </w:pPr>
      <w:r>
        <w:rPr>
          <w:rFonts w:ascii="Times New Roman" w:hAnsi="Times New Roman" w:cs="Times New Roman"/>
          <w:noProof/>
          <w:sz w:val="24"/>
        </w:rPr>
        <w:t xml:space="preserve">annex B, on confirmation of receipt of the EIO and </w:t>
      </w:r>
    </w:p>
    <w:p w:rsidR="001B65FF" w:rsidRDefault="003E4EF4">
      <w:pPr>
        <w:numPr>
          <w:ilvl w:val="1"/>
          <w:numId w:val="183"/>
        </w:numPr>
        <w:contextualSpacing/>
        <w:jc w:val="both"/>
        <w:rPr>
          <w:rFonts w:ascii="Times New Roman" w:hAnsi="Times New Roman" w:cs="Times New Roman"/>
          <w:noProof/>
          <w:sz w:val="24"/>
        </w:rPr>
      </w:pPr>
      <w:r>
        <w:rPr>
          <w:rFonts w:ascii="Times New Roman" w:hAnsi="Times New Roman" w:cs="Times New Roman"/>
          <w:noProof/>
          <w:sz w:val="24"/>
        </w:rPr>
        <w:t>annex C, on notif</w:t>
      </w:r>
      <w:r>
        <w:rPr>
          <w:rFonts w:ascii="Times New Roman" w:hAnsi="Times New Roman" w:cs="Times New Roman"/>
          <w:noProof/>
          <w:sz w:val="24"/>
        </w:rPr>
        <w:t xml:space="preserve">ication of the interception of telecommunication without technical assistance. </w:t>
      </w:r>
    </w:p>
    <w:p w:rsidR="001B65FF" w:rsidRDefault="003E4EF4">
      <w:pPr>
        <w:ind w:left="360"/>
        <w:jc w:val="both"/>
        <w:rPr>
          <w:rFonts w:ascii="Times New Roman" w:hAnsi="Times New Roman" w:cs="Times New Roman"/>
          <w:noProof/>
          <w:sz w:val="24"/>
        </w:rPr>
      </w:pPr>
      <w:r>
        <w:rPr>
          <w:rFonts w:ascii="Times New Roman" w:hAnsi="Times New Roman" w:cs="Times New Roman"/>
          <w:noProof/>
          <w:sz w:val="24"/>
        </w:rPr>
        <w:t>The electronic format would facilitate completion and translation of the forms, by, e.g., including pre-defined scroll-down menus offering a choice among options rather than free text entry, creating a set of predefined and pre-translated sentences/paragra</w:t>
      </w:r>
      <w:r>
        <w:rPr>
          <w:rFonts w:ascii="Times New Roman" w:hAnsi="Times New Roman" w:cs="Times New Roman"/>
          <w:noProof/>
          <w:sz w:val="24"/>
        </w:rPr>
        <w:t xml:space="preserve">phs where free entry is needed. The forms themselves would not be modified, as they are part of the legislative act. </w:t>
      </w:r>
    </w:p>
    <w:p w:rsidR="001B65FF" w:rsidRDefault="003E4EF4">
      <w:pPr>
        <w:ind w:left="360"/>
        <w:jc w:val="both"/>
        <w:rPr>
          <w:rFonts w:ascii="Times New Roman" w:hAnsi="Times New Roman" w:cs="Times New Roman"/>
          <w:noProof/>
          <w:sz w:val="24"/>
        </w:rPr>
      </w:pPr>
      <w:r>
        <w:rPr>
          <w:rFonts w:ascii="Times New Roman" w:hAnsi="Times New Roman" w:cs="Times New Roman"/>
          <w:noProof/>
          <w:sz w:val="24"/>
        </w:rPr>
        <w:t>The electronic version of the forms would include guidance that allows practitioners to fill them in without having followed dedicated tra</w:t>
      </w:r>
      <w:r>
        <w:rPr>
          <w:rFonts w:ascii="Times New Roman" w:hAnsi="Times New Roman" w:cs="Times New Roman"/>
          <w:noProof/>
          <w:sz w:val="24"/>
        </w:rPr>
        <w:t xml:space="preserve">ining. </w:t>
      </w:r>
    </w:p>
    <w:p w:rsidR="001B65FF" w:rsidRDefault="003E4EF4">
      <w:pPr>
        <w:ind w:left="360"/>
        <w:contextualSpacing/>
        <w:jc w:val="both"/>
        <w:rPr>
          <w:rFonts w:ascii="Times New Roman" w:hAnsi="Times New Roman" w:cs="Times New Roman"/>
          <w:i/>
          <w:noProof/>
          <w:sz w:val="24"/>
        </w:rPr>
      </w:pPr>
      <w:r>
        <w:rPr>
          <w:rFonts w:ascii="Times New Roman" w:hAnsi="Times New Roman" w:cs="Times New Roman"/>
          <w:noProof/>
          <w:sz w:val="24"/>
        </w:rPr>
        <w:t xml:space="preserve">A dedicated expert group of representatives of Eurojust, the European Judicial Network (EJN) and the European Judicial Cybercrime Network have already prepared a pilot version which is ready for consultation with Member States. </w:t>
      </w:r>
    </w:p>
    <w:p w:rsidR="001B65FF" w:rsidRDefault="003E4EF4">
      <w:pPr>
        <w:ind w:left="360"/>
        <w:contextualSpacing/>
        <w:jc w:val="both"/>
        <w:rPr>
          <w:rFonts w:ascii="Times New Roman" w:hAnsi="Times New Roman" w:cs="Times New Roman"/>
          <w:noProof/>
          <w:sz w:val="24"/>
        </w:rPr>
      </w:pPr>
      <w:r>
        <w:rPr>
          <w:rFonts w:ascii="Times New Roman" w:hAnsi="Times New Roman" w:cs="Times New Roman"/>
          <w:noProof/>
          <w:sz w:val="24"/>
        </w:rPr>
        <w:t>The electronic woul</w:t>
      </w:r>
      <w:r>
        <w:rPr>
          <w:rFonts w:ascii="Times New Roman" w:hAnsi="Times New Roman" w:cs="Times New Roman"/>
          <w:noProof/>
          <w:sz w:val="24"/>
        </w:rPr>
        <w:t xml:space="preserve">d be made available on the EJN website. </w:t>
      </w:r>
    </w:p>
    <w:p w:rsidR="001B65FF" w:rsidRDefault="001B65FF">
      <w:pPr>
        <w:ind w:left="360"/>
        <w:contextualSpacing/>
        <w:jc w:val="both"/>
        <w:rPr>
          <w:rFonts w:ascii="Times New Roman" w:hAnsi="Times New Roman" w:cs="Times New Roman"/>
          <w:noProof/>
          <w:sz w:val="24"/>
        </w:rPr>
      </w:pPr>
    </w:p>
    <w:p w:rsidR="001B65FF" w:rsidRDefault="003E4EF4">
      <w:pPr>
        <w:numPr>
          <w:ilvl w:val="0"/>
          <w:numId w:val="183"/>
        </w:numPr>
        <w:contextualSpacing/>
        <w:jc w:val="both"/>
        <w:rPr>
          <w:rFonts w:ascii="Times New Roman" w:hAnsi="Times New Roman" w:cs="Times New Roman"/>
          <w:noProof/>
          <w:sz w:val="24"/>
        </w:rPr>
      </w:pPr>
      <w:r>
        <w:rPr>
          <w:rFonts w:ascii="Times New Roman" w:hAnsi="Times New Roman" w:cs="Times New Roman"/>
          <w:noProof/>
          <w:sz w:val="24"/>
        </w:rPr>
        <w:t xml:space="preserve">A </w:t>
      </w:r>
      <w:r>
        <w:rPr>
          <w:rFonts w:ascii="Times New Roman" w:hAnsi="Times New Roman" w:cs="Times New Roman"/>
          <w:b/>
          <w:noProof/>
          <w:sz w:val="24"/>
        </w:rPr>
        <w:t>secure</w:t>
      </w:r>
      <w:r>
        <w:rPr>
          <w:rFonts w:ascii="Times New Roman" w:hAnsi="Times New Roman" w:cs="Times New Roman"/>
          <w:noProof/>
          <w:sz w:val="24"/>
        </w:rPr>
        <w:t xml:space="preserve"> </w:t>
      </w:r>
      <w:r>
        <w:rPr>
          <w:rFonts w:ascii="Times New Roman" w:hAnsi="Times New Roman" w:cs="Times New Roman"/>
          <w:b/>
          <w:noProof/>
          <w:sz w:val="24"/>
        </w:rPr>
        <w:t xml:space="preserve">online platform </w:t>
      </w:r>
      <w:r>
        <w:rPr>
          <w:rFonts w:ascii="Times New Roman" w:hAnsi="Times New Roman" w:cs="Times New Roman"/>
          <w:noProof/>
          <w:sz w:val="24"/>
        </w:rPr>
        <w:t xml:space="preserve">for electronic exchanges of EIO/MLA requests and replies between EU competent authorities (including on e-evidence). </w:t>
      </w:r>
    </w:p>
    <w:p w:rsidR="001B65FF" w:rsidRDefault="003E4EF4">
      <w:pPr>
        <w:spacing w:before="240" w:after="0"/>
        <w:ind w:left="360"/>
        <w:jc w:val="both"/>
        <w:rPr>
          <w:rFonts w:ascii="Times New Roman" w:hAnsi="Times New Roman" w:cs="Times New Roman"/>
          <w:noProof/>
          <w:sz w:val="24"/>
        </w:rPr>
      </w:pPr>
      <w:r>
        <w:rPr>
          <w:rFonts w:ascii="Times New Roman" w:hAnsi="Times New Roman" w:cs="Times New Roman"/>
          <w:noProof/>
          <w:sz w:val="24"/>
        </w:rPr>
        <w:t>A secure platform could allow for swift and secure exchanges of requests between competent authorities of different Member States. The Commission could prepare and provide a ready-made portal (a reference portal) that Member States could install and use as</w:t>
      </w:r>
      <w:r>
        <w:rPr>
          <w:rFonts w:ascii="Times New Roman" w:hAnsi="Times New Roman" w:cs="Times New Roman"/>
          <w:noProof/>
          <w:sz w:val="24"/>
        </w:rPr>
        <w:t xml:space="preserve"> their national portal. </w:t>
      </w:r>
    </w:p>
    <w:p w:rsidR="001B65FF" w:rsidRDefault="003E4EF4">
      <w:pPr>
        <w:spacing w:before="240"/>
        <w:ind w:left="360"/>
        <w:jc w:val="both"/>
        <w:rPr>
          <w:rFonts w:ascii="Times New Roman" w:hAnsi="Times New Roman" w:cs="Times New Roman"/>
          <w:noProof/>
          <w:sz w:val="24"/>
        </w:rPr>
      </w:pPr>
      <w:r>
        <w:rPr>
          <w:rFonts w:ascii="Times New Roman" w:eastAsia="Calibri" w:hAnsi="Times New Roman" w:cs="Times New Roman"/>
          <w:noProof/>
          <w:sz w:val="24"/>
        </w:rPr>
        <w:t xml:space="preserve">The platform would also incorporate the electronic version of the EIO forms described above.  </w:t>
      </w:r>
    </w:p>
    <w:p w:rsidR="001B65FF" w:rsidRDefault="003E4EF4">
      <w:pPr>
        <w:spacing w:before="240"/>
        <w:ind w:left="360"/>
        <w:jc w:val="both"/>
        <w:rPr>
          <w:rFonts w:ascii="Times New Roman" w:hAnsi="Times New Roman" w:cs="Times New Roman"/>
          <w:noProof/>
          <w:sz w:val="24"/>
        </w:rPr>
      </w:pPr>
      <w:r>
        <w:rPr>
          <w:rFonts w:ascii="Times New Roman" w:hAnsi="Times New Roman" w:cs="Times New Roman"/>
          <w:noProof/>
          <w:sz w:val="24"/>
        </w:rPr>
        <w:t>The platform would include comprehensive security requirements. Throughout the meetings, a majority of Member States expressed the choic</w:t>
      </w:r>
      <w:r>
        <w:rPr>
          <w:rFonts w:ascii="Times New Roman" w:hAnsi="Times New Roman" w:cs="Times New Roman"/>
          <w:noProof/>
          <w:sz w:val="24"/>
        </w:rPr>
        <w:t xml:space="preserve">e to use </w:t>
      </w:r>
      <w:r>
        <w:rPr>
          <w:rFonts w:ascii="Times New Roman" w:hAnsi="Times New Roman" w:cs="Times New Roman"/>
          <w:b/>
          <w:noProof/>
          <w:sz w:val="24"/>
        </w:rPr>
        <w:t>e-CODEX</w:t>
      </w:r>
      <w:r>
        <w:rPr>
          <w:rFonts w:ascii="Times New Roman" w:hAnsi="Times New Roman" w:cs="Times New Roman"/>
          <w:noProof/>
          <w:sz w:val="24"/>
        </w:rPr>
        <w:t xml:space="preserve"> as the tool for the secure transmission of the data. </w:t>
      </w:r>
    </w:p>
    <w:p w:rsidR="001B65FF" w:rsidRDefault="003E4EF4">
      <w:pPr>
        <w:spacing w:before="240"/>
        <w:ind w:left="630"/>
        <w:rPr>
          <w:rFonts w:ascii="Times New Roman" w:hAnsi="Times New Roman" w:cs="Times New Roman"/>
          <w:i/>
          <w:noProof/>
          <w:sz w:val="24"/>
          <w:lang w:eastAsia="en-GB"/>
        </w:rPr>
      </w:pPr>
      <w:r>
        <w:rPr>
          <w:rFonts w:ascii="Times New Roman" w:hAnsi="Times New Roman" w:cs="Times New Roman"/>
          <w:i/>
          <w:noProof/>
          <w:sz w:val="24"/>
          <w:lang w:eastAsia="en-GB"/>
        </w:rPr>
        <w:t>Box 1: what is e-CODEX</w:t>
      </w:r>
      <w:r>
        <w:rPr>
          <w:rFonts w:ascii="Times New Roman" w:hAnsi="Times New Roman" w:cs="Times New Roman"/>
          <w:i/>
          <w:noProof/>
          <w:sz w:val="24"/>
          <w:vertAlign w:val="superscript"/>
          <w:lang w:eastAsia="en-GB"/>
        </w:rPr>
        <w:footnoteReference w:id="248"/>
      </w:r>
      <w:r>
        <w:rPr>
          <w:rFonts w:ascii="Times New Roman" w:hAnsi="Times New Roman" w:cs="Times New Roman"/>
          <w:i/>
          <w:noProof/>
          <w:sz w:val="24"/>
          <w:lang w:eastAsia="en-GB"/>
        </w:rPr>
        <w:t xml:space="preserve"> and how it could be used in the secure online platform?</w:t>
      </w:r>
    </w:p>
    <w:tbl>
      <w:tblPr>
        <w:tblW w:w="7920" w:type="dxa"/>
        <w:tblInd w:w="82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7920"/>
      </w:tblGrid>
      <w:tr w:rsidR="001B65FF">
        <w:tc>
          <w:tcPr>
            <w:tcW w:w="7920" w:type="dxa"/>
            <w:shd w:val="clear" w:color="auto" w:fill="F2F2F2" w:themeFill="background1" w:themeFillShade="F2"/>
            <w:hideMark/>
          </w:tcPr>
          <w:p w:rsidR="001B65FF" w:rsidRDefault="001B65FF">
            <w:pPr>
              <w:spacing w:after="0"/>
              <w:ind w:left="252" w:right="252"/>
              <w:jc w:val="both"/>
              <w:rPr>
                <w:rFonts w:ascii="Times New Roman" w:hAnsi="Times New Roman" w:cs="Times New Roman"/>
                <w:noProof/>
                <w:sz w:val="24"/>
                <w:lang w:eastAsia="en-GB"/>
              </w:rPr>
            </w:pPr>
          </w:p>
          <w:p w:rsidR="001B65FF" w:rsidRDefault="003E4EF4">
            <w:pPr>
              <w:spacing w:after="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"e-CODEX" is an IT system for cross border judicial cooperation which allows users, be they judicial aut</w:t>
            </w:r>
            <w:r>
              <w:rPr>
                <w:rFonts w:ascii="Times New Roman" w:hAnsi="Times New Roman" w:cs="Times New Roman"/>
                <w:noProof/>
                <w:sz w:val="24"/>
                <w:lang w:eastAsia="en-GB"/>
              </w:rPr>
              <w:t xml:space="preserve">horities, legal practitioners or citizens, to send and receive documents, legal forms, evidence or other information in a secure manner. It operates as a decentralised network of access points, interlinking national and European IT systems to one another. </w:t>
            </w:r>
          </w:p>
          <w:p w:rsidR="001B65FF" w:rsidRDefault="003E4EF4">
            <w:pPr>
              <w:spacing w:before="240" w:after="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Various Member States are already using e-CODEX to support cross border legal procedures both in civil and criminal matters, e.g. for European Payment Orders and small claims and for mutual recognition of financial penalties and custodial sentences.</w:t>
            </w:r>
          </w:p>
          <w:p w:rsidR="001B65FF" w:rsidRDefault="003E4EF4">
            <w:pPr>
              <w:spacing w:before="240" w:after="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For e</w:t>
            </w:r>
            <w:r>
              <w:rPr>
                <w:rFonts w:ascii="Times New Roman" w:hAnsi="Times New Roman" w:cs="Times New Roman"/>
                <w:noProof/>
                <w:sz w:val="24"/>
                <w:lang w:eastAsia="en-GB"/>
              </w:rPr>
              <w:t>xample, during an ongoing investigation into a network of drug-sellers, the prosecution service of Cologne discovers that a huge cannabis plantation is being maintained in a storehouse close to the Belgian- Dutch border. The Public Prosecutors Office in Co</w:t>
            </w:r>
            <w:r>
              <w:rPr>
                <w:rFonts w:ascii="Times New Roman" w:hAnsi="Times New Roman" w:cs="Times New Roman"/>
                <w:noProof/>
                <w:sz w:val="24"/>
                <w:lang w:eastAsia="en-GB"/>
              </w:rPr>
              <w:t>logne sends a request for search and freeze to the competent judicial authorities in Belgium and the Netherlands using the e-CODEX infrastructure. Within 3 days the prosecutor is informed about the eligibility of the request for legal assistance.</w:t>
            </w:r>
          </w:p>
          <w:p w:rsidR="001B65FF" w:rsidRDefault="003E4EF4">
            <w:pPr>
              <w:spacing w:before="240" w:after="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The commu</w:t>
            </w:r>
            <w:r>
              <w:rPr>
                <w:rFonts w:ascii="Times New Roman" w:hAnsi="Times New Roman" w:cs="Times New Roman"/>
                <w:noProof/>
                <w:sz w:val="24"/>
                <w:lang w:eastAsia="en-GB"/>
              </w:rPr>
              <w:t>nication of the requests and the responses in the secure online platform could take place through e-CODEX, with the relevant authorities accessing it through national portals linked to this. These could be supplemented by databases at national level to pro</w:t>
            </w:r>
            <w:r>
              <w:rPr>
                <w:rFonts w:ascii="Times New Roman" w:hAnsi="Times New Roman" w:cs="Times New Roman"/>
                <w:noProof/>
                <w:sz w:val="24"/>
                <w:lang w:eastAsia="en-GB"/>
              </w:rPr>
              <w:t>vide access to very large files, with only a link being sent through e-CODEX.</w:t>
            </w:r>
          </w:p>
          <w:p w:rsidR="001B65FF" w:rsidRDefault="003E4EF4">
            <w:pPr>
              <w:spacing w:before="240" w:after="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The Commission has launched an assessment of the impact of various options for maintaining e-CODEX in the long term, which includes examining the need for a legal basis</w:t>
            </w:r>
            <w:r>
              <w:rPr>
                <w:rFonts w:ascii="Times New Roman" w:hAnsi="Times New Roman" w:cs="Times New Roman"/>
                <w:noProof/>
                <w:sz w:val="24"/>
                <w:vertAlign w:val="superscript"/>
                <w:lang w:eastAsia="en-GB"/>
              </w:rPr>
              <w:footnoteReference w:id="249"/>
            </w:r>
            <w:r>
              <w:rPr>
                <w:rFonts w:ascii="Times New Roman" w:hAnsi="Times New Roman" w:cs="Times New Roman"/>
                <w:noProof/>
                <w:sz w:val="24"/>
                <w:lang w:eastAsia="en-GB"/>
              </w:rPr>
              <w:t>.</w:t>
            </w:r>
          </w:p>
          <w:p w:rsidR="001B65FF" w:rsidRDefault="001B65FF">
            <w:pPr>
              <w:spacing w:after="0"/>
              <w:ind w:left="252" w:right="252"/>
              <w:jc w:val="both"/>
              <w:rPr>
                <w:rFonts w:ascii="Times New Roman" w:hAnsi="Times New Roman" w:cs="Times New Roman"/>
                <w:noProof/>
                <w:sz w:val="24"/>
                <w:lang w:eastAsia="en-GB"/>
              </w:rPr>
            </w:pPr>
          </w:p>
        </w:tc>
      </w:tr>
    </w:tbl>
    <w:p w:rsidR="001B65FF" w:rsidRDefault="001B65FF">
      <w:pPr>
        <w:ind w:left="360"/>
        <w:contextualSpacing/>
        <w:jc w:val="both"/>
        <w:rPr>
          <w:rFonts w:ascii="Times New Roman" w:hAnsi="Times New Roman" w:cs="Times New Roman"/>
          <w:noProof/>
          <w:sz w:val="24"/>
        </w:rPr>
      </w:pPr>
    </w:p>
    <w:p w:rsidR="001B65FF" w:rsidRDefault="003E4EF4">
      <w:pPr>
        <w:ind w:left="360"/>
        <w:contextualSpacing/>
        <w:jc w:val="both"/>
        <w:rPr>
          <w:rFonts w:ascii="Times New Roman" w:hAnsi="Times New Roman" w:cs="Times New Roman"/>
          <w:noProof/>
          <w:sz w:val="24"/>
        </w:rPr>
      </w:pPr>
      <w:r>
        <w:rPr>
          <w:rFonts w:ascii="Times New Roman" w:hAnsi="Times New Roman" w:cs="Times New Roman"/>
          <w:noProof/>
          <w:sz w:val="24"/>
        </w:rPr>
        <w:t xml:space="preserve">As </w:t>
      </w:r>
      <w:r>
        <w:rPr>
          <w:rFonts w:ascii="Times New Roman" w:hAnsi="Times New Roman" w:cs="Times New Roman"/>
          <w:noProof/>
          <w:sz w:val="24"/>
        </w:rPr>
        <w:t>the establishment of the system requires parallel work by Member States and the Commission, a dedicated project team including representatives of all Member States would be needed. According to the present timeline the system could be operational by the en</w:t>
      </w:r>
      <w:r>
        <w:rPr>
          <w:rFonts w:ascii="Times New Roman" w:hAnsi="Times New Roman" w:cs="Times New Roman"/>
          <w:noProof/>
          <w:sz w:val="24"/>
        </w:rPr>
        <w:t>d of 2019.</w:t>
      </w:r>
    </w:p>
    <w:p w:rsidR="001B65FF" w:rsidRDefault="001B65FF">
      <w:pPr>
        <w:ind w:left="360"/>
        <w:contextualSpacing/>
        <w:jc w:val="both"/>
        <w:rPr>
          <w:rFonts w:ascii="Times New Roman" w:hAnsi="Times New Roman" w:cs="Times New Roman"/>
          <w:noProof/>
          <w:sz w:val="24"/>
        </w:rPr>
      </w:pPr>
    </w:p>
    <w:p w:rsidR="001B65FF" w:rsidRDefault="003E4EF4">
      <w:pPr>
        <w:spacing w:after="0"/>
        <w:ind w:left="360"/>
        <w:contextualSpacing/>
        <w:jc w:val="both"/>
        <w:rPr>
          <w:rFonts w:eastAsia="Times New Roman"/>
          <w:noProof/>
        </w:rPr>
      </w:pPr>
      <w:r>
        <w:rPr>
          <w:rFonts w:ascii="Times New Roman" w:hAnsi="Times New Roman" w:cs="Times New Roman"/>
          <w:noProof/>
          <w:sz w:val="24"/>
        </w:rPr>
        <w:t xml:space="preserve">Although this platform is currently considered to cover the exchanges among EU competent authorities, in the long term it could be extended to facilitate direct cooperation between public authorities and service providers, as well as </w:t>
      </w:r>
      <w:r>
        <w:rPr>
          <w:rFonts w:ascii="Times New Roman" w:hAnsi="Times New Roman" w:cs="Times New Roman"/>
          <w:noProof/>
          <w:sz w:val="24"/>
        </w:rPr>
        <w:t>cooperation with public authorities of non-EU countries.</w:t>
      </w:r>
    </w:p>
    <w:p w:rsidR="001B65FF" w:rsidRDefault="003E4EF4">
      <w:pPr>
        <w:pStyle w:val="Heading2"/>
        <w:rPr>
          <w:rFonts w:ascii="Times New Roman" w:eastAsia="Times New Roman" w:hAnsi="Times New Roman" w:cs="Times New Roman"/>
          <w:b w:val="0"/>
          <w:noProof/>
          <w:sz w:val="24"/>
          <w:u w:val="single"/>
        </w:rPr>
      </w:pPr>
      <w:bookmarkStart w:id="2258" w:name="_Toc499020501"/>
      <w:bookmarkStart w:id="2259" w:name="_Toc499030435"/>
      <w:bookmarkStart w:id="2260" w:name="_Toc499044977"/>
      <w:bookmarkStart w:id="2261" w:name="_Toc499051393"/>
      <w:bookmarkStart w:id="2262" w:name="_Toc499130073"/>
      <w:bookmarkStart w:id="2263" w:name="_Toc499133351"/>
      <w:bookmarkStart w:id="2264" w:name="_Toc499142922"/>
      <w:bookmarkStart w:id="2265" w:name="_Toc499143367"/>
      <w:bookmarkStart w:id="2266" w:name="_Toc510952917"/>
      <w:r>
        <w:rPr>
          <w:rFonts w:ascii="Times New Roman" w:eastAsia="Times New Roman" w:hAnsi="Times New Roman" w:cs="Times New Roman"/>
          <w:b w:val="0"/>
          <w:noProof/>
          <w:sz w:val="24"/>
          <w:u w:val="single"/>
        </w:rPr>
        <w:t>Measure 2: practical measures to enhance direct cooperation</w:t>
      </w:r>
      <w:bookmarkEnd w:id="2258"/>
      <w:bookmarkEnd w:id="2259"/>
      <w:bookmarkEnd w:id="2260"/>
      <w:bookmarkEnd w:id="2261"/>
      <w:bookmarkEnd w:id="2262"/>
      <w:bookmarkEnd w:id="2263"/>
      <w:bookmarkEnd w:id="2264"/>
      <w:bookmarkEnd w:id="2265"/>
      <w:bookmarkEnd w:id="2266"/>
    </w:p>
    <w:p w:rsidR="001B65FF" w:rsidRDefault="003E4EF4">
      <w:pPr>
        <w:pBdr>
          <w:top w:val="single" w:sz="4" w:space="1" w:color="auto"/>
          <w:left w:val="single" w:sz="4" w:space="4" w:color="auto"/>
          <w:bottom w:val="single" w:sz="4" w:space="1" w:color="auto"/>
          <w:right w:val="single" w:sz="4" w:space="4" w:color="auto"/>
        </w:pBdr>
        <w:spacing w:before="360" w:after="360"/>
        <w:jc w:val="both"/>
        <w:rPr>
          <w:rFonts w:ascii="Times New Roman" w:hAnsi="Times New Roman" w:cs="Times New Roman"/>
          <w:noProof/>
          <w:sz w:val="24"/>
        </w:rPr>
      </w:pPr>
      <w:r>
        <w:rPr>
          <w:rFonts w:ascii="Times New Roman" w:hAnsi="Times New Roman" w:cs="Times New Roman"/>
          <w:noProof/>
          <w:sz w:val="24"/>
        </w:rPr>
        <w:t>This measure would address problem driver 2 by making procedures for public-private cooperation more efficient.</w:t>
      </w:r>
    </w:p>
    <w:p w:rsidR="001B65FF" w:rsidRDefault="003E4EF4">
      <w:pPr>
        <w:spacing w:before="240"/>
        <w:jc w:val="both"/>
        <w:rPr>
          <w:rFonts w:ascii="Times New Roman" w:hAnsi="Times New Roman" w:cs="Times New Roman"/>
          <w:noProof/>
          <w:sz w:val="24"/>
        </w:rPr>
      </w:pPr>
      <w:r>
        <w:rPr>
          <w:rFonts w:ascii="Times New Roman" w:hAnsi="Times New Roman" w:cs="Times New Roman"/>
          <w:noProof/>
          <w:sz w:val="24"/>
        </w:rPr>
        <w:t>The expert consultation pro</w:t>
      </w:r>
      <w:r>
        <w:rPr>
          <w:rFonts w:ascii="Times New Roman" w:hAnsi="Times New Roman" w:cs="Times New Roman"/>
          <w:noProof/>
          <w:sz w:val="24"/>
        </w:rPr>
        <w:t>cess identified and broadly supported the following practical measures to enhance cooperation between public authorities in the EU and service providers, aiming to tackle in particular the issues identified in problem driver 2 (section 2.2.2.):</w:t>
      </w:r>
    </w:p>
    <w:p w:rsidR="001B65FF" w:rsidRDefault="003E4EF4">
      <w:pPr>
        <w:numPr>
          <w:ilvl w:val="0"/>
          <w:numId w:val="184"/>
        </w:numPr>
        <w:contextualSpacing/>
        <w:jc w:val="both"/>
        <w:rPr>
          <w:rFonts w:ascii="Times New Roman" w:hAnsi="Times New Roman" w:cs="Times New Roman"/>
          <w:noProof/>
          <w:sz w:val="24"/>
        </w:rPr>
      </w:pPr>
      <w:r>
        <w:rPr>
          <w:rFonts w:ascii="Times New Roman" w:hAnsi="Times New Roman" w:cs="Times New Roman"/>
          <w:noProof/>
          <w:sz w:val="24"/>
        </w:rPr>
        <w:t xml:space="preserve">Creation of </w:t>
      </w:r>
      <w:r>
        <w:rPr>
          <w:rFonts w:ascii="Times New Roman" w:hAnsi="Times New Roman" w:cs="Times New Roman"/>
          <w:b/>
          <w:noProof/>
          <w:sz w:val="24"/>
        </w:rPr>
        <w:t>single points of contact (SPOC)</w:t>
      </w:r>
      <w:r>
        <w:rPr>
          <w:rFonts w:ascii="Times New Roman" w:hAnsi="Times New Roman" w:cs="Times New Roman"/>
          <w:noProof/>
          <w:sz w:val="24"/>
        </w:rPr>
        <w:t>, both on the public authorities’ side and on the service providers’ side:</w:t>
      </w:r>
    </w:p>
    <w:p w:rsidR="001B65FF" w:rsidRDefault="003E4EF4">
      <w:pPr>
        <w:numPr>
          <w:ilvl w:val="1"/>
          <w:numId w:val="184"/>
        </w:numPr>
        <w:contextualSpacing/>
        <w:jc w:val="both"/>
        <w:rPr>
          <w:rFonts w:ascii="Times New Roman" w:hAnsi="Times New Roman" w:cs="Times New Roman"/>
          <w:noProof/>
          <w:sz w:val="24"/>
        </w:rPr>
      </w:pPr>
      <w:r>
        <w:rPr>
          <w:rFonts w:ascii="Times New Roman" w:hAnsi="Times New Roman" w:cs="Times New Roman"/>
          <w:noProof/>
          <w:sz w:val="24"/>
        </w:rPr>
        <w:t xml:space="preserve">On the </w:t>
      </w:r>
      <w:r>
        <w:rPr>
          <w:rFonts w:ascii="Times New Roman" w:hAnsi="Times New Roman" w:cs="Times New Roman"/>
          <w:b/>
          <w:noProof/>
          <w:sz w:val="24"/>
        </w:rPr>
        <w:t>public authorities’ side</w:t>
      </w:r>
      <w:r>
        <w:rPr>
          <w:rFonts w:ascii="Times New Roman" w:hAnsi="Times New Roman" w:cs="Times New Roman"/>
          <w:noProof/>
          <w:sz w:val="24"/>
        </w:rPr>
        <w:t xml:space="preserve"> in the Member States, it could significantly improve the direct cooperation between those authorities and </w:t>
      </w:r>
      <w:r>
        <w:rPr>
          <w:rFonts w:ascii="Times New Roman" w:hAnsi="Times New Roman" w:cs="Times New Roman"/>
          <w:noProof/>
          <w:sz w:val="24"/>
        </w:rPr>
        <w:t>service providers by e.g. ensuring the quality of outgoing requests and build relationships of confidence with providers, as they know their counterpart:</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A number of Member States (FR, UK, SE, BE, FI, LT) have already created a national central coordinatin</w:t>
      </w:r>
      <w:r>
        <w:rPr>
          <w:rFonts w:ascii="Times New Roman" w:hAnsi="Times New Roman" w:cs="Times New Roman"/>
          <w:noProof/>
          <w:sz w:val="24"/>
        </w:rPr>
        <w:t>g body for the direct cooperation between law enforcement authorities and service providers. The establishment of SPOCs has resulted in a significant improvement in the efficiency of this channel, both on the side of the authorities in the Member State, an</w:t>
      </w:r>
      <w:r>
        <w:rPr>
          <w:rFonts w:ascii="Times New Roman" w:hAnsi="Times New Roman" w:cs="Times New Roman"/>
          <w:noProof/>
          <w:sz w:val="24"/>
        </w:rPr>
        <w:t xml:space="preserve">d on the side of the service provider.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Although no country has collected quantitative data on how the SPOC system has improved its investigations, in general Member States with a SPOC system reported that it served as a filter for overly broad requests or</w:t>
      </w:r>
      <w:r>
        <w:rPr>
          <w:rFonts w:ascii="Times New Roman" w:hAnsi="Times New Roman" w:cs="Times New Roman"/>
          <w:noProof/>
          <w:sz w:val="24"/>
        </w:rPr>
        <w:t xml:space="preserve"> ones that are unlikely to be answered based on a service provider's individual policies; they saw an increase in quality and hence in response rates and a reduction in response times for MLA and direct cooperation; and SPOC systems in general, even with t</w:t>
      </w:r>
      <w:r>
        <w:rPr>
          <w:rFonts w:ascii="Times New Roman" w:hAnsi="Times New Roman" w:cs="Times New Roman"/>
          <w:noProof/>
          <w:sz w:val="24"/>
        </w:rPr>
        <w:t>heir different current implementations, are uniformly perceived very positively by service providers who say that it improves the quality of requests and helps authenticate requests, as well as allowing them to build a relationship of trust leading to swif</w:t>
      </w:r>
      <w:r>
        <w:rPr>
          <w:rFonts w:ascii="Times New Roman" w:hAnsi="Times New Roman" w:cs="Times New Roman"/>
          <w:noProof/>
          <w:sz w:val="24"/>
        </w:rPr>
        <w:t>ter checks and more efficient cooperation.</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The specific feedback from experts from relevant Member States that have put in place SPOC systems depended on the type of system implemented, as there are many different variants in place. For example, the UK SPO</w:t>
      </w:r>
      <w:r>
        <w:rPr>
          <w:rFonts w:ascii="Times New Roman" w:hAnsi="Times New Roman" w:cs="Times New Roman"/>
          <w:noProof/>
          <w:sz w:val="24"/>
        </w:rPr>
        <w:t xml:space="preserve">C also manages requests to national telecommunication services while the BE SPOC is only in charge of requests to foreign jurisdictions.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While some SPOCs serve as a channel, others serve as a source of expertise only, e.g. in FR. These SPOCs provide exper</w:t>
      </w:r>
      <w:r>
        <w:rPr>
          <w:rFonts w:ascii="Times New Roman" w:hAnsi="Times New Roman" w:cs="Times New Roman"/>
          <w:noProof/>
          <w:sz w:val="24"/>
        </w:rPr>
        <w:t xml:space="preserve">tise (a sort of central “help desk”) on the different policies of service providers. The centralisation of expertise can improve the quality of outgoing requests; some but not all SPOCs also validate each request before it is transferred.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The SPOCs can al</w:t>
      </w:r>
      <w:r>
        <w:rPr>
          <w:rFonts w:ascii="Times New Roman" w:hAnsi="Times New Roman" w:cs="Times New Roman"/>
          <w:noProof/>
          <w:sz w:val="24"/>
        </w:rPr>
        <w:t>so help establish relationships with service providers, which could facilitate the authentication of requests and, in general, reaching cooperation agreements.</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Although not all Member States would have to choose the exact same implementation of SPOCs in th</w:t>
      </w:r>
      <w:r>
        <w:rPr>
          <w:rFonts w:ascii="Times New Roman" w:hAnsi="Times New Roman" w:cs="Times New Roman"/>
          <w:noProof/>
          <w:sz w:val="24"/>
        </w:rPr>
        <w:t xml:space="preserve">eir system, e.g. at central or decentralised level, the Commission could consider giving </w:t>
      </w:r>
      <w:r>
        <w:rPr>
          <w:rFonts w:ascii="Times New Roman" w:hAnsi="Times New Roman" w:cs="Times New Roman"/>
          <w:b/>
          <w:noProof/>
          <w:sz w:val="24"/>
        </w:rPr>
        <w:t>recommendations</w:t>
      </w:r>
      <w:r>
        <w:rPr>
          <w:rFonts w:ascii="Times New Roman" w:hAnsi="Times New Roman" w:cs="Times New Roman"/>
          <w:noProof/>
          <w:sz w:val="24"/>
        </w:rPr>
        <w:t xml:space="preserve"> to facilitate their implementation and the development of best practices. </w:t>
      </w:r>
    </w:p>
    <w:p w:rsidR="001B65FF" w:rsidRDefault="001B65FF">
      <w:pPr>
        <w:ind w:left="360"/>
        <w:contextualSpacing/>
        <w:jc w:val="center"/>
        <w:rPr>
          <w:rFonts w:ascii="Times New Roman" w:hAnsi="Times New Roman" w:cs="Times New Roman"/>
          <w:i/>
          <w:noProof/>
          <w:sz w:val="24"/>
          <w:lang w:eastAsia="en-GB"/>
        </w:rPr>
      </w:pPr>
    </w:p>
    <w:p w:rsidR="001B65FF" w:rsidRDefault="003E4EF4">
      <w:pPr>
        <w:spacing w:before="240"/>
        <w:ind w:left="360"/>
        <w:contextualSpacing/>
        <w:jc w:val="center"/>
        <w:rPr>
          <w:rFonts w:ascii="Times New Roman" w:hAnsi="Times New Roman" w:cs="Times New Roman"/>
          <w:i/>
          <w:noProof/>
          <w:sz w:val="24"/>
          <w:lang w:eastAsia="en-GB"/>
        </w:rPr>
      </w:pPr>
      <w:r>
        <w:rPr>
          <w:rFonts w:ascii="Times New Roman" w:hAnsi="Times New Roman" w:cs="Times New Roman"/>
          <w:i/>
          <w:noProof/>
          <w:sz w:val="24"/>
          <w:lang w:eastAsia="en-GB"/>
        </w:rPr>
        <w:t>Box 1: UK SPOC System</w:t>
      </w:r>
    </w:p>
    <w:tbl>
      <w:tblPr>
        <w:tblW w:w="8730" w:type="dxa"/>
        <w:tblInd w:w="46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730"/>
      </w:tblGrid>
      <w:tr w:rsidR="001B65FF">
        <w:tc>
          <w:tcPr>
            <w:tcW w:w="8730" w:type="dxa"/>
            <w:shd w:val="clear" w:color="auto" w:fill="F2F2F2" w:themeFill="background1" w:themeFillShade="F2"/>
            <w:hideMark/>
          </w:tcPr>
          <w:p w:rsidR="001B65FF" w:rsidRDefault="003E4EF4">
            <w:pPr>
              <w:spacing w:before="240"/>
              <w:jc w:val="center"/>
              <w:rPr>
                <w:rFonts w:ascii="Times New Roman" w:hAnsi="Times New Roman" w:cs="Times New Roman"/>
                <w:b/>
                <w:noProof/>
                <w:sz w:val="24"/>
                <w:szCs w:val="24"/>
                <w:u w:val="single"/>
              </w:rPr>
            </w:pPr>
            <w:r>
              <w:rPr>
                <w:rFonts w:ascii="Times New Roman" w:hAnsi="Times New Roman" w:cs="Times New Roman"/>
                <w:b/>
                <w:noProof/>
                <w:sz w:val="24"/>
                <w:szCs w:val="24"/>
                <w:u w:val="single"/>
              </w:rPr>
              <w:t>UK System for Single Points of Contact</w:t>
            </w:r>
          </w:p>
          <w:p w:rsidR="001B65FF" w:rsidRDefault="003E4EF4">
            <w:pPr>
              <w:ind w:left="241" w:right="193"/>
              <w:jc w:val="both"/>
              <w:rPr>
                <w:rFonts w:ascii="Times New Roman" w:hAnsi="Times New Roman" w:cs="Times New Roman"/>
                <w:b/>
                <w:noProof/>
                <w:sz w:val="24"/>
                <w:szCs w:val="24"/>
                <w:u w:val="single"/>
              </w:rPr>
            </w:pPr>
            <w:r>
              <w:rPr>
                <w:rFonts w:ascii="Times New Roman" w:hAnsi="Times New Roman" w:cs="Times New Roman"/>
                <w:noProof/>
                <w:sz w:val="24"/>
                <w:szCs w:val="24"/>
              </w:rPr>
              <w:t>In the UK, aut</w:t>
            </w:r>
            <w:r>
              <w:rPr>
                <w:rFonts w:ascii="Times New Roman" w:hAnsi="Times New Roman" w:cs="Times New Roman"/>
                <w:noProof/>
                <w:sz w:val="24"/>
                <w:szCs w:val="24"/>
              </w:rPr>
              <w:t>horities are required to make requests for communications data via a Single Point of Contact (SPOC).  The code of practice</w:t>
            </w:r>
            <w:r>
              <w:rPr>
                <w:rFonts w:ascii="Times New Roman" w:hAnsi="Times New Roman" w:cs="Times New Roman"/>
                <w:noProof/>
                <w:szCs w:val="24"/>
                <w:vertAlign w:val="superscript"/>
              </w:rPr>
              <w:footnoteReference w:id="250"/>
            </w:r>
            <w:r>
              <w:rPr>
                <w:rFonts w:ascii="Times New Roman" w:hAnsi="Times New Roman" w:cs="Times New Roman"/>
                <w:noProof/>
                <w:sz w:val="24"/>
                <w:szCs w:val="24"/>
              </w:rPr>
              <w:t xml:space="preserve"> explains that a SPOC: ‘promotes efficiency and good practice in ensuring only practical and lawful requirements for communications data are undertaken. This encourages the public authority to regulate itself. The SPOC provides objective judgement and advi</w:t>
            </w:r>
            <w:r>
              <w:rPr>
                <w:rFonts w:ascii="Times New Roman" w:hAnsi="Times New Roman" w:cs="Times New Roman"/>
                <w:noProof/>
                <w:sz w:val="24"/>
                <w:szCs w:val="24"/>
              </w:rPr>
              <w:t>ce to both the applicant and the designated person.’</w:t>
            </w:r>
          </w:p>
          <w:p w:rsidR="001B65FF" w:rsidRDefault="003E4EF4">
            <w:pPr>
              <w:ind w:left="241" w:right="193"/>
              <w:jc w:val="both"/>
              <w:rPr>
                <w:rFonts w:ascii="Times New Roman" w:hAnsi="Times New Roman" w:cs="Times New Roman"/>
                <w:noProof/>
                <w:sz w:val="24"/>
                <w:szCs w:val="24"/>
              </w:rPr>
            </w:pPr>
            <w:r>
              <w:rPr>
                <w:rFonts w:ascii="Times New Roman" w:hAnsi="Times New Roman" w:cs="Times New Roman"/>
                <w:noProof/>
                <w:sz w:val="24"/>
                <w:szCs w:val="24"/>
              </w:rPr>
              <w:t>A SPOC is not responsible for authorising an application; that is done by a designated senior officer in the requesting authority who is independent of the investigation. However, the SPOC will advise th</w:t>
            </w:r>
            <w:r>
              <w:rPr>
                <w:rFonts w:ascii="Times New Roman" w:hAnsi="Times New Roman" w:cs="Times New Roman"/>
                <w:noProof/>
                <w:sz w:val="24"/>
                <w:szCs w:val="24"/>
              </w:rPr>
              <w:t>e applicant on the application before it is sent to be authorised to ensure it is of a sufficiently high standard. In practice, many more applications are rejected or sent back for reworking by a SPOC, which provides careful scrutiny, than by the authorisi</w:t>
            </w:r>
            <w:r>
              <w:rPr>
                <w:rFonts w:ascii="Times New Roman" w:hAnsi="Times New Roman" w:cs="Times New Roman"/>
                <w:noProof/>
                <w:sz w:val="24"/>
                <w:szCs w:val="24"/>
              </w:rPr>
              <w:t>ng officer. Once an application has been authorised, the SPOC acquires the data from the service provider ("CSP" in the diagram below).</w:t>
            </w:r>
          </w:p>
          <w:p w:rsidR="001B65FF" w:rsidRDefault="003E4EF4">
            <w:pPr>
              <w:ind w:left="241" w:right="193"/>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Each member of the SPOC receives a </w:t>
            </w:r>
            <w:r>
              <w:rPr>
                <w:rFonts w:ascii="Times New Roman" w:hAnsi="Times New Roman" w:cs="Times New Roman"/>
                <w:b/>
                <w:noProof/>
                <w:color w:val="000000"/>
                <w:sz w:val="24"/>
                <w:szCs w:val="24"/>
              </w:rPr>
              <w:t>unique identifier</w:t>
            </w:r>
            <w:r>
              <w:rPr>
                <w:rFonts w:ascii="Times New Roman" w:hAnsi="Times New Roman" w:cs="Times New Roman"/>
                <w:noProof/>
                <w:color w:val="000000"/>
                <w:sz w:val="24"/>
                <w:szCs w:val="24"/>
              </w:rPr>
              <w:t>, which must be provided when making requests. This reassures the se</w:t>
            </w:r>
            <w:r>
              <w:rPr>
                <w:rFonts w:ascii="Times New Roman" w:hAnsi="Times New Roman" w:cs="Times New Roman"/>
                <w:noProof/>
                <w:color w:val="000000"/>
                <w:sz w:val="24"/>
                <w:szCs w:val="24"/>
              </w:rPr>
              <w:t>rvice provider that the request is legitimate and that a customer’s data is only disclosed to a person who is permitted to acquire it.</w:t>
            </w:r>
          </w:p>
          <w:p w:rsidR="001B65FF" w:rsidRDefault="003E4EF4">
            <w:pPr>
              <w:jc w:val="both"/>
              <w:rPr>
                <w:rFonts w:ascii="Times New Roman" w:hAnsi="Times New Roman" w:cs="Times New Roman"/>
                <w:noProof/>
                <w:color w:val="000000"/>
                <w:sz w:val="24"/>
                <w:szCs w:val="24"/>
              </w:rPr>
            </w:pPr>
            <w:r>
              <w:rPr>
                <w:rFonts w:ascii="Times New Roman" w:hAnsi="Times New Roman" w:cs="Times New Roman"/>
                <w:noProof/>
                <w:color w:val="1F497D"/>
                <w:lang w:eastAsia="en-GB"/>
              </w:rPr>
              <w:drawing>
                <wp:inline distT="0" distB="0" distL="0" distR="0" wp14:anchorId="5B5ABFB2" wp14:editId="437905E7">
                  <wp:extent cx="5372100" cy="2502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9">
                            <a:extLst>
                              <a:ext uri="{BEBA8EAE-BF5A-486C-A8C5-ECC9F3942E4B}">
                                <a14:imgProps xmlns:a14="http://schemas.microsoft.com/office/drawing/2010/main">
                                  <a14:imgLayer r:embed="rId150">
                                    <a14:imgEffect>
                                      <a14:brightnessContrast bright="20000" contrast="-40000"/>
                                    </a14:imgEffect>
                                  </a14:imgLayer>
                                </a14:imgProps>
                              </a:ext>
                              <a:ext uri="{28A0092B-C50C-407E-A947-70E740481C1C}">
                                <a14:useLocalDpi xmlns:a14="http://schemas.microsoft.com/office/drawing/2010/main" val="0"/>
                              </a:ext>
                            </a:extLst>
                          </a:blip>
                          <a:srcRect t="18846"/>
                          <a:stretch/>
                        </pic:blipFill>
                        <pic:spPr bwMode="auto">
                          <a:xfrm>
                            <a:off x="0" y="0"/>
                            <a:ext cx="5375210" cy="25034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B65FF" w:rsidRDefault="001B65FF">
      <w:pPr>
        <w:ind w:left="1980"/>
        <w:contextualSpacing/>
        <w:jc w:val="both"/>
        <w:rPr>
          <w:rFonts w:ascii="Times New Roman" w:hAnsi="Times New Roman" w:cs="Times New Roman"/>
          <w:noProof/>
          <w:sz w:val="24"/>
        </w:rPr>
      </w:pPr>
    </w:p>
    <w:p w:rsidR="001B65FF" w:rsidRDefault="003E4EF4">
      <w:pPr>
        <w:numPr>
          <w:ilvl w:val="1"/>
          <w:numId w:val="184"/>
        </w:numPr>
        <w:contextualSpacing/>
        <w:jc w:val="both"/>
        <w:rPr>
          <w:rFonts w:ascii="Times New Roman" w:hAnsi="Times New Roman" w:cs="Times New Roman"/>
          <w:noProof/>
          <w:sz w:val="24"/>
        </w:rPr>
      </w:pPr>
      <w:r>
        <w:rPr>
          <w:rFonts w:ascii="Times New Roman" w:hAnsi="Times New Roman" w:cs="Times New Roman"/>
          <w:noProof/>
          <w:sz w:val="24"/>
        </w:rPr>
        <w:t>On the</w:t>
      </w:r>
      <w:r>
        <w:rPr>
          <w:rFonts w:ascii="Times New Roman" w:hAnsi="Times New Roman" w:cs="Times New Roman"/>
          <w:b/>
          <w:noProof/>
          <w:sz w:val="24"/>
        </w:rPr>
        <w:t xml:space="preserve"> service provider's side, </w:t>
      </w:r>
      <w:r>
        <w:rPr>
          <w:rFonts w:ascii="Times New Roman" w:hAnsi="Times New Roman" w:cs="Times New Roman"/>
          <w:noProof/>
          <w:sz w:val="24"/>
        </w:rPr>
        <w:t>the creation of a single point of entry could also</w:t>
      </w:r>
      <w:r>
        <w:rPr>
          <w:rFonts w:ascii="Times New Roman" w:hAnsi="Times New Roman" w:cs="Times New Roman"/>
          <w:b/>
          <w:noProof/>
          <w:sz w:val="24"/>
        </w:rPr>
        <w:t xml:space="preserve"> </w:t>
      </w:r>
      <w:r>
        <w:rPr>
          <w:rFonts w:ascii="Times New Roman" w:hAnsi="Times New Roman" w:cs="Times New Roman"/>
          <w:noProof/>
          <w:sz w:val="24"/>
        </w:rPr>
        <w:t xml:space="preserve">improve the direct cooperation between those authorities and service providers, by, e.g., helping to clarify the provider’s policies: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 xml:space="preserve">A number of providers, including Apple, Facebook, Google, Microsoft and Twitter, have already taken initiatives ranging </w:t>
      </w:r>
      <w:r>
        <w:rPr>
          <w:rFonts w:ascii="Times New Roman" w:hAnsi="Times New Roman" w:cs="Times New Roman"/>
          <w:noProof/>
          <w:sz w:val="24"/>
          <w:szCs w:val="24"/>
        </w:rPr>
        <w:t>f</w:t>
      </w:r>
      <w:r>
        <w:rPr>
          <w:rFonts w:ascii="Times New Roman" w:hAnsi="Times New Roman" w:cs="Times New Roman"/>
          <w:noProof/>
          <w:sz w:val="24"/>
          <w:szCs w:val="24"/>
        </w:rPr>
        <w:t xml:space="preserve">rom </w:t>
      </w:r>
      <w:r>
        <w:rPr>
          <w:rFonts w:ascii="Times New Roman" w:eastAsia="Calibri" w:hAnsi="Times New Roman" w:cs="Times New Roman"/>
          <w:noProof/>
          <w:sz w:val="24"/>
          <w:szCs w:val="24"/>
        </w:rPr>
        <w:t xml:space="preserve">standard forms and dedicated mailboxes that are secured and/or closely monitored to dedicated portals accounting for national differences and providing targeted advice to law enforcement authorities.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These practical measures have resulted in significa</w:t>
      </w:r>
      <w:r>
        <w:rPr>
          <w:rFonts w:ascii="Times New Roman" w:hAnsi="Times New Roman" w:cs="Times New Roman"/>
          <w:noProof/>
          <w:sz w:val="24"/>
        </w:rPr>
        <w:t>nt improvements of the direct cooperation between those service providers and law enforcement authorities, in terms of reliability, quality and efficiency. Nevertheless, not all service providers have implemented these measures and more could be done to en</w:t>
      </w:r>
      <w:r>
        <w:rPr>
          <w:rFonts w:ascii="Times New Roman" w:hAnsi="Times New Roman" w:cs="Times New Roman"/>
          <w:noProof/>
          <w:sz w:val="24"/>
        </w:rPr>
        <w:t xml:space="preserve">sure a common approach amongst service providers. </w:t>
      </w:r>
    </w:p>
    <w:p w:rsidR="001B65FF" w:rsidRDefault="001B65FF">
      <w:pPr>
        <w:ind w:left="1980"/>
        <w:contextualSpacing/>
        <w:jc w:val="both"/>
        <w:rPr>
          <w:rFonts w:ascii="Times New Roman" w:hAnsi="Times New Roman" w:cs="Times New Roman"/>
          <w:noProof/>
          <w:sz w:val="24"/>
        </w:rPr>
      </w:pPr>
    </w:p>
    <w:p w:rsidR="001B65FF" w:rsidRDefault="003E4EF4">
      <w:pPr>
        <w:keepNext/>
        <w:numPr>
          <w:ilvl w:val="0"/>
          <w:numId w:val="184"/>
        </w:numPr>
        <w:contextualSpacing/>
        <w:jc w:val="both"/>
        <w:rPr>
          <w:rFonts w:ascii="Times New Roman" w:hAnsi="Times New Roman" w:cs="Times New Roman"/>
          <w:noProof/>
          <w:sz w:val="24"/>
        </w:rPr>
      </w:pPr>
      <w:r>
        <w:rPr>
          <w:rFonts w:ascii="Times New Roman" w:hAnsi="Times New Roman" w:cs="Times New Roman"/>
          <w:b/>
          <w:noProof/>
          <w:sz w:val="24"/>
        </w:rPr>
        <w:t>Streamline procedures</w:t>
      </w:r>
      <w:r>
        <w:rPr>
          <w:rFonts w:ascii="Times New Roman" w:hAnsi="Times New Roman" w:cs="Times New Roman"/>
          <w:noProof/>
          <w:sz w:val="24"/>
        </w:rPr>
        <w:t xml:space="preserve"> on both the public authorities’ and the service providers’ side:</w:t>
      </w:r>
    </w:p>
    <w:p w:rsidR="001B65FF" w:rsidRDefault="003E4EF4">
      <w:pPr>
        <w:numPr>
          <w:ilvl w:val="1"/>
          <w:numId w:val="184"/>
        </w:numPr>
        <w:contextualSpacing/>
        <w:jc w:val="both"/>
        <w:rPr>
          <w:rFonts w:ascii="Times New Roman" w:hAnsi="Times New Roman" w:cs="Times New Roman"/>
          <w:noProof/>
          <w:sz w:val="24"/>
        </w:rPr>
      </w:pPr>
      <w:r>
        <w:rPr>
          <w:rFonts w:ascii="Times New Roman" w:hAnsi="Times New Roman" w:cs="Times New Roman"/>
          <w:noProof/>
          <w:sz w:val="24"/>
        </w:rPr>
        <w:t xml:space="preserve">On the </w:t>
      </w:r>
      <w:r>
        <w:rPr>
          <w:rFonts w:ascii="Times New Roman" w:hAnsi="Times New Roman" w:cs="Times New Roman"/>
          <w:b/>
          <w:noProof/>
          <w:sz w:val="24"/>
        </w:rPr>
        <w:t xml:space="preserve">public authorities’ side, </w:t>
      </w:r>
      <w:r>
        <w:rPr>
          <w:rFonts w:ascii="Times New Roman" w:hAnsi="Times New Roman" w:cs="Times New Roman"/>
          <w:noProof/>
          <w:sz w:val="24"/>
        </w:rPr>
        <w:t xml:space="preserve">the </w:t>
      </w:r>
      <w:r>
        <w:rPr>
          <w:rFonts w:ascii="Times New Roman" w:hAnsi="Times New Roman" w:cs="Times New Roman"/>
          <w:b/>
          <w:noProof/>
          <w:sz w:val="24"/>
        </w:rPr>
        <w:t>standardisation and reduction of forms</w:t>
      </w:r>
      <w:r>
        <w:rPr>
          <w:rFonts w:ascii="Times New Roman" w:hAnsi="Times New Roman" w:cs="Times New Roman"/>
          <w:noProof/>
          <w:sz w:val="24"/>
        </w:rPr>
        <w:t xml:space="preserve"> used by law enforcement and judicial authorities could facilitate the creation of requests by law enforcement and increase the confidence of service providers when it comes to the identification of authorities and proper forms used.</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Some Member States (FR</w:t>
      </w:r>
      <w:r>
        <w:rPr>
          <w:rFonts w:ascii="Times New Roman" w:hAnsi="Times New Roman" w:cs="Times New Roman"/>
          <w:noProof/>
          <w:sz w:val="24"/>
        </w:rPr>
        <w:t>, HU, SE) have already cooperated with service providers to create and implement such forms, taking into account the requirements from a national criminal procedural law perspective and from the service provider's perspective, e.g. as based on applicable l</w:t>
      </w:r>
      <w:r>
        <w:rPr>
          <w:rFonts w:ascii="Times New Roman" w:hAnsi="Times New Roman" w:cs="Times New Roman"/>
          <w:noProof/>
          <w:sz w:val="24"/>
        </w:rPr>
        <w:t xml:space="preserve">aw of other related countries.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 xml:space="preserve">This has resulted in the improvement of the functioning of this channel and, in some cases, in a significant reduction in the number of forms used.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 xml:space="preserve">Depending on the specific requirements of the national criminal procedural </w:t>
      </w:r>
      <w:r>
        <w:rPr>
          <w:rFonts w:ascii="Times New Roman" w:hAnsi="Times New Roman" w:cs="Times New Roman"/>
          <w:noProof/>
          <w:sz w:val="24"/>
        </w:rPr>
        <w:t xml:space="preserve">law and the different business models and infrastructures used by service providers, forms could be developed to allow for harmonised law enforcement input to service providers.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The Commission could facilitate the development of these standardised forms b</w:t>
      </w:r>
      <w:r>
        <w:rPr>
          <w:rFonts w:ascii="Times New Roman" w:hAnsi="Times New Roman" w:cs="Times New Roman"/>
          <w:noProof/>
          <w:sz w:val="24"/>
        </w:rPr>
        <w:t>y national authorities and service providers on a voluntary basis.</w:t>
      </w:r>
    </w:p>
    <w:p w:rsidR="001B65FF" w:rsidRDefault="003E4EF4">
      <w:pPr>
        <w:numPr>
          <w:ilvl w:val="1"/>
          <w:numId w:val="184"/>
        </w:numPr>
        <w:contextualSpacing/>
        <w:jc w:val="both"/>
        <w:rPr>
          <w:rFonts w:ascii="Times New Roman" w:hAnsi="Times New Roman" w:cs="Times New Roman"/>
          <w:noProof/>
          <w:sz w:val="24"/>
        </w:rPr>
      </w:pPr>
      <w:r>
        <w:rPr>
          <w:rFonts w:ascii="Times New Roman" w:hAnsi="Times New Roman" w:cs="Times New Roman"/>
          <w:noProof/>
          <w:sz w:val="24"/>
        </w:rPr>
        <w:t>On the</w:t>
      </w:r>
      <w:r>
        <w:rPr>
          <w:rFonts w:ascii="Times New Roman" w:hAnsi="Times New Roman" w:cs="Times New Roman"/>
          <w:b/>
          <w:noProof/>
          <w:sz w:val="24"/>
        </w:rPr>
        <w:t xml:space="preserve"> service providers’ side, </w:t>
      </w:r>
      <w:r>
        <w:rPr>
          <w:rFonts w:ascii="Times New Roman" w:hAnsi="Times New Roman" w:cs="Times New Roman"/>
          <w:noProof/>
          <w:sz w:val="24"/>
        </w:rPr>
        <w:t xml:space="preserve">significant improvements could be made through </w:t>
      </w:r>
      <w:r>
        <w:rPr>
          <w:rFonts w:ascii="Times New Roman" w:hAnsi="Times New Roman" w:cs="Times New Roman"/>
          <w:b/>
          <w:noProof/>
          <w:sz w:val="24"/>
        </w:rPr>
        <w:t>streamlining service providers' policies</w:t>
      </w:r>
      <w:r>
        <w:rPr>
          <w:rFonts w:ascii="Times New Roman" w:hAnsi="Times New Roman" w:cs="Times New Roman"/>
          <w:noProof/>
          <w:sz w:val="24"/>
        </w:rPr>
        <w:t xml:space="preserve"> to reduce the heterogeneity of approaches, notably regarding procedur</w:t>
      </w:r>
      <w:r>
        <w:rPr>
          <w:rFonts w:ascii="Times New Roman" w:hAnsi="Times New Roman" w:cs="Times New Roman"/>
          <w:noProof/>
          <w:sz w:val="24"/>
        </w:rPr>
        <w:t xml:space="preserve">es and conditions for granting access to the requested data.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Given that there is no legal framework in place, currently all service providers are free to choose whether and on what terms they provide access to non-content data. The development and applica</w:t>
      </w:r>
      <w:r>
        <w:rPr>
          <w:rFonts w:ascii="Times New Roman" w:hAnsi="Times New Roman" w:cs="Times New Roman"/>
          <w:noProof/>
          <w:sz w:val="24"/>
        </w:rPr>
        <w:t xml:space="preserve">tion of harmonised procedures, standards and conditions (e.g. where specific data categories common to several providers are concerned) could facilitate direct cooperation between public authorities and service providers.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A harmonisation of procedures, st</w:t>
      </w:r>
      <w:r>
        <w:rPr>
          <w:rFonts w:ascii="Times New Roman" w:hAnsi="Times New Roman" w:cs="Times New Roman"/>
          <w:noProof/>
          <w:sz w:val="24"/>
        </w:rPr>
        <w:t>andards and conditions could bring unity in current approaches that sometimes appear to differ widely. This would reduce the challenge that public authorities currently face to understand and work with the different policies and procedures and keep up with</w:t>
      </w:r>
      <w:r>
        <w:rPr>
          <w:rFonts w:ascii="Times New Roman" w:hAnsi="Times New Roman" w:cs="Times New Roman"/>
          <w:noProof/>
          <w:sz w:val="24"/>
        </w:rPr>
        <w:t xml:space="preserve"> changes and new developments, possibly leading to a more efficient process when preparing the requests at the side of law enforcement authorities. </w:t>
      </w:r>
    </w:p>
    <w:p w:rsidR="001B65FF" w:rsidRDefault="003E4EF4">
      <w:pPr>
        <w:numPr>
          <w:ilvl w:val="2"/>
          <w:numId w:val="184"/>
        </w:numPr>
        <w:ind w:left="1980" w:hanging="360"/>
        <w:contextualSpacing/>
        <w:jc w:val="both"/>
        <w:rPr>
          <w:rFonts w:ascii="Times New Roman" w:hAnsi="Times New Roman" w:cs="Times New Roman"/>
          <w:noProof/>
          <w:sz w:val="24"/>
        </w:rPr>
      </w:pPr>
      <w:r>
        <w:rPr>
          <w:rFonts w:ascii="Times New Roman" w:hAnsi="Times New Roman" w:cs="Times New Roman"/>
          <w:noProof/>
          <w:sz w:val="24"/>
        </w:rPr>
        <w:t>Although the various infrastructures and very different business models used by service providers may not allow for a full harmonisation of policies, the Commission could further explore streamlining opportunities with service providers on a voluntary basi</w:t>
      </w:r>
      <w:r>
        <w:rPr>
          <w:rFonts w:ascii="Times New Roman" w:hAnsi="Times New Roman" w:cs="Times New Roman"/>
          <w:noProof/>
          <w:sz w:val="24"/>
        </w:rPr>
        <w:t xml:space="preserve">s. </w:t>
      </w:r>
    </w:p>
    <w:p w:rsidR="001B65FF" w:rsidRDefault="001B65FF">
      <w:pPr>
        <w:ind w:left="1080"/>
        <w:contextualSpacing/>
        <w:jc w:val="both"/>
        <w:rPr>
          <w:rFonts w:ascii="Times New Roman" w:hAnsi="Times New Roman" w:cs="Times New Roman"/>
          <w:noProof/>
          <w:sz w:val="24"/>
        </w:rPr>
      </w:pPr>
    </w:p>
    <w:p w:rsidR="001B65FF" w:rsidRDefault="003E4EF4">
      <w:pPr>
        <w:numPr>
          <w:ilvl w:val="0"/>
          <w:numId w:val="184"/>
        </w:numPr>
        <w:contextualSpacing/>
        <w:jc w:val="both"/>
        <w:rPr>
          <w:rFonts w:ascii="Times New Roman" w:hAnsi="Times New Roman" w:cs="Times New Roman"/>
          <w:noProof/>
          <w:sz w:val="24"/>
        </w:rPr>
      </w:pPr>
      <w:r>
        <w:rPr>
          <w:rFonts w:ascii="Times New Roman" w:hAnsi="Times New Roman" w:cs="Times New Roman"/>
          <w:b/>
          <w:noProof/>
          <w:sz w:val="24"/>
        </w:rPr>
        <w:t>Provide opportunities for the exchange of best practice and training</w:t>
      </w:r>
      <w:r>
        <w:rPr>
          <w:rFonts w:ascii="Times New Roman" w:hAnsi="Times New Roman" w:cs="Times New Roman"/>
          <w:noProof/>
          <w:sz w:val="24"/>
        </w:rPr>
        <w:t xml:space="preserve"> of public authorities in the EU on cooperation with US-based providers. </w:t>
      </w:r>
    </w:p>
    <w:p w:rsidR="001B65FF" w:rsidRDefault="003E4EF4">
      <w:pPr>
        <w:numPr>
          <w:ilvl w:val="0"/>
          <w:numId w:val="63"/>
        </w:numPr>
        <w:contextualSpacing/>
        <w:jc w:val="both"/>
        <w:rPr>
          <w:rFonts w:ascii="Times New Roman" w:hAnsi="Times New Roman" w:cs="Times New Roman"/>
          <w:noProof/>
          <w:sz w:val="24"/>
        </w:rPr>
      </w:pPr>
      <w:r>
        <w:rPr>
          <w:rFonts w:ascii="Times New Roman" w:hAnsi="Times New Roman" w:cs="Times New Roman"/>
          <w:noProof/>
          <w:sz w:val="24"/>
        </w:rPr>
        <w:t xml:space="preserve">All stakeholders indicated that additional </w:t>
      </w:r>
      <w:r>
        <w:rPr>
          <w:rFonts w:ascii="Times New Roman" w:hAnsi="Times New Roman" w:cs="Times New Roman"/>
          <w:b/>
          <w:noProof/>
          <w:sz w:val="24"/>
        </w:rPr>
        <w:t>training for law enforcement and judicial authorities</w:t>
      </w:r>
      <w:r>
        <w:rPr>
          <w:rFonts w:ascii="Times New Roman" w:hAnsi="Times New Roman" w:cs="Times New Roman"/>
          <w:noProof/>
          <w:sz w:val="24"/>
        </w:rPr>
        <w:t xml:space="preserve"> could suppor</w:t>
      </w:r>
      <w:r>
        <w:rPr>
          <w:rFonts w:ascii="Times New Roman" w:hAnsi="Times New Roman" w:cs="Times New Roman"/>
          <w:noProof/>
          <w:sz w:val="24"/>
        </w:rPr>
        <w:t xml:space="preserve">t the functioning of direct cooperation between those authorities and service providers. </w:t>
      </w:r>
    </w:p>
    <w:p w:rsidR="001B65FF" w:rsidRDefault="003E4EF4">
      <w:pPr>
        <w:numPr>
          <w:ilvl w:val="1"/>
          <w:numId w:val="63"/>
        </w:numPr>
        <w:contextualSpacing/>
        <w:jc w:val="both"/>
        <w:rPr>
          <w:rFonts w:ascii="Times New Roman" w:hAnsi="Times New Roman" w:cs="Times New Roman"/>
          <w:noProof/>
          <w:sz w:val="24"/>
        </w:rPr>
      </w:pPr>
      <w:r>
        <w:rPr>
          <w:rFonts w:ascii="Times New Roman" w:hAnsi="Times New Roman" w:cs="Times New Roman"/>
          <w:noProof/>
          <w:sz w:val="24"/>
        </w:rPr>
        <w:t>Training activities could provide for a better understanding of different policies and procedures used by service providers. A common understanding of other countries</w:t>
      </w:r>
      <w:r>
        <w:rPr>
          <w:rFonts w:ascii="Times New Roman" w:hAnsi="Times New Roman" w:cs="Times New Roman"/>
          <w:noProof/>
          <w:sz w:val="24"/>
        </w:rPr>
        <w:t xml:space="preserve">' law concepts and technical capabilities might enhance responses. </w:t>
      </w:r>
    </w:p>
    <w:p w:rsidR="001B65FF" w:rsidRDefault="003E4EF4">
      <w:pPr>
        <w:numPr>
          <w:ilvl w:val="1"/>
          <w:numId w:val="63"/>
        </w:numPr>
        <w:contextualSpacing/>
        <w:jc w:val="both"/>
        <w:rPr>
          <w:rFonts w:ascii="Times New Roman" w:hAnsi="Times New Roman" w:cs="Times New Roman"/>
          <w:noProof/>
          <w:sz w:val="24"/>
        </w:rPr>
      </w:pPr>
      <w:r>
        <w:rPr>
          <w:rFonts w:ascii="Times New Roman" w:hAnsi="Times New Roman" w:cs="Times New Roman"/>
          <w:noProof/>
          <w:sz w:val="24"/>
        </w:rPr>
        <w:t xml:space="preserve">Experts suggested that training should not be fragmented per country but could rather be centralised to ensure for synergies. </w:t>
      </w:r>
    </w:p>
    <w:p w:rsidR="001B65FF" w:rsidRDefault="003E4EF4">
      <w:pPr>
        <w:numPr>
          <w:ilvl w:val="1"/>
          <w:numId w:val="63"/>
        </w:numPr>
        <w:contextualSpacing/>
        <w:jc w:val="both"/>
        <w:rPr>
          <w:rFonts w:ascii="Times New Roman" w:hAnsi="Times New Roman" w:cs="Times New Roman"/>
          <w:noProof/>
          <w:sz w:val="24"/>
        </w:rPr>
      </w:pPr>
      <w:r>
        <w:rPr>
          <w:rFonts w:ascii="Times New Roman" w:hAnsi="Times New Roman" w:cs="Times New Roman"/>
          <w:noProof/>
          <w:sz w:val="24"/>
        </w:rPr>
        <w:t>The Commission could facilitate the development of training p</w:t>
      </w:r>
      <w:r>
        <w:rPr>
          <w:rFonts w:ascii="Times New Roman" w:hAnsi="Times New Roman" w:cs="Times New Roman"/>
          <w:noProof/>
          <w:sz w:val="24"/>
        </w:rPr>
        <w:t xml:space="preserve">rogrammes in full collaboration with national authorities and service providers on a voluntary basis. The Commission has made available </w:t>
      </w:r>
      <w:r>
        <w:rPr>
          <w:rFonts w:ascii="Times New Roman" w:hAnsi="Times New Roman" w:cs="Times New Roman"/>
          <w:b/>
          <w:noProof/>
          <w:sz w:val="24"/>
        </w:rPr>
        <w:t>EUR 500 000</w:t>
      </w:r>
      <w:r>
        <w:rPr>
          <w:rFonts w:ascii="Times New Roman" w:hAnsi="Times New Roman" w:cs="Times New Roman"/>
          <w:noProof/>
          <w:sz w:val="24"/>
        </w:rPr>
        <w:t xml:space="preserve"> under the Partnership Instrument</w:t>
      </w:r>
      <w:r>
        <w:rPr>
          <w:rFonts w:ascii="Times New Roman" w:hAnsi="Times New Roman" w:cs="Times New Roman"/>
          <w:noProof/>
          <w:vertAlign w:val="superscript"/>
        </w:rPr>
        <w:footnoteReference w:id="251"/>
      </w:r>
      <w:r>
        <w:rPr>
          <w:rFonts w:ascii="Times New Roman" w:hAnsi="Times New Roman" w:cs="Times New Roman"/>
          <w:noProof/>
          <w:sz w:val="24"/>
        </w:rPr>
        <w:t xml:space="preserve"> for improving direct cooperation with service providers.</w:t>
      </w:r>
    </w:p>
    <w:p w:rsidR="001B65FF" w:rsidRDefault="003E4EF4">
      <w:pPr>
        <w:numPr>
          <w:ilvl w:val="0"/>
          <w:numId w:val="63"/>
        </w:numPr>
        <w:contextualSpacing/>
        <w:jc w:val="both"/>
        <w:rPr>
          <w:rFonts w:ascii="Times New Roman" w:hAnsi="Times New Roman" w:cs="Times New Roman"/>
          <w:noProof/>
          <w:sz w:val="24"/>
        </w:rPr>
      </w:pPr>
      <w:r>
        <w:rPr>
          <w:rFonts w:ascii="Times New Roman" w:hAnsi="Times New Roman" w:cs="Times New Roman"/>
          <w:noProof/>
          <w:sz w:val="24"/>
        </w:rPr>
        <w:t>Several stakehold</w:t>
      </w:r>
      <w:r>
        <w:rPr>
          <w:rFonts w:ascii="Times New Roman" w:hAnsi="Times New Roman" w:cs="Times New Roman"/>
          <w:noProof/>
          <w:sz w:val="24"/>
        </w:rPr>
        <w:t xml:space="preserve">ers suggested the </w:t>
      </w:r>
      <w:r>
        <w:rPr>
          <w:rFonts w:ascii="Times New Roman" w:hAnsi="Times New Roman" w:cs="Times New Roman"/>
          <w:b/>
          <w:noProof/>
          <w:sz w:val="24"/>
        </w:rPr>
        <w:t>establishment of an online information and support portal</w:t>
      </w:r>
      <w:r>
        <w:rPr>
          <w:rFonts w:ascii="Times New Roman" w:hAnsi="Times New Roman" w:cs="Times New Roman"/>
          <w:noProof/>
          <w:sz w:val="24"/>
        </w:rPr>
        <w:t xml:space="preserve"> at EU level to provide support to investigations, including information on applicable rules and procedures. </w:t>
      </w:r>
    </w:p>
    <w:p w:rsidR="001B65FF" w:rsidRDefault="003E4EF4">
      <w:pPr>
        <w:ind w:left="720"/>
        <w:contextualSpacing/>
        <w:jc w:val="both"/>
        <w:rPr>
          <w:rFonts w:ascii="Times New Roman" w:hAnsi="Times New Roman" w:cs="Times New Roman"/>
          <w:noProof/>
          <w:sz w:val="24"/>
        </w:rPr>
      </w:pPr>
      <w:r>
        <w:rPr>
          <w:rFonts w:ascii="Times New Roman" w:hAnsi="Times New Roman" w:cs="Times New Roman"/>
          <w:noProof/>
          <w:sz w:val="24"/>
        </w:rPr>
        <w:t xml:space="preserve">Possible uses of the platform could range from a static repository for </w:t>
      </w:r>
      <w:r>
        <w:rPr>
          <w:rFonts w:ascii="Times New Roman" w:hAnsi="Times New Roman" w:cs="Times New Roman"/>
          <w:noProof/>
          <w:sz w:val="24"/>
        </w:rPr>
        <w:t>service provider policies to an interactive tool guiding law enforcement authorities in identification of the relevant service provider and appropriate channels to use, to a comprehensive tool allowing for the creation and submission of requests to several</w:t>
      </w:r>
      <w:r>
        <w:rPr>
          <w:rFonts w:ascii="Times New Roman" w:hAnsi="Times New Roman" w:cs="Times New Roman"/>
          <w:noProof/>
          <w:sz w:val="24"/>
        </w:rPr>
        <w:t xml:space="preserve"> service providers.</w:t>
      </w:r>
    </w:p>
    <w:p w:rsidR="001B65FF" w:rsidRDefault="003E4EF4">
      <w:pPr>
        <w:ind w:left="720"/>
        <w:contextualSpacing/>
        <w:jc w:val="both"/>
        <w:rPr>
          <w:rFonts w:ascii="Times New Roman" w:hAnsi="Times New Roman" w:cs="Times New Roman"/>
          <w:noProof/>
          <w:sz w:val="24"/>
        </w:rPr>
      </w:pPr>
      <w:r>
        <w:rPr>
          <w:rFonts w:ascii="Times New Roman" w:hAnsi="Times New Roman" w:cs="Times New Roman"/>
          <w:noProof/>
          <w:sz w:val="24"/>
        </w:rPr>
        <w:t>It could leverage the work of existing initiatives which already pursue similar objectives, including:</w:t>
      </w:r>
    </w:p>
    <w:p w:rsidR="001B65FF" w:rsidRDefault="003E4EF4">
      <w:pPr>
        <w:numPr>
          <w:ilvl w:val="1"/>
          <w:numId w:val="63"/>
        </w:numPr>
        <w:contextualSpacing/>
        <w:jc w:val="both"/>
        <w:rPr>
          <w:rFonts w:ascii="Times New Roman" w:hAnsi="Times New Roman" w:cs="Times New Roman"/>
          <w:noProof/>
          <w:sz w:val="24"/>
        </w:rPr>
      </w:pPr>
      <w:r>
        <w:rPr>
          <w:rFonts w:ascii="Times New Roman" w:hAnsi="Times New Roman" w:cs="Times New Roman"/>
          <w:noProof/>
          <w:sz w:val="24"/>
        </w:rPr>
        <w:t xml:space="preserve">efforts under the </w:t>
      </w:r>
      <w:r>
        <w:rPr>
          <w:rFonts w:ascii="Times New Roman" w:hAnsi="Times New Roman" w:cs="Times New Roman"/>
          <w:b/>
          <w:noProof/>
          <w:sz w:val="24"/>
        </w:rPr>
        <w:t xml:space="preserve">Council of Europe Budapest Convention on Cybercrime </w:t>
      </w:r>
      <w:r>
        <w:rPr>
          <w:rFonts w:ascii="Times New Roman" w:hAnsi="Times New Roman" w:cs="Times New Roman"/>
          <w:noProof/>
          <w:sz w:val="24"/>
        </w:rPr>
        <w:t>to create  a static repository of the different provider polici</w:t>
      </w:r>
      <w:r>
        <w:rPr>
          <w:rFonts w:ascii="Times New Roman" w:hAnsi="Times New Roman" w:cs="Times New Roman"/>
          <w:noProof/>
          <w:sz w:val="24"/>
        </w:rPr>
        <w:t>es and information on criminal procedural law of States Parties to the Budapest Convention</w:t>
      </w:r>
      <w:r>
        <w:rPr>
          <w:rFonts w:ascii="Times New Roman" w:hAnsi="Times New Roman" w:cs="Times New Roman"/>
          <w:noProof/>
          <w:vertAlign w:val="superscript"/>
        </w:rPr>
        <w:footnoteReference w:id="252"/>
      </w:r>
      <w:r>
        <w:rPr>
          <w:rFonts w:ascii="Times New Roman" w:hAnsi="Times New Roman" w:cs="Times New Roman"/>
          <w:noProof/>
          <w:sz w:val="24"/>
        </w:rPr>
        <w:t>;</w:t>
      </w:r>
    </w:p>
    <w:p w:rsidR="001B65FF" w:rsidRDefault="003E4EF4">
      <w:pPr>
        <w:numPr>
          <w:ilvl w:val="1"/>
          <w:numId w:val="63"/>
        </w:numPr>
        <w:contextualSpacing/>
        <w:jc w:val="both"/>
        <w:rPr>
          <w:rFonts w:ascii="Times New Roman" w:hAnsi="Times New Roman" w:cs="Times New Roman"/>
          <w:noProof/>
          <w:sz w:val="24"/>
        </w:rPr>
      </w:pPr>
      <w:r>
        <w:rPr>
          <w:rFonts w:ascii="Times New Roman" w:hAnsi="Times New Roman" w:cs="Times New Roman"/>
          <w:noProof/>
          <w:sz w:val="24"/>
        </w:rPr>
        <w:t>other repositories of service provider policies</w:t>
      </w:r>
      <w:r>
        <w:rPr>
          <w:rFonts w:ascii="Times New Roman" w:hAnsi="Times New Roman" w:cs="Times New Roman"/>
          <w:noProof/>
          <w:sz w:val="24"/>
          <w:vertAlign w:val="superscript"/>
        </w:rPr>
        <w:footnoteReference w:id="253"/>
      </w:r>
      <w:r>
        <w:rPr>
          <w:rFonts w:ascii="Times New Roman" w:hAnsi="Times New Roman" w:cs="Times New Roman"/>
          <w:noProof/>
          <w:sz w:val="24"/>
        </w:rPr>
        <w:t>; and</w:t>
      </w:r>
    </w:p>
    <w:p w:rsidR="001B65FF" w:rsidRDefault="003E4EF4">
      <w:pPr>
        <w:numPr>
          <w:ilvl w:val="1"/>
          <w:numId w:val="63"/>
        </w:numPr>
        <w:contextualSpacing/>
        <w:jc w:val="both"/>
        <w:rPr>
          <w:rFonts w:ascii="Times New Roman" w:hAnsi="Times New Roman" w:cs="Times New Roman"/>
          <w:noProof/>
          <w:sz w:val="24"/>
        </w:rPr>
      </w:pPr>
      <w:r>
        <w:rPr>
          <w:rFonts w:ascii="Times New Roman" w:hAnsi="Times New Roman" w:cs="Times New Roman"/>
          <w:noProof/>
          <w:sz w:val="24"/>
        </w:rPr>
        <w:t xml:space="preserve">Europol's </w:t>
      </w:r>
      <w:r>
        <w:rPr>
          <w:rFonts w:ascii="Times New Roman" w:hAnsi="Times New Roman" w:cs="Times New Roman"/>
          <w:b/>
          <w:noProof/>
          <w:sz w:val="24"/>
        </w:rPr>
        <w:t>SIRIUS platform</w:t>
      </w:r>
      <w:r>
        <w:rPr>
          <w:rFonts w:ascii="Times New Roman" w:hAnsi="Times New Roman" w:cs="Times New Roman"/>
          <w:noProof/>
          <w:sz w:val="24"/>
        </w:rPr>
        <w:t xml:space="preserve"> to facilitate online investigations, including the direct cooperation between autho</w:t>
      </w:r>
      <w:r>
        <w:rPr>
          <w:rFonts w:ascii="Times New Roman" w:hAnsi="Times New Roman" w:cs="Times New Roman"/>
          <w:noProof/>
          <w:sz w:val="24"/>
        </w:rPr>
        <w:t>rities and service providers</w:t>
      </w:r>
      <w:r>
        <w:rPr>
          <w:rFonts w:ascii="Times New Roman" w:hAnsi="Times New Roman" w:cs="Times New Roman"/>
          <w:noProof/>
          <w:vertAlign w:val="superscript"/>
        </w:rPr>
        <w:footnoteReference w:id="254"/>
      </w:r>
      <w:r>
        <w:rPr>
          <w:rFonts w:ascii="Times New Roman" w:hAnsi="Times New Roman" w:cs="Times New Roman"/>
          <w:noProof/>
          <w:sz w:val="24"/>
        </w:rPr>
        <w:t xml:space="preserve">.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Where relevant, these practical measures on direct cooperation with service providers on a voluntary basis for non-content requests could be developed and implemented in the context of the existing EU Internet Forum</w:t>
      </w:r>
      <w:r>
        <w:rPr>
          <w:rFonts w:ascii="Times New Roman" w:hAnsi="Times New Roman" w:cs="Times New Roman"/>
          <w:noProof/>
          <w:sz w:val="24"/>
          <w:vertAlign w:val="superscript"/>
        </w:rPr>
        <w:footnoteReference w:id="255"/>
      </w:r>
      <w:r>
        <w:rPr>
          <w:rFonts w:ascii="Times New Roman" w:hAnsi="Times New Roman" w:cs="Times New Roman"/>
          <w:noProof/>
          <w:sz w:val="24"/>
        </w:rPr>
        <w:t xml:space="preserve">. </w:t>
      </w:r>
    </w:p>
    <w:p w:rsidR="001B65FF" w:rsidRDefault="003E4EF4">
      <w:pPr>
        <w:rPr>
          <w:rFonts w:ascii="Times New Roman" w:hAnsi="Times New Roman" w:cs="Times New Roman"/>
          <w:b/>
          <w:noProof/>
          <w:sz w:val="24"/>
        </w:rPr>
      </w:pPr>
      <w:r>
        <w:rPr>
          <w:rFonts w:ascii="Times New Roman" w:eastAsiaTheme="majorEastAsia" w:hAnsi="Times New Roman" w:cs="Times New Roman"/>
          <w:b/>
          <w:noProof/>
          <w:sz w:val="24"/>
        </w:rPr>
        <w:t>Legislative action</w:t>
      </w:r>
    </w:p>
    <w:p w:rsidR="001B65FF" w:rsidRDefault="003E4EF4">
      <w:pPr>
        <w:pStyle w:val="Heading2"/>
        <w:rPr>
          <w:rFonts w:ascii="Times New Roman" w:eastAsia="Times New Roman" w:hAnsi="Times New Roman" w:cs="Times New Roman"/>
          <w:b w:val="0"/>
          <w:noProof/>
          <w:sz w:val="24"/>
          <w:u w:val="single"/>
        </w:rPr>
      </w:pPr>
      <w:bookmarkStart w:id="2267" w:name="_Toc499130074"/>
      <w:bookmarkStart w:id="2268" w:name="_Toc499133352"/>
      <w:bookmarkStart w:id="2269" w:name="_Toc499142923"/>
      <w:bookmarkStart w:id="2270" w:name="_Toc499143368"/>
      <w:bookmarkStart w:id="2271" w:name="_Toc510952918"/>
      <w:r>
        <w:rPr>
          <w:rFonts w:ascii="Times New Roman" w:eastAsia="Times New Roman" w:hAnsi="Times New Roman" w:cs="Times New Roman"/>
          <w:b w:val="0"/>
          <w:noProof/>
          <w:sz w:val="24"/>
          <w:u w:val="single"/>
        </w:rPr>
        <w:t>Measure 3: multilateral international agreements</w:t>
      </w:r>
      <w:bookmarkEnd w:id="2267"/>
      <w:bookmarkEnd w:id="2268"/>
      <w:bookmarkEnd w:id="2269"/>
      <w:bookmarkEnd w:id="2270"/>
      <w:bookmarkEnd w:id="2271"/>
    </w:p>
    <w:p w:rsidR="001B65FF" w:rsidRDefault="003E4EF4">
      <w:pPr>
        <w:pBdr>
          <w:top w:val="single" w:sz="4" w:space="1" w:color="auto"/>
          <w:left w:val="single" w:sz="4" w:space="4" w:color="auto"/>
          <w:bottom w:val="single" w:sz="4" w:space="1" w:color="auto"/>
          <w:right w:val="single" w:sz="4" w:space="4" w:color="auto"/>
        </w:pBdr>
        <w:spacing w:before="360" w:after="360"/>
        <w:jc w:val="both"/>
        <w:rPr>
          <w:rFonts w:ascii="Times New Roman" w:hAnsi="Times New Roman" w:cs="Times New Roman"/>
          <w:noProof/>
          <w:sz w:val="24"/>
        </w:rPr>
      </w:pPr>
      <w:r>
        <w:rPr>
          <w:rFonts w:ascii="Times New Roman" w:hAnsi="Times New Roman" w:cs="Times New Roman"/>
          <w:noProof/>
          <w:sz w:val="24"/>
        </w:rPr>
        <w:t>This measure would seek to address problem drivers 1 and 3 by reducing the need for judicial cooperation and clarifying jurisdiction for investigative measures.</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Multilateral international </w:t>
      </w:r>
      <w:r>
        <w:rPr>
          <w:rFonts w:ascii="Times New Roman" w:hAnsi="Times New Roman" w:cs="Times New Roman"/>
          <w:noProof/>
          <w:sz w:val="24"/>
        </w:rPr>
        <w:t>agreements ideally create a common framework across a wide number of countries affected by the same challenge. In the field of cyber-enabled crime, the 2001 Council of Europe Convention on Cybercrime (the Budapest Convention) is the main multilateral frame</w:t>
      </w:r>
      <w:r>
        <w:rPr>
          <w:rFonts w:ascii="Times New Roman" w:hAnsi="Times New Roman" w:cs="Times New Roman"/>
          <w:noProof/>
          <w:sz w:val="24"/>
        </w:rPr>
        <w:t>work, providing harmonised definitions and procedural rules, as also recognised in the 2013 EU Cybersecurity Strategy</w:t>
      </w:r>
      <w:r>
        <w:rPr>
          <w:rFonts w:ascii="Times New Roman" w:hAnsi="Times New Roman" w:cs="Times New Roman"/>
          <w:noProof/>
          <w:sz w:val="24"/>
          <w:vertAlign w:val="superscript"/>
        </w:rPr>
        <w:footnoteReference w:id="256"/>
      </w:r>
      <w:r>
        <w:rPr>
          <w:rFonts w:ascii="Times New Roman" w:hAnsi="Times New Roman" w:cs="Times New Roman"/>
          <w:noProof/>
          <w:sz w:val="24"/>
        </w:rPr>
        <w:t>. The Budapest Convention is well placed as an international agreement to address the challenges to cross-border access to e-evidence. How</w:t>
      </w:r>
      <w:r>
        <w:rPr>
          <w:rFonts w:ascii="Times New Roman" w:hAnsi="Times New Roman" w:cs="Times New Roman"/>
          <w:noProof/>
          <w:sz w:val="24"/>
        </w:rPr>
        <w:t>ever, as of now, the Convention only addresses specific smaller parts of this topic as no wider agreement could be reached when the Convention was negotiated almost 20 years ago.</w:t>
      </w:r>
    </w:p>
    <w:p w:rsidR="001B65FF" w:rsidRDefault="003E4EF4">
      <w:pPr>
        <w:jc w:val="both"/>
        <w:rPr>
          <w:rFonts w:ascii="Times New Roman" w:hAnsi="Times New Roman" w:cs="Times New Roman"/>
          <w:noProof/>
          <w:sz w:val="24"/>
        </w:rPr>
      </w:pPr>
      <w:r>
        <w:rPr>
          <w:rFonts w:ascii="Times New Roman" w:hAnsi="Times New Roman" w:cs="Times New Roman"/>
          <w:noProof/>
          <w:sz w:val="24"/>
        </w:rPr>
        <w:t>Accession to the Budapest Convention is open to member countries of the Counc</w:t>
      </w:r>
      <w:r>
        <w:rPr>
          <w:rFonts w:ascii="Times New Roman" w:hAnsi="Times New Roman" w:cs="Times New Roman"/>
          <w:noProof/>
          <w:sz w:val="24"/>
        </w:rPr>
        <w:t xml:space="preserve">il of Europe, and also to other countries, based on an invitation extended after a unanimous decision of all Parties to the Convention. Currently, 55 countries have ratified the Convention, including all Member States except Ireland and Sweden, which have </w:t>
      </w:r>
      <w:r>
        <w:rPr>
          <w:rFonts w:ascii="Times New Roman" w:hAnsi="Times New Roman" w:cs="Times New Roman"/>
          <w:noProof/>
          <w:sz w:val="24"/>
        </w:rPr>
        <w:t>signed the Convention and are in the process of ratification through implementation in national law. The EU is not a party to the Convention but is committed to promoting it. The European Commission takes part in plenary meetings of the Convention Committe</w:t>
      </w:r>
      <w:r>
        <w:rPr>
          <w:rFonts w:ascii="Times New Roman" w:hAnsi="Times New Roman" w:cs="Times New Roman"/>
          <w:noProof/>
          <w:sz w:val="24"/>
        </w:rPr>
        <w:t>e (T-CY) as an Observer Organisation. Important Parties to the Convention from beyond the EU are the US, Japan and Canada. An increasing number of countries are taking steps in view of ratification or accession to the Convention.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At its 7-9 June 2017 plena</w:t>
      </w:r>
      <w:r>
        <w:rPr>
          <w:rFonts w:ascii="Times New Roman" w:hAnsi="Times New Roman" w:cs="Times New Roman"/>
          <w:noProof/>
          <w:sz w:val="24"/>
        </w:rPr>
        <w:t>ry meeting, the T-CY adopted Terms of Reference for the negotiation of an Additional Protocol to the Convention between September 2017 and September 2019</w:t>
      </w:r>
      <w:r>
        <w:rPr>
          <w:rFonts w:ascii="Times New Roman" w:hAnsi="Times New Roman" w:cs="Times New Roman"/>
          <w:noProof/>
          <w:sz w:val="24"/>
          <w:vertAlign w:val="superscript"/>
        </w:rPr>
        <w:footnoteReference w:id="257"/>
      </w:r>
      <w:r>
        <w:rPr>
          <w:rFonts w:ascii="Times New Roman" w:hAnsi="Times New Roman" w:cs="Times New Roman"/>
          <w:noProof/>
          <w:sz w:val="24"/>
        </w:rPr>
        <w:t xml:space="preserve">. The scope may expand the existing framework allowing for </w:t>
      </w:r>
      <w:r>
        <w:rPr>
          <w:rFonts w:ascii="Times New Roman" w:hAnsi="Times New Roman" w:cs="Times New Roman"/>
          <w:b/>
          <w:noProof/>
          <w:sz w:val="24"/>
        </w:rPr>
        <w:t>direct cooperation</w:t>
      </w:r>
      <w:r>
        <w:rPr>
          <w:rFonts w:ascii="Times New Roman" w:hAnsi="Times New Roman" w:cs="Times New Roman"/>
          <w:noProof/>
          <w:sz w:val="24"/>
        </w:rPr>
        <w:t xml:space="preserve"> with service providers i</w:t>
      </w:r>
      <w:r>
        <w:rPr>
          <w:rFonts w:ascii="Times New Roman" w:hAnsi="Times New Roman" w:cs="Times New Roman"/>
          <w:noProof/>
          <w:sz w:val="24"/>
        </w:rPr>
        <w:t xml:space="preserve">n other jurisdictions (possibly including subscriber information, preservation requests, and emergency requests), as well as create a </w:t>
      </w:r>
      <w:r>
        <w:rPr>
          <w:rFonts w:ascii="Times New Roman" w:hAnsi="Times New Roman" w:cs="Times New Roman"/>
          <w:b/>
          <w:noProof/>
          <w:sz w:val="24"/>
        </w:rPr>
        <w:t>clear framework and safeguards</w:t>
      </w:r>
      <w:r>
        <w:rPr>
          <w:rFonts w:ascii="Times New Roman" w:hAnsi="Times New Roman" w:cs="Times New Roman"/>
          <w:noProof/>
          <w:sz w:val="24"/>
        </w:rPr>
        <w:t xml:space="preserve"> (including data protection requirements) for cross-border access to information.</w:t>
      </w:r>
    </w:p>
    <w:p w:rsidR="001B65FF" w:rsidRDefault="003E4EF4">
      <w:pPr>
        <w:jc w:val="both"/>
        <w:rPr>
          <w:rFonts w:ascii="Times New Roman" w:hAnsi="Times New Roman" w:cs="Times New Roman"/>
          <w:noProof/>
          <w:sz w:val="24"/>
        </w:rPr>
      </w:pPr>
      <w:r>
        <w:rPr>
          <w:rFonts w:ascii="Times New Roman" w:hAnsi="Times New Roman" w:cs="Times New Roman"/>
          <w:noProof/>
          <w:sz w:val="24"/>
        </w:rPr>
        <w:t>In terms o</w:t>
      </w:r>
      <w:r>
        <w:rPr>
          <w:rFonts w:ascii="Times New Roman" w:hAnsi="Times New Roman" w:cs="Times New Roman"/>
          <w:noProof/>
          <w:sz w:val="24"/>
        </w:rPr>
        <w:t xml:space="preserve">f </w:t>
      </w:r>
      <w:r>
        <w:rPr>
          <w:rFonts w:ascii="Times New Roman" w:hAnsi="Times New Roman" w:cs="Times New Roman"/>
          <w:b/>
          <w:noProof/>
          <w:sz w:val="24"/>
        </w:rPr>
        <w:t>timing</w:t>
      </w:r>
      <w:r>
        <w:rPr>
          <w:rFonts w:ascii="Times New Roman" w:hAnsi="Times New Roman" w:cs="Times New Roman"/>
          <w:noProof/>
          <w:sz w:val="24"/>
        </w:rPr>
        <w:t>, if negotiations are indeed concluded by the end of 2019, the protocol would then need to be ratified by the parties that want to adopt it, which may take several years. If an e-evidence legislative proposal is adopted by the Commission and negoti</w:t>
      </w:r>
      <w:r>
        <w:rPr>
          <w:rFonts w:ascii="Times New Roman" w:hAnsi="Times New Roman" w:cs="Times New Roman"/>
          <w:noProof/>
          <w:sz w:val="24"/>
        </w:rPr>
        <w:t>ated and adopted by the EU legislators before the end of 2018, then it is likely that the EU e-evidence instrument might come into effect before the protocol.</w:t>
      </w: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In terms of </w:t>
      </w:r>
      <w:r>
        <w:rPr>
          <w:rFonts w:ascii="Times New Roman" w:hAnsi="Times New Roman" w:cs="Times New Roman"/>
          <w:b/>
          <w:noProof/>
          <w:sz w:val="24"/>
        </w:rPr>
        <w:t>scope</w:t>
      </w:r>
      <w:r>
        <w:rPr>
          <w:rFonts w:ascii="Times New Roman" w:hAnsi="Times New Roman" w:cs="Times New Roman"/>
          <w:noProof/>
          <w:sz w:val="24"/>
        </w:rPr>
        <w:t>, the protocol will be wider, also tackling issues such as language regimes or t</w:t>
      </w:r>
      <w:r>
        <w:rPr>
          <w:rFonts w:ascii="Times New Roman" w:hAnsi="Times New Roman" w:cs="Times New Roman"/>
          <w:noProof/>
          <w:sz w:val="24"/>
        </w:rPr>
        <w:t>he use of video conferences for mutual legal assistance among the parties to the Convention. However, for the specific aspects tackled by the preferred option of the present initiative on e-evidence, it is expected that the protocol a) will not be as far-r</w:t>
      </w:r>
      <w:r>
        <w:rPr>
          <w:rFonts w:ascii="Times New Roman" w:hAnsi="Times New Roman" w:cs="Times New Roman"/>
          <w:noProof/>
          <w:sz w:val="24"/>
        </w:rPr>
        <w:t>eaching as it is not based on the same level of mutual trust among the more diverse 50+ parties to the Convention and b) will lack the enforcement mechanisms that EU law has, as it is an international Convention with no compliance mechanisms beyond discuss</w:t>
      </w:r>
      <w:r>
        <w:rPr>
          <w:rFonts w:ascii="Times New Roman" w:hAnsi="Times New Roman" w:cs="Times New Roman"/>
          <w:noProof/>
          <w:sz w:val="24"/>
        </w:rPr>
        <w:t>ions between the parties. While we expect that the protocol and the present initiative will be coherent, compatible and mutually reinforce one another, thanks to a coordinated position of Member States, for these reasons we also expect to see a more effect</w:t>
      </w:r>
      <w:r>
        <w:rPr>
          <w:rFonts w:ascii="Times New Roman" w:hAnsi="Times New Roman" w:cs="Times New Roman"/>
          <w:noProof/>
          <w:sz w:val="24"/>
        </w:rPr>
        <w:t>ive and more far-reaching cooperation on cross-border access to e-evidence among EU Member States.</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Therefore, the interest for the EU to participate in the negotiation of this Additional Protocol is threefold:</w:t>
      </w:r>
    </w:p>
    <w:p w:rsidR="001B65FF" w:rsidRDefault="003E4EF4">
      <w:pPr>
        <w:numPr>
          <w:ilvl w:val="0"/>
          <w:numId w:val="183"/>
        </w:numPr>
        <w:contextualSpacing/>
        <w:jc w:val="both"/>
        <w:rPr>
          <w:rFonts w:ascii="Times New Roman" w:hAnsi="Times New Roman" w:cs="Times New Roman"/>
          <w:noProof/>
          <w:sz w:val="24"/>
        </w:rPr>
      </w:pPr>
      <w:r>
        <w:rPr>
          <w:rFonts w:ascii="Times New Roman" w:hAnsi="Times New Roman" w:cs="Times New Roman"/>
          <w:noProof/>
          <w:sz w:val="24"/>
        </w:rPr>
        <w:t>Some non-EU countries which are also Parties t</w:t>
      </w:r>
      <w:r>
        <w:rPr>
          <w:rFonts w:ascii="Times New Roman" w:hAnsi="Times New Roman" w:cs="Times New Roman"/>
          <w:noProof/>
          <w:sz w:val="24"/>
        </w:rPr>
        <w:t>o the Budapest Convention (e.g. the US) are very important in improving cross-border access to e-evidence.</w:t>
      </w:r>
    </w:p>
    <w:p w:rsidR="001B65FF" w:rsidRDefault="003E4EF4">
      <w:pPr>
        <w:numPr>
          <w:ilvl w:val="0"/>
          <w:numId w:val="183"/>
        </w:numPr>
        <w:contextualSpacing/>
        <w:jc w:val="both"/>
        <w:rPr>
          <w:rFonts w:ascii="Times New Roman" w:hAnsi="Times New Roman" w:cs="Times New Roman"/>
          <w:noProof/>
          <w:sz w:val="24"/>
        </w:rPr>
      </w:pPr>
      <w:r>
        <w:rPr>
          <w:rFonts w:ascii="Times New Roman" w:hAnsi="Times New Roman" w:cs="Times New Roman"/>
          <w:noProof/>
          <w:sz w:val="24"/>
        </w:rPr>
        <w:t xml:space="preserve">While the scope is unlikely to extend to content data, it may include elements that are already covered by existing acquis at EU level, including on </w:t>
      </w:r>
      <w:r>
        <w:rPr>
          <w:rFonts w:ascii="Times New Roman" w:hAnsi="Times New Roman" w:cs="Times New Roman"/>
          <w:noProof/>
          <w:sz w:val="24"/>
        </w:rPr>
        <w:t xml:space="preserve">Mutual Legal Assistance or in relation to the European Investigation Order.  </w:t>
      </w:r>
    </w:p>
    <w:p w:rsidR="001B65FF" w:rsidRDefault="003E4EF4">
      <w:pPr>
        <w:numPr>
          <w:ilvl w:val="0"/>
          <w:numId w:val="183"/>
        </w:numPr>
        <w:contextualSpacing/>
        <w:jc w:val="both"/>
        <w:rPr>
          <w:rFonts w:ascii="Times New Roman" w:hAnsi="Times New Roman" w:cs="Times New Roman"/>
          <w:noProof/>
          <w:sz w:val="24"/>
        </w:rPr>
      </w:pPr>
      <w:r>
        <w:rPr>
          <w:rFonts w:ascii="Times New Roman" w:hAnsi="Times New Roman" w:cs="Times New Roman"/>
          <w:noProof/>
          <w:sz w:val="24"/>
        </w:rPr>
        <w:t xml:space="preserve">It may help address some of the </w:t>
      </w:r>
      <w:r>
        <w:rPr>
          <w:rFonts w:ascii="Times New Roman" w:hAnsi="Times New Roman" w:cs="Times New Roman"/>
          <w:b/>
          <w:noProof/>
          <w:sz w:val="24"/>
        </w:rPr>
        <w:t>reciprocity</w:t>
      </w:r>
      <w:r>
        <w:rPr>
          <w:rFonts w:ascii="Times New Roman" w:hAnsi="Times New Roman" w:cs="Times New Roman"/>
          <w:noProof/>
          <w:sz w:val="24"/>
        </w:rPr>
        <w:t xml:space="preserve"> issues that a possible EU legislative initiative could generate (see option C, in particular Box 5).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negotiations will be prepare</w:t>
      </w:r>
      <w:r>
        <w:rPr>
          <w:rFonts w:ascii="Times New Roman" w:hAnsi="Times New Roman" w:cs="Times New Roman"/>
          <w:noProof/>
          <w:sz w:val="24"/>
        </w:rPr>
        <w:t xml:space="preserve">d by a smaller drafting group, which is only open to State Parties. A first meeting of the drafting group took place on 19-20 September 2017. The Commission attended the meeting in expert capacity, as appointed by the T-CY. </w:t>
      </w:r>
    </w:p>
    <w:p w:rsidR="001B65FF" w:rsidRDefault="003E4EF4">
      <w:pPr>
        <w:jc w:val="both"/>
        <w:rPr>
          <w:rFonts w:ascii="Times New Roman" w:hAnsi="Times New Roman" w:cs="Times New Roman"/>
          <w:noProof/>
          <w:sz w:val="24"/>
        </w:rPr>
      </w:pPr>
      <w:r>
        <w:rPr>
          <w:rFonts w:ascii="Times New Roman" w:hAnsi="Times New Roman" w:cs="Times New Roman"/>
          <w:noProof/>
          <w:sz w:val="24"/>
        </w:rPr>
        <w:t>The negotiations of the Additio</w:t>
      </w:r>
      <w:r>
        <w:rPr>
          <w:rFonts w:ascii="Times New Roman" w:hAnsi="Times New Roman" w:cs="Times New Roman"/>
          <w:noProof/>
          <w:sz w:val="24"/>
        </w:rPr>
        <w:t>nal Protocol are closely linked with a possible proposal on e-evidence: if a proposal is made, consistency will have to be ensured, and there will also be a clear competency for the EU and obligation for the Member States to defend a common position. The m</w:t>
      </w:r>
      <w:r>
        <w:rPr>
          <w:rFonts w:ascii="Times New Roman" w:hAnsi="Times New Roman" w:cs="Times New Roman"/>
          <w:noProof/>
          <w:sz w:val="24"/>
        </w:rPr>
        <w:t>ost appropriate way to ensure compatibility of the second Additional Protocol with existing and possible future EU acquis is for the Union to participate in the negotiations, following the procedure established in Article 218 TFEU</w:t>
      </w:r>
      <w:r>
        <w:rPr>
          <w:rFonts w:ascii="Times New Roman" w:hAnsi="Times New Roman" w:cs="Times New Roman"/>
          <w:noProof/>
          <w:sz w:val="24"/>
          <w:vertAlign w:val="superscript"/>
        </w:rPr>
        <w:footnoteReference w:id="258"/>
      </w:r>
      <w:r>
        <w:rPr>
          <w:rFonts w:ascii="Times New Roman" w:hAnsi="Times New Roman" w:cs="Times New Roman"/>
          <w:noProof/>
          <w:sz w:val="24"/>
        </w:rPr>
        <w:t>. The negotiation could b</w:t>
      </w:r>
      <w:r>
        <w:rPr>
          <w:rFonts w:ascii="Times New Roman" w:hAnsi="Times New Roman" w:cs="Times New Roman"/>
          <w:noProof/>
          <w:sz w:val="24"/>
        </w:rPr>
        <w:t>e conducted by the Commission insofar as matters under shared or exclusive EU competence were concerned, whereas if the Protocol covered both EU competences and sole national competences, special negotiating arrangements should be agreed between Commission</w:t>
      </w:r>
      <w:r>
        <w:rPr>
          <w:rFonts w:ascii="Times New Roman" w:hAnsi="Times New Roman" w:cs="Times New Roman"/>
          <w:noProof/>
          <w:sz w:val="24"/>
        </w:rPr>
        <w:t xml:space="preserve"> and Council. The resulting instrument would be signed by EU Member States and could be ratified by them once they had adopted the necessary legislation to comply with the international obligations stemming from it.</w:t>
      </w: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The large group of parties of the Budape</w:t>
      </w:r>
      <w:r>
        <w:rPr>
          <w:rFonts w:ascii="Times New Roman" w:hAnsi="Times New Roman" w:cs="Times New Roman"/>
          <w:noProof/>
          <w:sz w:val="24"/>
        </w:rPr>
        <w:t>st Convention is an advantage and a disadvantage in this context. It is an advantage insofar as any common solution applies to a large number of partner countries of the EU. The downside of the large number of parties lies in the smaller common denominator</w:t>
      </w:r>
      <w:r>
        <w:rPr>
          <w:rFonts w:ascii="Times New Roman" w:hAnsi="Times New Roman" w:cs="Times New Roman"/>
          <w:noProof/>
          <w:sz w:val="24"/>
        </w:rPr>
        <w:t xml:space="preserve"> that exists across a diverse group such as this one. This may create a risk for the drafting process and may also result in a reduced scope of any such protocol. In any case, it appears evident that the new protocol, while certainly helpful beyond the EU,</w:t>
      </w:r>
      <w:r>
        <w:rPr>
          <w:rFonts w:ascii="Times New Roman" w:hAnsi="Times New Roman" w:cs="Times New Roman"/>
          <w:noProof/>
          <w:sz w:val="24"/>
        </w:rPr>
        <w:t xml:space="preserve"> would not be able to match the level of integration within the EU because of a lack of a common and harmonised framework of safeguards across all the countries that are party to the Budapest Convention.</w:t>
      </w:r>
    </w:p>
    <w:p w:rsidR="001B65FF" w:rsidRDefault="001B65FF">
      <w:pPr>
        <w:rPr>
          <w:rFonts w:eastAsiaTheme="minorHAnsi"/>
          <w:noProof/>
        </w:rPr>
      </w:pPr>
    </w:p>
    <w:p w:rsidR="001B65FF" w:rsidRDefault="001B65FF">
      <w:pPr>
        <w:rPr>
          <w:rFonts w:ascii="Times New Roman" w:eastAsia="Times New Roman" w:hAnsi="Times New Roman" w:cs="Times New Roman"/>
          <w:noProof/>
          <w:sz w:val="24"/>
        </w:rPr>
        <w:sectPr w:rsidR="001B65FF">
          <w:headerReference w:type="even" r:id="rId151"/>
          <w:headerReference w:type="default" r:id="rId152"/>
          <w:footerReference w:type="even" r:id="rId153"/>
          <w:footerReference w:type="default" r:id="rId154"/>
          <w:headerReference w:type="first" r:id="rId155"/>
          <w:footerReference w:type="first" r:id="rId156"/>
          <w:pgSz w:w="11906" w:h="16838"/>
          <w:pgMar w:top="1418" w:right="1418" w:bottom="1134" w:left="1418" w:header="709" w:footer="709" w:gutter="0"/>
          <w:cols w:space="708"/>
          <w:docGrid w:linePitch="360"/>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2272" w:name="_Toc499142924"/>
      <w:bookmarkStart w:id="2273" w:name="_Toc499020502"/>
      <w:bookmarkStart w:id="2274" w:name="_Toc499030436"/>
      <w:bookmarkStart w:id="2275" w:name="_Toc499044978"/>
      <w:bookmarkStart w:id="2276" w:name="_Toc499051394"/>
      <w:bookmarkStart w:id="2277" w:name="_Toc499133353"/>
      <w:bookmarkStart w:id="2278" w:name="_Toc510952919"/>
      <w:r>
        <w:rPr>
          <w:rFonts w:ascii="Times New Roman" w:eastAsia="Times New Roman" w:hAnsi="Times New Roman" w:cs="Times New Roman"/>
          <w:b/>
          <w:smallCaps/>
          <w:noProof/>
          <w:sz w:val="24"/>
          <w:szCs w:val="20"/>
        </w:rPr>
        <w:t>Annex 8: Additional information on early discarded measures</w:t>
      </w:r>
      <w:bookmarkEnd w:id="2272"/>
      <w:bookmarkEnd w:id="2273"/>
      <w:bookmarkEnd w:id="2274"/>
      <w:bookmarkEnd w:id="2275"/>
      <w:bookmarkEnd w:id="2276"/>
      <w:bookmarkEnd w:id="2277"/>
      <w:bookmarkEnd w:id="2278"/>
    </w:p>
    <w:p w:rsidR="001B65FF" w:rsidRDefault="003E4EF4">
      <w:pPr>
        <w:jc w:val="both"/>
        <w:rPr>
          <w:rFonts w:ascii="Times New Roman" w:hAnsi="Times New Roman" w:cs="Times New Roman"/>
          <w:noProof/>
          <w:sz w:val="24"/>
        </w:rPr>
      </w:pPr>
      <w:r>
        <w:rPr>
          <w:rFonts w:ascii="Times New Roman" w:hAnsi="Times New Roman" w:cs="Times New Roman"/>
          <w:noProof/>
          <w:sz w:val="24"/>
        </w:rPr>
        <w:t>The following policy measures were considered at an early stage but subsequently discarded:</w:t>
      </w:r>
    </w:p>
    <w:p w:rsidR="001B65FF" w:rsidRDefault="003E4EF4">
      <w:pPr>
        <w:numPr>
          <w:ilvl w:val="0"/>
          <w:numId w:val="186"/>
        </w:numPr>
        <w:spacing w:after="0"/>
        <w:contextualSpacing/>
        <w:jc w:val="both"/>
        <w:rPr>
          <w:rFonts w:ascii="Times New Roman" w:hAnsi="Times New Roman" w:cs="Times New Roman"/>
          <w:noProof/>
          <w:sz w:val="24"/>
        </w:rPr>
      </w:pPr>
      <w:r>
        <w:rPr>
          <w:rFonts w:ascii="Times New Roman" w:hAnsi="Times New Roman" w:cs="Times New Roman"/>
          <w:noProof/>
          <w:sz w:val="24"/>
        </w:rPr>
        <w:t>Non legislative action.</w:t>
      </w:r>
    </w:p>
    <w:p w:rsidR="001B65FF" w:rsidRDefault="003E4EF4">
      <w:pPr>
        <w:pStyle w:val="ListParagraph"/>
        <w:numPr>
          <w:ilvl w:val="0"/>
          <w:numId w:val="137"/>
        </w:numPr>
        <w:tabs>
          <w:tab w:val="left" w:pos="630"/>
        </w:tabs>
        <w:spacing w:after="0"/>
        <w:ind w:left="630" w:hanging="270"/>
        <w:jc w:val="both"/>
        <w:rPr>
          <w:rFonts w:ascii="Times New Roman" w:hAnsi="Times New Roman" w:cs="Times New Roman"/>
          <w:noProof/>
          <w:sz w:val="24"/>
        </w:rPr>
      </w:pPr>
      <w:r>
        <w:rPr>
          <w:rFonts w:ascii="Times New Roman" w:hAnsi="Times New Roman" w:cs="Times New Roman"/>
          <w:noProof/>
          <w:sz w:val="24"/>
        </w:rPr>
        <w:t xml:space="preserve">Practical measures to </w:t>
      </w:r>
      <w:r>
        <w:rPr>
          <w:rFonts w:ascii="Times New Roman" w:hAnsi="Times New Roman" w:cs="Times New Roman"/>
          <w:noProof/>
          <w:sz w:val="24"/>
        </w:rPr>
        <w:t>enhance judicial cooperation among public authorities and direct cooperation between public authorities and service providers.</w:t>
      </w:r>
    </w:p>
    <w:p w:rsidR="001B65FF" w:rsidRDefault="003E4EF4">
      <w:pPr>
        <w:numPr>
          <w:ilvl w:val="1"/>
          <w:numId w:val="11"/>
        </w:numPr>
        <w:ind w:left="990"/>
        <w:contextualSpacing/>
        <w:jc w:val="both"/>
        <w:rPr>
          <w:rFonts w:ascii="Times New Roman" w:hAnsi="Times New Roman" w:cs="Times New Roman"/>
          <w:noProof/>
          <w:sz w:val="24"/>
        </w:rPr>
      </w:pPr>
      <w:r>
        <w:rPr>
          <w:rFonts w:ascii="Times New Roman" w:hAnsi="Times New Roman" w:cs="Times New Roman"/>
          <w:noProof/>
          <w:sz w:val="24"/>
        </w:rPr>
        <w:t xml:space="preserve">Within the EU: </w:t>
      </w:r>
    </w:p>
    <w:p w:rsidR="001B65FF" w:rsidRDefault="003E4EF4">
      <w:pPr>
        <w:numPr>
          <w:ilvl w:val="2"/>
          <w:numId w:val="11"/>
        </w:numPr>
        <w:ind w:left="1440"/>
        <w:contextualSpacing/>
        <w:jc w:val="both"/>
        <w:rPr>
          <w:rFonts w:ascii="Times New Roman" w:hAnsi="Times New Roman" w:cs="Times New Roman"/>
          <w:noProof/>
          <w:sz w:val="24"/>
        </w:rPr>
      </w:pPr>
      <w:r>
        <w:rPr>
          <w:rFonts w:ascii="Times New Roman" w:hAnsi="Times New Roman" w:cs="Times New Roman"/>
          <w:noProof/>
          <w:sz w:val="24"/>
        </w:rPr>
        <w:t xml:space="preserve">Develop a </w:t>
      </w:r>
      <w:r>
        <w:rPr>
          <w:rFonts w:ascii="Times New Roman" w:hAnsi="Times New Roman" w:cs="Times New Roman"/>
          <w:b/>
          <w:noProof/>
          <w:sz w:val="24"/>
        </w:rPr>
        <w:t>platform</w:t>
      </w:r>
      <w:r>
        <w:rPr>
          <w:rFonts w:ascii="Times New Roman" w:hAnsi="Times New Roman" w:cs="Times New Roman"/>
          <w:noProof/>
          <w:sz w:val="24"/>
        </w:rPr>
        <w:t xml:space="preserve"> to centralise the communication between service providers and public authorities across the EU</w:t>
      </w:r>
      <w:r>
        <w:rPr>
          <w:rFonts w:ascii="Times New Roman" w:hAnsi="Times New Roman" w:cs="Times New Roman"/>
          <w:noProof/>
          <w:sz w:val="24"/>
        </w:rPr>
        <w:t xml:space="preserve">. </w:t>
      </w:r>
    </w:p>
    <w:p w:rsidR="001B65FF" w:rsidRDefault="003E4EF4">
      <w:pPr>
        <w:ind w:left="1440"/>
        <w:contextualSpacing/>
        <w:jc w:val="both"/>
        <w:rPr>
          <w:rFonts w:ascii="Times New Roman" w:hAnsi="Times New Roman" w:cs="Times New Roman"/>
          <w:noProof/>
          <w:sz w:val="24"/>
        </w:rPr>
      </w:pPr>
      <w:r>
        <w:rPr>
          <w:rFonts w:ascii="Times New Roman" w:hAnsi="Times New Roman" w:cs="Times New Roman"/>
          <w:noProof/>
          <w:sz w:val="24"/>
        </w:rPr>
        <w:t xml:space="preserve">This measure was discarded as it was considered more feasible to first develop a platform for public authorities only and then possibly open it to service providers (and likely also public authorities of non-EU countries) as well. </w:t>
      </w:r>
    </w:p>
    <w:p w:rsidR="001B65FF" w:rsidRDefault="003E4EF4">
      <w:pPr>
        <w:numPr>
          <w:ilvl w:val="2"/>
          <w:numId w:val="11"/>
        </w:numPr>
        <w:ind w:left="1440"/>
        <w:contextualSpacing/>
        <w:jc w:val="both"/>
        <w:rPr>
          <w:rFonts w:ascii="Times New Roman" w:hAnsi="Times New Roman" w:cs="Times New Roman"/>
          <w:noProof/>
          <w:sz w:val="24"/>
        </w:rPr>
      </w:pPr>
      <w:r>
        <w:rPr>
          <w:rFonts w:ascii="Times New Roman" w:hAnsi="Times New Roman" w:cs="Times New Roman"/>
          <w:noProof/>
          <w:sz w:val="24"/>
        </w:rPr>
        <w:t>Facilitate coordinati</w:t>
      </w:r>
      <w:r>
        <w:rPr>
          <w:rFonts w:ascii="Times New Roman" w:hAnsi="Times New Roman" w:cs="Times New Roman"/>
          <w:noProof/>
          <w:sz w:val="24"/>
        </w:rPr>
        <w:t xml:space="preserve">on of </w:t>
      </w:r>
      <w:r>
        <w:rPr>
          <w:rFonts w:ascii="Times New Roman" w:hAnsi="Times New Roman" w:cs="Times New Roman"/>
          <w:b/>
          <w:noProof/>
          <w:sz w:val="24"/>
        </w:rPr>
        <w:t>service providers</w:t>
      </w:r>
      <w:r>
        <w:rPr>
          <w:rFonts w:ascii="Times New Roman" w:hAnsi="Times New Roman" w:cs="Times New Roman"/>
          <w:noProof/>
          <w:sz w:val="24"/>
        </w:rPr>
        <w:t xml:space="preserve"> to achieve </w:t>
      </w:r>
      <w:r>
        <w:rPr>
          <w:rFonts w:ascii="Times New Roman" w:hAnsi="Times New Roman" w:cs="Times New Roman"/>
          <w:b/>
          <w:noProof/>
          <w:sz w:val="24"/>
        </w:rPr>
        <w:t>full harmonisation</w:t>
      </w:r>
      <w:r>
        <w:rPr>
          <w:rFonts w:ascii="Times New Roman" w:hAnsi="Times New Roman" w:cs="Times New Roman"/>
          <w:noProof/>
          <w:sz w:val="24"/>
        </w:rPr>
        <w:t xml:space="preserve"> of policies, standards and forms to provide access to public authorities to e-evidence. </w:t>
      </w:r>
    </w:p>
    <w:p w:rsidR="001B65FF" w:rsidRDefault="003E4EF4">
      <w:pPr>
        <w:ind w:left="1440"/>
        <w:contextualSpacing/>
        <w:jc w:val="both"/>
        <w:rPr>
          <w:rFonts w:ascii="Times New Roman" w:hAnsi="Times New Roman" w:cs="Times New Roman"/>
          <w:noProof/>
          <w:sz w:val="24"/>
        </w:rPr>
      </w:pPr>
      <w:r>
        <w:rPr>
          <w:rFonts w:ascii="Times New Roman" w:hAnsi="Times New Roman" w:cs="Times New Roman"/>
          <w:noProof/>
          <w:sz w:val="24"/>
        </w:rPr>
        <w:t>This measure was discarded due to the opposition of service providers, as they have very different procedures and</w:t>
      </w:r>
      <w:r>
        <w:rPr>
          <w:rFonts w:ascii="Times New Roman" w:hAnsi="Times New Roman" w:cs="Times New Roman"/>
          <w:noProof/>
          <w:sz w:val="24"/>
        </w:rPr>
        <w:t xml:space="preserve"> types of data available that would have made the implementation of this practical measure on a voluntary basis unfeasible.</w:t>
      </w:r>
    </w:p>
    <w:p w:rsidR="001B65FF" w:rsidRDefault="003E4EF4">
      <w:pPr>
        <w:numPr>
          <w:ilvl w:val="1"/>
          <w:numId w:val="30"/>
        </w:numPr>
        <w:ind w:left="1440"/>
        <w:contextualSpacing/>
        <w:jc w:val="both"/>
        <w:rPr>
          <w:rFonts w:ascii="Times New Roman" w:hAnsi="Times New Roman" w:cs="Times New Roman"/>
          <w:noProof/>
          <w:sz w:val="24"/>
        </w:rPr>
      </w:pPr>
      <w:r>
        <w:rPr>
          <w:rFonts w:ascii="Times New Roman" w:hAnsi="Times New Roman" w:cs="Times New Roman"/>
          <w:noProof/>
          <w:sz w:val="24"/>
        </w:rPr>
        <w:t xml:space="preserve">Leverage </w:t>
      </w:r>
      <w:r>
        <w:rPr>
          <w:rFonts w:ascii="Times New Roman" w:hAnsi="Times New Roman" w:cs="Times New Roman"/>
          <w:b/>
          <w:noProof/>
          <w:sz w:val="24"/>
        </w:rPr>
        <w:t>ETSI (European Telecommunications Standards Institute) standards</w:t>
      </w:r>
      <w:r>
        <w:rPr>
          <w:rFonts w:ascii="Times New Roman" w:hAnsi="Times New Roman" w:cs="Times New Roman"/>
          <w:noProof/>
          <w:sz w:val="24"/>
        </w:rPr>
        <w:t xml:space="preserve"> for lawful interception in telecommunications to facilitat</w:t>
      </w:r>
      <w:r>
        <w:rPr>
          <w:rFonts w:ascii="Times New Roman" w:hAnsi="Times New Roman" w:cs="Times New Roman"/>
          <w:noProof/>
          <w:sz w:val="24"/>
        </w:rPr>
        <w:t>e the interactions between public authorities and service providers across the EU with regard to the access to e-evidence.</w:t>
      </w:r>
    </w:p>
    <w:p w:rsidR="001B65FF" w:rsidRDefault="003E4EF4">
      <w:pPr>
        <w:ind w:left="1440"/>
        <w:contextualSpacing/>
        <w:jc w:val="both"/>
        <w:rPr>
          <w:rFonts w:ascii="Times New Roman" w:hAnsi="Times New Roman" w:cs="Times New Roman"/>
          <w:noProof/>
          <w:sz w:val="24"/>
        </w:rPr>
      </w:pPr>
      <w:r>
        <w:rPr>
          <w:rFonts w:ascii="Times New Roman" w:hAnsi="Times New Roman" w:cs="Times New Roman"/>
          <w:noProof/>
          <w:sz w:val="24"/>
        </w:rPr>
        <w:t>This measure was discarded due to the opposition of service providers, as it would also imply standardising their very different proc</w:t>
      </w:r>
      <w:r>
        <w:rPr>
          <w:rFonts w:ascii="Times New Roman" w:hAnsi="Times New Roman" w:cs="Times New Roman"/>
          <w:noProof/>
          <w:sz w:val="24"/>
        </w:rPr>
        <w:t xml:space="preserve">edures with regard to the different kinds of data their services generate, depending on their business models.   </w:t>
      </w:r>
    </w:p>
    <w:p w:rsidR="001B65FF" w:rsidRDefault="003E4EF4">
      <w:pPr>
        <w:numPr>
          <w:ilvl w:val="1"/>
          <w:numId w:val="11"/>
        </w:numPr>
        <w:ind w:left="1418"/>
        <w:contextualSpacing/>
        <w:jc w:val="both"/>
        <w:rPr>
          <w:rFonts w:ascii="Times New Roman" w:hAnsi="Times New Roman" w:cs="Times New Roman"/>
          <w:noProof/>
          <w:sz w:val="24"/>
        </w:rPr>
      </w:pPr>
      <w:r>
        <w:rPr>
          <w:rFonts w:ascii="Times New Roman" w:hAnsi="Times New Roman" w:cs="Times New Roman"/>
          <w:noProof/>
          <w:sz w:val="24"/>
        </w:rPr>
        <w:t xml:space="preserve">Modify the </w:t>
      </w:r>
      <w:r>
        <w:rPr>
          <w:rFonts w:ascii="Times New Roman" w:hAnsi="Times New Roman" w:cs="Times New Roman"/>
          <w:b/>
          <w:noProof/>
          <w:sz w:val="24"/>
        </w:rPr>
        <w:t>EIO form</w:t>
      </w:r>
      <w:r>
        <w:rPr>
          <w:rFonts w:ascii="Times New Roman" w:hAnsi="Times New Roman" w:cs="Times New Roman"/>
          <w:noProof/>
          <w:sz w:val="24"/>
        </w:rPr>
        <w:t xml:space="preserve"> contained in the annex to the EIO Directive to adapt it better to the needs of cross-border access to e-evidence. </w:t>
      </w:r>
    </w:p>
    <w:p w:rsidR="001B65FF" w:rsidRDefault="003E4EF4">
      <w:pPr>
        <w:ind w:left="1418"/>
        <w:contextualSpacing/>
        <w:jc w:val="both"/>
        <w:rPr>
          <w:rFonts w:ascii="Times New Roman" w:hAnsi="Times New Roman" w:cs="Times New Roman"/>
          <w:noProof/>
          <w:sz w:val="24"/>
        </w:rPr>
      </w:pPr>
      <w:r>
        <w:rPr>
          <w:rFonts w:ascii="Times New Roman" w:hAnsi="Times New Roman" w:cs="Times New Roman"/>
          <w:noProof/>
          <w:sz w:val="24"/>
        </w:rPr>
        <w:t xml:space="preserve">This </w:t>
      </w:r>
      <w:r>
        <w:rPr>
          <w:rFonts w:ascii="Times New Roman" w:hAnsi="Times New Roman" w:cs="Times New Roman"/>
          <w:noProof/>
          <w:sz w:val="24"/>
        </w:rPr>
        <w:t>measure was discarded because it would imply changing the EIO Directive, where the forms are included as annexes. The EIO Directive became applicable very recently (May 2017) and was the result of difficult negotiations. Therefore, there are no plans to re</w:t>
      </w:r>
      <w:r>
        <w:rPr>
          <w:rFonts w:ascii="Times New Roman" w:hAnsi="Times New Roman" w:cs="Times New Roman"/>
          <w:noProof/>
          <w:sz w:val="24"/>
        </w:rPr>
        <w:t>open negotiations of this instrument before it has reached its full potential and has been fully implemented by Member States, as this could be too disruptive for Member States.</w:t>
      </w:r>
    </w:p>
    <w:p w:rsidR="001B65FF" w:rsidRDefault="003E4EF4">
      <w:pPr>
        <w:numPr>
          <w:ilvl w:val="1"/>
          <w:numId w:val="11"/>
        </w:numPr>
        <w:ind w:left="990"/>
        <w:contextualSpacing/>
        <w:jc w:val="both"/>
        <w:rPr>
          <w:rFonts w:ascii="Times New Roman" w:hAnsi="Times New Roman" w:cs="Times New Roman"/>
          <w:noProof/>
          <w:sz w:val="24"/>
        </w:rPr>
      </w:pPr>
      <w:r>
        <w:rPr>
          <w:rFonts w:ascii="Times New Roman" w:hAnsi="Times New Roman" w:cs="Times New Roman"/>
          <w:noProof/>
          <w:sz w:val="24"/>
        </w:rPr>
        <w:t>With non-EU countries:</w:t>
      </w:r>
    </w:p>
    <w:p w:rsidR="001B65FF" w:rsidRDefault="003E4EF4">
      <w:pPr>
        <w:numPr>
          <w:ilvl w:val="2"/>
          <w:numId w:val="11"/>
        </w:numPr>
        <w:ind w:left="1440"/>
        <w:contextualSpacing/>
        <w:jc w:val="both"/>
        <w:rPr>
          <w:rFonts w:ascii="Times New Roman" w:hAnsi="Times New Roman" w:cs="Times New Roman"/>
          <w:noProof/>
          <w:sz w:val="24"/>
        </w:rPr>
      </w:pPr>
      <w:r>
        <w:rPr>
          <w:rFonts w:ascii="Times New Roman" w:hAnsi="Times New Roman" w:cs="Times New Roman"/>
          <w:noProof/>
          <w:sz w:val="24"/>
        </w:rPr>
        <w:t xml:space="preserve">Develop a common online </w:t>
      </w:r>
      <w:r>
        <w:rPr>
          <w:rFonts w:ascii="Times New Roman" w:hAnsi="Times New Roman" w:cs="Times New Roman"/>
          <w:b/>
          <w:noProof/>
          <w:sz w:val="24"/>
        </w:rPr>
        <w:t>form</w:t>
      </w:r>
      <w:r>
        <w:rPr>
          <w:rFonts w:ascii="Times New Roman" w:hAnsi="Times New Roman" w:cs="Times New Roman"/>
          <w:b/>
          <w:noProof/>
          <w:sz w:val="24"/>
          <w:vertAlign w:val="superscript"/>
        </w:rPr>
        <w:footnoteReference w:id="259"/>
      </w:r>
      <w:r>
        <w:rPr>
          <w:rFonts w:ascii="Times New Roman" w:hAnsi="Times New Roman" w:cs="Times New Roman"/>
          <w:b/>
          <w:noProof/>
          <w:sz w:val="24"/>
        </w:rPr>
        <w:t xml:space="preserve"> </w:t>
      </w:r>
      <w:r>
        <w:rPr>
          <w:rFonts w:ascii="Times New Roman" w:hAnsi="Times New Roman" w:cs="Times New Roman"/>
          <w:noProof/>
          <w:sz w:val="24"/>
        </w:rPr>
        <w:t xml:space="preserve">for MLAT requests to the </w:t>
      </w:r>
      <w:r>
        <w:rPr>
          <w:rFonts w:ascii="Times New Roman" w:hAnsi="Times New Roman" w:cs="Times New Roman"/>
          <w:noProof/>
          <w:sz w:val="24"/>
        </w:rPr>
        <w:t>US which could help public authorities in Member States to better comply with US requirements, in particular with regard to probable cause in the requests for content.</w:t>
      </w:r>
    </w:p>
    <w:p w:rsidR="001B65FF" w:rsidRDefault="003E4EF4">
      <w:pPr>
        <w:spacing w:before="240"/>
        <w:ind w:left="1440"/>
        <w:contextualSpacing/>
        <w:jc w:val="both"/>
        <w:rPr>
          <w:rFonts w:ascii="Times New Roman" w:hAnsi="Times New Roman" w:cs="Times New Roman"/>
          <w:noProof/>
          <w:sz w:val="24"/>
        </w:rPr>
      </w:pPr>
      <w:r>
        <w:rPr>
          <w:rFonts w:ascii="Times New Roman" w:hAnsi="Times New Roman" w:cs="Times New Roman"/>
          <w:noProof/>
          <w:sz w:val="24"/>
        </w:rPr>
        <w:t>This measure was discarded due to the opposition of US authorities who are of the view t</w:t>
      </w:r>
      <w:r>
        <w:rPr>
          <w:rFonts w:ascii="Times New Roman" w:hAnsi="Times New Roman" w:cs="Times New Roman"/>
          <w:noProof/>
          <w:sz w:val="24"/>
        </w:rPr>
        <w:t xml:space="preserve">hat such a form can only provide a part of the solution. In particular, it would not solve the major issue faced by EU practitioners concerning the demonstration of probable cause, for which trainings and guidance may be more adapted than standardisation. </w:t>
      </w:r>
      <w:r>
        <w:rPr>
          <w:rFonts w:ascii="Times New Roman" w:hAnsi="Times New Roman" w:cs="Times New Roman"/>
          <w:noProof/>
          <w:sz w:val="24"/>
        </w:rPr>
        <w:t>The possibility to standardise the probable cause requirement is very limited as the demonstration has to be done case by case and, in application of the US common law legal framework, part of the relevance of the demonstration depends on the jurisprudence</w:t>
      </w:r>
      <w:r>
        <w:rPr>
          <w:rFonts w:ascii="Times New Roman" w:hAnsi="Times New Roman" w:cs="Times New Roman"/>
          <w:noProof/>
          <w:sz w:val="24"/>
        </w:rPr>
        <w:t xml:space="preserve"> of each judge. </w:t>
      </w:r>
    </w:p>
    <w:p w:rsidR="001B65FF" w:rsidRDefault="003E4EF4">
      <w:pPr>
        <w:spacing w:before="240"/>
        <w:ind w:left="1440"/>
        <w:contextualSpacing/>
        <w:jc w:val="both"/>
        <w:rPr>
          <w:rFonts w:ascii="Times New Roman" w:hAnsi="Times New Roman" w:cs="Times New Roman"/>
          <w:noProof/>
          <w:sz w:val="24"/>
        </w:rPr>
      </w:pPr>
      <w:r>
        <w:rPr>
          <w:rFonts w:ascii="Times New Roman" w:hAnsi="Times New Roman" w:cs="Times New Roman"/>
          <w:noProof/>
          <w:sz w:val="24"/>
        </w:rPr>
        <w:t>Rather than focusing on developing a common online form for MLAT, US authorities also indicated that Member States should also consider and implement other permissible ways of accessing evidence which do not require mutual legal assistance</w:t>
      </w:r>
      <w:r>
        <w:rPr>
          <w:rFonts w:ascii="Times New Roman" w:hAnsi="Times New Roman" w:cs="Times New Roman"/>
          <w:noProof/>
          <w:sz w:val="24"/>
        </w:rPr>
        <w:t>.</w:t>
      </w:r>
    </w:p>
    <w:p w:rsidR="001B65FF" w:rsidRDefault="001B65FF">
      <w:pPr>
        <w:ind w:left="1080"/>
        <w:contextualSpacing/>
        <w:jc w:val="both"/>
        <w:rPr>
          <w:rFonts w:ascii="Times New Roman" w:hAnsi="Times New Roman" w:cs="Times New Roman"/>
          <w:noProof/>
          <w:sz w:val="24"/>
        </w:rPr>
      </w:pPr>
    </w:p>
    <w:p w:rsidR="001B65FF" w:rsidRDefault="003E4EF4">
      <w:pPr>
        <w:numPr>
          <w:ilvl w:val="0"/>
          <w:numId w:val="186"/>
        </w:numPr>
        <w:spacing w:after="0"/>
        <w:contextualSpacing/>
        <w:jc w:val="both"/>
        <w:rPr>
          <w:rFonts w:ascii="Times New Roman" w:hAnsi="Times New Roman" w:cs="Times New Roman"/>
          <w:noProof/>
          <w:sz w:val="24"/>
        </w:rPr>
      </w:pPr>
      <w:r>
        <w:rPr>
          <w:rFonts w:ascii="Times New Roman" w:hAnsi="Times New Roman" w:cs="Times New Roman"/>
          <w:noProof/>
          <w:sz w:val="24"/>
        </w:rPr>
        <w:t>Legislative action.</w:t>
      </w:r>
    </w:p>
    <w:p w:rsidR="001B65FF" w:rsidRDefault="003E4EF4">
      <w:pPr>
        <w:pStyle w:val="ListParagraph"/>
        <w:numPr>
          <w:ilvl w:val="0"/>
          <w:numId w:val="137"/>
        </w:numPr>
        <w:tabs>
          <w:tab w:val="left" w:pos="630"/>
        </w:tabs>
        <w:spacing w:after="0"/>
        <w:ind w:left="630" w:hanging="270"/>
        <w:jc w:val="both"/>
        <w:rPr>
          <w:rFonts w:ascii="Times New Roman" w:hAnsi="Times New Roman" w:cs="Times New Roman"/>
          <w:noProof/>
          <w:sz w:val="24"/>
        </w:rPr>
      </w:pPr>
      <w:r>
        <w:rPr>
          <w:rFonts w:ascii="Times New Roman" w:hAnsi="Times New Roman" w:cs="Times New Roman"/>
          <w:noProof/>
          <w:sz w:val="24"/>
        </w:rPr>
        <w:t xml:space="preserve">Legislative measure on </w:t>
      </w:r>
      <w:r>
        <w:rPr>
          <w:rFonts w:ascii="Times New Roman" w:hAnsi="Times New Roman" w:cs="Times New Roman"/>
          <w:b/>
          <w:noProof/>
          <w:sz w:val="24"/>
        </w:rPr>
        <w:t>judicial cooperation</w:t>
      </w:r>
      <w:r>
        <w:rPr>
          <w:rFonts w:ascii="Times New Roman" w:hAnsi="Times New Roman" w:cs="Times New Roman"/>
          <w:noProof/>
          <w:sz w:val="24"/>
        </w:rPr>
        <w:t xml:space="preserve">: </w:t>
      </w:r>
      <w:r>
        <w:rPr>
          <w:rFonts w:ascii="Times New Roman" w:hAnsi="Times New Roman" w:cs="Times New Roman"/>
          <w:b/>
          <w:noProof/>
          <w:sz w:val="24"/>
        </w:rPr>
        <w:t>amend the EIO Directive</w:t>
      </w:r>
      <w:r>
        <w:rPr>
          <w:rFonts w:ascii="Times New Roman" w:hAnsi="Times New Roman" w:cs="Times New Roman"/>
          <w:noProof/>
          <w:sz w:val="24"/>
        </w:rPr>
        <w:t xml:space="preserve"> to include provisions on e-evidence</w:t>
      </w:r>
    </w:p>
    <w:p w:rsidR="001B65FF" w:rsidRDefault="003E4EF4">
      <w:pPr>
        <w:pStyle w:val="ListParagraph"/>
        <w:numPr>
          <w:ilvl w:val="0"/>
          <w:numId w:val="246"/>
        </w:numPr>
        <w:tabs>
          <w:tab w:val="left" w:pos="630"/>
        </w:tabs>
        <w:spacing w:after="0"/>
        <w:ind w:left="993"/>
        <w:jc w:val="both"/>
        <w:rPr>
          <w:rFonts w:ascii="Times New Roman" w:hAnsi="Times New Roman" w:cs="Times New Roman"/>
          <w:noProof/>
          <w:sz w:val="24"/>
        </w:rPr>
      </w:pPr>
      <w:r>
        <w:rPr>
          <w:rFonts w:ascii="Times New Roman" w:hAnsi="Times New Roman" w:cs="Times New Roman"/>
          <w:noProof/>
          <w:sz w:val="24"/>
        </w:rPr>
        <w:t>For the reasons set out in Annex 4, section 1 (Legislative action: direct cooperation, Measure 5: European Production Order), it</w:t>
      </w:r>
      <w:r>
        <w:rPr>
          <w:rFonts w:ascii="Times New Roman" w:hAnsi="Times New Roman" w:cs="Times New Roman"/>
          <w:noProof/>
          <w:sz w:val="24"/>
        </w:rPr>
        <w:t xml:space="preserve"> is more appropriate to create a new instrument than to amend the EIO to include provisions on electronic evidence.</w:t>
      </w:r>
    </w:p>
    <w:p w:rsidR="001B65FF" w:rsidRDefault="003E4EF4">
      <w:pPr>
        <w:pStyle w:val="ListParagraph"/>
        <w:numPr>
          <w:ilvl w:val="0"/>
          <w:numId w:val="137"/>
        </w:numPr>
        <w:tabs>
          <w:tab w:val="left" w:pos="630"/>
        </w:tabs>
        <w:spacing w:after="0"/>
        <w:ind w:left="630" w:hanging="270"/>
        <w:jc w:val="both"/>
        <w:rPr>
          <w:rFonts w:ascii="Times New Roman" w:hAnsi="Times New Roman" w:cs="Times New Roman"/>
          <w:noProof/>
          <w:sz w:val="24"/>
        </w:rPr>
      </w:pPr>
      <w:r>
        <w:rPr>
          <w:rFonts w:ascii="Times New Roman" w:hAnsi="Times New Roman" w:cs="Times New Roman"/>
          <w:noProof/>
          <w:sz w:val="24"/>
        </w:rPr>
        <w:t xml:space="preserve">Legislative measures on </w:t>
      </w:r>
      <w:r>
        <w:rPr>
          <w:rFonts w:ascii="Times New Roman" w:hAnsi="Times New Roman" w:cs="Times New Roman"/>
          <w:b/>
          <w:noProof/>
          <w:sz w:val="24"/>
        </w:rPr>
        <w:t>judicial cooperation</w:t>
      </w:r>
      <w:r>
        <w:rPr>
          <w:rFonts w:ascii="Times New Roman" w:hAnsi="Times New Roman" w:cs="Times New Roman"/>
          <w:noProof/>
          <w:sz w:val="24"/>
        </w:rPr>
        <w:t xml:space="preserve">: </w:t>
      </w:r>
      <w:r>
        <w:rPr>
          <w:rFonts w:ascii="Times New Roman" w:hAnsi="Times New Roman" w:cs="Times New Roman"/>
          <w:b/>
          <w:noProof/>
          <w:sz w:val="24"/>
        </w:rPr>
        <w:t>international agreements</w:t>
      </w:r>
      <w:r>
        <w:rPr>
          <w:rFonts w:ascii="Times New Roman" w:hAnsi="Times New Roman" w:cs="Times New Roman"/>
          <w:noProof/>
          <w:sz w:val="24"/>
        </w:rPr>
        <w:t>.</w:t>
      </w:r>
    </w:p>
    <w:p w:rsidR="001B65FF" w:rsidRDefault="003E4EF4">
      <w:pPr>
        <w:numPr>
          <w:ilvl w:val="1"/>
          <w:numId w:val="11"/>
        </w:numPr>
        <w:ind w:left="990"/>
        <w:contextualSpacing/>
        <w:jc w:val="both"/>
        <w:rPr>
          <w:rFonts w:ascii="Times New Roman" w:hAnsi="Times New Roman" w:cs="Times New Roman"/>
          <w:noProof/>
          <w:sz w:val="24"/>
        </w:rPr>
      </w:pPr>
      <w:r>
        <w:rPr>
          <w:rFonts w:ascii="Times New Roman" w:hAnsi="Times New Roman" w:cs="Times New Roman"/>
          <w:noProof/>
          <w:sz w:val="24"/>
        </w:rPr>
        <w:t xml:space="preserve">Promote a new </w:t>
      </w:r>
      <w:r>
        <w:rPr>
          <w:rFonts w:ascii="Times New Roman" w:hAnsi="Times New Roman" w:cs="Times New Roman"/>
          <w:b/>
          <w:noProof/>
          <w:sz w:val="24"/>
        </w:rPr>
        <w:t>United Nations convention</w:t>
      </w:r>
      <w:r>
        <w:rPr>
          <w:rFonts w:ascii="Times New Roman" w:hAnsi="Times New Roman" w:cs="Times New Roman"/>
          <w:noProof/>
          <w:sz w:val="24"/>
        </w:rPr>
        <w:t xml:space="preserve"> on cross-border access to e-</w:t>
      </w:r>
      <w:r>
        <w:rPr>
          <w:rFonts w:ascii="Times New Roman" w:hAnsi="Times New Roman" w:cs="Times New Roman"/>
          <w:noProof/>
          <w:sz w:val="24"/>
        </w:rPr>
        <w:t xml:space="preserve">evidence, which would replace the Council of Europe Convention on Cybercrime. </w:t>
      </w:r>
    </w:p>
    <w:p w:rsidR="001B65FF" w:rsidRDefault="003E4EF4">
      <w:p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This measure was discarded as the Council of Europe Convention on Cybercrime is already open to all countries and is the instrument of choice as per long-standing EU policy. In </w:t>
      </w:r>
      <w:r>
        <w:rPr>
          <w:rFonts w:ascii="Times New Roman" w:hAnsi="Times New Roman" w:cs="Times New Roman"/>
          <w:noProof/>
          <w:sz w:val="24"/>
        </w:rPr>
        <w:t>addition, it is unclear whether the level of safeguards that would likely be put in place at UN level would suffice to protect fundamental rights as they are understood in the EU, given the significantly different definitions of cybercrime in various non-E</w:t>
      </w:r>
      <w:r>
        <w:rPr>
          <w:rFonts w:ascii="Times New Roman" w:hAnsi="Times New Roman" w:cs="Times New Roman"/>
          <w:noProof/>
          <w:sz w:val="24"/>
        </w:rPr>
        <w:t>U countries.</w:t>
      </w:r>
    </w:p>
    <w:p w:rsidR="001B65FF" w:rsidRDefault="003E4EF4">
      <w:pPr>
        <w:pStyle w:val="ListParagraph"/>
        <w:numPr>
          <w:ilvl w:val="0"/>
          <w:numId w:val="137"/>
        </w:numPr>
        <w:tabs>
          <w:tab w:val="left" w:pos="630"/>
        </w:tabs>
        <w:spacing w:after="0"/>
        <w:ind w:left="630" w:hanging="270"/>
        <w:jc w:val="both"/>
        <w:rPr>
          <w:rFonts w:ascii="Times New Roman" w:hAnsi="Times New Roman" w:cs="Times New Roman"/>
          <w:noProof/>
          <w:sz w:val="24"/>
        </w:rPr>
      </w:pPr>
      <w:r>
        <w:rPr>
          <w:rFonts w:ascii="Times New Roman" w:hAnsi="Times New Roman" w:cs="Times New Roman"/>
          <w:noProof/>
          <w:sz w:val="24"/>
        </w:rPr>
        <w:t xml:space="preserve">Legislative measures on </w:t>
      </w:r>
      <w:r>
        <w:rPr>
          <w:rFonts w:ascii="Times New Roman" w:hAnsi="Times New Roman" w:cs="Times New Roman"/>
          <w:b/>
          <w:noProof/>
          <w:sz w:val="24"/>
        </w:rPr>
        <w:t>direct cooperation</w:t>
      </w:r>
      <w:r>
        <w:rPr>
          <w:rFonts w:ascii="Times New Roman" w:hAnsi="Times New Roman" w:cs="Times New Roman"/>
          <w:noProof/>
          <w:sz w:val="24"/>
        </w:rPr>
        <w:t xml:space="preserve"> with service providers.</w:t>
      </w:r>
    </w:p>
    <w:p w:rsidR="001B65FF" w:rsidRDefault="003E4EF4">
      <w:pPr>
        <w:numPr>
          <w:ilvl w:val="0"/>
          <w:numId w:val="11"/>
        </w:numPr>
        <w:ind w:left="990"/>
        <w:contextualSpacing/>
        <w:jc w:val="both"/>
        <w:rPr>
          <w:rFonts w:ascii="Times New Roman" w:hAnsi="Times New Roman" w:cs="Times New Roman"/>
          <w:noProof/>
          <w:sz w:val="24"/>
        </w:rPr>
      </w:pPr>
      <w:r>
        <w:rPr>
          <w:rFonts w:ascii="Times New Roman" w:hAnsi="Times New Roman" w:cs="Times New Roman"/>
          <w:noProof/>
          <w:sz w:val="24"/>
        </w:rPr>
        <w:t xml:space="preserve">Introduce mandatory </w:t>
      </w:r>
      <w:r>
        <w:rPr>
          <w:rFonts w:ascii="Times New Roman" w:hAnsi="Times New Roman" w:cs="Times New Roman"/>
          <w:b/>
          <w:noProof/>
          <w:sz w:val="24"/>
        </w:rPr>
        <w:t>data localisation</w:t>
      </w:r>
      <w:r>
        <w:rPr>
          <w:rFonts w:ascii="Times New Roman" w:hAnsi="Times New Roman" w:cs="Times New Roman"/>
          <w:noProof/>
          <w:sz w:val="24"/>
        </w:rPr>
        <w:t xml:space="preserve">, i.e. require service providers offering services in the EU to store their data in the EU. </w:t>
      </w:r>
    </w:p>
    <w:p w:rsidR="001B65FF" w:rsidRDefault="003E4EF4">
      <w:pPr>
        <w:ind w:left="990"/>
        <w:contextualSpacing/>
        <w:jc w:val="both"/>
        <w:rPr>
          <w:rFonts w:ascii="Times New Roman" w:hAnsi="Times New Roman" w:cs="Times New Roman"/>
          <w:noProof/>
          <w:sz w:val="24"/>
        </w:rPr>
      </w:pPr>
      <w:r>
        <w:rPr>
          <w:rFonts w:ascii="Times New Roman" w:hAnsi="Times New Roman" w:cs="Times New Roman"/>
          <w:noProof/>
          <w:sz w:val="24"/>
        </w:rPr>
        <w:t xml:space="preserve">This measure was discarded as it would </w:t>
      </w:r>
      <w:r>
        <w:rPr>
          <w:rFonts w:ascii="Times New Roman" w:hAnsi="Times New Roman" w:cs="Times New Roman"/>
          <w:noProof/>
          <w:sz w:val="24"/>
        </w:rPr>
        <w:t>contribute to the fragmentation of the Internet and could have negative economic consequences on EU companies as they trade globally</w:t>
      </w:r>
      <w:r>
        <w:rPr>
          <w:rFonts w:ascii="Times New Roman" w:hAnsi="Times New Roman" w:cs="Times New Roman"/>
          <w:noProof/>
          <w:sz w:val="24"/>
          <w:vertAlign w:val="superscript"/>
        </w:rPr>
        <w:footnoteReference w:id="260"/>
      </w:r>
      <w:r>
        <w:rPr>
          <w:rFonts w:ascii="Times New Roman" w:hAnsi="Times New Roman" w:cs="Times New Roman"/>
          <w:noProof/>
          <w:sz w:val="24"/>
        </w:rPr>
        <w:t>.</w:t>
      </w:r>
      <w:r>
        <w:rPr>
          <w:rFonts w:ascii="Times New Roman" w:hAnsi="Times New Roman" w:cs="Times New Roman"/>
          <w:noProof/>
        </w:rPr>
        <w:t xml:space="preserve"> </w:t>
      </w:r>
      <w:r>
        <w:rPr>
          <w:rFonts w:ascii="Times New Roman" w:hAnsi="Times New Roman" w:cs="Times New Roman"/>
          <w:noProof/>
          <w:sz w:val="24"/>
        </w:rPr>
        <w:t>Although it might provide an easy solution at first view, this obligation would be more far reaching for service provider</w:t>
      </w:r>
      <w:r>
        <w:rPr>
          <w:rFonts w:ascii="Times New Roman" w:hAnsi="Times New Roman" w:cs="Times New Roman"/>
          <w:noProof/>
          <w:sz w:val="24"/>
        </w:rPr>
        <w:t xml:space="preserve">s as it could trigger important changes to the way they store their data and would imply higher costs. Depending on its scope, it could be viewed as a trade barrier. </w:t>
      </w:r>
    </w:p>
    <w:p w:rsidR="001B65FF" w:rsidRDefault="003E4EF4">
      <w:pPr>
        <w:numPr>
          <w:ilvl w:val="0"/>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Restrict the </w:t>
      </w:r>
      <w:r>
        <w:rPr>
          <w:rFonts w:ascii="Times New Roman" w:hAnsi="Times New Roman" w:cs="Times New Roman"/>
          <w:b/>
          <w:noProof/>
          <w:sz w:val="24"/>
        </w:rPr>
        <w:t>scope</w:t>
      </w:r>
      <w:r>
        <w:rPr>
          <w:rFonts w:ascii="Times New Roman" w:hAnsi="Times New Roman" w:cs="Times New Roman"/>
          <w:noProof/>
          <w:sz w:val="24"/>
        </w:rPr>
        <w:t xml:space="preserve"> of the legislation to </w:t>
      </w:r>
      <w:r>
        <w:rPr>
          <w:rFonts w:ascii="Times New Roman" w:hAnsi="Times New Roman" w:cs="Times New Roman"/>
          <w:b/>
          <w:noProof/>
          <w:sz w:val="24"/>
        </w:rPr>
        <w:t>data stored in the EU</w:t>
      </w:r>
      <w:r>
        <w:rPr>
          <w:rFonts w:ascii="Times New Roman" w:hAnsi="Times New Roman" w:cs="Times New Roman"/>
          <w:noProof/>
          <w:sz w:val="24"/>
        </w:rPr>
        <w:t>.</w:t>
      </w:r>
    </w:p>
    <w:p w:rsidR="001B65FF" w:rsidRDefault="003E4EF4">
      <w:pPr>
        <w:tabs>
          <w:tab w:val="left" w:pos="90"/>
        </w:tabs>
        <w:spacing w:after="0"/>
        <w:ind w:left="990"/>
        <w:jc w:val="both"/>
        <w:rPr>
          <w:rFonts w:ascii="Times New Roman" w:hAnsi="Times New Roman" w:cs="Times New Roman"/>
          <w:noProof/>
          <w:sz w:val="24"/>
        </w:rPr>
      </w:pPr>
      <w:r>
        <w:rPr>
          <w:rFonts w:ascii="Times New Roman" w:hAnsi="Times New Roman" w:cs="Times New Roman"/>
          <w:noProof/>
          <w:sz w:val="24"/>
        </w:rPr>
        <w:t>This measure was discarde</w:t>
      </w:r>
      <w:r>
        <w:rPr>
          <w:rFonts w:ascii="Times New Roman" w:hAnsi="Times New Roman" w:cs="Times New Roman"/>
          <w:noProof/>
          <w:sz w:val="24"/>
        </w:rPr>
        <w:t xml:space="preserve">d since, as described in section 2 (problem definition, see figure 1), e-evidence can be located in or outside the EU for reasons unrelated to the user and/or public interests, </w:t>
      </w:r>
      <w:r>
        <w:rPr>
          <w:rFonts w:ascii="Times New Roman" w:eastAsia="Calibri" w:hAnsi="Times New Roman" w:cs="Times New Roman"/>
          <w:noProof/>
          <w:sz w:val="24"/>
        </w:rPr>
        <w:t>it can be volatile (i.e. it can change location rapidly, inside and outside the</w:t>
      </w:r>
      <w:r>
        <w:rPr>
          <w:rFonts w:ascii="Times New Roman" w:eastAsia="Calibri" w:hAnsi="Times New Roman" w:cs="Times New Roman"/>
          <w:noProof/>
          <w:sz w:val="24"/>
        </w:rPr>
        <w:t xml:space="preserve"> EU), it can be split in multiple countries or its location can be simply </w:t>
      </w:r>
      <w:r>
        <w:rPr>
          <w:rFonts w:ascii="Times New Roman" w:hAnsi="Times New Roman" w:cs="Times New Roman"/>
          <w:noProof/>
          <w:sz w:val="24"/>
        </w:rPr>
        <w:t>unknown. In other words, data storage normally takes place outside the control of the state on whose territory data is stored. Therefore, the only way for a Member State to ensure th</w:t>
      </w:r>
      <w:r>
        <w:rPr>
          <w:rFonts w:ascii="Times New Roman" w:hAnsi="Times New Roman" w:cs="Times New Roman"/>
          <w:noProof/>
          <w:sz w:val="24"/>
        </w:rPr>
        <w:t>at data is stored in its territory would be through data localisation requirements (see above).</w:t>
      </w:r>
    </w:p>
    <w:p w:rsidR="001B65FF" w:rsidRDefault="003E4EF4">
      <w:pPr>
        <w:numPr>
          <w:ilvl w:val="0"/>
          <w:numId w:val="11"/>
        </w:numPr>
        <w:spacing w:after="0"/>
        <w:ind w:left="990"/>
        <w:contextualSpacing/>
        <w:rPr>
          <w:rFonts w:ascii="Times New Roman" w:hAnsi="Times New Roman" w:cs="Times New Roman"/>
          <w:noProof/>
          <w:sz w:val="24"/>
        </w:rPr>
      </w:pPr>
      <w:r>
        <w:rPr>
          <w:rFonts w:ascii="Times New Roman" w:hAnsi="Times New Roman" w:cs="Times New Roman"/>
          <w:noProof/>
          <w:sz w:val="24"/>
        </w:rPr>
        <w:t xml:space="preserve">Include an </w:t>
      </w:r>
      <w:r>
        <w:rPr>
          <w:rFonts w:ascii="Times New Roman" w:hAnsi="Times New Roman" w:cs="Times New Roman"/>
          <w:b/>
          <w:noProof/>
          <w:sz w:val="24"/>
        </w:rPr>
        <w:t>obligation</w:t>
      </w:r>
      <w:r>
        <w:rPr>
          <w:rFonts w:ascii="Times New Roman" w:hAnsi="Times New Roman" w:cs="Times New Roman"/>
          <w:noProof/>
          <w:sz w:val="24"/>
        </w:rPr>
        <w:t xml:space="preserve"> to provide data from </w:t>
      </w:r>
      <w:r>
        <w:rPr>
          <w:rFonts w:ascii="Times New Roman" w:hAnsi="Times New Roman" w:cs="Times New Roman"/>
          <w:b/>
          <w:noProof/>
          <w:sz w:val="24"/>
        </w:rPr>
        <w:t>live intercept</w:t>
      </w:r>
      <w:r>
        <w:rPr>
          <w:rFonts w:ascii="Times New Roman" w:hAnsi="Times New Roman" w:cs="Times New Roman"/>
          <w:noProof/>
          <w:sz w:val="24"/>
        </w:rPr>
        <w:t>.</w:t>
      </w:r>
    </w:p>
    <w:p w:rsidR="001B65FF" w:rsidRDefault="003E4EF4">
      <w:pPr>
        <w:spacing w:after="0"/>
        <w:ind w:left="990"/>
        <w:contextualSpacing/>
        <w:jc w:val="both"/>
        <w:rPr>
          <w:rFonts w:ascii="Times New Roman" w:hAnsi="Times New Roman" w:cs="Times New Roman"/>
          <w:noProof/>
          <w:sz w:val="24"/>
        </w:rPr>
      </w:pPr>
      <w:r>
        <w:rPr>
          <w:rFonts w:ascii="Times New Roman" w:hAnsi="Times New Roman" w:cs="Times New Roman"/>
          <w:noProof/>
          <w:sz w:val="24"/>
        </w:rPr>
        <w:t>This measure was discarded because while such obligations exist in most national laws for the domesti</w:t>
      </w:r>
      <w:r>
        <w:rPr>
          <w:rFonts w:ascii="Times New Roman" w:hAnsi="Times New Roman" w:cs="Times New Roman"/>
          <w:noProof/>
          <w:sz w:val="24"/>
        </w:rPr>
        <w:t>c setting, they are usually tightly restricted and subject to additional safeguards, as live intercept can give access to more sensitive information on the target. For certain countries including the US, live intercept cannot be asked by way of MLA request</w:t>
      </w:r>
      <w:r>
        <w:rPr>
          <w:rFonts w:ascii="Times New Roman" w:hAnsi="Times New Roman" w:cs="Times New Roman"/>
          <w:noProof/>
          <w:sz w:val="24"/>
        </w:rPr>
        <w:t>.</w:t>
      </w:r>
    </w:p>
    <w:p w:rsidR="001B65FF" w:rsidRDefault="003E4EF4">
      <w:pPr>
        <w:numPr>
          <w:ilvl w:val="0"/>
          <w:numId w:val="11"/>
        </w:numPr>
        <w:tabs>
          <w:tab w:val="left" w:pos="90"/>
        </w:tabs>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Introduce an </w:t>
      </w:r>
      <w:r>
        <w:rPr>
          <w:rFonts w:ascii="Times New Roman" w:hAnsi="Times New Roman" w:cs="Times New Roman"/>
          <w:b/>
          <w:noProof/>
          <w:sz w:val="24"/>
        </w:rPr>
        <w:t>obligation</w:t>
      </w:r>
      <w:r>
        <w:rPr>
          <w:rFonts w:ascii="Times New Roman" w:hAnsi="Times New Roman" w:cs="Times New Roman"/>
          <w:noProof/>
          <w:sz w:val="24"/>
        </w:rPr>
        <w:t xml:space="preserve"> for service providers </w:t>
      </w:r>
      <w:r>
        <w:rPr>
          <w:rFonts w:ascii="Times New Roman" w:hAnsi="Times New Roman" w:cs="Times New Roman"/>
          <w:b/>
          <w:noProof/>
          <w:sz w:val="24"/>
        </w:rPr>
        <w:t>to decrypt encrypted data</w:t>
      </w:r>
      <w:r>
        <w:rPr>
          <w:rFonts w:ascii="Times New Roman" w:hAnsi="Times New Roman" w:cs="Times New Roman"/>
          <w:noProof/>
          <w:sz w:val="24"/>
        </w:rPr>
        <w:t xml:space="preserve"> before giving access to public authorities to e-evidence.</w:t>
      </w:r>
    </w:p>
    <w:p w:rsidR="001B65FF" w:rsidRDefault="003E4EF4">
      <w:pPr>
        <w:tabs>
          <w:tab w:val="left" w:pos="90"/>
        </w:tabs>
        <w:spacing w:after="0"/>
        <w:ind w:left="990"/>
        <w:contextualSpacing/>
        <w:jc w:val="both"/>
        <w:rPr>
          <w:rFonts w:ascii="Times New Roman" w:eastAsia="Times New Roman" w:hAnsi="Times New Roman" w:cs="Times New Roman"/>
          <w:noProof/>
          <w:sz w:val="24"/>
          <w:szCs w:val="24"/>
        </w:rPr>
      </w:pPr>
      <w:r>
        <w:rPr>
          <w:rFonts w:ascii="Times New Roman" w:hAnsi="Times New Roman" w:cs="Times New Roman"/>
          <w:noProof/>
          <w:sz w:val="24"/>
        </w:rPr>
        <w:t>This measure was discarded since t</w:t>
      </w:r>
      <w:r>
        <w:rPr>
          <w:rFonts w:ascii="Times New Roman" w:eastAsia="Times New Roman" w:hAnsi="Times New Roman" w:cs="Times New Roman"/>
          <w:noProof/>
          <w:sz w:val="24"/>
          <w:szCs w:val="24"/>
        </w:rPr>
        <w:t xml:space="preserve">he use of encryption is essential to ensure cybersecurity and the protection of personal </w:t>
      </w:r>
      <w:r>
        <w:rPr>
          <w:rFonts w:ascii="Times New Roman" w:eastAsia="Times New Roman" w:hAnsi="Times New Roman" w:cs="Times New Roman"/>
          <w:noProof/>
          <w:sz w:val="24"/>
          <w:szCs w:val="24"/>
        </w:rPr>
        <w:t>data (EU legislation specifically notes the role of encryption in ensuring appropriate security for the processing of personal</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rPr>
        <w:t>data</w:t>
      </w:r>
      <w:r>
        <w:rPr>
          <w:rFonts w:ascii="Times New Roman" w:hAnsi="Times New Roman" w:cs="Times New Roman"/>
          <w:noProof/>
          <w:sz w:val="24"/>
          <w:szCs w:val="24"/>
          <w:vertAlign w:val="superscript"/>
        </w:rPr>
        <w:footnoteReference w:id="261"/>
      </w:r>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vertAlign w:val="superscript"/>
        </w:rPr>
        <w:footnoteReference w:id="262"/>
      </w:r>
      <w:r>
        <w:rPr>
          <w:rFonts w:ascii="Times New Roman" w:eastAsia="Times New Roman" w:hAnsi="Times New Roman" w:cs="Times New Roman"/>
          <w:noProof/>
          <w:sz w:val="24"/>
          <w:szCs w:val="24"/>
        </w:rPr>
        <w:t>. Solutions that intentionally weaken technical protection mechanisms to support law enforcement (e.g. so called “backdoor</w:t>
      </w:r>
      <w:r>
        <w:rPr>
          <w:rFonts w:ascii="Times New Roman" w:eastAsia="Times New Roman" w:hAnsi="Times New Roman" w:cs="Times New Roman"/>
          <w:noProof/>
          <w:sz w:val="24"/>
          <w:szCs w:val="24"/>
        </w:rPr>
        <w:t>s) would intrinsically weaken the protection against criminals as well</w:t>
      </w:r>
      <w:r>
        <w:rPr>
          <w:rFonts w:ascii="Times New Roman" w:eastAsia="Times New Roman" w:hAnsi="Times New Roman" w:cs="Times New Roman"/>
          <w:noProof/>
          <w:sz w:val="24"/>
          <w:szCs w:val="24"/>
          <w:vertAlign w:val="superscript"/>
        </w:rPr>
        <w:footnoteReference w:id="263"/>
      </w:r>
      <w:r>
        <w:rPr>
          <w:rFonts w:ascii="Times New Roman" w:eastAsia="Times New Roman" w:hAnsi="Times New Roman" w:cs="Times New Roman"/>
          <w:noProof/>
          <w:sz w:val="24"/>
          <w:szCs w:val="24"/>
        </w:rPr>
        <w:t>.</w:t>
      </w:r>
    </w:p>
    <w:p w:rsidR="001B65FF" w:rsidRDefault="003E4EF4">
      <w:pPr>
        <w:numPr>
          <w:ilvl w:val="0"/>
          <w:numId w:val="11"/>
        </w:numPr>
        <w:tabs>
          <w:tab w:val="left" w:pos="90"/>
        </w:tabs>
        <w:spacing w:after="0"/>
        <w:ind w:left="99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Limit the </w:t>
      </w:r>
      <w:r>
        <w:rPr>
          <w:rFonts w:ascii="Times New Roman" w:eastAsia="Times New Roman" w:hAnsi="Times New Roman" w:cs="Times New Roman"/>
          <w:b/>
          <w:noProof/>
          <w:color w:val="000000"/>
          <w:sz w:val="24"/>
          <w:szCs w:val="24"/>
        </w:rPr>
        <w:t>scope</w:t>
      </w:r>
      <w:r>
        <w:rPr>
          <w:rFonts w:ascii="Times New Roman" w:eastAsia="Times New Roman" w:hAnsi="Times New Roman" w:cs="Times New Roman"/>
          <w:b/>
          <w:noProof/>
          <w:color w:val="000000"/>
          <w:sz w:val="24"/>
        </w:rPr>
        <w:t xml:space="preserve"> </w:t>
      </w:r>
      <w:r>
        <w:rPr>
          <w:rFonts w:ascii="Times New Roman" w:eastAsia="Times New Roman" w:hAnsi="Times New Roman" w:cs="Times New Roman"/>
          <w:noProof/>
          <w:color w:val="000000"/>
          <w:sz w:val="24"/>
          <w:szCs w:val="24"/>
        </w:rPr>
        <w:t xml:space="preserve">of application of the European Production Order to </w:t>
      </w:r>
      <w:r>
        <w:rPr>
          <w:rFonts w:ascii="Times New Roman" w:eastAsia="Times New Roman" w:hAnsi="Times New Roman" w:cs="Times New Roman"/>
          <w:b/>
          <w:noProof/>
          <w:color w:val="000000"/>
          <w:sz w:val="24"/>
          <w:szCs w:val="24"/>
        </w:rPr>
        <w:t xml:space="preserve">certain crimes </w:t>
      </w:r>
      <w:r>
        <w:rPr>
          <w:rFonts w:ascii="Times New Roman" w:eastAsia="Times New Roman" w:hAnsi="Times New Roman" w:cs="Times New Roman"/>
          <w:noProof/>
          <w:color w:val="000000"/>
          <w:sz w:val="24"/>
          <w:szCs w:val="24"/>
        </w:rPr>
        <w:t>(e.g. serious crimes).</w:t>
      </w:r>
    </w:p>
    <w:p w:rsidR="001B65FF" w:rsidRDefault="003E4EF4">
      <w:pPr>
        <w:tabs>
          <w:tab w:val="left" w:pos="90"/>
        </w:tabs>
        <w:spacing w:after="0"/>
        <w:ind w:left="99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w:t>
      </w:r>
      <w:r>
        <w:rPr>
          <w:rFonts w:ascii="Times New Roman" w:hAnsi="Times New Roman" w:cs="Times New Roman"/>
          <w:noProof/>
          <w:sz w:val="24"/>
        </w:rPr>
        <w:t xml:space="preserve">measure </w:t>
      </w:r>
      <w:r>
        <w:rPr>
          <w:rFonts w:ascii="Times New Roman" w:eastAsia="Times New Roman" w:hAnsi="Times New Roman" w:cs="Times New Roman"/>
          <w:noProof/>
          <w:color w:val="000000"/>
          <w:sz w:val="24"/>
          <w:szCs w:val="24"/>
        </w:rPr>
        <w:t>was discarded because:</w:t>
      </w:r>
    </w:p>
    <w:p w:rsidR="001B65FF" w:rsidRDefault="003E4EF4">
      <w:pPr>
        <w:pStyle w:val="ListParagraph"/>
        <w:numPr>
          <w:ilvl w:val="0"/>
          <w:numId w:val="185"/>
        </w:numPr>
        <w:tabs>
          <w:tab w:val="left" w:pos="90"/>
        </w:tabs>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sz w:val="24"/>
          <w:szCs w:val="24"/>
        </w:rPr>
        <w:t xml:space="preserve">limiting the scope of the request to </w:t>
      </w:r>
      <w:r>
        <w:rPr>
          <w:rFonts w:ascii="Times New Roman" w:eastAsia="Times New Roman" w:hAnsi="Times New Roman" w:cs="Times New Roman"/>
          <w:noProof/>
          <w:sz w:val="24"/>
          <w:szCs w:val="24"/>
        </w:rPr>
        <w:t>certain categories of crimes (e.g. according to maximum sentencing or through the use of a list) may reduce the effectiveness of the investigation for those crimes not covered, as the traditional judicial cooperation procedures may be too slow to secure th</w:t>
      </w:r>
      <w:r>
        <w:rPr>
          <w:rFonts w:ascii="Times New Roman" w:eastAsia="Times New Roman" w:hAnsi="Times New Roman" w:cs="Times New Roman"/>
          <w:noProof/>
          <w:sz w:val="24"/>
          <w:szCs w:val="24"/>
        </w:rPr>
        <w:t>e data in time, especially in the absence of data retention schemes. In particular, the impact of certain high-volume, low-impact offences (e.g. online and card payment fraud), which could be seen individually as less serious but collectively cause signifi</w:t>
      </w:r>
      <w:r>
        <w:rPr>
          <w:rFonts w:ascii="Times New Roman" w:eastAsia="Times New Roman" w:hAnsi="Times New Roman" w:cs="Times New Roman"/>
          <w:noProof/>
          <w:sz w:val="24"/>
          <w:szCs w:val="24"/>
        </w:rPr>
        <w:t>cant damage to citizens, should not be underestimated. Excluding them here could essentially render them more difficult to investigate at all. The same is true for offences that can only be committed by electronic means such as cybercrime or fraud in non-c</w:t>
      </w:r>
      <w:r>
        <w:rPr>
          <w:rFonts w:ascii="Times New Roman" w:eastAsia="Times New Roman" w:hAnsi="Times New Roman" w:cs="Times New Roman"/>
          <w:noProof/>
          <w:sz w:val="24"/>
          <w:szCs w:val="24"/>
        </w:rPr>
        <w:t>ash means of payment, which are not necessarily serious crimes, but for which the evidence will typically exist</w:t>
      </w:r>
      <w:r>
        <w:rPr>
          <w:rFonts w:ascii="Times New Roman" w:eastAsia="Times New Roman" w:hAnsi="Times New Roman" w:cs="Times New Roman"/>
          <w:noProof/>
          <w:color w:val="000000"/>
          <w:sz w:val="24"/>
        </w:rPr>
        <w:t xml:space="preserve"> only in electronic form</w:t>
      </w:r>
      <w:r>
        <w:rPr>
          <w:rFonts w:ascii="Times New Roman" w:eastAsia="Times New Roman" w:hAnsi="Times New Roman" w:cs="Times New Roman"/>
          <w:noProof/>
          <w:color w:val="000000"/>
          <w:sz w:val="24"/>
          <w:szCs w:val="24"/>
        </w:rPr>
        <w:t>;</w:t>
      </w:r>
    </w:p>
    <w:p w:rsidR="001B65FF" w:rsidRDefault="003E4EF4">
      <w:pPr>
        <w:pStyle w:val="ListParagraph"/>
        <w:numPr>
          <w:ilvl w:val="0"/>
          <w:numId w:val="185"/>
        </w:numPr>
        <w:tabs>
          <w:tab w:val="left" w:pos="90"/>
        </w:tabs>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sz w:val="24"/>
          <w:szCs w:val="24"/>
        </w:rPr>
        <w:t>l</w:t>
      </w:r>
      <w:r>
        <w:rPr>
          <w:rFonts w:ascii="Times New Roman" w:eastAsia="Times New Roman" w:hAnsi="Times New Roman" w:cs="Times New Roman"/>
          <w:noProof/>
          <w:color w:val="000000"/>
          <w:sz w:val="24"/>
          <w:szCs w:val="24"/>
        </w:rPr>
        <w:t>imiting the scope could have a positive impact on proportionality and fundamental rights as it would limit the measure</w:t>
      </w:r>
      <w:r>
        <w:rPr>
          <w:rFonts w:ascii="Times New Roman" w:eastAsia="Times New Roman" w:hAnsi="Times New Roman" w:cs="Times New Roman"/>
          <w:noProof/>
          <w:color w:val="000000"/>
          <w:sz w:val="24"/>
          <w:szCs w:val="24"/>
        </w:rPr>
        <w:t xml:space="preserve"> to situations where the seriousness of the offence warrants a comprehensive investigation using all tools available. However, when compared to other investigative tools, a production order is a relatively low-impact measure, in particular when it comes to</w:t>
      </w:r>
      <w:r>
        <w:rPr>
          <w:rFonts w:ascii="Times New Roman" w:eastAsia="Times New Roman" w:hAnsi="Times New Roman" w:cs="Times New Roman"/>
          <w:noProof/>
          <w:color w:val="000000"/>
          <w:sz w:val="24"/>
          <w:szCs w:val="24"/>
        </w:rPr>
        <w:t xml:space="preserve"> subscriber data, access logs or similar information. The more significant potential impact that a larger scope could have on fundamental rights would be balanced by considerations of effectiveness, provided that detailed conditions and safeguards are set;</w:t>
      </w:r>
    </w:p>
    <w:p w:rsidR="001B65FF" w:rsidRDefault="003E4EF4">
      <w:pPr>
        <w:pStyle w:val="ListParagraph"/>
        <w:numPr>
          <w:ilvl w:val="0"/>
          <w:numId w:val="185"/>
        </w:numPr>
        <w:tabs>
          <w:tab w:val="left" w:pos="90"/>
        </w:tabs>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besides effectiveness considerations, a large scope would also not impose a significantly higher burden on service providers, as – if the EPO were to be limited to serious crimes – MLA or EIO channels would then have to be used for the remaining requests,</w:t>
      </w:r>
      <w:r>
        <w:rPr>
          <w:rFonts w:ascii="Times New Roman" w:eastAsia="Times New Roman" w:hAnsi="Times New Roman" w:cs="Times New Roman"/>
          <w:noProof/>
          <w:color w:val="000000"/>
          <w:sz w:val="24"/>
          <w:szCs w:val="24"/>
        </w:rPr>
        <w:t xml:space="preserve"> which would also result in the same service provider having to provide the data.</w:t>
      </w:r>
    </w:p>
    <w:p w:rsidR="001B65FF" w:rsidRDefault="003E4EF4">
      <w:pPr>
        <w:numPr>
          <w:ilvl w:val="0"/>
          <w:numId w:val="11"/>
        </w:numPr>
        <w:tabs>
          <w:tab w:val="left" w:pos="90"/>
        </w:tabs>
        <w:ind w:left="990"/>
        <w:contextualSpacing/>
        <w:jc w:val="both"/>
        <w:rPr>
          <w:rFonts w:ascii="Times New Roman" w:hAnsi="Times New Roman" w:cs="Times New Roman"/>
          <w:noProof/>
          <w:sz w:val="24"/>
        </w:rPr>
      </w:pPr>
      <w:r>
        <w:rPr>
          <w:rFonts w:ascii="Times New Roman" w:hAnsi="Times New Roman" w:cs="Times New Roman"/>
          <w:noProof/>
          <w:sz w:val="24"/>
        </w:rPr>
        <w:t xml:space="preserve">Use as a </w:t>
      </w:r>
      <w:r>
        <w:rPr>
          <w:rFonts w:ascii="Times New Roman" w:hAnsi="Times New Roman" w:cs="Times New Roman"/>
          <w:b/>
          <w:noProof/>
          <w:sz w:val="24"/>
        </w:rPr>
        <w:t>connecting factor</w:t>
      </w:r>
      <w:r>
        <w:rPr>
          <w:rFonts w:ascii="Times New Roman" w:hAnsi="Times New Roman" w:cs="Times New Roman"/>
          <w:noProof/>
          <w:sz w:val="24"/>
        </w:rPr>
        <w:t xml:space="preserve"> to exercise jurisdiction:</w:t>
      </w:r>
    </w:p>
    <w:p w:rsidR="001B65FF" w:rsidRDefault="003E4EF4">
      <w:pPr>
        <w:numPr>
          <w:ilvl w:val="1"/>
          <w:numId w:val="11"/>
        </w:numPr>
        <w:tabs>
          <w:tab w:val="left" w:pos="90"/>
        </w:tabs>
        <w:contextualSpacing/>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accessibility of the service</w:t>
      </w:r>
      <w:r>
        <w:rPr>
          <w:rFonts w:ascii="Times New Roman" w:hAnsi="Times New Roman" w:cs="Times New Roman"/>
          <w:noProof/>
          <w:sz w:val="24"/>
        </w:rPr>
        <w:t xml:space="preserve"> (e.g. web site or app) from the EU.</w:t>
      </w:r>
    </w:p>
    <w:p w:rsidR="001B65FF" w:rsidRDefault="003E4EF4">
      <w:pPr>
        <w:tabs>
          <w:tab w:val="left" w:pos="90"/>
        </w:tabs>
        <w:ind w:left="1800"/>
        <w:contextualSpacing/>
        <w:jc w:val="both"/>
        <w:rPr>
          <w:rFonts w:ascii="Times New Roman" w:hAnsi="Times New Roman" w:cs="Times New Roman"/>
          <w:noProof/>
          <w:sz w:val="24"/>
        </w:rPr>
      </w:pPr>
      <w:r>
        <w:rPr>
          <w:rFonts w:ascii="Times New Roman" w:hAnsi="Times New Roman" w:cs="Times New Roman"/>
          <w:noProof/>
          <w:sz w:val="24"/>
        </w:rPr>
        <w:t xml:space="preserve">This measure was discarded as it would result in a </w:t>
      </w:r>
      <w:r>
        <w:rPr>
          <w:rFonts w:ascii="Times New Roman" w:hAnsi="Times New Roman" w:cs="Times New Roman"/>
          <w:noProof/>
          <w:sz w:val="24"/>
        </w:rPr>
        <w:t>very wide scope that might be disproportionate in relation to the burden imposed on the service provider. As most service providers do not geographically restrict their online presence, almost any service is available from within the EU and would be in sco</w:t>
      </w:r>
      <w:r>
        <w:rPr>
          <w:rFonts w:ascii="Times New Roman" w:hAnsi="Times New Roman" w:cs="Times New Roman"/>
          <w:noProof/>
          <w:sz w:val="24"/>
        </w:rPr>
        <w:t>pe if this connecting factor was used;</w:t>
      </w:r>
    </w:p>
    <w:p w:rsidR="001B65FF" w:rsidRDefault="003E4EF4">
      <w:pPr>
        <w:numPr>
          <w:ilvl w:val="1"/>
          <w:numId w:val="11"/>
        </w:numPr>
        <w:tabs>
          <w:tab w:val="left" w:pos="90"/>
        </w:tabs>
        <w:contextualSpacing/>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pure corporate presence</w:t>
      </w:r>
      <w:r>
        <w:rPr>
          <w:rFonts w:ascii="Times New Roman" w:hAnsi="Times New Roman" w:cs="Times New Roman"/>
          <w:noProof/>
          <w:sz w:val="24"/>
        </w:rPr>
        <w:t xml:space="preserve"> in the EU of a service provider. </w:t>
      </w:r>
    </w:p>
    <w:p w:rsidR="001B65FF" w:rsidRDefault="003E4EF4">
      <w:pPr>
        <w:tabs>
          <w:tab w:val="left" w:pos="90"/>
        </w:tabs>
        <w:ind w:left="1800"/>
        <w:contextualSpacing/>
        <w:jc w:val="both"/>
        <w:rPr>
          <w:rFonts w:ascii="Times New Roman" w:hAnsi="Times New Roman" w:cs="Times New Roman"/>
          <w:noProof/>
          <w:sz w:val="24"/>
        </w:rPr>
      </w:pPr>
      <w:r>
        <w:rPr>
          <w:rFonts w:ascii="Times New Roman" w:hAnsi="Times New Roman" w:cs="Times New Roman"/>
          <w:noProof/>
          <w:sz w:val="24"/>
        </w:rPr>
        <w:t>This measure was discarded as it would create a competitive disadvantage to companies with various business activities (those of a service provider and oth</w:t>
      </w:r>
      <w:r>
        <w:rPr>
          <w:rFonts w:ascii="Times New Roman" w:hAnsi="Times New Roman" w:cs="Times New Roman"/>
          <w:noProof/>
          <w:sz w:val="24"/>
        </w:rPr>
        <w:t>ers), operating in the EU compared to those only with business activities of a service provider;</w:t>
      </w:r>
    </w:p>
    <w:p w:rsidR="001B65FF" w:rsidRDefault="003E4EF4">
      <w:pPr>
        <w:numPr>
          <w:ilvl w:val="1"/>
          <w:numId w:val="11"/>
        </w:numPr>
        <w:tabs>
          <w:tab w:val="left" w:pos="90"/>
        </w:tabs>
        <w:contextualSpacing/>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 xml:space="preserve">nationality of the suspect. </w:t>
      </w:r>
      <w:r>
        <w:rPr>
          <w:rFonts w:ascii="Times New Roman" w:hAnsi="Times New Roman" w:cs="Times New Roman"/>
          <w:noProof/>
          <w:sz w:val="24"/>
        </w:rPr>
        <w:t>Some of the service providers currently use this criterion to decide whether to cooperate voluntary with foreign public authori</w:t>
      </w:r>
      <w:r>
        <w:rPr>
          <w:rFonts w:ascii="Times New Roman" w:hAnsi="Times New Roman" w:cs="Times New Roman"/>
          <w:noProof/>
          <w:sz w:val="24"/>
        </w:rPr>
        <w:t>ties (e.g. a service provider only facilitates access to e-evidence to Italian law enforcement if it concerns Italian nationals).</w:t>
      </w:r>
    </w:p>
    <w:p w:rsidR="001B65FF" w:rsidRDefault="003E4EF4">
      <w:pPr>
        <w:tabs>
          <w:tab w:val="left" w:pos="90"/>
        </w:tabs>
        <w:ind w:left="1800"/>
        <w:contextualSpacing/>
        <w:jc w:val="both"/>
        <w:rPr>
          <w:rFonts w:ascii="Times New Roman" w:hAnsi="Times New Roman" w:cs="Times New Roman"/>
          <w:noProof/>
          <w:sz w:val="24"/>
        </w:rPr>
      </w:pPr>
      <w:r>
        <w:rPr>
          <w:rFonts w:ascii="Times New Roman" w:hAnsi="Times New Roman" w:cs="Times New Roman"/>
          <w:noProof/>
          <w:sz w:val="24"/>
        </w:rPr>
        <w:t>This measure was discarded as investigations by Member States are not limited to certain nationalities and such restrictions w</w:t>
      </w:r>
      <w:r>
        <w:rPr>
          <w:rFonts w:ascii="Times New Roman" w:hAnsi="Times New Roman" w:cs="Times New Roman"/>
          <w:noProof/>
          <w:sz w:val="24"/>
        </w:rPr>
        <w:t>ould undermine the effectiveness of accessing e-evidence across borders; and</w:t>
      </w:r>
    </w:p>
    <w:p w:rsidR="001B65FF" w:rsidRDefault="003E4EF4">
      <w:pPr>
        <w:numPr>
          <w:ilvl w:val="1"/>
          <w:numId w:val="11"/>
        </w:numPr>
        <w:tabs>
          <w:tab w:val="left" w:pos="90"/>
        </w:tabs>
        <w:contextualSpacing/>
        <w:jc w:val="both"/>
        <w:rPr>
          <w:rFonts w:ascii="Times New Roman" w:hAnsi="Times New Roman" w:cs="Times New Roman"/>
          <w:noProof/>
          <w:sz w:val="24"/>
        </w:rPr>
      </w:pPr>
      <w:r>
        <w:rPr>
          <w:rFonts w:ascii="Times New Roman" w:hAnsi="Times New Roman" w:cs="Times New Roman"/>
          <w:noProof/>
          <w:sz w:val="24"/>
        </w:rPr>
        <w:t xml:space="preserve">any factor susceptible to be shaped by </w:t>
      </w:r>
      <w:r>
        <w:rPr>
          <w:rFonts w:ascii="Times New Roman" w:hAnsi="Times New Roman" w:cs="Times New Roman"/>
          <w:b/>
          <w:noProof/>
          <w:sz w:val="24"/>
        </w:rPr>
        <w:t>internal company policies</w:t>
      </w:r>
      <w:r>
        <w:rPr>
          <w:rFonts w:ascii="Times New Roman" w:hAnsi="Times New Roman" w:cs="Times New Roman"/>
          <w:noProof/>
          <w:sz w:val="24"/>
        </w:rPr>
        <w:t>.</w:t>
      </w:r>
    </w:p>
    <w:p w:rsidR="001B65FF" w:rsidRDefault="003E4EF4">
      <w:pPr>
        <w:tabs>
          <w:tab w:val="left" w:pos="90"/>
        </w:tabs>
        <w:ind w:left="1800"/>
        <w:contextualSpacing/>
        <w:jc w:val="both"/>
        <w:rPr>
          <w:rFonts w:ascii="Times New Roman" w:hAnsi="Times New Roman" w:cs="Times New Roman"/>
          <w:noProof/>
          <w:sz w:val="24"/>
        </w:rPr>
      </w:pPr>
      <w:r>
        <w:rPr>
          <w:rFonts w:ascii="Times New Roman" w:hAnsi="Times New Roman" w:cs="Times New Roman"/>
          <w:noProof/>
          <w:sz w:val="24"/>
        </w:rPr>
        <w:t>This measure was discarded as it would leave the effectiveness of law enforcement in the hands of company policy,</w:t>
      </w:r>
      <w:r>
        <w:rPr>
          <w:rFonts w:ascii="Times New Roman" w:hAnsi="Times New Roman" w:cs="Times New Roman"/>
          <w:noProof/>
          <w:sz w:val="24"/>
        </w:rPr>
        <w:t xml:space="preserve"> placing service providers in a difficult position.</w:t>
      </w:r>
    </w:p>
    <w:p w:rsidR="001B65FF" w:rsidRDefault="003E4EF4">
      <w:pPr>
        <w:numPr>
          <w:ilvl w:val="0"/>
          <w:numId w:val="11"/>
        </w:numPr>
        <w:tabs>
          <w:tab w:val="left" w:pos="90"/>
        </w:tabs>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Use as a criterion to require service providers to designate a </w:t>
      </w:r>
      <w:r>
        <w:rPr>
          <w:rFonts w:ascii="Times New Roman" w:hAnsi="Times New Roman" w:cs="Times New Roman"/>
          <w:b/>
          <w:noProof/>
          <w:sz w:val="24"/>
        </w:rPr>
        <w:t>legal representative</w:t>
      </w:r>
      <w:r>
        <w:rPr>
          <w:rFonts w:ascii="Times New Roman" w:hAnsi="Times New Roman" w:cs="Times New Roman"/>
          <w:noProof/>
          <w:sz w:val="24"/>
        </w:rPr>
        <w:t xml:space="preserve"> in the EU that the service has at least </w:t>
      </w:r>
      <w:r>
        <w:rPr>
          <w:rFonts w:ascii="Times New Roman" w:hAnsi="Times New Roman" w:cs="Times New Roman"/>
          <w:b/>
          <w:noProof/>
          <w:sz w:val="24"/>
        </w:rPr>
        <w:t>1 million users</w:t>
      </w:r>
      <w:r>
        <w:rPr>
          <w:rFonts w:ascii="Times New Roman" w:hAnsi="Times New Roman" w:cs="Times New Roman"/>
          <w:noProof/>
          <w:sz w:val="24"/>
        </w:rPr>
        <w:t xml:space="preserve"> in the EU.</w:t>
      </w:r>
    </w:p>
    <w:p w:rsidR="001B65FF" w:rsidRDefault="003E4EF4">
      <w:pPr>
        <w:tabs>
          <w:tab w:val="left" w:pos="90"/>
        </w:tabs>
        <w:ind w:left="990"/>
        <w:contextualSpacing/>
        <w:jc w:val="both"/>
        <w:rPr>
          <w:rFonts w:ascii="Times New Roman" w:hAnsi="Times New Roman" w:cs="Times New Roman"/>
          <w:noProof/>
          <w:sz w:val="24"/>
        </w:rPr>
      </w:pPr>
      <w:r>
        <w:rPr>
          <w:rFonts w:ascii="Times New Roman" w:hAnsi="Times New Roman" w:cs="Times New Roman"/>
          <w:noProof/>
          <w:sz w:val="24"/>
        </w:rPr>
        <w:t>This measure was discarded because besides not having</w:t>
      </w:r>
      <w:r>
        <w:rPr>
          <w:rFonts w:ascii="Times New Roman" w:hAnsi="Times New Roman" w:cs="Times New Roman"/>
          <w:noProof/>
          <w:sz w:val="24"/>
        </w:rPr>
        <w:t xml:space="preserve"> a solid foundation concerning the specific threshold of 1 Million (i.e. why not 500,000 or 2 Million?) and the difficulty to apply it in practice (as it might not be possible to determine the number of users a service provider has in the EU, the number of</w:t>
      </w:r>
      <w:r>
        <w:rPr>
          <w:rFonts w:ascii="Times New Roman" w:hAnsi="Times New Roman" w:cs="Times New Roman"/>
          <w:noProof/>
          <w:sz w:val="24"/>
        </w:rPr>
        <w:t xml:space="preserve"> users can fluctuate rapidly), it would create a gap that could easily be exploited by criminals and would seriously undermine the effectiveness of the measure.</w:t>
      </w:r>
    </w:p>
    <w:p w:rsidR="001B65FF" w:rsidRDefault="003E4EF4">
      <w:pPr>
        <w:numPr>
          <w:ilvl w:val="0"/>
          <w:numId w:val="11"/>
        </w:numPr>
        <w:tabs>
          <w:tab w:val="left" w:pos="90"/>
        </w:tabs>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Oblige service providers to nominate </w:t>
      </w:r>
      <w:r>
        <w:rPr>
          <w:rFonts w:ascii="Times New Roman" w:hAnsi="Times New Roman" w:cs="Times New Roman"/>
          <w:b/>
          <w:noProof/>
          <w:sz w:val="24"/>
        </w:rPr>
        <w:t>a legal representative in every Member State</w:t>
      </w:r>
      <w:r>
        <w:rPr>
          <w:rFonts w:ascii="Times New Roman" w:hAnsi="Times New Roman" w:cs="Times New Roman"/>
          <w:noProof/>
          <w:sz w:val="24"/>
        </w:rPr>
        <w:t xml:space="preserve"> in which they</w:t>
      </w:r>
      <w:r>
        <w:rPr>
          <w:rFonts w:ascii="Times New Roman" w:hAnsi="Times New Roman" w:cs="Times New Roman"/>
          <w:noProof/>
          <w:sz w:val="24"/>
        </w:rPr>
        <w:t xml:space="preserve"> are active or which they are targeting.</w:t>
      </w:r>
    </w:p>
    <w:p w:rsidR="001B65FF" w:rsidRDefault="003E4EF4">
      <w:pPr>
        <w:tabs>
          <w:tab w:val="left" w:pos="90"/>
        </w:tabs>
        <w:spacing w:after="0"/>
        <w:ind w:left="990"/>
        <w:contextualSpacing/>
        <w:jc w:val="both"/>
        <w:rPr>
          <w:rFonts w:ascii="Times New Roman" w:hAnsi="Times New Roman" w:cs="Times New Roman"/>
          <w:noProof/>
          <w:sz w:val="24"/>
        </w:rPr>
      </w:pPr>
      <w:r>
        <w:rPr>
          <w:rFonts w:ascii="Times New Roman" w:hAnsi="Times New Roman" w:cs="Times New Roman"/>
          <w:noProof/>
          <w:sz w:val="24"/>
        </w:rPr>
        <w:t>This measure was discarded as being too burdensome on service providers. Furthermore, given that a European Production Order or Request could be served across EU internal borders, it did not seem necessary. The admi</w:t>
      </w:r>
      <w:r>
        <w:rPr>
          <w:rFonts w:ascii="Times New Roman" w:hAnsi="Times New Roman" w:cs="Times New Roman"/>
          <w:noProof/>
          <w:sz w:val="24"/>
        </w:rPr>
        <w:t>nistrative burden this would create for the service provider would not be outweighed by the additional facilitation this would provide.</w:t>
      </w:r>
    </w:p>
    <w:p w:rsidR="001B65FF" w:rsidRDefault="003E4EF4">
      <w:pPr>
        <w:numPr>
          <w:ilvl w:val="0"/>
          <w:numId w:val="11"/>
        </w:numPr>
        <w:tabs>
          <w:tab w:val="left" w:pos="90"/>
        </w:tabs>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Allow to address an EPO to </w:t>
      </w:r>
      <w:r>
        <w:rPr>
          <w:rFonts w:ascii="Times New Roman" w:hAnsi="Times New Roman" w:cs="Times New Roman"/>
          <w:b/>
          <w:noProof/>
          <w:sz w:val="24"/>
        </w:rPr>
        <w:t>any corporate presence</w:t>
      </w:r>
      <w:r>
        <w:rPr>
          <w:rFonts w:ascii="Times New Roman" w:hAnsi="Times New Roman" w:cs="Times New Roman"/>
          <w:noProof/>
          <w:sz w:val="24"/>
        </w:rPr>
        <w:t xml:space="preserve"> of the service provider in the EU, without requiring service providers</w:t>
      </w:r>
      <w:r>
        <w:rPr>
          <w:rFonts w:ascii="Times New Roman" w:hAnsi="Times New Roman" w:cs="Times New Roman"/>
          <w:noProof/>
          <w:sz w:val="24"/>
        </w:rPr>
        <w:t xml:space="preserve"> to nominate a legal representative in such cases.</w:t>
      </w:r>
    </w:p>
    <w:p w:rsidR="001B65FF" w:rsidRDefault="003E4EF4">
      <w:pPr>
        <w:ind w:left="990"/>
        <w:contextualSpacing/>
        <w:jc w:val="both"/>
        <w:rPr>
          <w:rFonts w:ascii="Times New Roman" w:hAnsi="Times New Roman" w:cs="Times New Roman"/>
          <w:noProof/>
          <w:sz w:val="24"/>
          <w:szCs w:val="24"/>
        </w:rPr>
      </w:pPr>
      <w:r>
        <w:rPr>
          <w:rFonts w:ascii="Times New Roman" w:hAnsi="Times New Roman" w:cs="Times New Roman"/>
          <w:noProof/>
          <w:sz w:val="24"/>
          <w:szCs w:val="24"/>
        </w:rPr>
        <w:t>This measure was discarded, as the example of the Apple Store shows that not every corporate presence would be equipped with the capacity to respond to an EPO. Service providers need a say in who should be</w:t>
      </w:r>
      <w:r>
        <w:rPr>
          <w:rFonts w:ascii="Times New Roman" w:hAnsi="Times New Roman" w:cs="Times New Roman"/>
          <w:noProof/>
          <w:sz w:val="24"/>
          <w:szCs w:val="24"/>
        </w:rPr>
        <w:t xml:space="preserve"> the addressee of such EPOs.</w:t>
      </w:r>
    </w:p>
    <w:p w:rsidR="001B65FF" w:rsidRDefault="003E4EF4">
      <w:pPr>
        <w:numPr>
          <w:ilvl w:val="0"/>
          <w:numId w:val="11"/>
        </w:numPr>
        <w:ind w:left="993"/>
        <w:contextualSpacing/>
        <w:jc w:val="both"/>
        <w:rPr>
          <w:rFonts w:ascii="Times New Roman" w:hAnsi="Times New Roman" w:cs="Times New Roman"/>
          <w:noProof/>
          <w:sz w:val="24"/>
          <w:szCs w:val="24"/>
        </w:rPr>
      </w:pPr>
      <w:r>
        <w:rPr>
          <w:rFonts w:ascii="Times New Roman" w:hAnsi="Times New Roman" w:cs="Times New Roman"/>
          <w:b/>
          <w:noProof/>
          <w:sz w:val="24"/>
          <w:szCs w:val="24"/>
        </w:rPr>
        <w:t>Rely on non-EU countries</w:t>
      </w:r>
      <w:r>
        <w:rPr>
          <w:rFonts w:ascii="Times New Roman" w:hAnsi="Times New Roman" w:cs="Times New Roman"/>
          <w:noProof/>
          <w:sz w:val="24"/>
          <w:szCs w:val="24"/>
        </w:rPr>
        <w:t xml:space="preserve"> for service of orders to service providers established in those countries. </w:t>
      </w:r>
    </w:p>
    <w:p w:rsidR="001B65FF" w:rsidRDefault="003E4EF4">
      <w:pPr>
        <w:ind w:left="993"/>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This measure was discarded as it would greatly diminish the effectiveness of the instrument in particular as regards the EPO; </w:t>
      </w:r>
      <w:r>
        <w:rPr>
          <w:rFonts w:ascii="Times New Roman" w:hAnsi="Times New Roman" w:cs="Times New Roman"/>
          <w:noProof/>
          <w:sz w:val="24"/>
          <w:szCs w:val="24"/>
        </w:rPr>
        <w:t>an EPO that cannot be served directly would essentially remain voluntary in nature unless accepted through mutual recognition or legal assistance mechanisms.</w:t>
      </w:r>
    </w:p>
    <w:p w:rsidR="001B65FF" w:rsidRDefault="003E4EF4">
      <w:pPr>
        <w:numPr>
          <w:ilvl w:val="0"/>
          <w:numId w:val="11"/>
        </w:numPr>
        <w:ind w:left="993"/>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Enter into an </w:t>
      </w:r>
      <w:r>
        <w:rPr>
          <w:rFonts w:ascii="Times New Roman" w:hAnsi="Times New Roman" w:cs="Times New Roman"/>
          <w:b/>
          <w:noProof/>
          <w:sz w:val="24"/>
          <w:szCs w:val="24"/>
        </w:rPr>
        <w:t>agreement with the US</w:t>
      </w:r>
      <w:r>
        <w:rPr>
          <w:rFonts w:ascii="Times New Roman" w:hAnsi="Times New Roman" w:cs="Times New Roman"/>
          <w:noProof/>
          <w:sz w:val="24"/>
          <w:szCs w:val="24"/>
        </w:rPr>
        <w:t xml:space="preserve"> to allow service of documents directly in the US on US-based s</w:t>
      </w:r>
      <w:r>
        <w:rPr>
          <w:rFonts w:ascii="Times New Roman" w:hAnsi="Times New Roman" w:cs="Times New Roman"/>
          <w:noProof/>
          <w:sz w:val="24"/>
          <w:szCs w:val="24"/>
        </w:rPr>
        <w:t>ervice providers.</w:t>
      </w:r>
    </w:p>
    <w:p w:rsidR="001B65FF" w:rsidRDefault="003E4EF4">
      <w:pPr>
        <w:ind w:left="993"/>
        <w:contextualSpacing/>
        <w:jc w:val="both"/>
        <w:rPr>
          <w:rFonts w:ascii="Times New Roman" w:hAnsi="Times New Roman" w:cs="Times New Roman"/>
          <w:noProof/>
          <w:sz w:val="24"/>
          <w:szCs w:val="24"/>
        </w:rPr>
      </w:pPr>
      <w:r>
        <w:rPr>
          <w:rFonts w:ascii="Times New Roman" w:hAnsi="Times New Roman" w:cs="Times New Roman"/>
          <w:noProof/>
          <w:sz w:val="24"/>
          <w:szCs w:val="24"/>
        </w:rPr>
        <w:t>This measure was discarded as this is currently not provided for under US law and would require a change of laws. In addition, it is unlikely that the US would accept this as the legislation that is currently under negotiation to enable a</w:t>
      </w:r>
      <w:r>
        <w:rPr>
          <w:rFonts w:ascii="Times New Roman" w:hAnsi="Times New Roman" w:cs="Times New Roman"/>
          <w:noProof/>
          <w:sz w:val="24"/>
          <w:szCs w:val="24"/>
        </w:rPr>
        <w:t xml:space="preserve"> US-UK agreement on direct cooperation for content data expressly excludes granting a binding nature to the request. For the serving of documents, such an agreement would offer no material change from the current situation, where service providers already </w:t>
      </w:r>
      <w:r>
        <w:rPr>
          <w:rFonts w:ascii="Times New Roman" w:hAnsi="Times New Roman" w:cs="Times New Roman"/>
          <w:noProof/>
          <w:sz w:val="24"/>
          <w:szCs w:val="24"/>
        </w:rPr>
        <w:t>have channels available for authorities to share legal process with them, while not recognising any binding nature of the requests and preserving their right to fulfil the request only if they so choose.</w:t>
      </w:r>
    </w:p>
    <w:p w:rsidR="001B65FF" w:rsidRDefault="003E4EF4">
      <w:pPr>
        <w:numPr>
          <w:ilvl w:val="0"/>
          <w:numId w:val="11"/>
        </w:numPr>
        <w:ind w:left="993"/>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Use under the EPO a </w:t>
      </w:r>
      <w:r>
        <w:rPr>
          <w:rFonts w:ascii="Times New Roman" w:hAnsi="Times New Roman" w:cs="Times New Roman"/>
          <w:b/>
          <w:noProof/>
          <w:sz w:val="24"/>
          <w:szCs w:val="24"/>
        </w:rPr>
        <w:t>notification system</w:t>
      </w:r>
      <w:r>
        <w:rPr>
          <w:rFonts w:ascii="Times New Roman" w:hAnsi="Times New Roman" w:cs="Times New Roman"/>
          <w:noProof/>
          <w:sz w:val="24"/>
          <w:szCs w:val="24"/>
        </w:rPr>
        <w:t xml:space="preserve"> to the recei</w:t>
      </w:r>
      <w:r>
        <w:rPr>
          <w:rFonts w:ascii="Times New Roman" w:hAnsi="Times New Roman" w:cs="Times New Roman"/>
          <w:noProof/>
          <w:sz w:val="24"/>
          <w:szCs w:val="24"/>
        </w:rPr>
        <w:t>ving State (where the service provider is located) with the right to object within 96 hours.</w:t>
      </w:r>
    </w:p>
    <w:p w:rsidR="001B65FF" w:rsidRDefault="003E4EF4">
      <w:pPr>
        <w:numPr>
          <w:ilvl w:val="1"/>
          <w:numId w:val="11"/>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This system would be comparable to the one in the </w:t>
      </w:r>
      <w:r>
        <w:rPr>
          <w:rFonts w:ascii="Times New Roman" w:hAnsi="Times New Roman" w:cs="Times New Roman"/>
          <w:b/>
          <w:noProof/>
          <w:sz w:val="24"/>
          <w:szCs w:val="24"/>
        </w:rPr>
        <w:t>EIO</w:t>
      </w:r>
      <w:r>
        <w:rPr>
          <w:rFonts w:ascii="Times New Roman" w:hAnsi="Times New Roman" w:cs="Times New Roman"/>
          <w:noProof/>
          <w:sz w:val="24"/>
          <w:szCs w:val="24"/>
        </w:rPr>
        <w:t xml:space="preserve"> (Article 31).  Judicial authorities would send a European Production Order to the service provider and a noti</w:t>
      </w:r>
      <w:r>
        <w:rPr>
          <w:rFonts w:ascii="Times New Roman" w:hAnsi="Times New Roman" w:cs="Times New Roman"/>
          <w:noProof/>
          <w:sz w:val="24"/>
          <w:szCs w:val="24"/>
        </w:rPr>
        <w:t>fication with a short description of the case (not more than in an EIO) to the “receiving” State. This would not prevent the service provider to provide the data to the issuing State but the evidence would not be used for further investigation or in the tr</w:t>
      </w:r>
      <w:r>
        <w:rPr>
          <w:rFonts w:ascii="Times New Roman" w:hAnsi="Times New Roman" w:cs="Times New Roman"/>
          <w:noProof/>
          <w:sz w:val="24"/>
          <w:szCs w:val="24"/>
        </w:rPr>
        <w:t>ial if the receiving State objects.</w:t>
      </w:r>
    </w:p>
    <w:p w:rsidR="001B65FF" w:rsidRDefault="003E4EF4">
      <w:pPr>
        <w:tabs>
          <w:tab w:val="left" w:pos="90"/>
        </w:tabs>
        <w:ind w:left="180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This measure was discarded because such a notification system would generate significant bureaucratic </w:t>
      </w:r>
      <w:r>
        <w:rPr>
          <w:rFonts w:ascii="Times New Roman" w:hAnsi="Times New Roman" w:cs="Times New Roman"/>
          <w:b/>
          <w:noProof/>
          <w:sz w:val="24"/>
          <w:szCs w:val="24"/>
        </w:rPr>
        <w:t xml:space="preserve">burden </w:t>
      </w:r>
      <w:r>
        <w:rPr>
          <w:rFonts w:ascii="Times New Roman" w:hAnsi="Times New Roman" w:cs="Times New Roman"/>
          <w:noProof/>
          <w:sz w:val="24"/>
          <w:szCs w:val="24"/>
        </w:rPr>
        <w:t>for the issuing and the receiving States:</w:t>
      </w:r>
    </w:p>
    <w:p w:rsidR="001B65FF" w:rsidRDefault="003E4EF4">
      <w:pPr>
        <w:numPr>
          <w:ilvl w:val="0"/>
          <w:numId w:val="81"/>
        </w:numPr>
        <w:tabs>
          <w:tab w:val="left" w:pos="90"/>
        </w:tabs>
        <w:contextualSpacing/>
        <w:jc w:val="both"/>
        <w:rPr>
          <w:rFonts w:ascii="Times New Roman" w:hAnsi="Times New Roman" w:cs="Times New Roman"/>
          <w:noProof/>
          <w:sz w:val="24"/>
        </w:rPr>
      </w:pPr>
      <w:r>
        <w:rPr>
          <w:rFonts w:ascii="Times New Roman" w:hAnsi="Times New Roman" w:cs="Times New Roman"/>
          <w:noProof/>
          <w:sz w:val="24"/>
          <w:szCs w:val="24"/>
        </w:rPr>
        <w:t xml:space="preserve">The issuing State would have to fill in different </w:t>
      </w:r>
      <w:r>
        <w:rPr>
          <w:rFonts w:ascii="Times New Roman" w:hAnsi="Times New Roman" w:cs="Times New Roman"/>
          <w:b/>
          <w:noProof/>
          <w:sz w:val="24"/>
          <w:szCs w:val="24"/>
        </w:rPr>
        <w:t>forms</w:t>
      </w:r>
      <w:r>
        <w:rPr>
          <w:rFonts w:ascii="Times New Roman" w:hAnsi="Times New Roman" w:cs="Times New Roman"/>
          <w:noProof/>
          <w:sz w:val="24"/>
          <w:szCs w:val="24"/>
        </w:rPr>
        <w:t xml:space="preserve"> and would hav</w:t>
      </w:r>
      <w:r>
        <w:rPr>
          <w:rFonts w:ascii="Times New Roman" w:hAnsi="Times New Roman" w:cs="Times New Roman"/>
          <w:noProof/>
          <w:sz w:val="24"/>
          <w:szCs w:val="24"/>
        </w:rPr>
        <w:t xml:space="preserve">e to </w:t>
      </w:r>
      <w:r>
        <w:rPr>
          <w:rFonts w:ascii="Times New Roman" w:hAnsi="Times New Roman" w:cs="Times New Roman"/>
          <w:b/>
          <w:noProof/>
          <w:sz w:val="24"/>
          <w:szCs w:val="24"/>
        </w:rPr>
        <w:t>translate</w:t>
      </w:r>
      <w:r>
        <w:rPr>
          <w:rFonts w:ascii="Times New Roman" w:hAnsi="Times New Roman" w:cs="Times New Roman"/>
          <w:noProof/>
          <w:sz w:val="24"/>
          <w:szCs w:val="24"/>
        </w:rPr>
        <w:t xml:space="preserve"> additional information for the receiving country as it would need to provide details that the service provider has no right to see. </w:t>
      </w:r>
    </w:p>
    <w:p w:rsidR="001B65FF" w:rsidRDefault="003E4EF4">
      <w:pPr>
        <w:numPr>
          <w:ilvl w:val="0"/>
          <w:numId w:val="81"/>
        </w:numPr>
        <w:tabs>
          <w:tab w:val="left" w:pos="90"/>
        </w:tabs>
        <w:contextualSpacing/>
        <w:jc w:val="both"/>
        <w:rPr>
          <w:rFonts w:ascii="Times New Roman" w:hAnsi="Times New Roman" w:cs="Times New Roman"/>
          <w:noProof/>
          <w:sz w:val="24"/>
        </w:rPr>
      </w:pPr>
      <w:r>
        <w:rPr>
          <w:rFonts w:ascii="Times New Roman" w:hAnsi="Times New Roman" w:cs="Times New Roman"/>
          <w:noProof/>
          <w:sz w:val="24"/>
          <w:szCs w:val="24"/>
        </w:rPr>
        <w:t xml:space="preserve">The receiving State would receive notifications from at least </w:t>
      </w:r>
      <w:r>
        <w:rPr>
          <w:rFonts w:ascii="Times New Roman" w:hAnsi="Times New Roman" w:cs="Times New Roman"/>
          <w:b/>
          <w:noProof/>
          <w:sz w:val="24"/>
          <w:szCs w:val="24"/>
        </w:rPr>
        <w:t>24 other Member States</w:t>
      </w:r>
      <w:r>
        <w:rPr>
          <w:rFonts w:ascii="Times New Roman" w:hAnsi="Times New Roman" w:cs="Times New Roman"/>
          <w:noProof/>
          <w:sz w:val="24"/>
          <w:szCs w:val="24"/>
        </w:rPr>
        <w:t xml:space="preserve"> which would need to be </w:t>
      </w:r>
      <w:r>
        <w:rPr>
          <w:rFonts w:ascii="Times New Roman" w:hAnsi="Times New Roman" w:cs="Times New Roman"/>
          <w:noProof/>
          <w:sz w:val="24"/>
          <w:szCs w:val="24"/>
        </w:rPr>
        <w:t>checked. Some Member States with many service providers on their territory (e.g. Ireland, provided that they opt in the EPO) would receive more notifications than others, most of which would concern cases or suspects unrelated to the State in which the ser</w:t>
      </w:r>
      <w:r>
        <w:rPr>
          <w:rFonts w:ascii="Times New Roman" w:hAnsi="Times New Roman" w:cs="Times New Roman"/>
          <w:noProof/>
          <w:sz w:val="24"/>
          <w:szCs w:val="24"/>
        </w:rPr>
        <w:t xml:space="preserve">vice provider is located. Given that Member States have specifically given a mandate to the Commission to come up with a direct production order, this did not match that ambition as it would essentially recreate the EIO with a more burdensome approach for </w:t>
      </w:r>
      <w:r>
        <w:rPr>
          <w:rFonts w:ascii="Times New Roman" w:hAnsi="Times New Roman" w:cs="Times New Roman"/>
          <w:noProof/>
          <w:sz w:val="24"/>
          <w:szCs w:val="24"/>
        </w:rPr>
        <w:t>receiving Member States because of the necessarily very short deadlines.</w:t>
      </w:r>
    </w:p>
    <w:p w:rsidR="001B65FF" w:rsidRDefault="003E4EF4">
      <w:pPr>
        <w:numPr>
          <w:ilvl w:val="0"/>
          <w:numId w:val="11"/>
        </w:numPr>
        <w:contextualSpacing/>
        <w:jc w:val="both"/>
        <w:rPr>
          <w:rFonts w:ascii="Times New Roman" w:hAnsi="Times New Roman" w:cs="Times New Roman"/>
          <w:noProof/>
          <w:sz w:val="24"/>
        </w:rPr>
      </w:pPr>
      <w:r>
        <w:rPr>
          <w:rFonts w:ascii="Times New Roman" w:hAnsi="Times New Roman" w:cs="Times New Roman"/>
          <w:noProof/>
          <w:sz w:val="24"/>
        </w:rPr>
        <w:t xml:space="preserve">A production </w:t>
      </w:r>
      <w:r>
        <w:rPr>
          <w:rFonts w:ascii="Times New Roman" w:hAnsi="Times New Roman" w:cs="Times New Roman"/>
          <w:b/>
          <w:noProof/>
          <w:sz w:val="24"/>
        </w:rPr>
        <w:t>request for non-content data and a production order for content data.</w:t>
      </w:r>
    </w:p>
    <w:p w:rsidR="001B65FF" w:rsidRDefault="003E4EF4">
      <w:pPr>
        <w:tabs>
          <w:tab w:val="left" w:pos="1134"/>
        </w:tabs>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This measure was discarded as it would not be consistent to use a more intrusive measure, the produc</w:t>
      </w:r>
      <w:r>
        <w:rPr>
          <w:rFonts w:ascii="Times New Roman" w:hAnsi="Times New Roman" w:cs="Times New Roman"/>
          <w:noProof/>
          <w:sz w:val="24"/>
          <w:szCs w:val="24"/>
        </w:rPr>
        <w:t>tion order, for data that is less intrusive, and vice-versa.</w:t>
      </w:r>
    </w:p>
    <w:p w:rsidR="001B65FF" w:rsidRDefault="003E4EF4">
      <w:pPr>
        <w:pStyle w:val="ListParagraph"/>
        <w:numPr>
          <w:ilvl w:val="0"/>
          <w:numId w:val="137"/>
        </w:numPr>
        <w:tabs>
          <w:tab w:val="left" w:pos="630"/>
        </w:tabs>
        <w:spacing w:after="0"/>
        <w:ind w:left="630" w:hanging="270"/>
        <w:jc w:val="both"/>
        <w:rPr>
          <w:rFonts w:ascii="Times New Roman" w:hAnsi="Times New Roman" w:cs="Times New Roman"/>
          <w:noProof/>
          <w:sz w:val="24"/>
        </w:rPr>
      </w:pPr>
      <w:r>
        <w:rPr>
          <w:rFonts w:ascii="Times New Roman" w:hAnsi="Times New Roman" w:cs="Times New Roman"/>
          <w:noProof/>
          <w:sz w:val="24"/>
        </w:rPr>
        <w:t xml:space="preserve">Legislative measures on </w:t>
      </w:r>
      <w:r>
        <w:rPr>
          <w:rFonts w:ascii="Times New Roman" w:hAnsi="Times New Roman" w:cs="Times New Roman"/>
          <w:b/>
          <w:noProof/>
          <w:sz w:val="24"/>
        </w:rPr>
        <w:t>direct access</w:t>
      </w:r>
      <w:r>
        <w:rPr>
          <w:rFonts w:ascii="Times New Roman" w:hAnsi="Times New Roman" w:cs="Times New Roman"/>
          <w:noProof/>
          <w:sz w:val="24"/>
        </w:rPr>
        <w:t xml:space="preserve"> to electronic evidence.</w:t>
      </w:r>
    </w:p>
    <w:p w:rsidR="001B65FF" w:rsidRDefault="003E4EF4">
      <w:pPr>
        <w:numPr>
          <w:ilvl w:val="0"/>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Set up an </w:t>
      </w:r>
      <w:r>
        <w:rPr>
          <w:rFonts w:ascii="Times New Roman" w:hAnsi="Times New Roman" w:cs="Times New Roman"/>
          <w:b/>
          <w:noProof/>
          <w:sz w:val="24"/>
        </w:rPr>
        <w:t>EU legal basis</w:t>
      </w:r>
      <w:r>
        <w:rPr>
          <w:rFonts w:ascii="Times New Roman" w:hAnsi="Times New Roman" w:cs="Times New Roman"/>
          <w:noProof/>
          <w:sz w:val="24"/>
        </w:rPr>
        <w:t xml:space="preserve"> for direct access to electronic evidence.</w:t>
      </w:r>
    </w:p>
    <w:p w:rsidR="001B65FF" w:rsidRDefault="003E4EF4">
      <w:pPr>
        <w:spacing w:after="0"/>
        <w:ind w:left="990"/>
        <w:contextualSpacing/>
        <w:jc w:val="both"/>
        <w:rPr>
          <w:rFonts w:ascii="Times New Roman" w:hAnsi="Times New Roman" w:cs="Times New Roman"/>
          <w:noProof/>
          <w:sz w:val="24"/>
          <w:szCs w:val="24"/>
        </w:rPr>
      </w:pPr>
      <w:r>
        <w:rPr>
          <w:rFonts w:ascii="Times New Roman" w:hAnsi="Times New Roman" w:cs="Times New Roman"/>
          <w:noProof/>
          <w:sz w:val="24"/>
        </w:rPr>
        <w:t xml:space="preserve">This measure was discarded as very heterogeneous approaches currently exist across EU Member States to these issues and it seemed unlikely that a common basis </w:t>
      </w:r>
      <w:r>
        <w:rPr>
          <w:rFonts w:ascii="Times New Roman" w:hAnsi="Times New Roman" w:cs="Times New Roman"/>
          <w:noProof/>
          <w:sz w:val="24"/>
          <w:szCs w:val="24"/>
        </w:rPr>
        <w:t>could be established. Those Member States which already have more advanced solutions in place app</w:t>
      </w:r>
      <w:r>
        <w:rPr>
          <w:rFonts w:ascii="Times New Roman" w:hAnsi="Times New Roman" w:cs="Times New Roman"/>
          <w:noProof/>
          <w:sz w:val="24"/>
          <w:szCs w:val="24"/>
        </w:rPr>
        <w:t>eared firmly convinced of the necessity of preserving the scope of their national measures and their current capabilities, and some of those who have restrictive solutions in place at the moment were reluctant to change their approach.</w:t>
      </w:r>
    </w:p>
    <w:p w:rsidR="001B65FF" w:rsidRDefault="003E4EF4">
      <w:pPr>
        <w:numPr>
          <w:ilvl w:val="0"/>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Harmonise at EU leve</w:t>
      </w:r>
      <w:r>
        <w:rPr>
          <w:rFonts w:ascii="Times New Roman" w:hAnsi="Times New Roman" w:cs="Times New Roman"/>
          <w:noProof/>
          <w:sz w:val="24"/>
        </w:rPr>
        <w:t xml:space="preserve">l </w:t>
      </w:r>
      <w:r>
        <w:rPr>
          <w:rFonts w:ascii="Times New Roman" w:hAnsi="Times New Roman" w:cs="Times New Roman"/>
          <w:b/>
          <w:noProof/>
          <w:sz w:val="24"/>
        </w:rPr>
        <w:t>search and seizure</w:t>
      </w:r>
      <w:r>
        <w:rPr>
          <w:rFonts w:ascii="Times New Roman" w:hAnsi="Times New Roman" w:cs="Times New Roman"/>
          <w:noProof/>
          <w:sz w:val="24"/>
        </w:rPr>
        <w:t xml:space="preserve"> measures. </w:t>
      </w:r>
    </w:p>
    <w:p w:rsidR="001B65FF" w:rsidRDefault="003E4EF4">
      <w:p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This measure was discarded because it would go beyond what is necessary to address the issue at hand, i.e. remote access to stored data. </w:t>
      </w:r>
    </w:p>
    <w:p w:rsidR="001B65FF" w:rsidRDefault="003E4EF4">
      <w:pPr>
        <w:numPr>
          <w:ilvl w:val="0"/>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Restrict the scope of the legislation to service providers with a given </w:t>
      </w:r>
      <w:r>
        <w:rPr>
          <w:rFonts w:ascii="Times New Roman" w:hAnsi="Times New Roman" w:cs="Times New Roman"/>
          <w:b/>
          <w:noProof/>
          <w:sz w:val="24"/>
        </w:rPr>
        <w:t xml:space="preserve">connection to </w:t>
      </w:r>
      <w:r>
        <w:rPr>
          <w:rFonts w:ascii="Times New Roman" w:hAnsi="Times New Roman" w:cs="Times New Roman"/>
          <w:b/>
          <w:noProof/>
          <w:sz w:val="24"/>
        </w:rPr>
        <w:t>the EU</w:t>
      </w:r>
      <w:r>
        <w:rPr>
          <w:rFonts w:ascii="Times New Roman" w:hAnsi="Times New Roman" w:cs="Times New Roman"/>
          <w:noProof/>
          <w:sz w:val="24"/>
        </w:rPr>
        <w:t>.</w:t>
      </w:r>
    </w:p>
    <w:p w:rsidR="001B65FF" w:rsidRDefault="003E4EF4">
      <w:p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This measure was discarded as direct access is often used in situations where there is no (legitimate) service provider, where it is not possible to locate the service provider or where it is unknown, and therefore its connection with the EU would </w:t>
      </w:r>
      <w:r>
        <w:rPr>
          <w:rFonts w:ascii="Times New Roman" w:hAnsi="Times New Roman" w:cs="Times New Roman"/>
          <w:noProof/>
          <w:sz w:val="24"/>
        </w:rPr>
        <w:t>be unknown.</w:t>
      </w:r>
    </w:p>
    <w:p w:rsidR="001B65FF" w:rsidRDefault="003E4EF4">
      <w:pPr>
        <w:numPr>
          <w:ilvl w:val="0"/>
          <w:numId w:val="11"/>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Restrict the scope of the legislation to data stored in the EU (i.e. </w:t>
      </w:r>
      <w:r>
        <w:rPr>
          <w:rFonts w:ascii="Times New Roman" w:hAnsi="Times New Roman" w:cs="Times New Roman"/>
          <w:b/>
          <w:noProof/>
          <w:sz w:val="24"/>
        </w:rPr>
        <w:t>data storage</w:t>
      </w:r>
      <w:r>
        <w:rPr>
          <w:rFonts w:ascii="Times New Roman" w:hAnsi="Times New Roman" w:cs="Times New Roman"/>
          <w:noProof/>
          <w:sz w:val="24"/>
        </w:rPr>
        <w:t xml:space="preserve"> requirements).</w:t>
      </w:r>
    </w:p>
    <w:p w:rsidR="001B65FF" w:rsidRDefault="003E4EF4">
      <w:pPr>
        <w:tabs>
          <w:tab w:val="left" w:pos="90"/>
        </w:tabs>
        <w:spacing w:after="0"/>
        <w:ind w:left="990"/>
        <w:jc w:val="both"/>
        <w:rPr>
          <w:rFonts w:ascii="Times New Roman" w:hAnsi="Times New Roman" w:cs="Times New Roman"/>
          <w:noProof/>
          <w:sz w:val="24"/>
        </w:rPr>
      </w:pPr>
      <w:r>
        <w:rPr>
          <w:rFonts w:ascii="Times New Roman" w:hAnsi="Times New Roman" w:cs="Times New Roman"/>
          <w:noProof/>
          <w:sz w:val="24"/>
        </w:rPr>
        <w:t>This measure was discarded for the same reasons described above under direct cooperation.</w:t>
      </w:r>
    </w:p>
    <w:p w:rsidR="001B65FF" w:rsidRDefault="003E4EF4">
      <w:pPr>
        <w:numPr>
          <w:ilvl w:val="0"/>
          <w:numId w:val="97"/>
        </w:numPr>
        <w:spacing w:after="0"/>
        <w:ind w:left="990"/>
        <w:contextualSpacing/>
        <w:jc w:val="both"/>
        <w:rPr>
          <w:rFonts w:ascii="Times New Roman" w:hAnsi="Times New Roman" w:cs="Times New Roman"/>
          <w:noProof/>
          <w:sz w:val="24"/>
        </w:rPr>
      </w:pPr>
      <w:r>
        <w:rPr>
          <w:rFonts w:ascii="Times New Roman" w:hAnsi="Times New Roman" w:cs="Times New Roman"/>
          <w:noProof/>
          <w:sz w:val="24"/>
        </w:rPr>
        <w:t xml:space="preserve">Introduce </w:t>
      </w:r>
      <w:r>
        <w:rPr>
          <w:rFonts w:ascii="Times New Roman" w:hAnsi="Times New Roman" w:cs="Times New Roman"/>
          <w:b/>
          <w:noProof/>
          <w:sz w:val="24"/>
        </w:rPr>
        <w:t>mandatory notification</w:t>
      </w:r>
      <w:r>
        <w:rPr>
          <w:rFonts w:ascii="Times New Roman" w:hAnsi="Times New Roman" w:cs="Times New Roman"/>
          <w:noProof/>
          <w:sz w:val="24"/>
        </w:rPr>
        <w:t xml:space="preserve"> to the </w:t>
      </w:r>
      <w:r>
        <w:rPr>
          <w:rFonts w:ascii="Times New Roman" w:hAnsi="Times New Roman" w:cs="Times New Roman"/>
          <w:b/>
          <w:noProof/>
          <w:sz w:val="24"/>
        </w:rPr>
        <w:t>public authoritie</w:t>
      </w:r>
      <w:r>
        <w:rPr>
          <w:rFonts w:ascii="Times New Roman" w:hAnsi="Times New Roman" w:cs="Times New Roman"/>
          <w:b/>
          <w:noProof/>
          <w:sz w:val="24"/>
        </w:rPr>
        <w:t>s</w:t>
      </w:r>
      <w:r>
        <w:rPr>
          <w:rFonts w:ascii="Times New Roman" w:hAnsi="Times New Roman" w:cs="Times New Roman"/>
          <w:noProof/>
          <w:sz w:val="24"/>
        </w:rPr>
        <w:t xml:space="preserve"> of the country of habitual residence of the target of the measure by the public authorities of the Member State carrying out the measure.</w:t>
      </w:r>
    </w:p>
    <w:p w:rsidR="001B65FF" w:rsidRDefault="003E4EF4">
      <w:pPr>
        <w:numPr>
          <w:ilvl w:val="1"/>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This measure, modelled on Article 31 of the EIO Directive (“Notification of the Member State where the subject of th</w:t>
      </w:r>
      <w:r>
        <w:rPr>
          <w:rFonts w:ascii="Times New Roman" w:hAnsi="Times New Roman" w:cs="Times New Roman"/>
          <w:noProof/>
          <w:sz w:val="24"/>
        </w:rPr>
        <w:t>e interception is located from which no technical assistance is needed”), would grant the receiving country the opportunity to object</w:t>
      </w:r>
      <w:r>
        <w:rPr>
          <w:rFonts w:ascii="Times New Roman" w:hAnsi="Times New Roman" w:cs="Times New Roman"/>
          <w:noProof/>
          <w:sz w:val="24"/>
          <w:vertAlign w:val="superscript"/>
        </w:rPr>
        <w:footnoteReference w:id="264"/>
      </w:r>
      <w:r>
        <w:rPr>
          <w:rFonts w:ascii="Times New Roman" w:hAnsi="Times New Roman" w:cs="Times New Roman"/>
          <w:noProof/>
          <w:sz w:val="24"/>
        </w:rPr>
        <w:t>.</w:t>
      </w:r>
    </w:p>
    <w:p w:rsidR="001B65FF" w:rsidRDefault="003E4EF4">
      <w:pPr>
        <w:numPr>
          <w:ilvl w:val="1"/>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The habitual residence is typically the location where the user regularly exercises control over the data. Also, the Sta</w:t>
      </w:r>
      <w:r>
        <w:rPr>
          <w:rFonts w:ascii="Times New Roman" w:hAnsi="Times New Roman" w:cs="Times New Roman"/>
          <w:noProof/>
          <w:sz w:val="24"/>
        </w:rPr>
        <w:t>te of habitual residence has the responsibility to protect the basic rights of its citizens and of those persons who have their lawful and permanent residence there.</w:t>
      </w:r>
    </w:p>
    <w:p w:rsidR="001B65FF" w:rsidRDefault="003E4EF4">
      <w:pPr>
        <w:numPr>
          <w:ilvl w:val="1"/>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Such a solution could provide information about the extent to which the Member State recur</w:t>
      </w:r>
      <w:r>
        <w:rPr>
          <w:rFonts w:ascii="Times New Roman" w:hAnsi="Times New Roman" w:cs="Times New Roman"/>
          <w:noProof/>
          <w:sz w:val="24"/>
        </w:rPr>
        <w:t>s to direct access to data of its permanent residents. It could also prevent situations where an investigation in the Member State carrying out the measure could interfere with an ongoing investigation in the other country.</w:t>
      </w:r>
    </w:p>
    <w:p w:rsidR="001B65FF" w:rsidRDefault="003E4EF4">
      <w:pPr>
        <w:numPr>
          <w:ilvl w:val="1"/>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However, there are a number of d</w:t>
      </w:r>
      <w:r>
        <w:rPr>
          <w:rFonts w:ascii="Times New Roman" w:hAnsi="Times New Roman" w:cs="Times New Roman"/>
          <w:noProof/>
          <w:sz w:val="24"/>
        </w:rPr>
        <w:t>rawbacks that caused this measure to be discarded:</w:t>
      </w:r>
    </w:p>
    <w:p w:rsidR="001B65FF" w:rsidRDefault="003E4EF4">
      <w:pPr>
        <w:numPr>
          <w:ilvl w:val="2"/>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Such a notification system would create a fully new procedure and an administrative burden on the receiving country which might not have a specific interest to intervene. In particular, some notification o</w:t>
      </w:r>
      <w:r>
        <w:rPr>
          <w:rFonts w:ascii="Times New Roman" w:hAnsi="Times New Roman" w:cs="Times New Roman"/>
          <w:noProof/>
          <w:sz w:val="24"/>
        </w:rPr>
        <w:t>bligations already exist when prosecuting a foreign national, and there are also coordination mechanisms for possible parallel investigations, so it did not seem necessary to create an additional notification trigger. Often it will not yet be evident wheth</w:t>
      </w:r>
      <w:r>
        <w:rPr>
          <w:rFonts w:ascii="Times New Roman" w:hAnsi="Times New Roman" w:cs="Times New Roman"/>
          <w:noProof/>
          <w:sz w:val="24"/>
        </w:rPr>
        <w:t xml:space="preserve">er an investigation will proceed or even go to trial eventually; in this case, the involvement of the country of the target might not be useful. </w:t>
      </w:r>
    </w:p>
    <w:p w:rsidR="001B65FF" w:rsidRDefault="003E4EF4">
      <w:pPr>
        <w:numPr>
          <w:ilvl w:val="2"/>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The notification to the country of the target's residence furthermore fails to address the possible sovereignt</w:t>
      </w:r>
      <w:r>
        <w:rPr>
          <w:rFonts w:ascii="Times New Roman" w:hAnsi="Times New Roman" w:cs="Times New Roman"/>
          <w:noProof/>
          <w:sz w:val="24"/>
        </w:rPr>
        <w:t>y considerations that the state of data storage could raise if it attaches importance to data storage location.</w:t>
      </w:r>
    </w:p>
    <w:p w:rsidR="001B65FF" w:rsidRDefault="003E4EF4">
      <w:pPr>
        <w:numPr>
          <w:ilvl w:val="2"/>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In addition, it would be difficult to reconcile the mandatory notification with a possible need to delay user notification, as the notified coun</w:t>
      </w:r>
      <w:r>
        <w:rPr>
          <w:rFonts w:ascii="Times New Roman" w:hAnsi="Times New Roman" w:cs="Times New Roman"/>
          <w:noProof/>
          <w:sz w:val="24"/>
        </w:rPr>
        <w:t>try would have little chance to take a position in the absence of contact with its resident.</w:t>
      </w:r>
    </w:p>
    <w:p w:rsidR="001B65FF" w:rsidRDefault="003E4EF4">
      <w:pPr>
        <w:numPr>
          <w:ilvl w:val="1"/>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Furthermore, it would create challenges when a non-EU country would need to be notified: national experts expressed a preference to forego a notification in such c</w:t>
      </w:r>
      <w:r>
        <w:rPr>
          <w:rFonts w:ascii="Times New Roman" w:hAnsi="Times New Roman" w:cs="Times New Roman"/>
          <w:noProof/>
          <w:sz w:val="24"/>
        </w:rPr>
        <w:t>ases.</w:t>
      </w:r>
    </w:p>
    <w:p w:rsidR="001B65FF" w:rsidRDefault="003E4EF4">
      <w:pPr>
        <w:numPr>
          <w:ilvl w:val="0"/>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 xml:space="preserve">Introduce </w:t>
      </w:r>
      <w:r>
        <w:rPr>
          <w:rFonts w:ascii="Times New Roman" w:hAnsi="Times New Roman" w:cs="Times New Roman"/>
          <w:b/>
          <w:noProof/>
          <w:sz w:val="24"/>
        </w:rPr>
        <w:t>mandatory notification</w:t>
      </w:r>
      <w:r>
        <w:rPr>
          <w:rFonts w:ascii="Times New Roman" w:hAnsi="Times New Roman" w:cs="Times New Roman"/>
          <w:noProof/>
          <w:sz w:val="24"/>
        </w:rPr>
        <w:t xml:space="preserve"> to the </w:t>
      </w:r>
      <w:r>
        <w:rPr>
          <w:rFonts w:ascii="Times New Roman" w:hAnsi="Times New Roman" w:cs="Times New Roman"/>
          <w:b/>
          <w:noProof/>
          <w:sz w:val="24"/>
        </w:rPr>
        <w:t>public authorities</w:t>
      </w:r>
      <w:r>
        <w:rPr>
          <w:rFonts w:ascii="Times New Roman" w:hAnsi="Times New Roman" w:cs="Times New Roman"/>
          <w:noProof/>
          <w:sz w:val="24"/>
        </w:rPr>
        <w:t xml:space="preserve"> of the country where the data is stored.</w:t>
      </w:r>
    </w:p>
    <w:p w:rsidR="001B65FF" w:rsidRDefault="003E4EF4">
      <w:pPr>
        <w:numPr>
          <w:ilvl w:val="1"/>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This measure would address the possible sovereignty considerations that the state of data storage could raise if it attaches importance to data storag</w:t>
      </w:r>
      <w:r>
        <w:rPr>
          <w:rFonts w:ascii="Times New Roman" w:hAnsi="Times New Roman" w:cs="Times New Roman"/>
          <w:noProof/>
          <w:sz w:val="24"/>
        </w:rPr>
        <w:t>e location.</w:t>
      </w:r>
    </w:p>
    <w:p w:rsidR="001B65FF" w:rsidRDefault="003E4EF4">
      <w:pPr>
        <w:numPr>
          <w:ilvl w:val="1"/>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This measure was discarded during the expert process, where it was identified as unrealistic:</w:t>
      </w:r>
    </w:p>
    <w:p w:rsidR="001B65FF" w:rsidRDefault="003E4EF4">
      <w:pPr>
        <w:numPr>
          <w:ilvl w:val="2"/>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 xml:space="preserve">One of the main situations in which direct access is currently used is in "loss of knowledge of location" situations where authorities cannot </w:t>
      </w:r>
      <w:r>
        <w:rPr>
          <w:rFonts w:ascii="Times New Roman" w:hAnsi="Times New Roman" w:cs="Times New Roman"/>
          <w:noProof/>
          <w:sz w:val="24"/>
        </w:rPr>
        <w:t>determine the data location in good time. Often, when conducting the investigation, the data location remains hidden, e.g. when the server accessed is using relay infrastructures such as The Onion Router (TOR). Therefore, such a notification obligation wou</w:t>
      </w:r>
      <w:r>
        <w:rPr>
          <w:rFonts w:ascii="Times New Roman" w:hAnsi="Times New Roman" w:cs="Times New Roman"/>
          <w:noProof/>
          <w:sz w:val="24"/>
        </w:rPr>
        <w:t>ld remain mostly theoretical in nature.</w:t>
      </w:r>
    </w:p>
    <w:p w:rsidR="001B65FF" w:rsidRDefault="003E4EF4">
      <w:pPr>
        <w:numPr>
          <w:ilvl w:val="2"/>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On the other hand, if authorities were compelled to identify the location – which is often irrelevant for the investigation, e.g. if the location of the target is known already – it could lead them to take additional</w:t>
      </w:r>
      <w:r>
        <w:rPr>
          <w:rFonts w:ascii="Times New Roman" w:hAnsi="Times New Roman" w:cs="Times New Roman"/>
          <w:noProof/>
          <w:sz w:val="24"/>
        </w:rPr>
        <w:t xml:space="preserve"> investigative steps when accessing the data that are not necessary to contribute to resolving the case. Such a notification obligation could therefore create an incentive for a more intrusive access, which would run counter to the purpose of such a safegu</w:t>
      </w:r>
      <w:r>
        <w:rPr>
          <w:rFonts w:ascii="Times New Roman" w:hAnsi="Times New Roman" w:cs="Times New Roman"/>
          <w:noProof/>
          <w:sz w:val="24"/>
        </w:rPr>
        <w:t>ard.</w:t>
      </w:r>
    </w:p>
    <w:p w:rsidR="001B65FF" w:rsidRDefault="003E4EF4">
      <w:pPr>
        <w:numPr>
          <w:ilvl w:val="2"/>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It was also unclear what benefit the notified state would derive from the notification, other than the awareness that data on its territory was accessed. As the storing of data on its territory takes place without the agreement or even awareness of th</w:t>
      </w:r>
      <w:r>
        <w:rPr>
          <w:rFonts w:ascii="Times New Roman" w:hAnsi="Times New Roman" w:cs="Times New Roman"/>
          <w:noProof/>
          <w:sz w:val="24"/>
        </w:rPr>
        <w:t>e country, the added value of being informed about the access appeared limited.</w:t>
      </w:r>
    </w:p>
    <w:p w:rsidR="001B65FF" w:rsidRDefault="003E4EF4">
      <w:pPr>
        <w:numPr>
          <w:ilvl w:val="2"/>
          <w:numId w:val="97"/>
        </w:numPr>
        <w:spacing w:after="0"/>
        <w:contextualSpacing/>
        <w:jc w:val="both"/>
        <w:rPr>
          <w:rFonts w:ascii="Times New Roman" w:hAnsi="Times New Roman" w:cs="Times New Roman"/>
          <w:noProof/>
          <w:sz w:val="24"/>
        </w:rPr>
      </w:pPr>
      <w:r>
        <w:rPr>
          <w:rFonts w:ascii="Times New Roman" w:hAnsi="Times New Roman" w:cs="Times New Roman"/>
          <w:noProof/>
          <w:sz w:val="24"/>
        </w:rPr>
        <w:t>In addition, it did not comply with the logic of the proposal to move away from data storage location as a decisive factor.</w:t>
      </w:r>
    </w:p>
    <w:p w:rsidR="001B65FF" w:rsidRDefault="001B65FF">
      <w:pPr>
        <w:rPr>
          <w:rFonts w:eastAsia="Times New Roman"/>
          <w:noProof/>
        </w:rPr>
      </w:pPr>
    </w:p>
    <w:p w:rsidR="001B65FF" w:rsidRDefault="001B65FF">
      <w:pPr>
        <w:rPr>
          <w:rFonts w:eastAsia="Times New Roman"/>
          <w:noProof/>
        </w:rPr>
        <w:sectPr w:rsidR="001B65FF">
          <w:headerReference w:type="even" r:id="rId157"/>
          <w:headerReference w:type="default" r:id="rId158"/>
          <w:footerReference w:type="even" r:id="rId159"/>
          <w:footerReference w:type="default" r:id="rId160"/>
          <w:headerReference w:type="first" r:id="rId161"/>
          <w:footerReference w:type="first" r:id="rId162"/>
          <w:pgSz w:w="11906" w:h="16838"/>
          <w:pgMar w:top="1418" w:right="1418" w:bottom="1134" w:left="1418" w:header="709" w:footer="709" w:gutter="0"/>
          <w:cols w:space="708"/>
          <w:docGrid w:linePitch="360"/>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2279" w:name="_Toc499020503"/>
      <w:bookmarkStart w:id="2280" w:name="_Toc499030437"/>
      <w:bookmarkStart w:id="2281" w:name="_Toc499044979"/>
      <w:bookmarkStart w:id="2282" w:name="_Toc499051395"/>
      <w:bookmarkStart w:id="2283" w:name="_Toc499133354"/>
      <w:bookmarkStart w:id="2284" w:name="_Toc499142925"/>
      <w:bookmarkStart w:id="2285" w:name="_Toc510952920"/>
      <w:r>
        <w:rPr>
          <w:rFonts w:ascii="Times New Roman" w:eastAsia="Times New Roman" w:hAnsi="Times New Roman" w:cs="Times New Roman"/>
          <w:b/>
          <w:smallCaps/>
          <w:noProof/>
          <w:sz w:val="24"/>
          <w:szCs w:val="20"/>
        </w:rPr>
        <w:t>Annex 9: Additional information on the baseline</w:t>
      </w:r>
      <w:bookmarkEnd w:id="2279"/>
      <w:bookmarkEnd w:id="2280"/>
      <w:bookmarkEnd w:id="2281"/>
      <w:bookmarkEnd w:id="2282"/>
      <w:bookmarkEnd w:id="2283"/>
      <w:bookmarkEnd w:id="2284"/>
      <w:bookmarkEnd w:id="2285"/>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baseline or </w:t>
      </w:r>
      <w:r>
        <w:rPr>
          <w:rFonts w:ascii="Times New Roman" w:hAnsi="Times New Roman" w:cs="Times New Roman"/>
          <w:b/>
          <w:noProof/>
          <w:sz w:val="24"/>
        </w:rPr>
        <w:t>option O</w:t>
      </w:r>
      <w:r>
        <w:rPr>
          <w:rFonts w:ascii="Times New Roman" w:hAnsi="Times New Roman" w:cs="Times New Roman"/>
          <w:noProof/>
          <w:sz w:val="24"/>
        </w:rPr>
        <w:t xml:space="preserve"> is the scenario in which there is </w:t>
      </w:r>
      <w:r>
        <w:rPr>
          <w:rFonts w:ascii="Times New Roman" w:hAnsi="Times New Roman" w:cs="Times New Roman"/>
          <w:b/>
          <w:noProof/>
          <w:sz w:val="24"/>
        </w:rPr>
        <w:t>no EU action</w:t>
      </w:r>
      <w:r>
        <w:rPr>
          <w:rFonts w:ascii="Times New Roman" w:hAnsi="Times New Roman" w:cs="Times New Roman"/>
          <w:noProof/>
          <w:sz w:val="24"/>
        </w:rPr>
        <w:t>. This scenario has several dimensions:</w:t>
      </w:r>
    </w:p>
    <w:p w:rsidR="001B65FF" w:rsidRDefault="003E4EF4">
      <w:pPr>
        <w:numPr>
          <w:ilvl w:val="0"/>
          <w:numId w:val="190"/>
        </w:numPr>
        <w:contextualSpacing/>
        <w:jc w:val="both"/>
        <w:rPr>
          <w:rFonts w:ascii="Times New Roman" w:hAnsi="Times New Roman" w:cs="Times New Roman"/>
          <w:noProof/>
          <w:sz w:val="24"/>
        </w:rPr>
      </w:pPr>
      <w:r>
        <w:rPr>
          <w:rFonts w:ascii="Times New Roman" w:hAnsi="Times New Roman" w:cs="Times New Roman"/>
          <w:b/>
          <w:noProof/>
          <w:sz w:val="24"/>
        </w:rPr>
        <w:t>In general</w:t>
      </w:r>
      <w:r>
        <w:rPr>
          <w:rFonts w:ascii="Times New Roman" w:hAnsi="Times New Roman" w:cs="Times New Roman"/>
          <w:noProof/>
          <w:sz w:val="24"/>
        </w:rPr>
        <w:t xml:space="preserve"> terms, the problem drivers are </w:t>
      </w:r>
      <w:r>
        <w:rPr>
          <w:rFonts w:ascii="Times New Roman" w:hAnsi="Times New Roman" w:cs="Times New Roman"/>
          <w:noProof/>
          <w:sz w:val="24"/>
        </w:rPr>
        <w:t xml:space="preserve">likely to evolve as described in section 2.3. (How will the problem evolve), worsening the situation. </w:t>
      </w:r>
    </w:p>
    <w:p w:rsidR="001B65FF" w:rsidRDefault="003E4EF4">
      <w:pPr>
        <w:numPr>
          <w:ilvl w:val="0"/>
          <w:numId w:val="108"/>
        </w:numPr>
        <w:contextualSpacing/>
        <w:jc w:val="both"/>
        <w:rPr>
          <w:rFonts w:ascii="Times New Roman" w:hAnsi="Times New Roman" w:cs="Times New Roman"/>
          <w:noProof/>
          <w:sz w:val="24"/>
        </w:rPr>
      </w:pPr>
      <w:r>
        <w:rPr>
          <w:rFonts w:ascii="Times New Roman" w:hAnsi="Times New Roman" w:cs="Times New Roman"/>
          <w:b/>
          <w:noProof/>
          <w:sz w:val="24"/>
        </w:rPr>
        <w:t>Judicial cooperation</w:t>
      </w:r>
      <w:r>
        <w:rPr>
          <w:rFonts w:ascii="Times New Roman" w:hAnsi="Times New Roman" w:cs="Times New Roman"/>
          <w:noProof/>
          <w:sz w:val="24"/>
        </w:rPr>
        <w:t xml:space="preserve"> would likely take longer, given the exponential growth of electronic data and the increase in requests due to the loss of publicly a</w:t>
      </w:r>
      <w:r>
        <w:rPr>
          <w:rFonts w:ascii="Times New Roman" w:hAnsi="Times New Roman" w:cs="Times New Roman"/>
          <w:noProof/>
          <w:sz w:val="24"/>
        </w:rPr>
        <w:t xml:space="preserve">vailable data, which is unlikely to be matched by a growth in resources to deal with the increased number of MLAT/EIO requests. </w:t>
      </w:r>
    </w:p>
    <w:p w:rsidR="001B65FF" w:rsidRDefault="003E4EF4">
      <w:pPr>
        <w:numPr>
          <w:ilvl w:val="0"/>
          <w:numId w:val="108"/>
        </w:numPr>
        <w:contextualSpacing/>
        <w:jc w:val="both"/>
        <w:rPr>
          <w:rFonts w:ascii="Times New Roman" w:hAnsi="Times New Roman" w:cs="Times New Roman"/>
          <w:noProof/>
          <w:sz w:val="24"/>
        </w:rPr>
      </w:pPr>
      <w:r>
        <w:rPr>
          <w:rFonts w:ascii="Times New Roman" w:hAnsi="Times New Roman" w:cs="Times New Roman"/>
          <w:noProof/>
          <w:sz w:val="24"/>
        </w:rPr>
        <w:t xml:space="preserve">Without a clear framework for </w:t>
      </w:r>
      <w:r>
        <w:rPr>
          <w:rFonts w:ascii="Times New Roman" w:hAnsi="Times New Roman" w:cs="Times New Roman"/>
          <w:b/>
          <w:noProof/>
          <w:sz w:val="24"/>
        </w:rPr>
        <w:t>direct cooperation</w:t>
      </w:r>
      <w:r>
        <w:rPr>
          <w:rFonts w:ascii="Times New Roman" w:hAnsi="Times New Roman" w:cs="Times New Roman"/>
          <w:noProof/>
          <w:sz w:val="24"/>
        </w:rPr>
        <w:t xml:space="preserve"> between service providers and public authorities:</w:t>
      </w:r>
    </w:p>
    <w:p w:rsidR="001B65FF" w:rsidRDefault="003E4EF4">
      <w:pPr>
        <w:numPr>
          <w:ilvl w:val="1"/>
          <w:numId w:val="108"/>
        </w:numPr>
        <w:contextualSpacing/>
        <w:jc w:val="both"/>
        <w:rPr>
          <w:rFonts w:ascii="Times New Roman" w:hAnsi="Times New Roman" w:cs="Times New Roman"/>
          <w:noProof/>
          <w:sz w:val="24"/>
        </w:rPr>
      </w:pPr>
      <w:r>
        <w:rPr>
          <w:rFonts w:ascii="Times New Roman" w:hAnsi="Times New Roman" w:cs="Times New Roman"/>
          <w:noProof/>
          <w:sz w:val="24"/>
        </w:rPr>
        <w:t xml:space="preserve">the efficiency of this cooperation is, similarly, likely to decrease under the strain of the ever increasing number of requests. In addition, </w:t>
      </w:r>
      <w:r>
        <w:rPr>
          <w:rFonts w:ascii="Times New Roman" w:hAnsi="Times New Roman" w:cs="Times New Roman"/>
          <w:noProof/>
          <w:color w:val="000000"/>
          <w:sz w:val="24"/>
          <w:szCs w:val="24"/>
        </w:rPr>
        <w:t>the sheer growth in volume of direct requests might create a disincentive for new or continued cooperation;</w:t>
      </w:r>
    </w:p>
    <w:p w:rsidR="001B65FF" w:rsidRDefault="003E4EF4">
      <w:pPr>
        <w:numPr>
          <w:ilvl w:val="1"/>
          <w:numId w:val="108"/>
        </w:numPr>
        <w:contextualSpacing/>
        <w:jc w:val="both"/>
        <w:rPr>
          <w:rFonts w:ascii="Times New Roman" w:hAnsi="Times New Roman" w:cs="Times New Roman"/>
          <w:noProof/>
          <w:sz w:val="24"/>
        </w:rPr>
      </w:pPr>
      <w:r>
        <w:rPr>
          <w:rFonts w:ascii="Times New Roman" w:hAnsi="Times New Roman" w:cs="Times New Roman"/>
          <w:noProof/>
          <w:sz w:val="24"/>
        </w:rPr>
        <w:t>in the</w:t>
      </w:r>
      <w:r>
        <w:rPr>
          <w:rFonts w:ascii="Times New Roman" w:hAnsi="Times New Roman" w:cs="Times New Roman"/>
          <w:noProof/>
          <w:sz w:val="24"/>
        </w:rPr>
        <w:t xml:space="preserve"> absence of a clear </w:t>
      </w:r>
      <w:r>
        <w:rPr>
          <w:rFonts w:ascii="Times New Roman" w:hAnsi="Times New Roman" w:cs="Times New Roman"/>
          <w:b/>
          <w:noProof/>
          <w:sz w:val="24"/>
        </w:rPr>
        <w:t>legal basis</w:t>
      </w:r>
      <w:r>
        <w:rPr>
          <w:rFonts w:ascii="Times New Roman" w:hAnsi="Times New Roman" w:cs="Times New Roman"/>
          <w:noProof/>
          <w:sz w:val="24"/>
        </w:rPr>
        <w:t xml:space="preserve">, law enforcement may be unable to make requests for direct cooperation that are in compliance with Directive (EU) 2016/680 (the “Police Directive” or the </w:t>
      </w:r>
      <w:r>
        <w:rPr>
          <w:rFonts w:ascii="Times New Roman" w:hAnsi="Times New Roman" w:cs="Times New Roman"/>
          <w:b/>
          <w:noProof/>
          <w:sz w:val="24"/>
        </w:rPr>
        <w:t>data protection</w:t>
      </w:r>
      <w:r>
        <w:rPr>
          <w:rFonts w:ascii="Times New Roman" w:hAnsi="Times New Roman" w:cs="Times New Roman"/>
          <w:noProof/>
          <w:sz w:val="24"/>
        </w:rPr>
        <w:t xml:space="preserve"> directive for law enforcement)</w:t>
      </w:r>
      <w:r>
        <w:rPr>
          <w:rFonts w:ascii="Times New Roman" w:hAnsi="Times New Roman" w:cs="Times New Roman"/>
          <w:noProof/>
          <w:sz w:val="24"/>
          <w:vertAlign w:val="superscript"/>
        </w:rPr>
        <w:footnoteReference w:id="265"/>
      </w:r>
      <w:r>
        <w:rPr>
          <w:rFonts w:ascii="Times New Roman" w:hAnsi="Times New Roman" w:cs="Times New Roman"/>
          <w:noProof/>
          <w:sz w:val="24"/>
        </w:rPr>
        <w:t xml:space="preserve"> and in particular with Article 39, which sets specific conditions for such requests;</w:t>
      </w:r>
    </w:p>
    <w:p w:rsidR="001B65FF" w:rsidRDefault="003E4EF4">
      <w:pPr>
        <w:numPr>
          <w:ilvl w:val="1"/>
          <w:numId w:val="108"/>
        </w:numPr>
        <w:contextualSpacing/>
        <w:jc w:val="both"/>
        <w:rPr>
          <w:rFonts w:ascii="Times New Roman" w:hAnsi="Times New Roman" w:cs="Times New Roman"/>
          <w:noProof/>
          <w:sz w:val="24"/>
        </w:rPr>
      </w:pPr>
      <w:r>
        <w:rPr>
          <w:rFonts w:ascii="Times New Roman" w:hAnsi="Times New Roman" w:cs="Times New Roman"/>
          <w:noProof/>
          <w:sz w:val="24"/>
        </w:rPr>
        <w:t>for data that is publicly available at present but will move into gated-access systems by May 2018 (e.g. WHOIS), when the new data protection framework comes into effect,</w:t>
      </w:r>
      <w:r>
        <w:rPr>
          <w:rFonts w:ascii="Times New Roman" w:hAnsi="Times New Roman" w:cs="Times New Roman"/>
          <w:noProof/>
          <w:sz w:val="24"/>
        </w:rPr>
        <w:t xml:space="preserve"> availability to law enforcement will cease, absent a specific legal basis to address the data protection and criminal procedural law requirements.</w:t>
      </w:r>
    </w:p>
    <w:p w:rsidR="001B65FF" w:rsidRDefault="003E4EF4">
      <w:pPr>
        <w:numPr>
          <w:ilvl w:val="0"/>
          <w:numId w:val="108"/>
        </w:numPr>
        <w:contextualSpacing/>
        <w:jc w:val="both"/>
        <w:rPr>
          <w:rFonts w:ascii="Times New Roman" w:hAnsi="Times New Roman" w:cs="Times New Roman"/>
          <w:noProof/>
          <w:sz w:val="24"/>
        </w:rPr>
      </w:pPr>
      <w:r>
        <w:rPr>
          <w:rFonts w:ascii="Times New Roman" w:hAnsi="Times New Roman" w:cs="Times New Roman"/>
          <w:noProof/>
          <w:sz w:val="24"/>
        </w:rPr>
        <w:t xml:space="preserve">Without a clear EU framework defining </w:t>
      </w:r>
      <w:r>
        <w:rPr>
          <w:rFonts w:ascii="Times New Roman" w:hAnsi="Times New Roman" w:cs="Times New Roman"/>
          <w:b/>
          <w:noProof/>
          <w:sz w:val="24"/>
        </w:rPr>
        <w:t xml:space="preserve">jurisdiction </w:t>
      </w:r>
      <w:r>
        <w:rPr>
          <w:rFonts w:ascii="Times New Roman" w:hAnsi="Times New Roman" w:cs="Times New Roman"/>
          <w:noProof/>
          <w:sz w:val="24"/>
        </w:rPr>
        <w:t>in cross-border access to e-evidence, Member States are l</w:t>
      </w:r>
      <w:r>
        <w:rPr>
          <w:rFonts w:ascii="Times New Roman" w:hAnsi="Times New Roman" w:cs="Times New Roman"/>
          <w:noProof/>
          <w:sz w:val="24"/>
        </w:rPr>
        <w:t xml:space="preserve">ikely to introduce different practices and legislative instruments at national level which would lead to </w:t>
      </w:r>
      <w:r>
        <w:rPr>
          <w:rFonts w:ascii="Times New Roman" w:hAnsi="Times New Roman" w:cs="Times New Roman"/>
          <w:b/>
          <w:noProof/>
          <w:sz w:val="24"/>
        </w:rPr>
        <w:t>fragmentation</w:t>
      </w:r>
      <w:r>
        <w:rPr>
          <w:rFonts w:ascii="Times New Roman" w:hAnsi="Times New Roman" w:cs="Times New Roman"/>
          <w:noProof/>
          <w:sz w:val="24"/>
        </w:rPr>
        <w:t xml:space="preserve"> and </w:t>
      </w:r>
      <w:r>
        <w:rPr>
          <w:rFonts w:ascii="Times New Roman" w:hAnsi="Times New Roman" w:cs="Times New Roman"/>
          <w:noProof/>
          <w:color w:val="000000"/>
          <w:sz w:val="24"/>
          <w:szCs w:val="24"/>
        </w:rPr>
        <w:t>hamper effective cross-border cooperation in investigations and prosecutions. This would also further exacerbate the challenges servi</w:t>
      </w:r>
      <w:r>
        <w:rPr>
          <w:rFonts w:ascii="Times New Roman" w:hAnsi="Times New Roman" w:cs="Times New Roman"/>
          <w:noProof/>
          <w:color w:val="000000"/>
          <w:sz w:val="24"/>
          <w:szCs w:val="24"/>
        </w:rPr>
        <w:t xml:space="preserve">ce providers already face in assessing many different legal systems and may adversely affect the willingness of service providers to continue to invest in cooperation in which they are not obliged to participate. </w:t>
      </w:r>
    </w:p>
    <w:p w:rsidR="001B65FF" w:rsidRDefault="001B65FF">
      <w:pPr>
        <w:ind w:left="720"/>
        <w:contextualSpacing/>
        <w:jc w:val="both"/>
        <w:rPr>
          <w:rFonts w:ascii="Times New Roman" w:hAnsi="Times New Roman" w:cs="Times New Roman"/>
          <w:noProof/>
          <w:sz w:val="24"/>
        </w:rPr>
      </w:pPr>
    </w:p>
    <w:p w:rsidR="001B65FF" w:rsidRDefault="003E4EF4">
      <w:pPr>
        <w:numPr>
          <w:ilvl w:val="0"/>
          <w:numId w:val="190"/>
        </w:numPr>
        <w:contextualSpacing/>
        <w:jc w:val="both"/>
        <w:rPr>
          <w:rFonts w:ascii="Times New Roman" w:hAnsi="Times New Roman" w:cs="Times New Roman"/>
          <w:noProof/>
          <w:sz w:val="24"/>
        </w:rPr>
      </w:pPr>
      <w:r>
        <w:rPr>
          <w:rFonts w:ascii="Times New Roman" w:hAnsi="Times New Roman" w:cs="Times New Roman"/>
          <w:b/>
          <w:noProof/>
          <w:sz w:val="24"/>
        </w:rPr>
        <w:t>Existing and incoming EU legislation</w:t>
      </w:r>
      <w:r>
        <w:rPr>
          <w:rFonts w:ascii="Times New Roman" w:hAnsi="Times New Roman" w:cs="Times New Roman"/>
          <w:noProof/>
          <w:sz w:val="24"/>
        </w:rPr>
        <w:t xml:space="preserve"> is n</w:t>
      </w:r>
      <w:r>
        <w:rPr>
          <w:rFonts w:ascii="Times New Roman" w:hAnsi="Times New Roman" w:cs="Times New Roman"/>
          <w:noProof/>
          <w:sz w:val="24"/>
        </w:rPr>
        <w:t>ot likely to effectively address the challenges in cross-border access to e-evidence, in the absence of specific EU action to address those challenges in each of the channels:</w:t>
      </w:r>
    </w:p>
    <w:p w:rsidR="001B65FF" w:rsidRDefault="003E4EF4">
      <w:pPr>
        <w:numPr>
          <w:ilvl w:val="0"/>
          <w:numId w:val="32"/>
        </w:numPr>
        <w:contextualSpacing/>
        <w:jc w:val="both"/>
        <w:rPr>
          <w:rFonts w:ascii="Times New Roman" w:hAnsi="Times New Roman" w:cs="Times New Roman"/>
          <w:noProof/>
          <w:sz w:val="24"/>
        </w:rPr>
      </w:pPr>
      <w:r>
        <w:rPr>
          <w:rFonts w:ascii="Times New Roman" w:hAnsi="Times New Roman" w:cs="Times New Roman"/>
          <w:b/>
          <w:noProof/>
          <w:sz w:val="24"/>
        </w:rPr>
        <w:t xml:space="preserve">Judicial cooperation </w:t>
      </w:r>
      <w:r>
        <w:rPr>
          <w:rFonts w:ascii="Times New Roman" w:hAnsi="Times New Roman" w:cs="Times New Roman"/>
          <w:noProof/>
          <w:sz w:val="24"/>
        </w:rPr>
        <w:t>challenges:</w:t>
      </w:r>
    </w:p>
    <w:p w:rsidR="001B65FF" w:rsidRDefault="003E4EF4">
      <w:pPr>
        <w:numPr>
          <w:ilvl w:val="1"/>
          <w:numId w:val="32"/>
        </w:numPr>
        <w:contextualSpacing/>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EIO</w:t>
      </w:r>
      <w:r>
        <w:rPr>
          <w:rFonts w:ascii="Times New Roman" w:hAnsi="Times New Roman" w:cs="Times New Roman"/>
          <w:noProof/>
          <w:sz w:val="24"/>
        </w:rPr>
        <w:t xml:space="preserve"> </w:t>
      </w:r>
      <w:r>
        <w:rPr>
          <w:rFonts w:ascii="Times New Roman" w:hAnsi="Times New Roman" w:cs="Times New Roman"/>
          <w:b/>
          <w:noProof/>
          <w:sz w:val="24"/>
        </w:rPr>
        <w:t>Directive</w:t>
      </w:r>
      <w:r>
        <w:rPr>
          <w:rFonts w:ascii="Times New Roman" w:hAnsi="Times New Roman" w:cs="Times New Roman"/>
          <w:noProof/>
          <w:sz w:val="24"/>
        </w:rPr>
        <w:t xml:space="preserve"> is the main legal instrument </w:t>
      </w:r>
      <w:r>
        <w:rPr>
          <w:rFonts w:ascii="Times New Roman" w:hAnsi="Times New Roman" w:cs="Times New Roman"/>
          <w:noProof/>
          <w:sz w:val="24"/>
        </w:rPr>
        <w:t>to gather and transfer evidence between Member States. As explained in the problem definition (section 2.2.1.), it was not conceived for the specific purpose of cross-border access to e-evidence, and it has a number of drawbacks. These include the deadline</w:t>
      </w:r>
      <w:r>
        <w:rPr>
          <w:rFonts w:ascii="Times New Roman" w:hAnsi="Times New Roman" w:cs="Times New Roman"/>
          <w:noProof/>
          <w:sz w:val="24"/>
        </w:rPr>
        <w:t xml:space="preserve"> of 120 days to respond to provide access to e-evidence, which is still considered too long for an effective access to that type of evidence in criminal investigations.</w:t>
      </w:r>
      <w:r>
        <w:rPr>
          <w:rFonts w:ascii="Times New Roman" w:hAnsi="Times New Roman" w:cs="Times New Roman"/>
          <w:noProof/>
          <w:sz w:val="24"/>
          <w:szCs w:val="24"/>
        </w:rPr>
        <w:t xml:space="preserve"> Shorter deadlines that are provided by the EIO Directive for urgent cases cannot addres</w:t>
      </w:r>
      <w:r>
        <w:rPr>
          <w:rFonts w:ascii="Times New Roman" w:hAnsi="Times New Roman" w:cs="Times New Roman"/>
          <w:noProof/>
          <w:sz w:val="24"/>
          <w:szCs w:val="24"/>
        </w:rPr>
        <w:t>s the specific needs of e-evidence with its high relevance for criminal investigations: it is an exception rather than the general rule, requiring reasons for urgency in every case.</w:t>
      </w:r>
    </w:p>
    <w:p w:rsidR="001B65FF" w:rsidRDefault="003E4EF4">
      <w:pPr>
        <w:numPr>
          <w:ilvl w:val="1"/>
          <w:numId w:val="32"/>
        </w:numPr>
        <w:contextualSpacing/>
        <w:jc w:val="both"/>
        <w:rPr>
          <w:rFonts w:ascii="Times New Roman" w:hAnsi="Times New Roman" w:cs="Times New Roman"/>
          <w:noProof/>
          <w:sz w:val="24"/>
        </w:rPr>
      </w:pPr>
      <w:r>
        <w:rPr>
          <w:rFonts w:ascii="Times New Roman" w:hAnsi="Times New Roman" w:cs="Times New Roman"/>
          <w:noProof/>
          <w:sz w:val="24"/>
        </w:rPr>
        <w:t>That said, there is room to improve the expediency of judicial cooperation</w:t>
      </w:r>
      <w:r>
        <w:rPr>
          <w:rFonts w:ascii="Times New Roman" w:hAnsi="Times New Roman" w:cs="Times New Roman"/>
          <w:noProof/>
          <w:sz w:val="24"/>
        </w:rPr>
        <w:t xml:space="preserve"> in the EIO through a set of non-legislative initiatives at EU level (see option A below). In the absence of EU action, these improvements would not take place.</w:t>
      </w:r>
    </w:p>
    <w:p w:rsidR="001B65FF" w:rsidRDefault="003E4EF4">
      <w:pPr>
        <w:numPr>
          <w:ilvl w:val="1"/>
          <w:numId w:val="32"/>
        </w:numPr>
        <w:contextualSpacing/>
        <w:jc w:val="both"/>
        <w:rPr>
          <w:rFonts w:ascii="Times New Roman" w:hAnsi="Times New Roman" w:cs="Times New Roman"/>
          <w:noProof/>
          <w:sz w:val="24"/>
        </w:rPr>
      </w:pPr>
      <w:r>
        <w:rPr>
          <w:rFonts w:ascii="Times New Roman" w:hAnsi="Times New Roman" w:cs="Times New Roman"/>
          <w:noProof/>
          <w:sz w:val="24"/>
        </w:rPr>
        <w:t>In addition, Ireland and Denmark do not participate in the EIO, and will continue to rely on ML</w:t>
      </w:r>
      <w:r>
        <w:rPr>
          <w:rFonts w:ascii="Times New Roman" w:hAnsi="Times New Roman" w:cs="Times New Roman"/>
          <w:noProof/>
          <w:sz w:val="24"/>
        </w:rPr>
        <w:t>A channels for accessing electronic evidence in another Member State, with no legal deadlines to access e-evidence.</w:t>
      </w:r>
    </w:p>
    <w:p w:rsidR="001B65FF" w:rsidRDefault="003E4EF4">
      <w:pPr>
        <w:numPr>
          <w:ilvl w:val="1"/>
          <w:numId w:val="32"/>
        </w:numPr>
        <w:contextualSpacing/>
        <w:jc w:val="both"/>
        <w:rPr>
          <w:rFonts w:ascii="Times New Roman" w:hAnsi="Times New Roman" w:cs="Times New Roman"/>
          <w:noProof/>
          <w:sz w:val="24"/>
        </w:rPr>
      </w:pPr>
      <w:r>
        <w:rPr>
          <w:rFonts w:ascii="Times New Roman" w:hAnsi="Times New Roman" w:cs="Times New Roman"/>
          <w:noProof/>
          <w:sz w:val="24"/>
        </w:rPr>
        <w:t>Furthermore, the EIO does not resolve the challenges in accessing evidence held by service providers headquartered outside the EU, as this d</w:t>
      </w:r>
      <w:r>
        <w:rPr>
          <w:rFonts w:ascii="Times New Roman" w:hAnsi="Times New Roman" w:cs="Times New Roman"/>
          <w:noProof/>
          <w:sz w:val="24"/>
        </w:rPr>
        <w:t>imension is outside its scope, and it does not address the issue of data available using a login and password as this issue had not yet arisen at the time of the EIO drafting and negotiation.</w:t>
      </w:r>
    </w:p>
    <w:p w:rsidR="001B65FF" w:rsidRDefault="003E4EF4">
      <w:pPr>
        <w:numPr>
          <w:ilvl w:val="0"/>
          <w:numId w:val="32"/>
        </w:numPr>
        <w:contextualSpacing/>
        <w:jc w:val="both"/>
        <w:rPr>
          <w:rFonts w:ascii="Times New Roman" w:hAnsi="Times New Roman" w:cs="Times New Roman"/>
          <w:noProof/>
          <w:sz w:val="24"/>
        </w:rPr>
      </w:pPr>
      <w:r>
        <w:rPr>
          <w:rFonts w:ascii="Times New Roman" w:hAnsi="Times New Roman" w:cs="Times New Roman"/>
          <w:b/>
          <w:noProof/>
          <w:sz w:val="24"/>
        </w:rPr>
        <w:t>Direct cooperation</w:t>
      </w:r>
      <w:r>
        <w:rPr>
          <w:rFonts w:ascii="Times New Roman" w:hAnsi="Times New Roman" w:cs="Times New Roman"/>
          <w:noProof/>
          <w:sz w:val="24"/>
        </w:rPr>
        <w:t xml:space="preserve"> challenges:</w:t>
      </w:r>
    </w:p>
    <w:p w:rsidR="001B65FF" w:rsidRDefault="003E4EF4">
      <w:pPr>
        <w:numPr>
          <w:ilvl w:val="1"/>
          <w:numId w:val="32"/>
        </w:numPr>
        <w:contextualSpacing/>
        <w:jc w:val="both"/>
        <w:rPr>
          <w:rFonts w:ascii="Times New Roman" w:hAnsi="Times New Roman" w:cs="Times New Roman"/>
          <w:noProof/>
          <w:sz w:val="24"/>
        </w:rPr>
      </w:pPr>
      <w:r>
        <w:rPr>
          <w:rFonts w:ascii="Times New Roman" w:hAnsi="Times New Roman" w:cs="Times New Roman"/>
          <w:noProof/>
          <w:sz w:val="24"/>
        </w:rPr>
        <w:t>As described in the legislative c</w:t>
      </w:r>
      <w:r>
        <w:rPr>
          <w:rFonts w:ascii="Times New Roman" w:hAnsi="Times New Roman" w:cs="Times New Roman"/>
          <w:noProof/>
          <w:sz w:val="24"/>
        </w:rPr>
        <w:t>ontext (section 1), a number of proposals under discussion in different areas touch upon various aspects of access to e-evidence. These include the</w:t>
      </w:r>
      <w:r>
        <w:rPr>
          <w:rFonts w:ascii="Times New Roman" w:hAnsi="Times New Roman" w:cs="Times New Roman"/>
          <w:noProof/>
          <w:sz w:val="24"/>
          <w:szCs w:val="24"/>
        </w:rPr>
        <w:t xml:space="preserve">, the proposal for a Regulation on a framework for the </w:t>
      </w:r>
      <w:r>
        <w:rPr>
          <w:rFonts w:ascii="Times New Roman" w:hAnsi="Times New Roman" w:cs="Times New Roman"/>
          <w:b/>
          <w:noProof/>
          <w:sz w:val="24"/>
          <w:szCs w:val="24"/>
        </w:rPr>
        <w:t>free flow of non-personal data</w:t>
      </w:r>
      <w:r>
        <w:rPr>
          <w:rFonts w:ascii="Times New Roman" w:hAnsi="Times New Roman" w:cs="Times New Roman"/>
          <w:noProof/>
          <w:sz w:val="24"/>
          <w:szCs w:val="24"/>
        </w:rPr>
        <w:t xml:space="preserve"> in the EU and </w:t>
      </w:r>
      <w:r>
        <w:rPr>
          <w:rFonts w:ascii="Times New Roman" w:hAnsi="Times New Roman" w:cs="Times New Roman"/>
          <w:bCs/>
          <w:noProof/>
          <w:sz w:val="24"/>
          <w:lang w:eastAsia="en-GB"/>
        </w:rPr>
        <w:t>the propo</w:t>
      </w:r>
      <w:r>
        <w:rPr>
          <w:rFonts w:ascii="Times New Roman" w:hAnsi="Times New Roman" w:cs="Times New Roman"/>
          <w:bCs/>
          <w:noProof/>
          <w:sz w:val="24"/>
          <w:lang w:eastAsia="en-GB"/>
        </w:rPr>
        <w:t xml:space="preserve">sal for a Directive </w:t>
      </w:r>
      <w:r>
        <w:rPr>
          <w:rFonts w:ascii="Times New Roman" w:hAnsi="Times New Roman" w:cs="Times New Roman"/>
          <w:b/>
          <w:bCs/>
          <w:noProof/>
          <w:sz w:val="24"/>
          <w:lang w:eastAsia="en-GB"/>
        </w:rPr>
        <w:t xml:space="preserve">to empower the competition authorities of the Member States to be more effective enforcers and to ensure the proper functioning of the internal market. </w:t>
      </w:r>
      <w:r>
        <w:rPr>
          <w:rFonts w:ascii="Times New Roman" w:hAnsi="Times New Roman" w:cs="Times New Roman"/>
          <w:noProof/>
          <w:sz w:val="24"/>
          <w:szCs w:val="24"/>
          <w:lang w:eastAsia="en-GB"/>
        </w:rPr>
        <w:t xml:space="preserve">In addition, the </w:t>
      </w:r>
      <w:r>
        <w:rPr>
          <w:rFonts w:ascii="Times New Roman" w:hAnsi="Times New Roman" w:cs="Times New Roman"/>
          <w:b/>
          <w:bCs/>
          <w:noProof/>
          <w:sz w:val="24"/>
          <w:szCs w:val="24"/>
          <w:lang w:eastAsia="en-GB"/>
        </w:rPr>
        <w:t>Proposal for a Regulation on Privacy and Electronic Communications</w:t>
      </w:r>
      <w:r>
        <w:rPr>
          <w:rFonts w:ascii="Times New Roman" w:hAnsi="Times New Roman" w:cs="Times New Roman"/>
          <w:noProof/>
          <w:sz w:val="24"/>
          <w:szCs w:val="24"/>
          <w:lang w:eastAsia="en-GB"/>
        </w:rPr>
        <w:t xml:space="preserve"> provides that Union or Member State law may restrict by way of a legislative measure the scope of the obligations and rights provided for in Articles 5 to 8 where such a restriction respects the essence of the fundamental rights and freedoms and is a nece</w:t>
      </w:r>
      <w:r>
        <w:rPr>
          <w:rFonts w:ascii="Times New Roman" w:hAnsi="Times New Roman" w:cs="Times New Roman"/>
          <w:noProof/>
          <w:sz w:val="24"/>
          <w:szCs w:val="24"/>
          <w:lang w:eastAsia="en-GB"/>
        </w:rPr>
        <w:t xml:space="preserve">ssary, appropriate and proportionate measure in a democratic society to safeguard one or more of the general public interests referred to in Article 23(1)(a) to (e) of the General Data Protection Regulation. </w:t>
      </w:r>
      <w:r>
        <w:rPr>
          <w:rFonts w:ascii="Times New Roman" w:hAnsi="Times New Roman" w:cs="Times New Roman"/>
          <w:bCs/>
          <w:noProof/>
          <w:sz w:val="24"/>
          <w:lang w:eastAsia="en-GB"/>
        </w:rPr>
        <w:t>Although these proposals touch upon related issu</w:t>
      </w:r>
      <w:r>
        <w:rPr>
          <w:rFonts w:ascii="Times New Roman" w:hAnsi="Times New Roman" w:cs="Times New Roman"/>
          <w:bCs/>
          <w:noProof/>
          <w:sz w:val="24"/>
          <w:lang w:eastAsia="en-GB"/>
        </w:rPr>
        <w:t>es to the problem of cross-border access to e-evidence, none of them specifically focuses on tackling that problem, leaving a large number of issues in criminal investigations unaddressed</w:t>
      </w:r>
      <w:r>
        <w:rPr>
          <w:rFonts w:ascii="Times New Roman" w:hAnsi="Times New Roman" w:cs="Times New Roman"/>
          <w:noProof/>
          <w:sz w:val="24"/>
          <w:szCs w:val="24"/>
          <w:lang w:eastAsia="en-GB"/>
        </w:rPr>
        <w:t xml:space="preserve"> or up to sector-specific legislation</w:t>
      </w:r>
      <w:r>
        <w:rPr>
          <w:rFonts w:ascii="Times New Roman" w:hAnsi="Times New Roman" w:cs="Times New Roman"/>
          <w:bCs/>
          <w:noProof/>
          <w:sz w:val="24"/>
          <w:lang w:eastAsia="en-GB"/>
        </w:rPr>
        <w:t>. Nonetheless, these proposals s</w:t>
      </w:r>
      <w:r>
        <w:rPr>
          <w:rFonts w:ascii="Times New Roman" w:hAnsi="Times New Roman" w:cs="Times New Roman"/>
          <w:bCs/>
          <w:noProof/>
          <w:sz w:val="24"/>
          <w:lang w:eastAsia="en-GB"/>
        </w:rPr>
        <w:t>hould be taken into account in this initiative to ensure coherence.</w:t>
      </w:r>
    </w:p>
    <w:p w:rsidR="001B65FF" w:rsidRDefault="003E4EF4">
      <w:pPr>
        <w:numPr>
          <w:ilvl w:val="0"/>
          <w:numId w:val="32"/>
        </w:numPr>
        <w:contextualSpacing/>
        <w:jc w:val="both"/>
        <w:rPr>
          <w:rFonts w:ascii="Times New Roman" w:hAnsi="Times New Roman" w:cs="Times New Roman"/>
          <w:noProof/>
          <w:sz w:val="24"/>
        </w:rPr>
      </w:pPr>
      <w:r>
        <w:rPr>
          <w:rFonts w:ascii="Times New Roman" w:hAnsi="Times New Roman" w:cs="Times New Roman"/>
          <w:b/>
          <w:noProof/>
          <w:sz w:val="24"/>
        </w:rPr>
        <w:t>Direct access</w:t>
      </w:r>
      <w:r>
        <w:rPr>
          <w:rFonts w:ascii="Times New Roman" w:hAnsi="Times New Roman" w:cs="Times New Roman"/>
          <w:noProof/>
          <w:sz w:val="24"/>
        </w:rPr>
        <w:t xml:space="preserve"> challenges:</w:t>
      </w:r>
    </w:p>
    <w:p w:rsidR="001B65FF" w:rsidRDefault="003E4EF4">
      <w:pPr>
        <w:numPr>
          <w:ilvl w:val="1"/>
          <w:numId w:val="32"/>
        </w:numPr>
        <w:contextualSpacing/>
        <w:jc w:val="both"/>
        <w:rPr>
          <w:rFonts w:ascii="Times New Roman" w:hAnsi="Times New Roman" w:cs="Times New Roman"/>
          <w:noProof/>
          <w:sz w:val="24"/>
        </w:rPr>
      </w:pPr>
      <w:r>
        <w:rPr>
          <w:rFonts w:ascii="Times New Roman" w:hAnsi="Times New Roman" w:cs="Times New Roman"/>
          <w:noProof/>
          <w:sz w:val="24"/>
        </w:rPr>
        <w:t>There is no current or incoming EU legislation addressing the challenges of direct access to e-evidence.</w:t>
      </w:r>
    </w:p>
    <w:p w:rsidR="001B65FF" w:rsidRDefault="001B65FF">
      <w:pPr>
        <w:ind w:left="720"/>
        <w:contextualSpacing/>
        <w:rPr>
          <w:rFonts w:ascii="Times New Roman" w:hAnsi="Times New Roman" w:cs="Times New Roman"/>
          <w:noProof/>
          <w:sz w:val="24"/>
        </w:rPr>
      </w:pPr>
    </w:p>
    <w:p w:rsidR="001B65FF" w:rsidRDefault="003E4EF4">
      <w:pPr>
        <w:numPr>
          <w:ilvl w:val="0"/>
          <w:numId w:val="190"/>
        </w:numPr>
        <w:contextualSpacing/>
        <w:jc w:val="both"/>
        <w:rPr>
          <w:rFonts w:ascii="Times New Roman" w:hAnsi="Times New Roman" w:cs="Times New Roman"/>
          <w:b/>
          <w:noProof/>
          <w:sz w:val="24"/>
        </w:rPr>
      </w:pPr>
      <w:r>
        <w:rPr>
          <w:rFonts w:ascii="Times New Roman" w:hAnsi="Times New Roman" w:cs="Times New Roman"/>
          <w:b/>
          <w:noProof/>
          <w:sz w:val="24"/>
        </w:rPr>
        <w:t xml:space="preserve">International agreements </w:t>
      </w:r>
      <w:r>
        <w:rPr>
          <w:rFonts w:ascii="Times New Roman" w:hAnsi="Times New Roman" w:cs="Times New Roman"/>
          <w:noProof/>
          <w:sz w:val="24"/>
        </w:rPr>
        <w:t>between Member States and non-E</w:t>
      </w:r>
      <w:r>
        <w:rPr>
          <w:rFonts w:ascii="Times New Roman" w:hAnsi="Times New Roman" w:cs="Times New Roman"/>
          <w:noProof/>
          <w:sz w:val="24"/>
        </w:rPr>
        <w:t>U countries are likely to evolve in an uncoordinated way without EU action.</w:t>
      </w:r>
      <w:r>
        <w:rPr>
          <w:rFonts w:ascii="Times New Roman" w:hAnsi="Times New Roman" w:cs="Times New Roman"/>
          <w:b/>
          <w:noProof/>
          <w:sz w:val="24"/>
        </w:rPr>
        <w:t xml:space="preserve"> </w:t>
      </w:r>
    </w:p>
    <w:p w:rsidR="001B65FF" w:rsidRDefault="003E4EF4">
      <w:pPr>
        <w:numPr>
          <w:ilvl w:val="0"/>
          <w:numId w:val="32"/>
        </w:numPr>
        <w:contextualSpacing/>
        <w:jc w:val="both"/>
        <w:rPr>
          <w:rFonts w:ascii="Times New Roman" w:hAnsi="Times New Roman" w:cs="Times New Roman"/>
          <w:noProof/>
          <w:sz w:val="24"/>
        </w:rPr>
      </w:pPr>
      <w:r>
        <w:rPr>
          <w:rFonts w:ascii="Times New Roman" w:hAnsi="Times New Roman" w:cs="Times New Roman"/>
          <w:noProof/>
          <w:sz w:val="24"/>
        </w:rPr>
        <w:t>Council of Europe Convention on Cybercrime.</w:t>
      </w:r>
    </w:p>
    <w:p w:rsidR="001B65FF" w:rsidRDefault="003E4EF4">
      <w:pPr>
        <w:ind w:left="1080"/>
        <w:contextualSpacing/>
        <w:jc w:val="both"/>
        <w:rPr>
          <w:rFonts w:ascii="Times New Roman" w:hAnsi="Times New Roman" w:cs="Times New Roman"/>
          <w:noProof/>
          <w:sz w:val="24"/>
        </w:rPr>
      </w:pPr>
      <w:r>
        <w:rPr>
          <w:rFonts w:ascii="Times New Roman" w:hAnsi="Times New Roman" w:cs="Times New Roman"/>
          <w:noProof/>
          <w:sz w:val="24"/>
        </w:rPr>
        <w:t>A negotiation was launched in 2017 to add a new protocol to the Convention. The protocol could include:</w:t>
      </w:r>
    </w:p>
    <w:p w:rsidR="001B65FF" w:rsidRDefault="003E4EF4">
      <w:pPr>
        <w:numPr>
          <w:ilvl w:val="0"/>
          <w:numId w:val="38"/>
        </w:numPr>
        <w:contextualSpacing/>
        <w:jc w:val="both"/>
        <w:rPr>
          <w:rFonts w:ascii="Times New Roman" w:hAnsi="Times New Roman" w:cs="Times New Roman"/>
          <w:noProof/>
          <w:sz w:val="24"/>
        </w:rPr>
      </w:pPr>
      <w:r>
        <w:rPr>
          <w:rFonts w:ascii="Times New Roman" w:hAnsi="Times New Roman" w:cs="Times New Roman"/>
          <w:noProof/>
          <w:sz w:val="24"/>
        </w:rPr>
        <w:t xml:space="preserve">provisions for more effective mutual legal assistance; </w:t>
      </w:r>
    </w:p>
    <w:p w:rsidR="001B65FF" w:rsidRDefault="003E4EF4">
      <w:pPr>
        <w:numPr>
          <w:ilvl w:val="0"/>
          <w:numId w:val="38"/>
        </w:numPr>
        <w:contextualSpacing/>
        <w:jc w:val="both"/>
        <w:rPr>
          <w:rFonts w:ascii="Times New Roman" w:hAnsi="Times New Roman" w:cs="Times New Roman"/>
          <w:noProof/>
          <w:sz w:val="24"/>
        </w:rPr>
      </w:pPr>
      <w:r>
        <w:rPr>
          <w:rFonts w:ascii="Times New Roman" w:hAnsi="Times New Roman" w:cs="Times New Roman"/>
          <w:noProof/>
          <w:sz w:val="24"/>
        </w:rPr>
        <w:t xml:space="preserve">provisions allowing for direct cooperation with service providers in other jurisdictions with regard to requests for subscriber information, preservation requests and emergency requests; </w:t>
      </w:r>
    </w:p>
    <w:p w:rsidR="001B65FF" w:rsidRDefault="003E4EF4">
      <w:pPr>
        <w:numPr>
          <w:ilvl w:val="0"/>
          <w:numId w:val="38"/>
        </w:numPr>
        <w:contextualSpacing/>
        <w:jc w:val="both"/>
        <w:rPr>
          <w:rFonts w:ascii="Times New Roman" w:hAnsi="Times New Roman" w:cs="Times New Roman"/>
          <w:noProof/>
          <w:sz w:val="24"/>
        </w:rPr>
      </w:pPr>
      <w:r>
        <w:rPr>
          <w:rFonts w:ascii="Times New Roman" w:hAnsi="Times New Roman" w:cs="Times New Roman"/>
          <w:noProof/>
          <w:sz w:val="24"/>
        </w:rPr>
        <w:t>a clearer fr</w:t>
      </w:r>
      <w:r>
        <w:rPr>
          <w:rFonts w:ascii="Times New Roman" w:hAnsi="Times New Roman" w:cs="Times New Roman"/>
          <w:noProof/>
          <w:sz w:val="24"/>
        </w:rPr>
        <w:t>amework and stronger safeguards for existing practices of trans border access to data, and</w:t>
      </w:r>
    </w:p>
    <w:p w:rsidR="001B65FF" w:rsidRDefault="003E4EF4">
      <w:pPr>
        <w:numPr>
          <w:ilvl w:val="0"/>
          <w:numId w:val="38"/>
        </w:numPr>
        <w:contextualSpacing/>
        <w:jc w:val="both"/>
        <w:rPr>
          <w:rFonts w:ascii="Times New Roman" w:hAnsi="Times New Roman" w:cs="Times New Roman"/>
          <w:noProof/>
          <w:sz w:val="24"/>
        </w:rPr>
      </w:pPr>
      <w:r>
        <w:rPr>
          <w:rFonts w:ascii="Times New Roman" w:hAnsi="Times New Roman" w:cs="Times New Roman"/>
          <w:noProof/>
          <w:sz w:val="24"/>
        </w:rPr>
        <w:t>safeguards, including data protection requirements.</w:t>
      </w:r>
    </w:p>
    <w:p w:rsidR="001B65FF" w:rsidRDefault="003E4EF4">
      <w:pPr>
        <w:ind w:left="1080"/>
        <w:contextualSpacing/>
        <w:jc w:val="both"/>
        <w:rPr>
          <w:rFonts w:ascii="Times New Roman" w:hAnsi="Times New Roman" w:cs="Times New Roman"/>
          <w:noProof/>
          <w:sz w:val="24"/>
        </w:rPr>
      </w:pPr>
      <w:r>
        <w:rPr>
          <w:rFonts w:ascii="Times New Roman" w:hAnsi="Times New Roman" w:cs="Times New Roman"/>
          <w:noProof/>
          <w:sz w:val="24"/>
        </w:rPr>
        <w:t>These negotiations will go ahead regardless of whether the EU acts. In the absence of EU action (i.e. active part</w:t>
      </w:r>
      <w:r>
        <w:rPr>
          <w:rFonts w:ascii="Times New Roman" w:hAnsi="Times New Roman" w:cs="Times New Roman"/>
          <w:noProof/>
          <w:sz w:val="24"/>
        </w:rPr>
        <w:t>icipation in the negotiations, ensuring coordination among Member States), the strength of a coordinated negotiating position would be lost, possibly with suboptimal consequences for Member States. If the EU adopts its own legislative proposal on cross-bor</w:t>
      </w:r>
      <w:r>
        <w:rPr>
          <w:rFonts w:ascii="Times New Roman" w:hAnsi="Times New Roman" w:cs="Times New Roman"/>
          <w:noProof/>
          <w:sz w:val="24"/>
        </w:rPr>
        <w:t>der access to electronic evidence, the need for an active participation becomes even more evident as coherence between EU law and the Convention should be ensured. Otherwise Member States might be forced to choose between compliance with either the new pro</w:t>
      </w:r>
      <w:r>
        <w:rPr>
          <w:rFonts w:ascii="Times New Roman" w:hAnsi="Times New Roman" w:cs="Times New Roman"/>
          <w:noProof/>
          <w:sz w:val="24"/>
        </w:rPr>
        <w:t>tocol of the Convention or the new EU legal framework.</w:t>
      </w:r>
    </w:p>
    <w:p w:rsidR="001B65FF" w:rsidRDefault="003E4EF4">
      <w:pPr>
        <w:numPr>
          <w:ilvl w:val="0"/>
          <w:numId w:val="32"/>
        </w:numPr>
        <w:contextualSpacing/>
        <w:jc w:val="both"/>
        <w:rPr>
          <w:rFonts w:ascii="Times New Roman" w:hAnsi="Times New Roman" w:cs="Times New Roman"/>
          <w:noProof/>
          <w:sz w:val="24"/>
        </w:rPr>
      </w:pPr>
      <w:r>
        <w:rPr>
          <w:rFonts w:ascii="Times New Roman" w:hAnsi="Times New Roman" w:cs="Times New Roman"/>
          <w:noProof/>
          <w:sz w:val="24"/>
        </w:rPr>
        <w:t>Bilateral agreements</w:t>
      </w:r>
    </w:p>
    <w:p w:rsidR="001B65FF" w:rsidRDefault="003E4EF4">
      <w:pPr>
        <w:numPr>
          <w:ilvl w:val="1"/>
          <w:numId w:val="190"/>
        </w:numPr>
        <w:contextualSpacing/>
        <w:jc w:val="both"/>
        <w:rPr>
          <w:rFonts w:ascii="Times New Roman" w:hAnsi="Times New Roman" w:cs="Times New Roman"/>
          <w:noProof/>
          <w:sz w:val="24"/>
        </w:rPr>
      </w:pPr>
      <w:r>
        <w:rPr>
          <w:rFonts w:ascii="Times New Roman" w:hAnsi="Times New Roman" w:cs="Times New Roman"/>
          <w:noProof/>
          <w:sz w:val="24"/>
        </w:rPr>
        <w:t xml:space="preserve">The problem definition (section 2) showed the </w:t>
      </w:r>
      <w:r>
        <w:rPr>
          <w:rFonts w:ascii="Times New Roman" w:hAnsi="Times New Roman" w:cs="Times New Roman"/>
          <w:b/>
          <w:noProof/>
          <w:sz w:val="24"/>
        </w:rPr>
        <w:t>limitations</w:t>
      </w:r>
      <w:r>
        <w:rPr>
          <w:rFonts w:ascii="Times New Roman" w:hAnsi="Times New Roman" w:cs="Times New Roman"/>
          <w:noProof/>
          <w:sz w:val="24"/>
        </w:rPr>
        <w:t xml:space="preserve"> of the current MLA Treaties used to access e-evidence across borders. </w:t>
      </w:r>
    </w:p>
    <w:p w:rsidR="001B65FF" w:rsidRDefault="003E4EF4">
      <w:pPr>
        <w:numPr>
          <w:ilvl w:val="1"/>
          <w:numId w:val="190"/>
        </w:numPr>
        <w:contextualSpacing/>
        <w:jc w:val="both"/>
        <w:rPr>
          <w:rFonts w:ascii="Times New Roman" w:hAnsi="Times New Roman" w:cs="Times New Roman"/>
          <w:noProof/>
          <w:sz w:val="24"/>
        </w:rPr>
      </w:pPr>
      <w:r>
        <w:rPr>
          <w:rFonts w:ascii="Times New Roman" w:hAnsi="Times New Roman" w:cs="Times New Roman"/>
          <w:noProof/>
          <w:sz w:val="24"/>
        </w:rPr>
        <w:t>To address some of the issues concerning the MLA pr</w:t>
      </w:r>
      <w:r>
        <w:rPr>
          <w:rFonts w:ascii="Times New Roman" w:hAnsi="Times New Roman" w:cs="Times New Roman"/>
          <w:noProof/>
          <w:sz w:val="24"/>
        </w:rPr>
        <w:t xml:space="preserve">ocedure with the US, the DOJ/OIA organises </w:t>
      </w:r>
      <w:r>
        <w:rPr>
          <w:rFonts w:ascii="Times New Roman" w:hAnsi="Times New Roman" w:cs="Times New Roman"/>
          <w:b/>
          <w:noProof/>
          <w:sz w:val="24"/>
        </w:rPr>
        <w:t>trainings</w:t>
      </w:r>
      <w:r>
        <w:rPr>
          <w:rFonts w:ascii="Times New Roman" w:hAnsi="Times New Roman" w:cs="Times New Roman"/>
          <w:noProof/>
          <w:sz w:val="24"/>
        </w:rPr>
        <w:t xml:space="preserve"> for practitioners in the requesting countries on understanding US legal standards and on how to fill the MLAT application in correctly. In addition, the </w:t>
      </w:r>
      <w:r>
        <w:rPr>
          <w:rFonts w:ascii="Times New Roman" w:hAnsi="Times New Roman" w:cs="Times New Roman"/>
          <w:b/>
          <w:noProof/>
          <w:sz w:val="24"/>
        </w:rPr>
        <w:t>liaison magistrates</w:t>
      </w:r>
      <w:r>
        <w:rPr>
          <w:rFonts w:ascii="Times New Roman" w:hAnsi="Times New Roman" w:cs="Times New Roman"/>
          <w:noProof/>
          <w:sz w:val="24"/>
        </w:rPr>
        <w:t xml:space="preserve"> of the Member States to the US</w:t>
      </w:r>
      <w:r>
        <w:rPr>
          <w:rFonts w:ascii="Times New Roman" w:hAnsi="Times New Roman" w:cs="Times New Roman"/>
          <w:noProof/>
          <w:sz w:val="24"/>
        </w:rPr>
        <w:t xml:space="preserve"> have significant operational experience in the MLAT process and play a key role in facilitating the communication between the Member States and the DOJ. In particular, they prepare guidelines to the judges in their Member State on how to prepare MLAT requ</w:t>
      </w:r>
      <w:r>
        <w:rPr>
          <w:rFonts w:ascii="Times New Roman" w:hAnsi="Times New Roman" w:cs="Times New Roman"/>
          <w:noProof/>
          <w:sz w:val="24"/>
        </w:rPr>
        <w:t>ests and the MLAT procedure.</w:t>
      </w:r>
    </w:p>
    <w:p w:rsidR="001B65FF" w:rsidRDefault="003E4EF4">
      <w:pPr>
        <w:ind w:left="1440"/>
        <w:contextualSpacing/>
        <w:jc w:val="both"/>
        <w:rPr>
          <w:rFonts w:ascii="Times New Roman" w:hAnsi="Times New Roman" w:cs="Times New Roman"/>
          <w:noProof/>
          <w:sz w:val="24"/>
        </w:rPr>
      </w:pPr>
      <w:r>
        <w:rPr>
          <w:rFonts w:ascii="Times New Roman" w:hAnsi="Times New Roman" w:cs="Times New Roman"/>
          <w:noProof/>
          <w:sz w:val="24"/>
        </w:rPr>
        <w:t>That said, these operational improvements are not likely to bring substantial improvement to the current procedures.</w:t>
      </w:r>
    </w:p>
    <w:p w:rsidR="001B65FF" w:rsidRDefault="003E4EF4">
      <w:pPr>
        <w:numPr>
          <w:ilvl w:val="1"/>
          <w:numId w:val="32"/>
        </w:numPr>
        <w:contextualSpacing/>
        <w:jc w:val="both"/>
        <w:rPr>
          <w:rFonts w:ascii="Times New Roman" w:hAnsi="Times New Roman" w:cs="Times New Roman"/>
          <w:noProof/>
          <w:sz w:val="24"/>
        </w:rPr>
      </w:pPr>
      <w:r>
        <w:rPr>
          <w:rFonts w:ascii="Times New Roman" w:hAnsi="Times New Roman" w:cs="Times New Roman"/>
          <w:noProof/>
          <w:sz w:val="24"/>
        </w:rPr>
        <w:t xml:space="preserve">From the perspective of US law there is no need to go through the MLA process for </w:t>
      </w:r>
      <w:r>
        <w:rPr>
          <w:rFonts w:ascii="Times New Roman" w:hAnsi="Times New Roman" w:cs="Times New Roman"/>
          <w:b/>
          <w:noProof/>
          <w:sz w:val="24"/>
        </w:rPr>
        <w:t>non-content</w:t>
      </w:r>
      <w:r>
        <w:rPr>
          <w:rFonts w:ascii="Times New Roman" w:hAnsi="Times New Roman" w:cs="Times New Roman"/>
          <w:noProof/>
          <w:sz w:val="24"/>
        </w:rPr>
        <w:t xml:space="preserve"> data. As a resul</w:t>
      </w:r>
      <w:r>
        <w:rPr>
          <w:rFonts w:ascii="Times New Roman" w:hAnsi="Times New Roman" w:cs="Times New Roman"/>
          <w:noProof/>
          <w:sz w:val="24"/>
        </w:rPr>
        <w:t>t, it is difficult to justify to the US authorities why they should continue investing resources in a procedure that is superfluous from their perspective.</w:t>
      </w:r>
    </w:p>
    <w:p w:rsidR="001B65FF" w:rsidRDefault="003E4EF4">
      <w:pPr>
        <w:numPr>
          <w:ilvl w:val="1"/>
          <w:numId w:val="32"/>
        </w:numPr>
        <w:contextualSpacing/>
        <w:jc w:val="both"/>
        <w:rPr>
          <w:rFonts w:ascii="Times New Roman" w:hAnsi="Times New Roman" w:cs="Times New Roman"/>
          <w:noProof/>
          <w:sz w:val="24"/>
        </w:rPr>
      </w:pPr>
      <w:r>
        <w:rPr>
          <w:rFonts w:ascii="Times New Roman" w:hAnsi="Times New Roman" w:cs="Times New Roman"/>
          <w:noProof/>
          <w:sz w:val="24"/>
        </w:rPr>
        <w:t xml:space="preserve">Judicial cooperation between public authorities through the MLA process could also be influenced by </w:t>
      </w:r>
      <w:r>
        <w:rPr>
          <w:rFonts w:ascii="Times New Roman" w:hAnsi="Times New Roman" w:cs="Times New Roman"/>
          <w:noProof/>
          <w:sz w:val="24"/>
        </w:rPr>
        <w:t xml:space="preserve">the decision of the US Supreme Court on the </w:t>
      </w:r>
      <w:r>
        <w:rPr>
          <w:rFonts w:ascii="Times New Roman" w:hAnsi="Times New Roman" w:cs="Times New Roman"/>
          <w:b/>
          <w:noProof/>
          <w:sz w:val="24"/>
        </w:rPr>
        <w:t>Microsoft Ireland case</w:t>
      </w:r>
      <w:r>
        <w:rPr>
          <w:rFonts w:ascii="Times New Roman" w:hAnsi="Times New Roman" w:cs="Times New Roman"/>
          <w:noProof/>
          <w:sz w:val="24"/>
        </w:rPr>
        <w:t>, expected by July 2018. The DOJ had previously sought access to content data from service providers in the US (also on behalf of requesting EU Member States) regardless of where it was stor</w:t>
      </w:r>
      <w:r>
        <w:rPr>
          <w:rFonts w:ascii="Times New Roman" w:hAnsi="Times New Roman" w:cs="Times New Roman"/>
          <w:noProof/>
          <w:sz w:val="24"/>
        </w:rPr>
        <w:t xml:space="preserve">ed. Microsoft challenged this practice in 2013 (see box below). The US Supreme Court could allow US law enforcement to continue to request US service providers access to e-evidence regardless of where it is stored (including evidence stored in the EU), or </w:t>
      </w:r>
      <w:r>
        <w:rPr>
          <w:rFonts w:ascii="Times New Roman" w:hAnsi="Times New Roman" w:cs="Times New Roman"/>
          <w:noProof/>
          <w:sz w:val="24"/>
        </w:rPr>
        <w:t xml:space="preserve">could limit US competence, forcing a change in legislation. Without coordinated EU action in preparation for the possible outcomes of this case, Member States would be exposed to its consequences in different ways, which could generate different responses </w:t>
      </w:r>
      <w:r>
        <w:rPr>
          <w:rFonts w:ascii="Times New Roman" w:hAnsi="Times New Roman" w:cs="Times New Roman"/>
          <w:noProof/>
          <w:sz w:val="24"/>
        </w:rPr>
        <w:t>from them and lead to fragmentation and hampered cross-border cooperation.</w:t>
      </w:r>
    </w:p>
    <w:p w:rsidR="001B65FF" w:rsidRDefault="001B65FF">
      <w:pPr>
        <w:ind w:left="1080"/>
        <w:contextualSpacing/>
        <w:rPr>
          <w:rFonts w:ascii="Times New Roman" w:hAnsi="Times New Roman" w:cs="Times New Roman"/>
          <w:i/>
          <w:noProof/>
          <w:sz w:val="24"/>
          <w:lang w:eastAsia="en-GB"/>
        </w:rPr>
      </w:pPr>
    </w:p>
    <w:p w:rsidR="001B65FF" w:rsidRDefault="003E4EF4">
      <w:pPr>
        <w:ind w:left="1080"/>
        <w:contextualSpacing/>
        <w:jc w:val="center"/>
        <w:rPr>
          <w:rFonts w:ascii="Times New Roman" w:hAnsi="Times New Roman" w:cs="Times New Roman"/>
          <w:i/>
          <w:noProof/>
          <w:sz w:val="24"/>
          <w:lang w:eastAsia="en-GB"/>
        </w:rPr>
      </w:pPr>
      <w:r>
        <w:rPr>
          <w:rFonts w:ascii="Times New Roman" w:hAnsi="Times New Roman" w:cs="Times New Roman"/>
          <w:i/>
          <w:noProof/>
          <w:sz w:val="24"/>
          <w:lang w:eastAsia="en-GB"/>
        </w:rPr>
        <w:t>Box 1: the Microsoft Ireland case</w:t>
      </w:r>
    </w:p>
    <w:tbl>
      <w:tblPr>
        <w:tblW w:w="7956" w:type="dxa"/>
        <w:tblInd w:w="1242"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7956"/>
      </w:tblGrid>
      <w:tr w:rsidR="001B65FF">
        <w:tc>
          <w:tcPr>
            <w:tcW w:w="7956" w:type="dxa"/>
            <w:shd w:val="clear" w:color="auto" w:fill="F2F2F2" w:themeFill="background1" w:themeFillShade="F2"/>
            <w:hideMark/>
          </w:tcPr>
          <w:p w:rsidR="001B65FF" w:rsidRDefault="003E4EF4">
            <w:pPr>
              <w:spacing w:before="24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In 2013, Microsoft challenged a warrant by US law enforcement to turn over email of a target account that was stored in Ireland, arguing that a warrant issued under Stored Communications Act (part of ECPA) could not compel American companies to produce dat</w:t>
            </w:r>
            <w:r>
              <w:rPr>
                <w:rFonts w:ascii="Times New Roman" w:hAnsi="Times New Roman" w:cs="Times New Roman"/>
                <w:noProof/>
                <w:sz w:val="24"/>
                <w:lang w:eastAsia="en-GB"/>
              </w:rPr>
              <w:t xml:space="preserve">a stored in servers outside the US. </w:t>
            </w:r>
          </w:p>
          <w:p w:rsidR="001B65FF" w:rsidRDefault="003E4EF4">
            <w:pPr>
              <w:spacing w:before="24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Microsoft initially </w:t>
            </w:r>
            <w:r>
              <w:rPr>
                <w:rFonts w:ascii="Times New Roman" w:hAnsi="Times New Roman" w:cs="Times New Roman"/>
                <w:b/>
                <w:noProof/>
                <w:sz w:val="24"/>
                <w:lang w:eastAsia="en-GB"/>
              </w:rPr>
              <w:t>lost</w:t>
            </w:r>
            <w:r>
              <w:rPr>
                <w:rFonts w:ascii="Times New Roman" w:hAnsi="Times New Roman" w:cs="Times New Roman"/>
                <w:noProof/>
                <w:sz w:val="24"/>
                <w:lang w:eastAsia="en-GB"/>
              </w:rPr>
              <w:t xml:space="preserve"> in the </w:t>
            </w:r>
            <w:r>
              <w:rPr>
                <w:rFonts w:ascii="Times New Roman" w:hAnsi="Times New Roman" w:cs="Times New Roman"/>
                <w:b/>
                <w:noProof/>
                <w:sz w:val="24"/>
                <w:lang w:eastAsia="en-GB"/>
              </w:rPr>
              <w:t>New York District Court</w:t>
            </w:r>
            <w:r>
              <w:rPr>
                <w:rFonts w:ascii="Times New Roman" w:hAnsi="Times New Roman" w:cs="Times New Roman"/>
                <w:noProof/>
                <w:sz w:val="24"/>
                <w:lang w:eastAsia="en-GB"/>
              </w:rPr>
              <w:t>, with the judge stating that the nature of the Stored Communication Act warrant, as passed in 1986, was not subject to territorial limitations.</w:t>
            </w:r>
          </w:p>
          <w:p w:rsidR="001B65FF" w:rsidRDefault="003E4EF4">
            <w:pPr>
              <w:spacing w:before="24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Microsoft appealed </w:t>
            </w:r>
            <w:r>
              <w:rPr>
                <w:rFonts w:ascii="Times New Roman" w:hAnsi="Times New Roman" w:cs="Times New Roman"/>
                <w:noProof/>
                <w:sz w:val="24"/>
                <w:lang w:eastAsia="en-GB"/>
              </w:rPr>
              <w:t xml:space="preserve">to the United States Court of Appeals for the </w:t>
            </w:r>
            <w:r>
              <w:rPr>
                <w:rFonts w:ascii="Times New Roman" w:hAnsi="Times New Roman" w:cs="Times New Roman"/>
                <w:b/>
                <w:noProof/>
                <w:sz w:val="24"/>
                <w:lang w:eastAsia="en-GB"/>
              </w:rPr>
              <w:t>Second Circuit</w:t>
            </w:r>
            <w:r>
              <w:rPr>
                <w:rFonts w:ascii="Times New Roman" w:hAnsi="Times New Roman" w:cs="Times New Roman"/>
                <w:noProof/>
                <w:sz w:val="24"/>
                <w:lang w:eastAsia="en-GB"/>
              </w:rPr>
              <w:t xml:space="preserve">, which </w:t>
            </w:r>
            <w:r>
              <w:rPr>
                <w:rFonts w:ascii="Times New Roman" w:hAnsi="Times New Roman" w:cs="Times New Roman"/>
                <w:b/>
                <w:noProof/>
                <w:sz w:val="24"/>
                <w:lang w:eastAsia="en-GB"/>
              </w:rPr>
              <w:t>agreed</w:t>
            </w:r>
            <w:r>
              <w:rPr>
                <w:rFonts w:ascii="Times New Roman" w:hAnsi="Times New Roman" w:cs="Times New Roman"/>
                <w:noProof/>
                <w:sz w:val="24"/>
                <w:lang w:eastAsia="en-GB"/>
              </w:rPr>
              <w:t xml:space="preserve"> with Microsoft and invalidated the warrant. The United States Department of Justice counter-appealed to the </w:t>
            </w:r>
            <w:r>
              <w:rPr>
                <w:rFonts w:ascii="Times New Roman" w:hAnsi="Times New Roman" w:cs="Times New Roman"/>
                <w:b/>
                <w:noProof/>
                <w:sz w:val="24"/>
                <w:lang w:eastAsia="en-GB"/>
              </w:rPr>
              <w:t>Supreme Court</w:t>
            </w:r>
            <w:r>
              <w:rPr>
                <w:rFonts w:ascii="Times New Roman" w:hAnsi="Times New Roman" w:cs="Times New Roman"/>
                <w:noProof/>
                <w:sz w:val="24"/>
                <w:lang w:eastAsia="en-GB"/>
              </w:rPr>
              <w:t xml:space="preserve">, which agreed to hear the case in October 2017. </w:t>
            </w:r>
          </w:p>
          <w:p w:rsidR="001B65FF" w:rsidRDefault="003E4EF4">
            <w:pPr>
              <w:spacing w:before="24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In other s</w:t>
            </w:r>
            <w:r>
              <w:rPr>
                <w:rFonts w:ascii="Times New Roman" w:hAnsi="Times New Roman" w:cs="Times New Roman"/>
                <w:noProof/>
                <w:sz w:val="24"/>
                <w:lang w:eastAsia="en-GB"/>
              </w:rPr>
              <w:t>imilar cases, Courts outside the 2nd Circuit's jurisdiction have ordered companies to comply with warrants if they can access the data from within the United States, regardless of where the data is stored</w:t>
            </w:r>
            <w:r>
              <w:rPr>
                <w:rFonts w:ascii="Times New Roman" w:hAnsi="Times New Roman" w:cs="Times New Roman"/>
                <w:noProof/>
                <w:sz w:val="24"/>
                <w:vertAlign w:val="superscript"/>
                <w:lang w:eastAsia="en-GB"/>
              </w:rPr>
              <w:footnoteReference w:id="266"/>
            </w:r>
            <w:r>
              <w:rPr>
                <w:rFonts w:ascii="Times New Roman" w:hAnsi="Times New Roman" w:cs="Times New Roman"/>
                <w:noProof/>
                <w:sz w:val="24"/>
                <w:lang w:eastAsia="en-GB"/>
              </w:rPr>
              <w:t>.</w:t>
            </w:r>
          </w:p>
          <w:p w:rsidR="001B65FF" w:rsidRDefault="003E4EF4">
            <w:pPr>
              <w:spacing w:before="240" w:after="0"/>
              <w:ind w:left="252" w:right="252"/>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 response to the Microsoft case, a number of legislative proposals have been put forward, including a </w:t>
            </w:r>
            <w:r>
              <w:rPr>
                <w:rFonts w:ascii="Times New Roman" w:hAnsi="Times New Roman" w:cs="Times New Roman"/>
                <w:b/>
                <w:noProof/>
                <w:sz w:val="24"/>
                <w:lang w:eastAsia="en-GB"/>
              </w:rPr>
              <w:t>DOJ</w:t>
            </w:r>
            <w:r>
              <w:rPr>
                <w:rFonts w:ascii="Times New Roman" w:hAnsi="Times New Roman" w:cs="Times New Roman"/>
                <w:noProof/>
                <w:sz w:val="24"/>
                <w:lang w:eastAsia="en-GB"/>
              </w:rPr>
              <w:t xml:space="preserve"> </w:t>
            </w:r>
            <w:r>
              <w:rPr>
                <w:rFonts w:ascii="Times New Roman" w:hAnsi="Times New Roman" w:cs="Times New Roman"/>
                <w:b/>
                <w:noProof/>
                <w:sz w:val="24"/>
                <w:lang w:eastAsia="en-GB"/>
              </w:rPr>
              <w:t>proposal</w:t>
            </w:r>
            <w:r>
              <w:rPr>
                <w:rFonts w:ascii="Times New Roman" w:hAnsi="Times New Roman" w:cs="Times New Roman"/>
                <w:noProof/>
                <w:sz w:val="24"/>
                <w:lang w:eastAsia="en-GB"/>
              </w:rPr>
              <w:t xml:space="preserve"> (see box below) affirming the position that data can be requested regardless of storage location and the </w:t>
            </w:r>
            <w:r>
              <w:rPr>
                <w:rFonts w:ascii="Times New Roman" w:hAnsi="Times New Roman" w:cs="Times New Roman"/>
                <w:b/>
                <w:noProof/>
                <w:sz w:val="24"/>
                <w:lang w:eastAsia="en-GB"/>
              </w:rPr>
              <w:t>International Communications Priva</w:t>
            </w:r>
            <w:r>
              <w:rPr>
                <w:rFonts w:ascii="Times New Roman" w:hAnsi="Times New Roman" w:cs="Times New Roman"/>
                <w:b/>
                <w:noProof/>
                <w:sz w:val="24"/>
                <w:lang w:eastAsia="en-GB"/>
              </w:rPr>
              <w:t>cy Act (ICPA)</w:t>
            </w:r>
            <w:r>
              <w:rPr>
                <w:rFonts w:ascii="Times New Roman" w:hAnsi="Times New Roman" w:cs="Times New Roman"/>
                <w:b/>
                <w:noProof/>
                <w:sz w:val="24"/>
                <w:vertAlign w:val="superscript"/>
                <w:lang w:eastAsia="en-GB"/>
              </w:rPr>
              <w:footnoteReference w:id="267"/>
            </w:r>
            <w:r>
              <w:rPr>
                <w:rFonts w:ascii="Times New Roman" w:hAnsi="Times New Roman" w:cs="Times New Roman"/>
                <w:noProof/>
                <w:sz w:val="24"/>
                <w:lang w:eastAsia="en-GB"/>
              </w:rPr>
              <w:t>, a bipartisan proposal that aims to clarify US law enforcement’s ability to obtain e-evidence while respecting privacy laws of other countries. The ICPA proposal has been welcomed by service providers</w:t>
            </w:r>
            <w:r>
              <w:rPr>
                <w:rFonts w:ascii="Times New Roman" w:hAnsi="Times New Roman" w:cs="Times New Roman"/>
                <w:noProof/>
                <w:sz w:val="24"/>
                <w:vertAlign w:val="superscript"/>
                <w:lang w:eastAsia="en-GB"/>
              </w:rPr>
              <w:footnoteReference w:id="268"/>
            </w:r>
            <w:r>
              <w:rPr>
                <w:rFonts w:ascii="Times New Roman" w:hAnsi="Times New Roman" w:cs="Times New Roman"/>
                <w:noProof/>
                <w:sz w:val="24"/>
                <w:lang w:eastAsia="en-GB"/>
              </w:rPr>
              <w:t xml:space="preserve">. </w:t>
            </w:r>
          </w:p>
        </w:tc>
      </w:tr>
    </w:tbl>
    <w:p w:rsidR="001B65FF" w:rsidRDefault="001B65FF">
      <w:pPr>
        <w:ind w:left="1080"/>
        <w:contextualSpacing/>
        <w:jc w:val="both"/>
        <w:rPr>
          <w:rFonts w:ascii="Times New Roman" w:hAnsi="Times New Roman" w:cs="Times New Roman"/>
          <w:noProof/>
          <w:sz w:val="24"/>
        </w:rPr>
      </w:pPr>
    </w:p>
    <w:p w:rsidR="001B65FF" w:rsidRDefault="003E4EF4">
      <w:pPr>
        <w:spacing w:after="0"/>
        <w:ind w:left="1710"/>
        <w:contextualSpacing/>
        <w:jc w:val="center"/>
        <w:rPr>
          <w:rFonts w:ascii="Times New Roman" w:hAnsi="Times New Roman" w:cs="Times New Roman"/>
          <w:i/>
          <w:noProof/>
          <w:sz w:val="24"/>
          <w:lang w:eastAsia="en-GB"/>
        </w:rPr>
      </w:pPr>
      <w:r>
        <w:rPr>
          <w:rFonts w:ascii="Times New Roman" w:hAnsi="Times New Roman" w:cs="Times New Roman"/>
          <w:i/>
          <w:noProof/>
          <w:sz w:val="24"/>
          <w:lang w:eastAsia="en-GB"/>
        </w:rPr>
        <w:t>Box 2: DOJ draft legislation of cro</w:t>
      </w:r>
      <w:r>
        <w:rPr>
          <w:rFonts w:ascii="Times New Roman" w:hAnsi="Times New Roman" w:cs="Times New Roman"/>
          <w:i/>
          <w:noProof/>
          <w:sz w:val="24"/>
          <w:lang w:eastAsia="en-GB"/>
        </w:rPr>
        <w:t>ss-border access to e-evidence</w:t>
      </w:r>
      <w:r>
        <w:rPr>
          <w:rFonts w:ascii="Times New Roman" w:hAnsi="Times New Roman" w:cs="Times New Roman"/>
          <w:i/>
          <w:noProof/>
          <w:sz w:val="24"/>
          <w:vertAlign w:val="superscript"/>
          <w:lang w:eastAsia="en-GB"/>
        </w:rPr>
        <w:footnoteReference w:id="269"/>
      </w:r>
    </w:p>
    <w:tbl>
      <w:tblPr>
        <w:tblW w:w="7956" w:type="dxa"/>
        <w:tblInd w:w="1242"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7956"/>
      </w:tblGrid>
      <w:tr w:rsidR="001B65FF">
        <w:trPr>
          <w:trHeight w:val="5802"/>
        </w:trPr>
        <w:tc>
          <w:tcPr>
            <w:tcW w:w="7956" w:type="dxa"/>
            <w:shd w:val="clear" w:color="auto" w:fill="F2F2F2" w:themeFill="background1" w:themeFillShade="F2"/>
            <w:hideMark/>
          </w:tcPr>
          <w:p w:rsidR="001B65FF" w:rsidRDefault="003E4EF4">
            <w:pPr>
              <w:spacing w:before="240" w:after="0"/>
              <w:ind w:left="252" w:right="252"/>
              <w:jc w:val="both"/>
              <w:rPr>
                <w:rFonts w:ascii="Times New Roman" w:hAnsi="Times New Roman" w:cs="Times New Roman"/>
                <w:noProof/>
                <w:sz w:val="24"/>
              </w:rPr>
            </w:pPr>
            <w:r>
              <w:rPr>
                <w:rFonts w:ascii="Times New Roman" w:hAnsi="Times New Roman" w:cs="Times New Roman"/>
                <w:noProof/>
                <w:sz w:val="24"/>
              </w:rPr>
              <w:t>In July 2016</w:t>
            </w:r>
            <w:r>
              <w:rPr>
                <w:rFonts w:ascii="Times New Roman" w:hAnsi="Times New Roman" w:cs="Times New Roman"/>
                <w:noProof/>
                <w:sz w:val="24"/>
                <w:vertAlign w:val="superscript"/>
              </w:rPr>
              <w:footnoteReference w:id="270"/>
            </w:r>
            <w:r>
              <w:rPr>
                <w:rFonts w:ascii="Times New Roman" w:hAnsi="Times New Roman" w:cs="Times New Roman"/>
                <w:noProof/>
                <w:sz w:val="24"/>
              </w:rPr>
              <w:t xml:space="preserve"> and May 2017</w:t>
            </w:r>
            <w:r>
              <w:rPr>
                <w:rFonts w:ascii="Times New Roman" w:hAnsi="Times New Roman" w:cs="Times New Roman"/>
                <w:noProof/>
                <w:sz w:val="24"/>
                <w:vertAlign w:val="superscript"/>
              </w:rPr>
              <w:footnoteReference w:id="271"/>
            </w:r>
            <w:r>
              <w:rPr>
                <w:rFonts w:ascii="Times New Roman" w:hAnsi="Times New Roman" w:cs="Times New Roman"/>
                <w:noProof/>
                <w:sz w:val="24"/>
              </w:rPr>
              <w:t>, the DOJ proposed legislation to address some of the limitations of the current MLAT process. The proposal, which takes into account previous papers and working group efforts</w:t>
            </w:r>
            <w:r>
              <w:rPr>
                <w:rFonts w:ascii="Times New Roman" w:hAnsi="Times New Roman" w:cs="Times New Roman"/>
                <w:noProof/>
                <w:sz w:val="24"/>
                <w:vertAlign w:val="superscript"/>
              </w:rPr>
              <w:footnoteReference w:id="272"/>
            </w:r>
            <w:r>
              <w:rPr>
                <w:rFonts w:ascii="Times New Roman" w:hAnsi="Times New Roman" w:cs="Times New Roman"/>
                <w:noProof/>
                <w:sz w:val="24"/>
              </w:rPr>
              <w:t>, moves away from the</w:t>
            </w:r>
            <w:r>
              <w:rPr>
                <w:rFonts w:ascii="Times New Roman" w:hAnsi="Times New Roman" w:cs="Times New Roman"/>
                <w:noProof/>
                <w:sz w:val="24"/>
              </w:rPr>
              <w:t xml:space="preserve"> current MLAT system. Instead, the new legislation would:</w:t>
            </w:r>
          </w:p>
          <w:p w:rsidR="001B65FF" w:rsidRDefault="003E4EF4">
            <w:pPr>
              <w:numPr>
                <w:ilvl w:val="0"/>
                <w:numId w:val="109"/>
              </w:numPr>
              <w:spacing w:before="240" w:after="0"/>
              <w:ind w:right="252"/>
              <w:contextualSpacing/>
              <w:jc w:val="both"/>
              <w:rPr>
                <w:rFonts w:ascii="Times New Roman" w:hAnsi="Times New Roman" w:cs="Times New Roman"/>
                <w:noProof/>
                <w:sz w:val="24"/>
              </w:rPr>
            </w:pPr>
            <w:r>
              <w:rPr>
                <w:rFonts w:ascii="Times New Roman" w:hAnsi="Times New Roman" w:cs="Times New Roman"/>
                <w:noProof/>
                <w:sz w:val="24"/>
              </w:rPr>
              <w:t xml:space="preserve">allow </w:t>
            </w:r>
            <w:r>
              <w:rPr>
                <w:rFonts w:ascii="Times New Roman" w:hAnsi="Times New Roman" w:cs="Times New Roman"/>
                <w:b/>
                <w:noProof/>
                <w:sz w:val="24"/>
              </w:rPr>
              <w:t>bilateral agreements</w:t>
            </w:r>
            <w:r>
              <w:rPr>
                <w:rFonts w:ascii="Times New Roman" w:hAnsi="Times New Roman" w:cs="Times New Roman"/>
                <w:noProof/>
                <w:sz w:val="24"/>
              </w:rPr>
              <w:t xml:space="preserve"> on this issue between the US and participating countries; and</w:t>
            </w:r>
          </w:p>
          <w:p w:rsidR="001B65FF" w:rsidRDefault="003E4EF4">
            <w:pPr>
              <w:numPr>
                <w:ilvl w:val="0"/>
                <w:numId w:val="109"/>
              </w:numPr>
              <w:spacing w:before="240" w:after="0"/>
              <w:ind w:right="252"/>
              <w:contextualSpacing/>
              <w:jc w:val="both"/>
              <w:rPr>
                <w:rFonts w:ascii="Times New Roman" w:hAnsi="Times New Roman" w:cs="Times New Roman"/>
                <w:noProof/>
                <w:sz w:val="24"/>
              </w:rPr>
            </w:pPr>
            <w:r>
              <w:rPr>
                <w:rFonts w:ascii="Times New Roman" w:hAnsi="Times New Roman" w:cs="Times New Roman"/>
                <w:noProof/>
                <w:sz w:val="24"/>
              </w:rPr>
              <w:t xml:space="preserve">allow the countries that have been approved for these bilateral agreements to </w:t>
            </w:r>
            <w:r>
              <w:rPr>
                <w:rFonts w:ascii="Times New Roman" w:hAnsi="Times New Roman" w:cs="Times New Roman"/>
                <w:b/>
                <w:noProof/>
                <w:sz w:val="24"/>
              </w:rPr>
              <w:t>submit requests</w:t>
            </w:r>
            <w:r>
              <w:rPr>
                <w:rFonts w:ascii="Times New Roman" w:hAnsi="Times New Roman" w:cs="Times New Roman"/>
                <w:noProof/>
                <w:sz w:val="24"/>
              </w:rPr>
              <w:t xml:space="preserve"> for electronic </w:t>
            </w:r>
            <w:r>
              <w:rPr>
                <w:rFonts w:ascii="Times New Roman" w:hAnsi="Times New Roman" w:cs="Times New Roman"/>
                <w:noProof/>
                <w:sz w:val="24"/>
              </w:rPr>
              <w:t xml:space="preserve">data (both stored and intercepted live), </w:t>
            </w:r>
            <w:r>
              <w:rPr>
                <w:rFonts w:ascii="Times New Roman" w:hAnsi="Times New Roman" w:cs="Times New Roman"/>
                <w:b/>
                <w:noProof/>
                <w:sz w:val="24"/>
              </w:rPr>
              <w:t>directly to US service providers</w:t>
            </w:r>
            <w:r>
              <w:rPr>
                <w:rFonts w:ascii="Times New Roman" w:hAnsi="Times New Roman" w:cs="Times New Roman"/>
                <w:noProof/>
                <w:sz w:val="24"/>
              </w:rPr>
              <w:t>, instead of first going through US courts.</w:t>
            </w:r>
          </w:p>
          <w:p w:rsidR="001B65FF" w:rsidRDefault="003E4EF4">
            <w:pPr>
              <w:spacing w:before="240" w:after="0"/>
              <w:ind w:left="252" w:right="252"/>
              <w:jc w:val="both"/>
              <w:rPr>
                <w:rFonts w:ascii="Times New Roman" w:hAnsi="Times New Roman" w:cs="Times New Roman"/>
                <w:noProof/>
                <w:sz w:val="24"/>
              </w:rPr>
            </w:pPr>
            <w:r>
              <w:rPr>
                <w:rFonts w:ascii="Times New Roman" w:hAnsi="Times New Roman" w:cs="Times New Roman"/>
                <w:noProof/>
                <w:sz w:val="24"/>
              </w:rPr>
              <w:t>The draft DOJ legislation sets out the standards countries must meet to qualify for an agreement and establishes parameters on what the req</w:t>
            </w:r>
            <w:r>
              <w:rPr>
                <w:rFonts w:ascii="Times New Roman" w:hAnsi="Times New Roman" w:cs="Times New Roman"/>
                <w:noProof/>
                <w:sz w:val="24"/>
              </w:rPr>
              <w:t xml:space="preserve">uests can include. For instance, requests must pertain to a </w:t>
            </w:r>
            <w:r>
              <w:rPr>
                <w:rFonts w:ascii="Times New Roman" w:hAnsi="Times New Roman" w:cs="Times New Roman"/>
                <w:b/>
                <w:noProof/>
                <w:sz w:val="24"/>
              </w:rPr>
              <w:t>serious crime</w:t>
            </w:r>
            <w:r>
              <w:rPr>
                <w:rFonts w:ascii="Times New Roman" w:hAnsi="Times New Roman" w:cs="Times New Roman"/>
                <w:noProof/>
                <w:sz w:val="24"/>
              </w:rPr>
              <w:t xml:space="preserve">, including terrorism. This proposal would also afford the US </w:t>
            </w:r>
            <w:r>
              <w:rPr>
                <w:rFonts w:ascii="Times New Roman" w:hAnsi="Times New Roman" w:cs="Times New Roman"/>
                <w:b/>
                <w:noProof/>
                <w:sz w:val="24"/>
              </w:rPr>
              <w:t>reciprocal rights</w:t>
            </w:r>
            <w:r>
              <w:rPr>
                <w:rFonts w:ascii="Times New Roman" w:hAnsi="Times New Roman" w:cs="Times New Roman"/>
                <w:noProof/>
                <w:sz w:val="24"/>
              </w:rPr>
              <w:t xml:space="preserve"> with respect to the partner country. More details on the proposal, including possible benefits and conc</w:t>
            </w:r>
            <w:r>
              <w:rPr>
                <w:rFonts w:ascii="Times New Roman" w:hAnsi="Times New Roman" w:cs="Times New Roman"/>
                <w:noProof/>
                <w:sz w:val="24"/>
              </w:rPr>
              <w:t>erns are available in Annex 10.</w:t>
            </w:r>
          </w:p>
        </w:tc>
      </w:tr>
    </w:tbl>
    <w:p w:rsidR="001B65FF" w:rsidRDefault="003E4EF4">
      <w:pPr>
        <w:ind w:left="1440"/>
        <w:contextualSpacing/>
        <w:jc w:val="both"/>
        <w:rPr>
          <w:rFonts w:ascii="Times New Roman" w:hAnsi="Times New Roman" w:cs="Times New Roman"/>
          <w:noProof/>
          <w:sz w:val="24"/>
        </w:rPr>
      </w:pPr>
      <w:r>
        <w:rPr>
          <w:rFonts w:ascii="Times New Roman" w:hAnsi="Times New Roman" w:cs="Times New Roman"/>
          <w:noProof/>
          <w:sz w:val="24"/>
        </w:rPr>
        <w:t xml:space="preserve"> </w:t>
      </w:r>
    </w:p>
    <w:p w:rsidR="001B65FF" w:rsidRDefault="003E4EF4">
      <w:pPr>
        <w:numPr>
          <w:ilvl w:val="1"/>
          <w:numId w:val="109"/>
        </w:numPr>
        <w:spacing w:after="0"/>
        <w:contextualSpacing/>
        <w:jc w:val="both"/>
        <w:rPr>
          <w:rFonts w:ascii="Times New Roman" w:hAnsi="Times New Roman" w:cs="Times New Roman"/>
          <w:noProof/>
          <w:sz w:val="24"/>
        </w:rPr>
      </w:pPr>
      <w:r>
        <w:rPr>
          <w:rFonts w:ascii="Times New Roman" w:hAnsi="Times New Roman" w:cs="Times New Roman"/>
          <w:noProof/>
          <w:sz w:val="24"/>
        </w:rPr>
        <w:t>In the absence of EU action, the current MLATs between the EU and non-EU countries would not be updated. In this scenario, Member States would likely be inclined to update or sign new bilateral agreements with non-EU countries, in particular with the US, t</w:t>
      </w:r>
      <w:r>
        <w:rPr>
          <w:rFonts w:ascii="Times New Roman" w:hAnsi="Times New Roman" w:cs="Times New Roman"/>
          <w:noProof/>
          <w:sz w:val="24"/>
        </w:rPr>
        <w:t xml:space="preserve">o expand direct cooperation possibilities, leading to </w:t>
      </w:r>
      <w:r>
        <w:rPr>
          <w:rFonts w:ascii="Times New Roman" w:hAnsi="Times New Roman" w:cs="Times New Roman"/>
          <w:b/>
          <w:noProof/>
          <w:sz w:val="24"/>
        </w:rPr>
        <w:t>fragmentation</w:t>
      </w:r>
      <w:r>
        <w:rPr>
          <w:rFonts w:ascii="Times New Roman" w:hAnsi="Times New Roman" w:cs="Times New Roman"/>
          <w:noProof/>
          <w:sz w:val="24"/>
        </w:rPr>
        <w:t xml:space="preserve"> that may hamper international cooperation in investigations and prosecutions. Member States themselves have expressed during the consultations the desire to avoid such a country-by-country</w:t>
      </w:r>
      <w:r>
        <w:rPr>
          <w:rFonts w:ascii="Times New Roman" w:hAnsi="Times New Roman" w:cs="Times New Roman"/>
          <w:noProof/>
          <w:sz w:val="24"/>
        </w:rPr>
        <w:t xml:space="preserve"> approach if possible.  </w:t>
      </w:r>
    </w:p>
    <w:p w:rsidR="001B65FF" w:rsidRDefault="003E4EF4">
      <w:pPr>
        <w:numPr>
          <w:ilvl w:val="1"/>
          <w:numId w:val="109"/>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recently </w:t>
      </w:r>
      <w:r>
        <w:rPr>
          <w:rFonts w:ascii="Times New Roman" w:eastAsia="Times New Roman" w:hAnsi="Times New Roman" w:cs="Times New Roman"/>
          <w:b/>
          <w:noProof/>
          <w:sz w:val="24"/>
          <w:szCs w:val="20"/>
        </w:rPr>
        <w:t>proposed legislation by the DOJ</w:t>
      </w:r>
      <w:r>
        <w:rPr>
          <w:rFonts w:ascii="Times New Roman" w:eastAsia="Times New Roman" w:hAnsi="Times New Roman" w:cs="Times New Roman"/>
          <w:noProof/>
          <w:sz w:val="24"/>
          <w:szCs w:val="20"/>
        </w:rPr>
        <w:t xml:space="preserve"> may contribute to that fragmentation. The </w:t>
      </w:r>
      <w:r>
        <w:rPr>
          <w:rFonts w:ascii="Times New Roman" w:eastAsia="Times New Roman" w:hAnsi="Times New Roman" w:cs="Times New Roman"/>
          <w:b/>
          <w:noProof/>
          <w:sz w:val="24"/>
          <w:szCs w:val="20"/>
        </w:rPr>
        <w:t>UK</w:t>
      </w:r>
      <w:r>
        <w:rPr>
          <w:rFonts w:ascii="Times New Roman" w:eastAsia="Times New Roman" w:hAnsi="Times New Roman" w:cs="Times New Roman"/>
          <w:noProof/>
          <w:sz w:val="24"/>
          <w:szCs w:val="20"/>
        </w:rPr>
        <w:t xml:space="preserve"> has already started negotiations for a UK-US agreement that would allow it to be the first country approved to make requests under this new l</w:t>
      </w:r>
      <w:r>
        <w:rPr>
          <w:rFonts w:ascii="Times New Roman" w:eastAsia="Times New Roman" w:hAnsi="Times New Roman" w:cs="Times New Roman"/>
          <w:noProof/>
          <w:sz w:val="24"/>
          <w:szCs w:val="20"/>
        </w:rPr>
        <w:t>egislation. Other Member States could follow, notably in the absence of EU action.</w:t>
      </w:r>
    </w:p>
    <w:p w:rsidR="001B65FF" w:rsidRDefault="003E4EF4">
      <w:pPr>
        <w:numPr>
          <w:ilvl w:val="1"/>
          <w:numId w:val="109"/>
        </w:numPr>
        <w:tabs>
          <w:tab w:val="left" w:pos="2302"/>
        </w:tabs>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Additionally, as outlined above, the US is taking steps to reduce the relevance of the MLAT procedure and privilege other channels. The EU and its Member States need to resp</w:t>
      </w:r>
      <w:r>
        <w:rPr>
          <w:rFonts w:ascii="Times New Roman" w:eastAsia="Times New Roman" w:hAnsi="Times New Roman" w:cs="Times New Roman"/>
          <w:noProof/>
          <w:sz w:val="24"/>
          <w:szCs w:val="20"/>
        </w:rPr>
        <w:t>ond to this shift by creating the necessary legislative tools to utilise those other channels.</w:t>
      </w:r>
    </w:p>
    <w:p w:rsidR="001B65FF" w:rsidRDefault="001B65FF">
      <w:pPr>
        <w:ind w:left="720"/>
        <w:contextualSpacing/>
        <w:jc w:val="both"/>
        <w:rPr>
          <w:rFonts w:ascii="Times New Roman" w:hAnsi="Times New Roman" w:cs="Times New Roman"/>
          <w:noProof/>
          <w:sz w:val="24"/>
        </w:rPr>
      </w:pPr>
    </w:p>
    <w:p w:rsidR="001B65FF" w:rsidRDefault="003E4EF4">
      <w:pPr>
        <w:numPr>
          <w:ilvl w:val="0"/>
          <w:numId w:val="33"/>
        </w:numPr>
        <w:contextualSpacing/>
        <w:jc w:val="both"/>
        <w:rPr>
          <w:rFonts w:ascii="Times New Roman" w:hAnsi="Times New Roman" w:cs="Times New Roman"/>
          <w:noProof/>
          <w:sz w:val="24"/>
        </w:rPr>
      </w:pPr>
      <w:r>
        <w:rPr>
          <w:rFonts w:ascii="Times New Roman" w:hAnsi="Times New Roman" w:cs="Times New Roman"/>
          <w:b/>
          <w:noProof/>
          <w:sz w:val="24"/>
        </w:rPr>
        <w:t>Direct cooperation</w:t>
      </w:r>
      <w:r>
        <w:rPr>
          <w:rFonts w:ascii="Times New Roman" w:hAnsi="Times New Roman" w:cs="Times New Roman"/>
          <w:noProof/>
          <w:sz w:val="24"/>
        </w:rPr>
        <w:t xml:space="preserve"> between service providers and public authorities could evolve in a wide range of possible ways, none of which the EU would have the opportuni</w:t>
      </w:r>
      <w:r>
        <w:rPr>
          <w:rFonts w:ascii="Times New Roman" w:hAnsi="Times New Roman" w:cs="Times New Roman"/>
          <w:noProof/>
          <w:sz w:val="24"/>
        </w:rPr>
        <w:t>ty to shape and contribute to in the absence of EU action.</w:t>
      </w:r>
    </w:p>
    <w:p w:rsidR="001B65FF" w:rsidRDefault="003E4EF4">
      <w:pPr>
        <w:numPr>
          <w:ilvl w:val="0"/>
          <w:numId w:val="32"/>
        </w:numPr>
        <w:contextualSpacing/>
        <w:jc w:val="both"/>
        <w:rPr>
          <w:rFonts w:ascii="Times New Roman" w:hAnsi="Times New Roman" w:cs="Times New Roman"/>
          <w:noProof/>
          <w:sz w:val="24"/>
        </w:rPr>
      </w:pPr>
      <w:r>
        <w:rPr>
          <w:rFonts w:ascii="Times New Roman" w:hAnsi="Times New Roman" w:cs="Times New Roman"/>
          <w:noProof/>
          <w:sz w:val="24"/>
        </w:rPr>
        <w:t xml:space="preserve">The </w:t>
      </w:r>
      <w:r>
        <w:rPr>
          <w:rFonts w:ascii="Times New Roman" w:hAnsi="Times New Roman" w:cs="Times New Roman"/>
          <w:b/>
          <w:noProof/>
          <w:sz w:val="24"/>
        </w:rPr>
        <w:t>DOJ proposal</w:t>
      </w:r>
      <w:r>
        <w:rPr>
          <w:rFonts w:ascii="Times New Roman" w:hAnsi="Times New Roman" w:cs="Times New Roman"/>
          <w:noProof/>
          <w:sz w:val="24"/>
        </w:rPr>
        <w:t>, if converted into law, would have implications on the direct cooperation with service providers. That said, it is unclear if and when and in what final form the proposal would bec</w:t>
      </w:r>
      <w:r>
        <w:rPr>
          <w:rFonts w:ascii="Times New Roman" w:hAnsi="Times New Roman" w:cs="Times New Roman"/>
          <w:noProof/>
          <w:sz w:val="24"/>
        </w:rPr>
        <w:t>ome law</w:t>
      </w:r>
      <w:r>
        <w:rPr>
          <w:rStyle w:val="FootnoteReference"/>
          <w:rFonts w:ascii="Times New Roman" w:hAnsi="Times New Roman" w:cs="Times New Roman"/>
          <w:noProof/>
          <w:sz w:val="24"/>
        </w:rPr>
        <w:footnoteReference w:id="273"/>
      </w:r>
      <w:r>
        <w:rPr>
          <w:rFonts w:ascii="Times New Roman" w:hAnsi="Times New Roman" w:cs="Times New Roman"/>
          <w:noProof/>
          <w:sz w:val="24"/>
        </w:rPr>
        <w:t>. Without coordinated EU action, US law would continue to determine global practices and Member States might enter different bilateral agreements with the US that might lead to fragmentation and hamper cross-border cooperation in the EU.</w:t>
      </w:r>
    </w:p>
    <w:p w:rsidR="001B65FF" w:rsidRDefault="003E4EF4">
      <w:pPr>
        <w:numPr>
          <w:ilvl w:val="0"/>
          <w:numId w:val="32"/>
        </w:numPr>
        <w:contextualSpacing/>
        <w:jc w:val="both"/>
        <w:rPr>
          <w:rFonts w:ascii="Times New Roman" w:hAnsi="Times New Roman" w:cs="Times New Roman"/>
          <w:noProof/>
          <w:sz w:val="24"/>
        </w:rPr>
      </w:pPr>
      <w:r>
        <w:rPr>
          <w:rFonts w:ascii="Times New Roman" w:hAnsi="Times New Roman" w:cs="Times New Roman"/>
          <w:noProof/>
          <w:sz w:val="24"/>
        </w:rPr>
        <w:t>The decisi</w:t>
      </w:r>
      <w:r>
        <w:rPr>
          <w:rFonts w:ascii="Times New Roman" w:hAnsi="Times New Roman" w:cs="Times New Roman"/>
          <w:noProof/>
          <w:sz w:val="24"/>
        </w:rPr>
        <w:t xml:space="preserve">on of the US Supreme Court on the </w:t>
      </w:r>
      <w:r>
        <w:rPr>
          <w:rFonts w:ascii="Times New Roman" w:hAnsi="Times New Roman" w:cs="Times New Roman"/>
          <w:b/>
          <w:noProof/>
          <w:sz w:val="24"/>
        </w:rPr>
        <w:t>Microsoft Ireland case</w:t>
      </w:r>
      <w:r>
        <w:rPr>
          <w:rFonts w:ascii="Times New Roman" w:hAnsi="Times New Roman" w:cs="Times New Roman"/>
          <w:noProof/>
          <w:sz w:val="24"/>
        </w:rPr>
        <w:t xml:space="preserve"> could also shape the direct cooperation between public authorities and service providers in the coming years. Specifically,</w:t>
      </w:r>
      <w:r>
        <w:rPr>
          <w:rFonts w:ascii="Times New Roman" w:hAnsi="Times New Roman" w:cs="Times New Roman"/>
          <w:b/>
          <w:noProof/>
          <w:sz w:val="24"/>
        </w:rPr>
        <w:t xml:space="preserve"> </w:t>
      </w:r>
      <w:r>
        <w:rPr>
          <w:rFonts w:ascii="Times New Roman" w:hAnsi="Times New Roman" w:cs="Times New Roman"/>
          <w:noProof/>
          <w:sz w:val="24"/>
        </w:rPr>
        <w:t>a ruling in favour of US public authorities having access to content data f</w:t>
      </w:r>
      <w:r>
        <w:rPr>
          <w:rFonts w:ascii="Times New Roman" w:hAnsi="Times New Roman" w:cs="Times New Roman"/>
          <w:noProof/>
          <w:sz w:val="24"/>
        </w:rPr>
        <w:t>rom service providers in the US regardless of where it was stored could put service providers in a situation of conflict of laws, between privacy laws of the country where the evidence is stored and US search warrants. Again, without coordinated EU action,</w:t>
      </w:r>
      <w:r>
        <w:rPr>
          <w:rFonts w:ascii="Times New Roman" w:hAnsi="Times New Roman" w:cs="Times New Roman"/>
          <w:noProof/>
          <w:sz w:val="24"/>
        </w:rPr>
        <w:t xml:space="preserve"> US law would continue to determine global practices, which could also affect the current direct cooperation on a voluntary basis.  </w:t>
      </w:r>
    </w:p>
    <w:p w:rsidR="001B65FF" w:rsidRDefault="001B65FF">
      <w:pPr>
        <w:ind w:left="1080"/>
        <w:contextualSpacing/>
        <w:jc w:val="both"/>
        <w:rPr>
          <w:rFonts w:ascii="Times New Roman" w:hAnsi="Times New Roman" w:cs="Times New Roman"/>
          <w:noProof/>
          <w:sz w:val="24"/>
        </w:rPr>
      </w:pPr>
    </w:p>
    <w:p w:rsidR="001B65FF" w:rsidRDefault="003E4EF4">
      <w:pPr>
        <w:numPr>
          <w:ilvl w:val="0"/>
          <w:numId w:val="33"/>
        </w:numPr>
        <w:contextualSpacing/>
        <w:jc w:val="both"/>
        <w:rPr>
          <w:rFonts w:ascii="Times New Roman" w:hAnsi="Times New Roman" w:cs="Times New Roman"/>
          <w:noProof/>
          <w:sz w:val="24"/>
        </w:rPr>
      </w:pPr>
      <w:r>
        <w:rPr>
          <w:rFonts w:ascii="Times New Roman" w:hAnsi="Times New Roman" w:cs="Times New Roman"/>
          <w:b/>
          <w:noProof/>
          <w:sz w:val="24"/>
        </w:rPr>
        <w:t xml:space="preserve">Direct access </w:t>
      </w:r>
      <w:r>
        <w:rPr>
          <w:rFonts w:ascii="Times New Roman" w:hAnsi="Times New Roman" w:cs="Times New Roman"/>
          <w:noProof/>
          <w:sz w:val="24"/>
        </w:rPr>
        <w:t xml:space="preserve">to electronic evidence could increase, as Member States could introduce new legislative and non-legislative </w:t>
      </w:r>
      <w:r>
        <w:rPr>
          <w:rFonts w:ascii="Times New Roman" w:hAnsi="Times New Roman" w:cs="Times New Roman"/>
          <w:noProof/>
          <w:sz w:val="24"/>
        </w:rPr>
        <w:t>initiatives on direct access, possibly increasing fragmentation and hampering cross-border cooperation.</w:t>
      </w:r>
    </w:p>
    <w:p w:rsidR="001B65FF" w:rsidRDefault="003E4EF4">
      <w:pPr>
        <w:ind w:left="720"/>
        <w:contextualSpacing/>
        <w:jc w:val="both"/>
        <w:rPr>
          <w:rFonts w:ascii="Times New Roman" w:hAnsi="Times New Roman" w:cs="Times New Roman"/>
          <w:noProof/>
          <w:sz w:val="24"/>
        </w:rPr>
      </w:pPr>
      <w:r>
        <w:rPr>
          <w:rFonts w:ascii="Times New Roman" w:hAnsi="Times New Roman" w:cs="Times New Roman"/>
          <w:noProof/>
          <w:sz w:val="24"/>
        </w:rPr>
        <w:t>As the need to access e-evidence across borders increases and the judicial and direct cooperation methods may become more and more inadequate to provide</w:t>
      </w:r>
      <w:r>
        <w:rPr>
          <w:rFonts w:ascii="Times New Roman" w:hAnsi="Times New Roman" w:cs="Times New Roman"/>
          <w:noProof/>
          <w:sz w:val="24"/>
        </w:rPr>
        <w:t xml:space="preserve"> effective responses, Member States may turn to other methods to facilitate access to e-evidence directly. These could include initiatives such as data localisation requirements</w:t>
      </w:r>
      <w:r>
        <w:rPr>
          <w:rFonts w:ascii="Times New Roman" w:hAnsi="Times New Roman" w:cs="Times New Roman"/>
          <w:noProof/>
          <w:sz w:val="24"/>
          <w:vertAlign w:val="superscript"/>
        </w:rPr>
        <w:footnoteReference w:id="274"/>
      </w:r>
      <w:r>
        <w:rPr>
          <w:rFonts w:ascii="Times New Roman" w:hAnsi="Times New Roman" w:cs="Times New Roman"/>
          <w:noProof/>
          <w:sz w:val="24"/>
        </w:rPr>
        <w:t>, limitation in the use of encryption</w:t>
      </w:r>
      <w:r>
        <w:rPr>
          <w:rFonts w:ascii="Times New Roman" w:hAnsi="Times New Roman" w:cs="Times New Roman"/>
          <w:noProof/>
          <w:sz w:val="24"/>
          <w:vertAlign w:val="superscript"/>
        </w:rPr>
        <w:footnoteReference w:id="275"/>
      </w:r>
      <w:r>
        <w:rPr>
          <w:rFonts w:ascii="Times New Roman" w:hAnsi="Times New Roman" w:cs="Times New Roman"/>
          <w:noProof/>
          <w:sz w:val="24"/>
        </w:rPr>
        <w:t>, or other methods which might not offer</w:t>
      </w:r>
      <w:r>
        <w:rPr>
          <w:rFonts w:ascii="Times New Roman" w:hAnsi="Times New Roman" w:cs="Times New Roman"/>
          <w:noProof/>
          <w:sz w:val="24"/>
        </w:rPr>
        <w:t xml:space="preserve"> uniform safeguards across the EU and would hamper cross-border cooperation. </w:t>
      </w:r>
    </w:p>
    <w:p w:rsidR="001B65FF" w:rsidRDefault="001B65FF">
      <w:pPr>
        <w:spacing w:after="0"/>
        <w:jc w:val="both"/>
        <w:rPr>
          <w:rFonts w:ascii="Times New Roman" w:hAnsi="Times New Roman" w:cs="Times New Roman"/>
          <w:noProof/>
          <w:sz w:val="24"/>
        </w:rPr>
      </w:pPr>
    </w:p>
    <w:p w:rsidR="001B65FF" w:rsidRDefault="003E4EF4">
      <w:pPr>
        <w:spacing w:after="0"/>
        <w:jc w:val="both"/>
        <w:rPr>
          <w:rFonts w:ascii="Times New Roman" w:hAnsi="Times New Roman" w:cs="Times New Roman"/>
          <w:noProof/>
          <w:sz w:val="24"/>
        </w:rPr>
      </w:pPr>
      <w:r>
        <w:rPr>
          <w:rFonts w:ascii="Times New Roman" w:hAnsi="Times New Roman" w:cs="Times New Roman"/>
          <w:noProof/>
          <w:sz w:val="24"/>
        </w:rPr>
        <w:t>In summary, the baseline scenario not only falls short in addressing the concerns expressed by stakeholders, but in the absence of EU action those concerns are likely to increas</w:t>
      </w:r>
      <w:r>
        <w:rPr>
          <w:rFonts w:ascii="Times New Roman" w:hAnsi="Times New Roman" w:cs="Times New Roman"/>
          <w:noProof/>
          <w:sz w:val="24"/>
        </w:rPr>
        <w:t>e as the situation worsens across multiple dimensions.</w:t>
      </w:r>
    </w:p>
    <w:p w:rsidR="001B65FF" w:rsidRDefault="001B65FF">
      <w:pPr>
        <w:rPr>
          <w:rFonts w:eastAsia="Times New Roman"/>
          <w:noProof/>
        </w:rPr>
        <w:sectPr w:rsidR="001B65FF">
          <w:headerReference w:type="even" r:id="rId163"/>
          <w:headerReference w:type="default" r:id="rId164"/>
          <w:footerReference w:type="even" r:id="rId165"/>
          <w:footerReference w:type="default" r:id="rId166"/>
          <w:headerReference w:type="first" r:id="rId167"/>
          <w:footerReference w:type="first" r:id="rId168"/>
          <w:pgSz w:w="11906" w:h="16838"/>
          <w:pgMar w:top="1418" w:right="1418" w:bottom="1134" w:left="1418" w:header="709" w:footer="709" w:gutter="0"/>
          <w:cols w:space="708"/>
          <w:docGrid w:linePitch="360"/>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2286" w:name="_Toc499020504"/>
      <w:bookmarkStart w:id="2287" w:name="_Toc499030438"/>
      <w:bookmarkStart w:id="2288" w:name="_Toc499044980"/>
      <w:bookmarkStart w:id="2289" w:name="_Toc499051396"/>
      <w:bookmarkStart w:id="2290" w:name="_Toc499133355"/>
      <w:bookmarkStart w:id="2291" w:name="_Toc499142926"/>
      <w:bookmarkStart w:id="2292" w:name="_Toc510952921"/>
      <w:r>
        <w:rPr>
          <w:rFonts w:ascii="Times New Roman" w:eastAsia="Times New Roman" w:hAnsi="Times New Roman" w:cs="Times New Roman"/>
          <w:b/>
          <w:smallCaps/>
          <w:noProof/>
          <w:sz w:val="24"/>
          <w:szCs w:val="20"/>
        </w:rPr>
        <w:t>Annex 10: US DOJ proposal on cross-border access to e-evidence</w:t>
      </w:r>
      <w:bookmarkEnd w:id="2286"/>
      <w:bookmarkEnd w:id="2287"/>
      <w:bookmarkEnd w:id="2288"/>
      <w:bookmarkEnd w:id="2289"/>
      <w:bookmarkEnd w:id="2290"/>
      <w:bookmarkEnd w:id="2291"/>
      <w:bookmarkEnd w:id="2292"/>
    </w:p>
    <w:p w:rsidR="001B65FF" w:rsidRDefault="003E4EF4">
      <w:pPr>
        <w:spacing w:after="24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This annex</w:t>
      </w:r>
      <w:r>
        <w:rPr>
          <w:rFonts w:ascii="Times New Roman" w:eastAsia="Times New Roman" w:hAnsi="Times New Roman" w:cs="Times New Roman"/>
          <w:noProof/>
          <w:sz w:val="24"/>
          <w:szCs w:val="20"/>
          <w:vertAlign w:val="superscript"/>
        </w:rPr>
        <w:footnoteReference w:id="276"/>
      </w:r>
      <w:r>
        <w:rPr>
          <w:rFonts w:ascii="Times New Roman" w:eastAsia="Times New Roman" w:hAnsi="Times New Roman" w:cs="Times New Roman"/>
          <w:noProof/>
          <w:sz w:val="24"/>
          <w:szCs w:val="20"/>
        </w:rPr>
        <w:t xml:space="preserve"> summarises the content of the US DOJ proposal</w:t>
      </w:r>
      <w:r>
        <w:rPr>
          <w:rFonts w:ascii="Times New Roman" w:eastAsia="Times New Roman" w:hAnsi="Times New Roman" w:cs="Times New Roman"/>
          <w:noProof/>
          <w:sz w:val="24"/>
          <w:szCs w:val="20"/>
          <w:vertAlign w:val="superscript"/>
        </w:rPr>
        <w:footnoteReference w:id="277"/>
      </w:r>
      <w:r>
        <w:rPr>
          <w:rFonts w:ascii="Times New Roman" w:eastAsia="Times New Roman" w:hAnsi="Times New Roman" w:cs="Times New Roman"/>
          <w:noProof/>
          <w:sz w:val="24"/>
          <w:szCs w:val="20"/>
        </w:rPr>
        <w:t xml:space="preserve"> and lists a number of benefits and concerns stated by stakeholders.</w:t>
      </w:r>
    </w:p>
    <w:p w:rsidR="001B65FF" w:rsidRDefault="003E4EF4">
      <w:pPr>
        <w:spacing w:after="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Details of the proposed legislation</w:t>
      </w:r>
    </w:p>
    <w:p w:rsidR="001B65FF" w:rsidRDefault="003E4EF4">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The proposal amends parts of ECPA such as the Stored Communications Act and the Wiretap Act. It outlines</w:t>
      </w:r>
      <w:r>
        <w:rPr>
          <w:rFonts w:ascii="Times New Roman" w:hAnsi="Times New Roman" w:cs="Times New Roman"/>
          <w:noProof/>
          <w:sz w:val="24"/>
          <w:szCs w:val="24"/>
        </w:rPr>
        <w:t xml:space="preserve"> conditions a foreign government must meet to qualify for an executive agreement with the US</w:t>
      </w:r>
      <w:r>
        <w:rPr>
          <w:rFonts w:ascii="Times New Roman" w:hAnsi="Times New Roman" w:cs="Times New Roman"/>
          <w:noProof/>
          <w:sz w:val="24"/>
          <w:szCs w:val="24"/>
          <w:vertAlign w:val="superscript"/>
        </w:rPr>
        <w:footnoteReference w:id="278"/>
      </w:r>
      <w:r>
        <w:rPr>
          <w:rFonts w:ascii="Times New Roman" w:hAnsi="Times New Roman" w:cs="Times New Roman"/>
          <w:noProof/>
          <w:sz w:val="24"/>
          <w:szCs w:val="24"/>
        </w:rPr>
        <w:t xml:space="preserve"> The Attorney General, with the concurrence of the Secretary of State, must determine and certify to Congress that the foreign government meets certain standards, </w:t>
      </w:r>
      <w:r>
        <w:rPr>
          <w:rFonts w:ascii="Times New Roman" w:hAnsi="Times New Roman" w:cs="Times New Roman"/>
          <w:noProof/>
          <w:sz w:val="24"/>
          <w:szCs w:val="24"/>
        </w:rPr>
        <w:t>including that the foreign government has domestic laws that afford robust substantive and procedural protections for privacy and civil liberties. These conditions require, in part, that the foreign government has:</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substantive and procedural laws on cyberc</w:t>
      </w:r>
      <w:r>
        <w:rPr>
          <w:rFonts w:ascii="Times New Roman" w:hAnsi="Times New Roman" w:cs="Times New Roman"/>
          <w:noProof/>
          <w:sz w:val="24"/>
          <w:szCs w:val="24"/>
        </w:rPr>
        <w:t>rime and electronic evidence;</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evidence of respect for the rule of law and principles of non-discrimination, and</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adherence to applicable international human rights obligations;</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mechanisms to provide accountability and transparency for data collection;</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a sho</w:t>
      </w:r>
      <w:r>
        <w:rPr>
          <w:rFonts w:ascii="Times New Roman" w:hAnsi="Times New Roman" w:cs="Times New Roman"/>
          <w:noProof/>
          <w:sz w:val="24"/>
          <w:szCs w:val="24"/>
        </w:rPr>
        <w:t>wing of clear mandates, procedures, and effective oversight of authorities’ collection, retention, use, and sharing of data;</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mechanisms for accountability and transparency for the collection and use of data; and </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 commitment to promote and protect the </w:t>
      </w:r>
      <w:r>
        <w:rPr>
          <w:rFonts w:ascii="Times New Roman" w:hAnsi="Times New Roman" w:cs="Times New Roman"/>
          <w:noProof/>
          <w:sz w:val="24"/>
          <w:szCs w:val="24"/>
        </w:rPr>
        <w:t>free flow of information and the open Internet (essentially a promise not to pursue actions such as data localisation).</w:t>
      </w:r>
    </w:p>
    <w:p w:rsidR="001B65FF" w:rsidRDefault="003E4EF4">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Once a country has established an executive agreement, that country is able to send a request to an electronic communications company di</w:t>
      </w:r>
      <w:r>
        <w:rPr>
          <w:rFonts w:ascii="Times New Roman" w:hAnsi="Times New Roman" w:cs="Times New Roman"/>
          <w:noProof/>
          <w:sz w:val="24"/>
          <w:szCs w:val="24"/>
        </w:rPr>
        <w:t>rectly, without first going through US agencies or courts. The request itself:</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cannot infringe freedom of speech; </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must be subject to review or oversight by a court, judge, magistrate, or other independent authority in the issuing country;</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must be based on</w:t>
      </w:r>
      <w:r>
        <w:rPr>
          <w:rFonts w:ascii="Times New Roman" w:hAnsi="Times New Roman" w:cs="Times New Roman"/>
          <w:noProof/>
          <w:sz w:val="24"/>
          <w:szCs w:val="24"/>
        </w:rPr>
        <w:t xml:space="preserve"> requirements for a reasonable justification based on articulable and credible facts;</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must be issued in compliance with the foreign country’s domestic law, and any obligation for a provider to produce data is solely from that law;</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not intentionally target </w:t>
      </w:r>
      <w:r>
        <w:rPr>
          <w:rFonts w:ascii="Times New Roman" w:hAnsi="Times New Roman" w:cs="Times New Roman"/>
          <w:noProof/>
          <w:sz w:val="24"/>
          <w:szCs w:val="24"/>
        </w:rPr>
        <w:t>a US person (or person located in the US) or target a non-US person with the intention of obtaining information on a US person;</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must pertain to the “prevention, detection, investigation, or prosecution of serious crime, including terrorism” and must use a </w:t>
      </w:r>
      <w:r>
        <w:rPr>
          <w:rFonts w:ascii="Times New Roman" w:hAnsi="Times New Roman" w:cs="Times New Roman"/>
          <w:noProof/>
          <w:sz w:val="24"/>
          <w:szCs w:val="24"/>
        </w:rPr>
        <w:t>specific identifier (i.e., name, account, or personal device);</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must be based on articulable and credible facts, particularity, legality, and severity of the conduct under investigation; and</w:t>
      </w:r>
    </w:p>
    <w:p w:rsidR="001B65FF" w:rsidRDefault="003E4EF4">
      <w:pPr>
        <w:numPr>
          <w:ilvl w:val="0"/>
          <w:numId w:val="1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if the order is for the interception of wire or electronic communi</w:t>
      </w:r>
      <w:r>
        <w:rPr>
          <w:rFonts w:ascii="Times New Roman" w:hAnsi="Times New Roman" w:cs="Times New Roman"/>
          <w:noProof/>
          <w:sz w:val="24"/>
          <w:szCs w:val="24"/>
        </w:rPr>
        <w:t>cations, it must be of fixed, limited duration and can only be issued where that same information could not be reasonable obtained by a less intrusive method.</w:t>
      </w:r>
    </w:p>
    <w:p w:rsidR="001B65FF" w:rsidRDefault="003E4EF4">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The executive agreement places further procedural requirements on the foreign government. The for</w:t>
      </w:r>
      <w:r>
        <w:rPr>
          <w:rFonts w:ascii="Times New Roman" w:hAnsi="Times New Roman" w:cs="Times New Roman"/>
          <w:noProof/>
          <w:sz w:val="24"/>
          <w:szCs w:val="24"/>
        </w:rPr>
        <w:t>eign government must:</w:t>
      </w:r>
    </w:p>
    <w:p w:rsidR="001B65FF" w:rsidRDefault="003E4EF4">
      <w:pPr>
        <w:numPr>
          <w:ilvl w:val="0"/>
          <w:numId w:val="3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promptly review all material collected, and segregate, seal or delete (may not disseminate) material not found to be relevant to the request;</w:t>
      </w:r>
    </w:p>
    <w:p w:rsidR="001B65FF" w:rsidRDefault="003E4EF4">
      <w:pPr>
        <w:numPr>
          <w:ilvl w:val="0"/>
          <w:numId w:val="3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not disseminate content of a US person to a US authority unless it relates to significant ha</w:t>
      </w:r>
      <w:r>
        <w:rPr>
          <w:rFonts w:ascii="Times New Roman" w:hAnsi="Times New Roman" w:cs="Times New Roman"/>
          <w:noProof/>
          <w:sz w:val="24"/>
          <w:szCs w:val="24"/>
        </w:rPr>
        <w:t>rm or threat of the US or US persons including crimes of national security, terrorism,</w:t>
      </w:r>
    </w:p>
    <w:p w:rsidR="001B65FF" w:rsidRDefault="003E4EF4">
      <w:pPr>
        <w:numPr>
          <w:ilvl w:val="0"/>
          <w:numId w:val="3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violent crime, child exploitation, or significant financial fraud;</w:t>
      </w:r>
    </w:p>
    <w:p w:rsidR="001B65FF" w:rsidRDefault="003E4EF4">
      <w:pPr>
        <w:numPr>
          <w:ilvl w:val="0"/>
          <w:numId w:val="3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afford reciprocal rights of data access to the US;</w:t>
      </w:r>
    </w:p>
    <w:p w:rsidR="001B65FF" w:rsidRDefault="003E4EF4">
      <w:pPr>
        <w:numPr>
          <w:ilvl w:val="0"/>
          <w:numId w:val="3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agree to periodic reviews of compliance, with the U</w:t>
      </w:r>
      <w:r>
        <w:rPr>
          <w:rFonts w:ascii="Times New Roman" w:hAnsi="Times New Roman" w:cs="Times New Roman"/>
          <w:noProof/>
          <w:sz w:val="24"/>
          <w:szCs w:val="24"/>
        </w:rPr>
        <w:t>S government reserving the right to rescind the agreement; and,</w:t>
      </w:r>
    </w:p>
    <w:p w:rsidR="001B65FF" w:rsidRDefault="003E4EF4">
      <w:pPr>
        <w:numPr>
          <w:ilvl w:val="0"/>
          <w:numId w:val="35"/>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company would not be compelled under US law to respond to the request (but companies may, in reality, face other, non-legal pressures to comply).</w:t>
      </w:r>
    </w:p>
    <w:p w:rsidR="001B65FF" w:rsidRDefault="003E4EF4">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proposed legislation would also </w:t>
      </w:r>
      <w:r>
        <w:rPr>
          <w:rFonts w:ascii="Times New Roman" w:hAnsi="Times New Roman" w:cs="Times New Roman"/>
          <w:noProof/>
          <w:sz w:val="24"/>
          <w:szCs w:val="24"/>
        </w:rPr>
        <w:t>contain an “anti-cat’s paw” provision, stating that the US cannot use this agreement to ask a foreign government to share information the US would not be able to obtain on its own</w:t>
      </w:r>
      <w:r>
        <w:rPr>
          <w:rFonts w:ascii="Times New Roman" w:hAnsi="Times New Roman" w:cs="Times New Roman"/>
          <w:noProof/>
          <w:sz w:val="24"/>
          <w:szCs w:val="24"/>
          <w:vertAlign w:val="superscript"/>
        </w:rPr>
        <w:footnoteReference w:id="279"/>
      </w:r>
      <w:r>
        <w:rPr>
          <w:rFonts w:ascii="Times New Roman" w:hAnsi="Times New Roman" w:cs="Times New Roman"/>
          <w:noProof/>
          <w:sz w:val="24"/>
          <w:szCs w:val="24"/>
        </w:rPr>
        <w:t>. This provision protects the privacy of US persons by requiring US governme</w:t>
      </w:r>
      <w:r>
        <w:rPr>
          <w:rFonts w:ascii="Times New Roman" w:hAnsi="Times New Roman" w:cs="Times New Roman"/>
          <w:noProof/>
          <w:sz w:val="24"/>
          <w:szCs w:val="24"/>
        </w:rPr>
        <w:t xml:space="preserve">nt agencies to work through US channels to obtain data, rather than skirting legal requirements by turning to foreign partners with less restrictive practices to obtain the same data. </w:t>
      </w:r>
    </w:p>
    <w:p w:rsidR="001B65FF" w:rsidRDefault="003E4EF4">
      <w:pPr>
        <w:spacing w:after="0"/>
        <w:jc w:val="both"/>
        <w:rPr>
          <w:rFonts w:ascii="Times New Roman" w:hAnsi="Times New Roman" w:cs="Times New Roman"/>
          <w:noProof/>
          <w:sz w:val="24"/>
          <w:szCs w:val="24"/>
        </w:rPr>
      </w:pPr>
      <w:r>
        <w:rPr>
          <w:rFonts w:ascii="Times New Roman" w:hAnsi="Times New Roman" w:cs="Times New Roman"/>
          <w:noProof/>
          <w:sz w:val="24"/>
          <w:szCs w:val="24"/>
        </w:rPr>
        <w:t>For instance, this provision prohibits US agencies from asking a foreig</w:t>
      </w:r>
      <w:r>
        <w:rPr>
          <w:rFonts w:ascii="Times New Roman" w:hAnsi="Times New Roman" w:cs="Times New Roman"/>
          <w:noProof/>
          <w:sz w:val="24"/>
          <w:szCs w:val="24"/>
        </w:rPr>
        <w:t>n country to collect information about a US person through a request to a company, instead requiring US agencies to go through the established US warrant process to obtain that information.</w:t>
      </w:r>
    </w:p>
    <w:p w:rsidR="001B65FF" w:rsidRDefault="003E4EF4">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These new bilateral agreements would augment, not replace, the cur</w:t>
      </w:r>
      <w:r>
        <w:rPr>
          <w:rFonts w:ascii="Times New Roman" w:hAnsi="Times New Roman" w:cs="Times New Roman"/>
          <w:noProof/>
          <w:sz w:val="24"/>
          <w:szCs w:val="24"/>
        </w:rPr>
        <w:t>rent MLAT system. Foreign governments could still use the MLAT process for requests that fall outside the parameters of the executive agreement, or if they lack an executive agreement but have an MLAT.</w:t>
      </w:r>
    </w:p>
    <w:p w:rsidR="001B65FF" w:rsidRDefault="003E4EF4">
      <w:pPr>
        <w:spacing w:before="240" w:after="0"/>
        <w:rPr>
          <w:rFonts w:ascii="Times New Roman" w:hAnsi="Times New Roman" w:cs="Times New Roman"/>
          <w:noProof/>
          <w:sz w:val="24"/>
          <w:szCs w:val="24"/>
          <w:u w:val="single"/>
        </w:rPr>
      </w:pPr>
      <w:r>
        <w:rPr>
          <w:rFonts w:ascii="Times New Roman" w:hAnsi="Times New Roman" w:cs="Times New Roman"/>
          <w:noProof/>
          <w:sz w:val="24"/>
          <w:szCs w:val="24"/>
          <w:u w:val="single"/>
        </w:rPr>
        <w:t>Stated benefits</w:t>
      </w:r>
    </w:p>
    <w:p w:rsidR="001B65FF" w:rsidRDefault="003E4EF4">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The proposal provides foreign countrie</w:t>
      </w:r>
      <w:r>
        <w:rPr>
          <w:rFonts w:ascii="Times New Roman" w:hAnsi="Times New Roman" w:cs="Times New Roman"/>
          <w:noProof/>
          <w:sz w:val="24"/>
          <w:szCs w:val="24"/>
        </w:rPr>
        <w:t>s the ability to make requests based on the law of the requesting country rather than US law, and allowing companies the option to respond without penalty under US law. This is likely to be welcomed by both companies and foreign public authorities. The pro</w:t>
      </w:r>
      <w:r>
        <w:rPr>
          <w:rFonts w:ascii="Times New Roman" w:hAnsi="Times New Roman" w:cs="Times New Roman"/>
          <w:noProof/>
          <w:sz w:val="24"/>
          <w:szCs w:val="24"/>
        </w:rPr>
        <w:t>posal contains necessary limitations on this new process, including restricting requests under this agreement to serious crimes, placing limits on the ability to use this process to obtain information about US persons, requiring a degree of independent ove</w:t>
      </w:r>
      <w:r>
        <w:rPr>
          <w:rFonts w:ascii="Times New Roman" w:hAnsi="Times New Roman" w:cs="Times New Roman"/>
          <w:noProof/>
          <w:sz w:val="24"/>
          <w:szCs w:val="24"/>
        </w:rPr>
        <w:t>rsight of the requests, and prohibiting interception requests with open-ended timelines. Foreign governments would have the option to request both stored and real-time data. For responding companies, the proposed legislation does not compel response, it me</w:t>
      </w:r>
      <w:r>
        <w:rPr>
          <w:rFonts w:ascii="Times New Roman" w:hAnsi="Times New Roman" w:cs="Times New Roman"/>
          <w:noProof/>
          <w:sz w:val="24"/>
          <w:szCs w:val="24"/>
        </w:rPr>
        <w:t>rely removes the legal barriers for responding, still giving companies a high degree of flexibility. In summary, the proposal creates a system with the potential to relieve the burdens on both foreign public authorities and US companies.</w:t>
      </w:r>
    </w:p>
    <w:p w:rsidR="001B65FF" w:rsidRDefault="003E4EF4">
      <w:pPr>
        <w:spacing w:before="240" w:after="0"/>
        <w:rPr>
          <w:rFonts w:ascii="Times New Roman" w:hAnsi="Times New Roman" w:cs="Times New Roman"/>
          <w:noProof/>
          <w:sz w:val="24"/>
          <w:szCs w:val="24"/>
          <w:u w:val="single"/>
        </w:rPr>
      </w:pPr>
      <w:r>
        <w:rPr>
          <w:rFonts w:ascii="Times New Roman" w:hAnsi="Times New Roman" w:cs="Times New Roman"/>
          <w:noProof/>
          <w:sz w:val="24"/>
          <w:szCs w:val="24"/>
          <w:u w:val="single"/>
        </w:rPr>
        <w:t>Stated concerns</w:t>
      </w:r>
    </w:p>
    <w:p w:rsidR="001B65FF" w:rsidRDefault="003E4EF4">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Se</w:t>
      </w:r>
      <w:r>
        <w:rPr>
          <w:rFonts w:ascii="Times New Roman" w:hAnsi="Times New Roman" w:cs="Times New Roman"/>
          <w:noProof/>
          <w:sz w:val="24"/>
          <w:szCs w:val="24"/>
        </w:rPr>
        <w:t>veral civil society groups have voiced concerns about the draft proposal. A coalition of 21 organisations, including the Electronic Frontier Foundation, the Center for Democracy &amp; Technology, Amnesty International and Human Rights Watch, sent a letter</w:t>
      </w:r>
      <w:r>
        <w:rPr>
          <w:rFonts w:ascii="Times New Roman" w:hAnsi="Times New Roman" w:cs="Times New Roman"/>
          <w:noProof/>
          <w:sz w:val="24"/>
          <w:szCs w:val="24"/>
          <w:vertAlign w:val="superscript"/>
        </w:rPr>
        <w:footnoteReference w:id="280"/>
      </w:r>
      <w:r>
        <w:rPr>
          <w:rFonts w:ascii="Times New Roman" w:hAnsi="Times New Roman" w:cs="Times New Roman"/>
          <w:noProof/>
          <w:sz w:val="24"/>
          <w:szCs w:val="24"/>
        </w:rPr>
        <w:t xml:space="preserve"> to </w:t>
      </w:r>
      <w:r>
        <w:rPr>
          <w:rFonts w:ascii="Times New Roman" w:hAnsi="Times New Roman" w:cs="Times New Roman"/>
          <w:noProof/>
          <w:sz w:val="24"/>
          <w:szCs w:val="24"/>
        </w:rPr>
        <w:t>the US Congress in September 2017 opposing the bill</w:t>
      </w:r>
      <w:r>
        <w:rPr>
          <w:rFonts w:ascii="Times New Roman" w:hAnsi="Times New Roman" w:cs="Times New Roman"/>
          <w:noProof/>
          <w:sz w:val="24"/>
          <w:szCs w:val="24"/>
          <w:vertAlign w:val="superscript"/>
        </w:rPr>
        <w:footnoteReference w:id="281"/>
      </w:r>
      <w:r>
        <w:rPr>
          <w:rFonts w:ascii="Times New Roman" w:hAnsi="Times New Roman" w:cs="Times New Roman"/>
          <w:noProof/>
          <w:sz w:val="24"/>
          <w:szCs w:val="24"/>
        </w:rPr>
        <w:t>.</w:t>
      </w:r>
    </w:p>
    <w:p w:rsidR="001B65FF" w:rsidRDefault="003E4EF4">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The concerns are related to missing protections (some protections have been left out of the proposal) and reduced standards (the safeguards included in the proposal are not strict enough):</w:t>
      </w:r>
    </w:p>
    <w:p w:rsidR="001B65FF" w:rsidRDefault="003E4EF4">
      <w:pPr>
        <w:numPr>
          <w:ilvl w:val="0"/>
          <w:numId w:val="36"/>
        </w:numPr>
        <w:spacing w:before="240"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Missing </w:t>
      </w:r>
      <w:r>
        <w:rPr>
          <w:rFonts w:ascii="Times New Roman" w:hAnsi="Times New Roman" w:cs="Times New Roman"/>
          <w:noProof/>
          <w:sz w:val="24"/>
          <w:szCs w:val="24"/>
        </w:rPr>
        <w:t>protections include:</w:t>
      </w:r>
    </w:p>
    <w:p w:rsidR="001B65FF" w:rsidRDefault="003E4EF4">
      <w:pPr>
        <w:numPr>
          <w:ilvl w:val="1"/>
          <w:numId w:val="36"/>
        </w:numPr>
        <w:spacing w:before="240" w:after="0"/>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bill does not provide specific protections for </w:t>
      </w:r>
      <w:r>
        <w:rPr>
          <w:rFonts w:ascii="Times New Roman" w:hAnsi="Times New Roman" w:cs="Times New Roman"/>
          <w:b/>
          <w:noProof/>
          <w:sz w:val="24"/>
          <w:szCs w:val="24"/>
        </w:rPr>
        <w:t>metadata</w:t>
      </w:r>
      <w:r>
        <w:rPr>
          <w:rFonts w:ascii="Times New Roman" w:hAnsi="Times New Roman" w:cs="Times New Roman"/>
          <w:noProof/>
          <w:sz w:val="24"/>
          <w:szCs w:val="24"/>
        </w:rPr>
        <w:t>, which concerns actors who consider metadata just as useful to law enforcement and as privacy-invasive as content. Some argue that a court order should be required for the mos</w:t>
      </w:r>
      <w:r>
        <w:rPr>
          <w:rFonts w:ascii="Times New Roman" w:hAnsi="Times New Roman" w:cs="Times New Roman"/>
          <w:noProof/>
          <w:sz w:val="24"/>
          <w:szCs w:val="24"/>
        </w:rPr>
        <w:t>t-sensitive metadata</w:t>
      </w:r>
      <w:r>
        <w:rPr>
          <w:rFonts w:ascii="Times New Roman" w:hAnsi="Times New Roman" w:cs="Times New Roman"/>
          <w:noProof/>
          <w:sz w:val="24"/>
          <w:szCs w:val="24"/>
          <w:vertAlign w:val="superscript"/>
        </w:rPr>
        <w:footnoteReference w:id="282"/>
      </w:r>
      <w:r>
        <w:rPr>
          <w:rFonts w:ascii="Times New Roman" w:hAnsi="Times New Roman" w:cs="Times New Roman"/>
          <w:noProof/>
          <w:sz w:val="24"/>
          <w:szCs w:val="24"/>
        </w:rPr>
        <w:t>. It also remains to be seen how much companies will be able to push back on bad requests and what procedures of recourse would look like.</w:t>
      </w:r>
    </w:p>
    <w:p w:rsidR="001B65FF" w:rsidRDefault="003E4EF4">
      <w:pPr>
        <w:numPr>
          <w:ilvl w:val="1"/>
          <w:numId w:val="36"/>
        </w:numPr>
        <w:spacing w:before="240" w:after="0"/>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bill does not mention </w:t>
      </w:r>
      <w:r>
        <w:rPr>
          <w:rFonts w:ascii="Times New Roman" w:hAnsi="Times New Roman" w:cs="Times New Roman"/>
          <w:b/>
          <w:noProof/>
          <w:sz w:val="24"/>
          <w:szCs w:val="24"/>
        </w:rPr>
        <w:t>encryption</w:t>
      </w:r>
      <w:r>
        <w:rPr>
          <w:rFonts w:ascii="Times New Roman" w:hAnsi="Times New Roman" w:cs="Times New Roman"/>
          <w:noProof/>
          <w:sz w:val="24"/>
          <w:szCs w:val="24"/>
        </w:rPr>
        <w:t xml:space="preserve"> and whether providers could be subject to compelled assista</w:t>
      </w:r>
      <w:r>
        <w:rPr>
          <w:rFonts w:ascii="Times New Roman" w:hAnsi="Times New Roman" w:cs="Times New Roman"/>
          <w:noProof/>
          <w:sz w:val="24"/>
          <w:szCs w:val="24"/>
        </w:rPr>
        <w:t xml:space="preserve">nce that goes beyond US law when dealing with foreign requests. As pro-encryption advocates point out, this bill also does not currently predicate access to data stored by US companies on the requesting country’s pro-encryption policy, such as prohibiting </w:t>
      </w:r>
      <w:r>
        <w:rPr>
          <w:rFonts w:ascii="Times New Roman" w:hAnsi="Times New Roman" w:cs="Times New Roman"/>
          <w:noProof/>
          <w:sz w:val="24"/>
          <w:szCs w:val="24"/>
        </w:rPr>
        <w:t>partner countries from passing anti-encryption legislation</w:t>
      </w:r>
      <w:r>
        <w:rPr>
          <w:rFonts w:ascii="Times New Roman" w:hAnsi="Times New Roman" w:cs="Times New Roman"/>
          <w:noProof/>
          <w:sz w:val="24"/>
          <w:szCs w:val="24"/>
          <w:vertAlign w:val="superscript"/>
        </w:rPr>
        <w:footnoteReference w:id="283"/>
      </w:r>
      <w:r>
        <w:rPr>
          <w:rFonts w:ascii="Times New Roman" w:hAnsi="Times New Roman" w:cs="Times New Roman"/>
          <w:noProof/>
          <w:sz w:val="24"/>
          <w:szCs w:val="24"/>
        </w:rPr>
        <w:t>.</w:t>
      </w:r>
    </w:p>
    <w:p w:rsidR="001B65FF" w:rsidRDefault="003E4EF4">
      <w:pPr>
        <w:numPr>
          <w:ilvl w:val="1"/>
          <w:numId w:val="36"/>
        </w:numPr>
        <w:spacing w:before="240" w:after="0"/>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bill does not require </w:t>
      </w:r>
      <w:r>
        <w:rPr>
          <w:rFonts w:ascii="Times New Roman" w:hAnsi="Times New Roman" w:cs="Times New Roman"/>
          <w:b/>
          <w:noProof/>
          <w:sz w:val="24"/>
          <w:szCs w:val="24"/>
        </w:rPr>
        <w:t>dual criminality</w:t>
      </w:r>
      <w:r>
        <w:rPr>
          <w:rFonts w:ascii="Times New Roman" w:hAnsi="Times New Roman" w:cs="Times New Roman"/>
          <w:noProof/>
          <w:sz w:val="24"/>
          <w:szCs w:val="24"/>
        </w:rPr>
        <w:t>. In contrast, the current MLAT process requires dual criminality: a foreign government can only submit a request for data relating to a crime that is il</w:t>
      </w:r>
      <w:r>
        <w:rPr>
          <w:rFonts w:ascii="Times New Roman" w:hAnsi="Times New Roman" w:cs="Times New Roman"/>
          <w:noProof/>
          <w:sz w:val="24"/>
          <w:szCs w:val="24"/>
        </w:rPr>
        <w:t>legal both in their country and in the US Some advocates argue that the dual criminality piece is a critical feature, as it creates higher standards for civil liberties globally. Others, argue other countries should not be forced to follow standards that a</w:t>
      </w:r>
      <w:r>
        <w:rPr>
          <w:rFonts w:ascii="Times New Roman" w:hAnsi="Times New Roman" w:cs="Times New Roman"/>
          <w:noProof/>
          <w:sz w:val="24"/>
          <w:szCs w:val="24"/>
        </w:rPr>
        <w:t>re not their own (provided they have met the requirements of the bilateral treaty).</w:t>
      </w:r>
    </w:p>
    <w:p w:rsidR="001B65FF" w:rsidRDefault="003E4EF4">
      <w:pPr>
        <w:numPr>
          <w:ilvl w:val="1"/>
          <w:numId w:val="36"/>
        </w:numPr>
        <w:spacing w:before="240" w:after="0"/>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bill lacks structured, explicit oversight over the request and response process. There is no requirement of </w:t>
      </w:r>
      <w:r>
        <w:rPr>
          <w:rFonts w:ascii="Times New Roman" w:hAnsi="Times New Roman" w:cs="Times New Roman"/>
          <w:b/>
          <w:noProof/>
          <w:sz w:val="24"/>
          <w:szCs w:val="24"/>
        </w:rPr>
        <w:t>prior individualised review</w:t>
      </w:r>
      <w:r>
        <w:rPr>
          <w:rFonts w:ascii="Times New Roman" w:hAnsi="Times New Roman" w:cs="Times New Roman"/>
          <w:noProof/>
          <w:sz w:val="24"/>
          <w:szCs w:val="24"/>
        </w:rPr>
        <w:t xml:space="preserve"> and no standard mechanism for co</w:t>
      </w:r>
      <w:r>
        <w:rPr>
          <w:rFonts w:ascii="Times New Roman" w:hAnsi="Times New Roman" w:cs="Times New Roman"/>
          <w:noProof/>
          <w:sz w:val="24"/>
          <w:szCs w:val="24"/>
        </w:rPr>
        <w:t xml:space="preserve">mpanies to challenge requests is included in the draft bill. This lack concerns civil society actors are concerned that requests and responses may push the boundaries of acceptability, given they are not individually subject to scrutiny. </w:t>
      </w:r>
    </w:p>
    <w:p w:rsidR="001B65FF" w:rsidRDefault="003E4EF4">
      <w:pPr>
        <w:numPr>
          <w:ilvl w:val="1"/>
          <w:numId w:val="36"/>
        </w:numPr>
        <w:spacing w:before="240" w:after="0"/>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When striking agr</w:t>
      </w:r>
      <w:r>
        <w:rPr>
          <w:rFonts w:ascii="Times New Roman" w:hAnsi="Times New Roman" w:cs="Times New Roman"/>
          <w:noProof/>
          <w:sz w:val="24"/>
          <w:szCs w:val="24"/>
        </w:rPr>
        <w:t xml:space="preserve">eements with other countries, the bill gives the ability to grant agreements solely with the </w:t>
      </w:r>
      <w:r>
        <w:rPr>
          <w:rFonts w:ascii="Times New Roman" w:hAnsi="Times New Roman" w:cs="Times New Roman"/>
          <w:b/>
          <w:noProof/>
          <w:sz w:val="24"/>
          <w:szCs w:val="24"/>
        </w:rPr>
        <w:t>executive branch</w:t>
      </w:r>
      <w:r>
        <w:rPr>
          <w:rFonts w:ascii="Times New Roman" w:hAnsi="Times New Roman" w:cs="Times New Roman"/>
          <w:noProof/>
          <w:sz w:val="24"/>
          <w:szCs w:val="24"/>
        </w:rPr>
        <w:t>, unlike the MLAT system, which requires Senate approval for each MLAT, increasing the risk of politicizing the approval process.</w:t>
      </w:r>
    </w:p>
    <w:p w:rsidR="001B65FF" w:rsidRDefault="003E4EF4">
      <w:pPr>
        <w:numPr>
          <w:ilvl w:val="1"/>
          <w:numId w:val="36"/>
        </w:numPr>
        <w:spacing w:before="240" w:after="0"/>
        <w:ind w:left="108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There is </w:t>
      </w:r>
      <w:r>
        <w:rPr>
          <w:rFonts w:ascii="Times New Roman" w:hAnsi="Times New Roman" w:cs="Times New Roman"/>
          <w:b/>
          <w:noProof/>
          <w:sz w:val="24"/>
          <w:szCs w:val="24"/>
        </w:rPr>
        <w:t>no requi</w:t>
      </w:r>
      <w:r>
        <w:rPr>
          <w:rFonts w:ascii="Times New Roman" w:hAnsi="Times New Roman" w:cs="Times New Roman"/>
          <w:b/>
          <w:noProof/>
          <w:sz w:val="24"/>
          <w:szCs w:val="24"/>
        </w:rPr>
        <w:t>rement of notice</w:t>
      </w:r>
      <w:r>
        <w:rPr>
          <w:rFonts w:ascii="Times New Roman" w:hAnsi="Times New Roman" w:cs="Times New Roman"/>
          <w:noProof/>
          <w:sz w:val="24"/>
          <w:szCs w:val="24"/>
        </w:rPr>
        <w:t>. The bill does not require any notice to the target of surveillance that foreign police seized their data.</w:t>
      </w:r>
    </w:p>
    <w:p w:rsidR="001B65FF" w:rsidRDefault="003E4EF4">
      <w:pPr>
        <w:numPr>
          <w:ilvl w:val="0"/>
          <w:numId w:val="36"/>
        </w:numPr>
        <w:spacing w:before="240" w:after="0"/>
        <w:contextualSpacing/>
        <w:jc w:val="both"/>
        <w:rPr>
          <w:rFonts w:ascii="Times New Roman" w:hAnsi="Times New Roman" w:cs="Times New Roman"/>
          <w:noProof/>
          <w:sz w:val="24"/>
          <w:szCs w:val="24"/>
        </w:rPr>
      </w:pPr>
      <w:r>
        <w:rPr>
          <w:rFonts w:ascii="Times New Roman" w:hAnsi="Times New Roman" w:cs="Times New Roman"/>
          <w:noProof/>
          <w:sz w:val="24"/>
          <w:szCs w:val="24"/>
        </w:rPr>
        <w:t>Reduced standards include:</w:t>
      </w:r>
    </w:p>
    <w:p w:rsidR="001B65FF" w:rsidRDefault="003E4EF4">
      <w:pPr>
        <w:numPr>
          <w:ilvl w:val="0"/>
          <w:numId w:val="37"/>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Regarding evidentiary standards, the bill substitutes the current “</w:t>
      </w:r>
      <w:r>
        <w:rPr>
          <w:rFonts w:ascii="Times New Roman" w:hAnsi="Times New Roman" w:cs="Times New Roman"/>
          <w:b/>
          <w:noProof/>
          <w:sz w:val="24"/>
          <w:szCs w:val="24"/>
        </w:rPr>
        <w:t>probable cause</w:t>
      </w:r>
      <w:r>
        <w:rPr>
          <w:rFonts w:ascii="Times New Roman" w:hAnsi="Times New Roman" w:cs="Times New Roman"/>
          <w:noProof/>
          <w:sz w:val="24"/>
          <w:szCs w:val="24"/>
        </w:rPr>
        <w:t xml:space="preserve">” standard that applies </w:t>
      </w:r>
      <w:r>
        <w:rPr>
          <w:rFonts w:ascii="Times New Roman" w:hAnsi="Times New Roman" w:cs="Times New Roman"/>
          <w:noProof/>
          <w:sz w:val="24"/>
          <w:szCs w:val="24"/>
        </w:rPr>
        <w:t>to US MLATs with “reasonable justification based on articulable and credible facts</w:t>
      </w:r>
      <w:r>
        <w:rPr>
          <w:rFonts w:ascii="Times New Roman" w:hAnsi="Times New Roman" w:cs="Times New Roman"/>
          <w:noProof/>
          <w:sz w:val="24"/>
          <w:szCs w:val="24"/>
          <w:vertAlign w:val="superscript"/>
        </w:rPr>
        <w:footnoteReference w:id="284"/>
      </w:r>
      <w:r>
        <w:rPr>
          <w:rFonts w:ascii="Times New Roman" w:hAnsi="Times New Roman" w:cs="Times New Roman"/>
          <w:noProof/>
          <w:sz w:val="24"/>
          <w:szCs w:val="24"/>
        </w:rPr>
        <w:t>.” Some argue that this change could mark a “dramatic elimination of a key civil liberties protection in US law</w:t>
      </w:r>
      <w:r>
        <w:rPr>
          <w:rFonts w:ascii="Times New Roman" w:hAnsi="Times New Roman" w:cs="Times New Roman"/>
          <w:noProof/>
          <w:sz w:val="24"/>
          <w:szCs w:val="24"/>
          <w:vertAlign w:val="superscript"/>
        </w:rPr>
        <w:footnoteReference w:id="285"/>
      </w:r>
      <w:r>
        <w:rPr>
          <w:rFonts w:ascii="Times New Roman" w:hAnsi="Times New Roman" w:cs="Times New Roman"/>
          <w:noProof/>
          <w:sz w:val="24"/>
          <w:szCs w:val="24"/>
        </w:rPr>
        <w:t xml:space="preserve">,” as foreign states would no longer be required to meet the </w:t>
      </w:r>
      <w:r>
        <w:rPr>
          <w:rFonts w:ascii="Times New Roman" w:hAnsi="Times New Roman" w:cs="Times New Roman"/>
          <w:noProof/>
          <w:sz w:val="24"/>
          <w:szCs w:val="24"/>
        </w:rPr>
        <w:t>high US evidentiary standards to request data.</w:t>
      </w:r>
    </w:p>
    <w:p w:rsidR="001B65FF" w:rsidRDefault="003E4EF4">
      <w:pPr>
        <w:numPr>
          <w:ilvl w:val="0"/>
          <w:numId w:val="37"/>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The bill does not enumerate specific requirements for qualifying for an executive agreement, but rather “factors” or “conditions” to be considered (e.g., meeting international human rights obligations, respect</w:t>
      </w:r>
      <w:r>
        <w:rPr>
          <w:rFonts w:ascii="Times New Roman" w:hAnsi="Times New Roman" w:cs="Times New Roman"/>
          <w:noProof/>
          <w:sz w:val="24"/>
          <w:szCs w:val="24"/>
        </w:rPr>
        <w:t xml:space="preserve"> for rule of law). Civil society would prefer defined requirements that restrict the US government’s ability to grant agreements based on politics.</w:t>
      </w:r>
    </w:p>
    <w:p w:rsidR="001B65FF" w:rsidRDefault="003E4EF4">
      <w:pPr>
        <w:numPr>
          <w:ilvl w:val="0"/>
          <w:numId w:val="37"/>
        </w:numPr>
        <w:spacing w:after="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bill allows foreign governments to submit requests for </w:t>
      </w:r>
      <w:r>
        <w:rPr>
          <w:rFonts w:ascii="Times New Roman" w:hAnsi="Times New Roman" w:cs="Times New Roman"/>
          <w:b/>
          <w:noProof/>
          <w:sz w:val="24"/>
          <w:szCs w:val="24"/>
        </w:rPr>
        <w:t>real-time surveillance</w:t>
      </w:r>
      <w:r>
        <w:rPr>
          <w:rFonts w:ascii="Times New Roman" w:hAnsi="Times New Roman" w:cs="Times New Roman"/>
          <w:noProof/>
          <w:sz w:val="24"/>
          <w:szCs w:val="24"/>
        </w:rPr>
        <w:t>, a change from the current</w:t>
      </w:r>
      <w:r>
        <w:rPr>
          <w:rFonts w:ascii="Times New Roman" w:hAnsi="Times New Roman" w:cs="Times New Roman"/>
          <w:noProof/>
          <w:sz w:val="24"/>
          <w:szCs w:val="24"/>
        </w:rPr>
        <w:t xml:space="preserve"> MLAT system, which focuses on stored communications.</w:t>
      </w:r>
    </w:p>
    <w:p w:rsidR="001B65FF" w:rsidRDefault="003E4EF4">
      <w:pPr>
        <w:autoSpaceDE w:val="0"/>
        <w:autoSpaceDN w:val="0"/>
        <w:adjustRightInd w:val="0"/>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Academics who have worked on the bill, including Jennifer Daskal and Andrew Woods, have also recognised many of these concerns, but they call for revision and iteration, not rejection, of the draft prop</w:t>
      </w:r>
      <w:r>
        <w:rPr>
          <w:rFonts w:ascii="Times New Roman" w:hAnsi="Times New Roman" w:cs="Times New Roman"/>
          <w:noProof/>
          <w:sz w:val="24"/>
          <w:szCs w:val="24"/>
        </w:rPr>
        <w:t>osal</w:t>
      </w:r>
      <w:r>
        <w:rPr>
          <w:rFonts w:ascii="Times New Roman" w:hAnsi="Times New Roman" w:cs="Times New Roman"/>
          <w:noProof/>
          <w:sz w:val="24"/>
          <w:szCs w:val="24"/>
          <w:vertAlign w:val="superscript"/>
        </w:rPr>
        <w:footnoteReference w:id="286"/>
      </w:r>
      <w:r>
        <w:rPr>
          <w:rFonts w:ascii="Times New Roman" w:hAnsi="Times New Roman" w:cs="Times New Roman"/>
          <w:noProof/>
          <w:sz w:val="24"/>
          <w:szCs w:val="24"/>
        </w:rPr>
        <w:t>.</w:t>
      </w:r>
    </w:p>
    <w:p w:rsidR="001B65FF" w:rsidRDefault="001B65FF">
      <w:pPr>
        <w:rPr>
          <w:rFonts w:eastAsia="Times New Roman"/>
          <w:noProof/>
        </w:rPr>
        <w:sectPr w:rsidR="001B65FF">
          <w:headerReference w:type="even" r:id="rId169"/>
          <w:headerReference w:type="default" r:id="rId170"/>
          <w:footerReference w:type="even" r:id="rId171"/>
          <w:footerReference w:type="default" r:id="rId172"/>
          <w:headerReference w:type="first" r:id="rId173"/>
          <w:footerReference w:type="first" r:id="rId174"/>
          <w:pgSz w:w="11906" w:h="16838"/>
          <w:pgMar w:top="1418" w:right="1418" w:bottom="1134" w:left="1418" w:header="709" w:footer="709" w:gutter="0"/>
          <w:cols w:space="708"/>
          <w:docGrid w:linePitch="360"/>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2293" w:name="_Toc499020505"/>
      <w:bookmarkStart w:id="2294" w:name="_Toc499030439"/>
      <w:bookmarkStart w:id="2295" w:name="_Toc499044981"/>
      <w:bookmarkStart w:id="2296" w:name="_Toc499051397"/>
      <w:bookmarkStart w:id="2297" w:name="_Toc499133356"/>
      <w:bookmarkStart w:id="2298" w:name="_Toc499142927"/>
      <w:bookmarkStart w:id="2299" w:name="_Toc510952922"/>
      <w:r>
        <w:rPr>
          <w:rFonts w:ascii="Times New Roman" w:eastAsia="Times New Roman" w:hAnsi="Times New Roman" w:cs="Times New Roman"/>
          <w:b/>
          <w:smallCaps/>
          <w:noProof/>
          <w:sz w:val="24"/>
          <w:szCs w:val="20"/>
        </w:rPr>
        <w:t>Annex 11: Additional data on the size of the problem</w:t>
      </w:r>
      <w:bookmarkEnd w:id="2223"/>
      <w:bookmarkEnd w:id="2224"/>
      <w:bookmarkEnd w:id="2225"/>
      <w:bookmarkEnd w:id="2226"/>
      <w:bookmarkEnd w:id="2227"/>
      <w:bookmarkEnd w:id="2228"/>
      <w:bookmarkEnd w:id="2229"/>
      <w:bookmarkEnd w:id="2230"/>
      <w:bookmarkEnd w:id="2231"/>
      <w:bookmarkEnd w:id="2293"/>
      <w:bookmarkEnd w:id="2294"/>
      <w:bookmarkEnd w:id="2295"/>
      <w:bookmarkEnd w:id="2296"/>
      <w:bookmarkEnd w:id="2297"/>
      <w:bookmarkEnd w:id="2298"/>
      <w:bookmarkEnd w:id="2299"/>
    </w:p>
    <w:p w:rsidR="001B65FF" w:rsidRDefault="003E4EF4">
      <w:pPr>
        <w:spacing w:before="120" w:after="120"/>
        <w:jc w:val="both"/>
        <w:rPr>
          <w:rFonts w:ascii="Times New Roman" w:eastAsia="Times New Roman" w:hAnsi="Times New Roman" w:cs="Times New Roman"/>
          <w:noProof/>
          <w:sz w:val="24"/>
          <w:u w:val="single"/>
        </w:rPr>
      </w:pPr>
      <w:r>
        <w:rPr>
          <w:rFonts w:ascii="Times New Roman" w:eastAsia="Times New Roman" w:hAnsi="Times New Roman" w:cs="Times New Roman"/>
          <w:noProof/>
          <w:sz w:val="24"/>
          <w:u w:val="single"/>
        </w:rPr>
        <w:t>Data from the survey of public authorities on cross-border access to e-evidence</w:t>
      </w:r>
    </w:p>
    <w:p w:rsidR="001B65FF" w:rsidRDefault="003E4EF4">
      <w:pPr>
        <w:keepNext/>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following tables and figures summarise the </w:t>
      </w:r>
      <w:r>
        <w:rPr>
          <w:rFonts w:ascii="Times New Roman" w:eastAsia="Times New Roman" w:hAnsi="Times New Roman" w:cs="Times New Roman"/>
          <w:b/>
          <w:noProof/>
          <w:sz w:val="24"/>
        </w:rPr>
        <w:t>results of the survey of public authorities</w:t>
      </w:r>
      <w:r>
        <w:rPr>
          <w:rFonts w:ascii="Times New Roman" w:eastAsia="Times New Roman" w:hAnsi="Times New Roman" w:cs="Times New Roman"/>
          <w:noProof/>
          <w:sz w:val="24"/>
          <w:szCs w:val="20"/>
        </w:rPr>
        <w:t xml:space="preserve"> on cross-border access to e-evidence.</w:t>
      </w:r>
      <w:r>
        <w:rPr>
          <w:rStyle w:val="FootnoteReference"/>
          <w:rFonts w:ascii="Times New Roman" w:eastAsia="Times New Roman" w:hAnsi="Times New Roman" w:cs="Times New Roman"/>
          <w:noProof/>
          <w:sz w:val="24"/>
          <w:szCs w:val="20"/>
        </w:rPr>
        <w:footnoteReference w:id="287"/>
      </w:r>
      <w:r>
        <w:rPr>
          <w:rFonts w:ascii="Times New Roman" w:eastAsia="Times New Roman" w:hAnsi="Times New Roman" w:cs="Times New Roman"/>
          <w:noProof/>
          <w:sz w:val="24"/>
          <w:szCs w:val="20"/>
        </w:rPr>
        <w:t xml:space="preserve"> The survey comprised four main parts combining cooperation channel and location of the counterpart criterions. The requested d</w:t>
      </w:r>
      <w:r>
        <w:rPr>
          <w:rFonts w:ascii="Times New Roman" w:eastAsia="Times New Roman" w:hAnsi="Times New Roman" w:cs="Times New Roman"/>
          <w:noProof/>
          <w:sz w:val="24"/>
          <w:szCs w:val="20"/>
        </w:rPr>
        <w:t xml:space="preserve">ata were broken down into eight respective categories based on its nature and type of the service provider, i.e. electronic communication services, telecommunication services, and internet or app-based services. The final results of the survey are divided </w:t>
      </w:r>
      <w:r>
        <w:rPr>
          <w:rFonts w:ascii="Times New Roman" w:eastAsia="Times New Roman" w:hAnsi="Times New Roman" w:cs="Times New Roman"/>
          <w:noProof/>
          <w:sz w:val="24"/>
          <w:szCs w:val="20"/>
        </w:rPr>
        <w:t>into four categories – (1) relevance of cross-border access to e-evidence, (2) the request satisfaction rate, (3) percentage of investigations negatively affected, and (4) the time it takes to prepare a request and receive an answer.</w:t>
      </w:r>
    </w:p>
    <w:p w:rsidR="001B65FF" w:rsidRDefault="003E4EF4">
      <w:pPr>
        <w:keepNext/>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Relevance</w:t>
      </w:r>
    </w:p>
    <w:p w:rsidR="001B65FF" w:rsidRDefault="003E4EF4">
      <w:pPr>
        <w:keepNext/>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targeted</w:t>
      </w:r>
      <w:r>
        <w:rPr>
          <w:rFonts w:ascii="Times New Roman" w:eastAsia="Times New Roman" w:hAnsi="Times New Roman" w:cs="Times New Roman"/>
          <w:noProof/>
          <w:sz w:val="24"/>
          <w:szCs w:val="20"/>
        </w:rPr>
        <w:t xml:space="preserve"> survey revealed that the electronic evidence in any form is </w:t>
      </w:r>
      <w:r>
        <w:rPr>
          <w:rFonts w:ascii="Times New Roman" w:eastAsia="Times New Roman" w:hAnsi="Times New Roman" w:cs="Times New Roman"/>
          <w:b/>
          <w:noProof/>
          <w:sz w:val="24"/>
          <w:szCs w:val="20"/>
        </w:rPr>
        <w:t>relevant</w:t>
      </w:r>
      <w:r>
        <w:rPr>
          <w:rFonts w:ascii="Times New Roman" w:eastAsia="Times New Roman" w:hAnsi="Times New Roman" w:cs="Times New Roman"/>
          <w:noProof/>
          <w:sz w:val="24"/>
          <w:szCs w:val="20"/>
        </w:rPr>
        <w:t xml:space="preserve"> in 85% of investigations.</w:t>
      </w:r>
      <w:r>
        <w:rPr>
          <w:rStyle w:val="FootnoteReference"/>
          <w:rFonts w:ascii="Times New Roman" w:eastAsia="Times New Roman" w:hAnsi="Times New Roman" w:cs="Times New Roman"/>
          <w:noProof/>
          <w:sz w:val="24"/>
          <w:szCs w:val="20"/>
        </w:rPr>
        <w:footnoteReference w:id="288"/>
      </w:r>
      <w:r>
        <w:rPr>
          <w:rFonts w:ascii="Times New Roman" w:eastAsia="Times New Roman" w:hAnsi="Times New Roman" w:cs="Times New Roman"/>
          <w:noProof/>
          <w:sz w:val="24"/>
          <w:szCs w:val="20"/>
        </w:rPr>
        <w:t xml:space="preserve"> In approximately 65% of total investigations, the law enforcement authorities would need to make a request to a service provider in another jurisdiction to obt</w:t>
      </w:r>
      <w:r>
        <w:rPr>
          <w:rFonts w:ascii="Times New Roman" w:eastAsia="Times New Roman" w:hAnsi="Times New Roman" w:cs="Times New Roman"/>
          <w:noProof/>
          <w:sz w:val="24"/>
          <w:szCs w:val="20"/>
        </w:rPr>
        <w:t>ain the evidence.</w:t>
      </w:r>
      <w:r>
        <w:rPr>
          <w:rStyle w:val="FootnoteReference"/>
          <w:rFonts w:ascii="Times New Roman" w:eastAsia="Times New Roman" w:hAnsi="Times New Roman" w:cs="Times New Roman"/>
          <w:noProof/>
          <w:sz w:val="24"/>
          <w:szCs w:val="20"/>
        </w:rPr>
        <w:footnoteReference w:id="289"/>
      </w:r>
      <w:r>
        <w:rPr>
          <w:rFonts w:ascii="Times New Roman" w:eastAsia="Times New Roman" w:hAnsi="Times New Roman" w:cs="Times New Roman"/>
          <w:noProof/>
          <w:sz w:val="24"/>
          <w:szCs w:val="20"/>
        </w:rPr>
        <w:t xml:space="preserve"> The table 1 displays distribution of data requests among cooperation channels based on the nature of requested data and types of service providers criterions. However, the volume of cross-border requests for data the law enforcement auth</w:t>
      </w:r>
      <w:r>
        <w:rPr>
          <w:rFonts w:ascii="Times New Roman" w:eastAsia="Times New Roman" w:hAnsi="Times New Roman" w:cs="Times New Roman"/>
          <w:noProof/>
          <w:sz w:val="24"/>
          <w:szCs w:val="20"/>
        </w:rPr>
        <w:t>orities finally submit is lower than the number of cases where authorities would actually need to access the e-evidence.</w:t>
      </w:r>
    </w:p>
    <w:p w:rsidR="001B65FF" w:rsidRDefault="003E4EF4">
      <w:pPr>
        <w:keepNext/>
        <w:jc w:val="center"/>
        <w:rPr>
          <w:rFonts w:ascii="Times New Roman" w:hAnsi="Times New Roman" w:cs="Times New Roman"/>
          <w:noProof/>
          <w:sz w:val="24"/>
        </w:rPr>
      </w:pPr>
      <w:r>
        <w:rPr>
          <w:rFonts w:ascii="Times New Roman" w:hAnsi="Times New Roman" w:cs="Times New Roman"/>
          <w:i/>
          <w:noProof/>
          <w:sz w:val="24"/>
        </w:rPr>
        <w:t>Table 1</w:t>
      </w:r>
      <w:r>
        <w:rPr>
          <w:rFonts w:ascii="Times New Roman" w:eastAsia="Calibri" w:hAnsi="Times New Roman" w:cs="Times New Roman"/>
          <w:i/>
          <w:noProof/>
          <w:sz w:val="24"/>
        </w:rPr>
        <w:t>: the percentage of investigations where data request is submitted through different channels</w:t>
      </w:r>
    </w:p>
    <w:tbl>
      <w:tblPr>
        <w:tblW w:w="9212" w:type="dxa"/>
        <w:tblInd w:w="93" w:type="dxa"/>
        <w:tblLook w:val="04A0" w:firstRow="1" w:lastRow="0" w:firstColumn="1" w:lastColumn="0" w:noHBand="0" w:noVBand="1"/>
      </w:tblPr>
      <w:tblGrid>
        <w:gridCol w:w="1008"/>
        <w:gridCol w:w="466"/>
        <w:gridCol w:w="919"/>
        <w:gridCol w:w="1424"/>
        <w:gridCol w:w="1411"/>
        <w:gridCol w:w="323"/>
        <w:gridCol w:w="1089"/>
        <w:gridCol w:w="214"/>
        <w:gridCol w:w="1197"/>
        <w:gridCol w:w="106"/>
        <w:gridCol w:w="1292"/>
        <w:gridCol w:w="15"/>
      </w:tblGrid>
      <w:tr w:rsidR="001B65FF">
        <w:trPr>
          <w:gridAfter w:val="1"/>
          <w:wAfter w:w="252" w:type="dxa"/>
          <w:trHeight w:val="387"/>
        </w:trPr>
        <w:tc>
          <w:tcPr>
            <w:tcW w:w="3566"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 </w:t>
            </w:r>
          </w:p>
        </w:tc>
        <w:tc>
          <w:tcPr>
            <w:tcW w:w="2823" w:type="dxa"/>
            <w:gridSpan w:val="3"/>
            <w:tcBorders>
              <w:top w:val="single" w:sz="8" w:space="0" w:color="auto"/>
              <w:left w:val="nil"/>
              <w:bottom w:val="single" w:sz="8" w:space="0" w:color="auto"/>
              <w:right w:val="single" w:sz="8" w:space="0" w:color="000000"/>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Within the EU</w:t>
            </w:r>
          </w:p>
        </w:tc>
        <w:tc>
          <w:tcPr>
            <w:tcW w:w="2823" w:type="dxa"/>
            <w:gridSpan w:val="4"/>
            <w:tcBorders>
              <w:top w:val="single" w:sz="8" w:space="0" w:color="auto"/>
              <w:left w:val="nil"/>
              <w:bottom w:val="single" w:sz="8" w:space="0" w:color="auto"/>
              <w:right w:val="single" w:sz="8" w:space="0" w:color="000000"/>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 xml:space="preserve">With non-EU </w:t>
            </w:r>
            <w:r>
              <w:rPr>
                <w:rFonts w:ascii="Times New Roman" w:eastAsia="Times New Roman" w:hAnsi="Times New Roman" w:cs="Times New Roman"/>
                <w:b/>
                <w:noProof/>
                <w:sz w:val="20"/>
                <w:lang w:eastAsia="en-GB"/>
              </w:rPr>
              <w:t>countries</w:t>
            </w:r>
          </w:p>
        </w:tc>
      </w:tr>
      <w:tr w:rsidR="001B65FF">
        <w:trPr>
          <w:gridAfter w:val="1"/>
          <w:wAfter w:w="252" w:type="dxa"/>
          <w:trHeight w:val="579"/>
        </w:trPr>
        <w:tc>
          <w:tcPr>
            <w:tcW w:w="3566" w:type="dxa"/>
            <w:gridSpan w:val="4"/>
            <w:vMerge/>
            <w:tcBorders>
              <w:top w:val="single" w:sz="8" w:space="0" w:color="auto"/>
              <w:left w:val="single" w:sz="8" w:space="0" w:color="auto"/>
              <w:bottom w:val="single" w:sz="8" w:space="0" w:color="000000"/>
              <w:right w:val="single" w:sz="8" w:space="0" w:color="000000"/>
            </w:tcBorders>
            <w:vAlign w:val="center"/>
            <w:hideMark/>
          </w:tcPr>
          <w:p w:rsidR="001B65FF" w:rsidRDefault="001B65FF">
            <w:pPr>
              <w:keepNext/>
              <w:spacing w:after="0" w:line="240" w:lineRule="auto"/>
              <w:rPr>
                <w:rFonts w:ascii="Times New Roman" w:eastAsia="Times New Roman" w:hAnsi="Times New Roman" w:cs="Times New Roman"/>
                <w:noProof/>
                <w:sz w:val="20"/>
                <w:lang w:eastAsia="en-GB"/>
              </w:rPr>
            </w:pPr>
          </w:p>
        </w:tc>
        <w:tc>
          <w:tcPr>
            <w:tcW w:w="1411"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Judicial cooperation</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Direct cooperation</w:t>
            </w:r>
          </w:p>
        </w:tc>
        <w:tc>
          <w:tcPr>
            <w:tcW w:w="1411"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Judicial cooperation</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Direct cooperation</w:t>
            </w:r>
          </w:p>
        </w:tc>
      </w:tr>
      <w:tr w:rsidR="001B65FF">
        <w:trPr>
          <w:gridAfter w:val="1"/>
          <w:wAfter w:w="252" w:type="dxa"/>
          <w:trHeight w:val="274"/>
        </w:trPr>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Non-content data</w:t>
            </w:r>
          </w:p>
        </w:tc>
        <w:tc>
          <w:tcPr>
            <w:tcW w:w="113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Subscriber data</w:t>
            </w:r>
          </w:p>
        </w:tc>
        <w:tc>
          <w:tcPr>
            <w:tcW w:w="1424"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Elect. comm.</w:t>
            </w:r>
          </w:p>
        </w:tc>
        <w:tc>
          <w:tcPr>
            <w:tcW w:w="1411"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25%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1"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25%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25%</w:t>
            </w:r>
          </w:p>
        </w:tc>
      </w:tr>
      <w:tr w:rsidR="001B65FF">
        <w:trPr>
          <w:gridAfter w:val="1"/>
          <w:wAfter w:w="252" w:type="dxa"/>
          <w:trHeight w:val="274"/>
        </w:trPr>
        <w:tc>
          <w:tcPr>
            <w:tcW w:w="1008" w:type="dxa"/>
            <w:vMerge/>
            <w:tcBorders>
              <w:top w:val="nil"/>
              <w:left w:val="single" w:sz="8" w:space="0" w:color="auto"/>
              <w:bottom w:val="single" w:sz="8" w:space="0" w:color="000000"/>
              <w:right w:val="single" w:sz="8" w:space="0" w:color="auto"/>
            </w:tcBorders>
            <w:vAlign w:val="center"/>
            <w:hideMark/>
          </w:tcPr>
          <w:p w:rsidR="001B65FF" w:rsidRDefault="001B65FF">
            <w:pPr>
              <w:keepNext/>
              <w:spacing w:after="0" w:line="240" w:lineRule="auto"/>
              <w:rPr>
                <w:rFonts w:ascii="Times New Roman" w:eastAsia="Times New Roman" w:hAnsi="Times New Roman" w:cs="Times New Roman"/>
                <w:b/>
                <w:noProof/>
                <w:lang w:eastAsia="en-GB"/>
              </w:rPr>
            </w:pPr>
          </w:p>
        </w:tc>
        <w:tc>
          <w:tcPr>
            <w:tcW w:w="1134" w:type="dxa"/>
            <w:gridSpan w:val="2"/>
            <w:vMerge/>
            <w:tcBorders>
              <w:top w:val="nil"/>
              <w:left w:val="single" w:sz="8" w:space="0" w:color="auto"/>
              <w:bottom w:val="single" w:sz="8" w:space="0" w:color="000000"/>
              <w:right w:val="single" w:sz="8" w:space="0" w:color="auto"/>
            </w:tcBorders>
            <w:vAlign w:val="center"/>
            <w:hideMark/>
          </w:tcPr>
          <w:p w:rsidR="001B65FF" w:rsidRDefault="001B65FF">
            <w:pPr>
              <w:keepNext/>
              <w:spacing w:after="0" w:line="240" w:lineRule="auto"/>
              <w:rPr>
                <w:rFonts w:ascii="Times New Roman" w:eastAsia="Times New Roman" w:hAnsi="Times New Roman" w:cs="Times New Roman"/>
                <w:b/>
                <w:noProof/>
                <w:lang w:eastAsia="en-GB"/>
              </w:rPr>
            </w:pPr>
          </w:p>
        </w:tc>
        <w:tc>
          <w:tcPr>
            <w:tcW w:w="1424"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Telco.</w:t>
            </w:r>
          </w:p>
        </w:tc>
        <w:tc>
          <w:tcPr>
            <w:tcW w:w="1411"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25%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c>
          <w:tcPr>
            <w:tcW w:w="1411"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r>
      <w:tr w:rsidR="001B65FF">
        <w:trPr>
          <w:gridAfter w:val="1"/>
          <w:wAfter w:w="252" w:type="dxa"/>
          <w:trHeight w:val="274"/>
        </w:trPr>
        <w:tc>
          <w:tcPr>
            <w:tcW w:w="1008" w:type="dxa"/>
            <w:vMerge/>
            <w:tcBorders>
              <w:top w:val="nil"/>
              <w:left w:val="single" w:sz="8" w:space="0" w:color="auto"/>
              <w:bottom w:val="single" w:sz="8" w:space="0" w:color="000000"/>
              <w:right w:val="single" w:sz="8" w:space="0" w:color="auto"/>
            </w:tcBorders>
            <w:vAlign w:val="center"/>
            <w:hideMark/>
          </w:tcPr>
          <w:p w:rsidR="001B65FF" w:rsidRDefault="001B65FF">
            <w:pPr>
              <w:keepNext/>
              <w:spacing w:after="0" w:line="240" w:lineRule="auto"/>
              <w:rPr>
                <w:rFonts w:ascii="Times New Roman" w:eastAsia="Times New Roman" w:hAnsi="Times New Roman" w:cs="Times New Roman"/>
                <w:b/>
                <w:noProof/>
                <w:lang w:eastAsia="en-GB"/>
              </w:rPr>
            </w:pPr>
          </w:p>
        </w:tc>
        <w:tc>
          <w:tcPr>
            <w:tcW w:w="1134" w:type="dxa"/>
            <w:gridSpan w:val="2"/>
            <w:vMerge/>
            <w:tcBorders>
              <w:top w:val="nil"/>
              <w:left w:val="single" w:sz="8" w:space="0" w:color="auto"/>
              <w:bottom w:val="single" w:sz="8" w:space="0" w:color="000000"/>
              <w:right w:val="single" w:sz="8" w:space="0" w:color="auto"/>
            </w:tcBorders>
            <w:vAlign w:val="center"/>
            <w:hideMark/>
          </w:tcPr>
          <w:p w:rsidR="001B65FF" w:rsidRDefault="001B65FF">
            <w:pPr>
              <w:keepNext/>
              <w:spacing w:after="0" w:line="240" w:lineRule="auto"/>
              <w:rPr>
                <w:rFonts w:ascii="Times New Roman" w:eastAsia="Times New Roman" w:hAnsi="Times New Roman" w:cs="Times New Roman"/>
                <w:b/>
                <w:noProof/>
                <w:lang w:eastAsia="en-GB"/>
              </w:rPr>
            </w:pPr>
          </w:p>
        </w:tc>
        <w:tc>
          <w:tcPr>
            <w:tcW w:w="1424"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Inter/app.</w:t>
            </w:r>
          </w:p>
        </w:tc>
        <w:tc>
          <w:tcPr>
            <w:tcW w:w="1411"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c>
          <w:tcPr>
            <w:tcW w:w="1411"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r>
      <w:tr w:rsidR="001B65FF">
        <w:trPr>
          <w:gridAfter w:val="1"/>
          <w:wAfter w:w="252" w:type="dxa"/>
          <w:trHeight w:val="274"/>
        </w:trPr>
        <w:tc>
          <w:tcPr>
            <w:tcW w:w="1008" w:type="dxa"/>
            <w:vMerge/>
            <w:tcBorders>
              <w:top w:val="nil"/>
              <w:left w:val="single" w:sz="8" w:space="0" w:color="auto"/>
              <w:bottom w:val="single" w:sz="8" w:space="0" w:color="000000"/>
              <w:right w:val="single" w:sz="8" w:space="0" w:color="auto"/>
            </w:tcBorders>
            <w:vAlign w:val="center"/>
            <w:hideMark/>
          </w:tcPr>
          <w:p w:rsidR="001B65FF" w:rsidRDefault="001B65FF">
            <w:pPr>
              <w:keepNext/>
              <w:spacing w:after="0" w:line="240" w:lineRule="auto"/>
              <w:rPr>
                <w:rFonts w:ascii="Times New Roman" w:eastAsia="Times New Roman" w:hAnsi="Times New Roman" w:cs="Times New Roman"/>
                <w:b/>
                <w:noProof/>
                <w:lang w:eastAsia="en-GB"/>
              </w:rPr>
            </w:pPr>
          </w:p>
        </w:tc>
        <w:tc>
          <w:tcPr>
            <w:tcW w:w="113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Metadata</w:t>
            </w:r>
          </w:p>
        </w:tc>
        <w:tc>
          <w:tcPr>
            <w:tcW w:w="1424"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Elect. comm.</w:t>
            </w:r>
          </w:p>
        </w:tc>
        <w:tc>
          <w:tcPr>
            <w:tcW w:w="1411"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25%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c>
          <w:tcPr>
            <w:tcW w:w="1411"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r>
      <w:tr w:rsidR="001B65FF">
        <w:trPr>
          <w:gridAfter w:val="1"/>
          <w:wAfter w:w="252" w:type="dxa"/>
          <w:trHeight w:val="274"/>
        </w:trPr>
        <w:tc>
          <w:tcPr>
            <w:tcW w:w="1008" w:type="dxa"/>
            <w:vMerge/>
            <w:tcBorders>
              <w:top w:val="nil"/>
              <w:left w:val="single" w:sz="8" w:space="0" w:color="auto"/>
              <w:bottom w:val="single" w:sz="8" w:space="0" w:color="000000"/>
              <w:right w:val="single" w:sz="8" w:space="0" w:color="auto"/>
            </w:tcBorders>
            <w:vAlign w:val="center"/>
            <w:hideMark/>
          </w:tcPr>
          <w:p w:rsidR="001B65FF" w:rsidRDefault="001B65FF">
            <w:pPr>
              <w:keepNext/>
              <w:spacing w:after="0" w:line="240" w:lineRule="auto"/>
              <w:rPr>
                <w:rFonts w:ascii="Times New Roman" w:eastAsia="Times New Roman" w:hAnsi="Times New Roman" w:cs="Times New Roman"/>
                <w:b/>
                <w:noProof/>
                <w:lang w:eastAsia="en-GB"/>
              </w:rPr>
            </w:pPr>
          </w:p>
        </w:tc>
        <w:tc>
          <w:tcPr>
            <w:tcW w:w="1134" w:type="dxa"/>
            <w:gridSpan w:val="2"/>
            <w:vMerge/>
            <w:tcBorders>
              <w:top w:val="nil"/>
              <w:left w:val="single" w:sz="8" w:space="0" w:color="auto"/>
              <w:bottom w:val="single" w:sz="8" w:space="0" w:color="000000"/>
              <w:right w:val="single" w:sz="8" w:space="0" w:color="auto"/>
            </w:tcBorders>
            <w:vAlign w:val="center"/>
            <w:hideMark/>
          </w:tcPr>
          <w:p w:rsidR="001B65FF" w:rsidRDefault="001B65FF">
            <w:pPr>
              <w:keepNext/>
              <w:spacing w:after="0" w:line="240" w:lineRule="auto"/>
              <w:rPr>
                <w:rFonts w:ascii="Times New Roman" w:eastAsia="Times New Roman" w:hAnsi="Times New Roman" w:cs="Times New Roman"/>
                <w:b/>
                <w:noProof/>
                <w:lang w:eastAsia="en-GB"/>
              </w:rPr>
            </w:pPr>
          </w:p>
        </w:tc>
        <w:tc>
          <w:tcPr>
            <w:tcW w:w="1424"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Telco.</w:t>
            </w:r>
          </w:p>
        </w:tc>
        <w:tc>
          <w:tcPr>
            <w:tcW w:w="1411"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20%</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c>
          <w:tcPr>
            <w:tcW w:w="1411"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r>
      <w:tr w:rsidR="001B65FF">
        <w:trPr>
          <w:gridAfter w:val="1"/>
          <w:wAfter w:w="252" w:type="dxa"/>
          <w:trHeight w:val="274"/>
        </w:trPr>
        <w:tc>
          <w:tcPr>
            <w:tcW w:w="1008" w:type="dxa"/>
            <w:vMerge/>
            <w:tcBorders>
              <w:top w:val="nil"/>
              <w:left w:val="single" w:sz="8" w:space="0" w:color="auto"/>
              <w:bottom w:val="single" w:sz="8" w:space="0" w:color="000000"/>
              <w:right w:val="single" w:sz="8" w:space="0" w:color="auto"/>
            </w:tcBorders>
            <w:vAlign w:val="center"/>
            <w:hideMark/>
          </w:tcPr>
          <w:p w:rsidR="001B65FF" w:rsidRDefault="001B65FF">
            <w:pPr>
              <w:keepNext/>
              <w:spacing w:after="0" w:line="240" w:lineRule="auto"/>
              <w:rPr>
                <w:rFonts w:ascii="Times New Roman" w:eastAsia="Times New Roman" w:hAnsi="Times New Roman" w:cs="Times New Roman"/>
                <w:b/>
                <w:noProof/>
                <w:lang w:eastAsia="en-GB"/>
              </w:rPr>
            </w:pPr>
          </w:p>
        </w:tc>
        <w:tc>
          <w:tcPr>
            <w:tcW w:w="1134" w:type="dxa"/>
            <w:gridSpan w:val="2"/>
            <w:vMerge/>
            <w:tcBorders>
              <w:top w:val="nil"/>
              <w:left w:val="single" w:sz="8" w:space="0" w:color="auto"/>
              <w:bottom w:val="single" w:sz="8" w:space="0" w:color="000000"/>
              <w:right w:val="single" w:sz="8" w:space="0" w:color="auto"/>
            </w:tcBorders>
            <w:vAlign w:val="center"/>
            <w:hideMark/>
          </w:tcPr>
          <w:p w:rsidR="001B65FF" w:rsidRDefault="001B65FF">
            <w:pPr>
              <w:keepNext/>
              <w:spacing w:after="0" w:line="240" w:lineRule="auto"/>
              <w:rPr>
                <w:rFonts w:ascii="Times New Roman" w:eastAsia="Times New Roman" w:hAnsi="Times New Roman" w:cs="Times New Roman"/>
                <w:b/>
                <w:noProof/>
                <w:lang w:eastAsia="en-GB"/>
              </w:rPr>
            </w:pPr>
          </w:p>
        </w:tc>
        <w:tc>
          <w:tcPr>
            <w:tcW w:w="1424"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Inter/app.</w:t>
            </w:r>
          </w:p>
        </w:tc>
        <w:tc>
          <w:tcPr>
            <w:tcW w:w="1411"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c>
          <w:tcPr>
            <w:tcW w:w="1411"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r>
      <w:tr w:rsidR="001B65FF">
        <w:trPr>
          <w:gridAfter w:val="1"/>
          <w:wAfter w:w="252" w:type="dxa"/>
          <w:trHeight w:val="274"/>
        </w:trPr>
        <w:tc>
          <w:tcPr>
            <w:tcW w:w="214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Content data</w:t>
            </w:r>
          </w:p>
        </w:tc>
        <w:tc>
          <w:tcPr>
            <w:tcW w:w="1424"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Elect. comm.</w:t>
            </w:r>
          </w:p>
        </w:tc>
        <w:tc>
          <w:tcPr>
            <w:tcW w:w="1411"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c>
          <w:tcPr>
            <w:tcW w:w="1411"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r>
      <w:tr w:rsidR="001B65FF">
        <w:trPr>
          <w:gridAfter w:val="1"/>
          <w:wAfter w:w="252" w:type="dxa"/>
          <w:trHeight w:val="274"/>
        </w:trPr>
        <w:tc>
          <w:tcPr>
            <w:tcW w:w="2142" w:type="dxa"/>
            <w:gridSpan w:val="3"/>
            <w:vMerge/>
            <w:tcBorders>
              <w:top w:val="single" w:sz="8" w:space="0" w:color="auto"/>
              <w:left w:val="single" w:sz="8" w:space="0" w:color="auto"/>
              <w:bottom w:val="single" w:sz="8" w:space="0" w:color="000000"/>
              <w:right w:val="single" w:sz="8" w:space="0" w:color="000000"/>
            </w:tcBorders>
            <w:vAlign w:val="center"/>
            <w:hideMark/>
          </w:tcPr>
          <w:p w:rsidR="001B65FF" w:rsidRDefault="001B65FF">
            <w:pPr>
              <w:keepNext/>
              <w:spacing w:after="0" w:line="240" w:lineRule="auto"/>
              <w:rPr>
                <w:rFonts w:ascii="Times New Roman" w:eastAsia="Times New Roman" w:hAnsi="Times New Roman" w:cs="Times New Roman"/>
                <w:noProof/>
                <w:sz w:val="20"/>
                <w:lang w:eastAsia="en-GB"/>
              </w:rPr>
            </w:pPr>
          </w:p>
        </w:tc>
        <w:tc>
          <w:tcPr>
            <w:tcW w:w="1424"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Inter/app.</w:t>
            </w:r>
          </w:p>
        </w:tc>
        <w:tc>
          <w:tcPr>
            <w:tcW w:w="1411" w:type="dxa"/>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c>
          <w:tcPr>
            <w:tcW w:w="1411"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15%</w:t>
            </w:r>
          </w:p>
        </w:tc>
        <w:tc>
          <w:tcPr>
            <w:tcW w:w="1412" w:type="dxa"/>
            <w:gridSpan w:val="2"/>
            <w:tcBorders>
              <w:top w:val="nil"/>
              <w:left w:val="nil"/>
              <w:bottom w:val="single" w:sz="8" w:space="0" w:color="auto"/>
              <w:right w:val="single" w:sz="8" w:space="0" w:color="auto"/>
            </w:tcBorders>
            <w:shd w:val="clear" w:color="auto" w:fill="auto"/>
            <w:vAlign w:val="center"/>
            <w:hideMark/>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eastAsia="Times New Roman" w:hAnsi="Times New Roman" w:cs="Times New Roman"/>
                <w:noProof/>
                <w:sz w:val="20"/>
                <w:lang w:eastAsia="en-GB"/>
              </w:rPr>
              <w:t>5%</w:t>
            </w:r>
          </w:p>
        </w:tc>
      </w:tr>
      <w:tr w:rsidR="001B65FF">
        <w:trPr>
          <w:trHeight w:val="222"/>
        </w:trPr>
        <w:tc>
          <w:tcPr>
            <w:tcW w:w="1474"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668" w:type="dxa"/>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1424" w:type="dxa"/>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1734"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1303"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1303"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1306"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r>
    </w:tbl>
    <w:p w:rsidR="001B65FF" w:rsidRDefault="003E4EF4">
      <w:pPr>
        <w:keepNext/>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Requests fulfilled</w:t>
      </w:r>
    </w:p>
    <w:p w:rsidR="001B65FF" w:rsidRDefault="003E4EF4">
      <w:pPr>
        <w:keepNext/>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following table 2 indicates in detail the percentage of investigations where the request to service providers via the four different channels is </w:t>
      </w:r>
      <w:r>
        <w:rPr>
          <w:rFonts w:ascii="Times New Roman" w:eastAsia="Times New Roman" w:hAnsi="Times New Roman" w:cs="Times New Roman"/>
          <w:b/>
          <w:noProof/>
          <w:sz w:val="24"/>
          <w:szCs w:val="20"/>
        </w:rPr>
        <w:t>fulfilled</w:t>
      </w:r>
      <w:r>
        <w:rPr>
          <w:rFonts w:ascii="Times New Roman" w:eastAsia="Times New Roman" w:hAnsi="Times New Roman" w:cs="Times New Roman"/>
          <w:noProof/>
          <w:sz w:val="24"/>
          <w:szCs w:val="20"/>
        </w:rPr>
        <w:t xml:space="preserve">. The median of fulfilled request using both judicial and direct cooperation is 45%, according to </w:t>
      </w:r>
      <w:r>
        <w:rPr>
          <w:rFonts w:ascii="Times New Roman" w:eastAsia="Times New Roman" w:hAnsi="Times New Roman" w:cs="Times New Roman"/>
          <w:noProof/>
          <w:sz w:val="24"/>
          <w:szCs w:val="20"/>
        </w:rPr>
        <w:t>the targeted survey respondents' estimations.</w:t>
      </w:r>
    </w:p>
    <w:p w:rsidR="001B65FF" w:rsidRDefault="003E4EF4">
      <w:pPr>
        <w:keepNext/>
        <w:jc w:val="center"/>
        <w:rPr>
          <w:rFonts w:ascii="Times New Roman" w:hAnsi="Times New Roman" w:cs="Times New Roman"/>
          <w:noProof/>
          <w:sz w:val="24"/>
        </w:rPr>
      </w:pPr>
      <w:r>
        <w:rPr>
          <w:rFonts w:ascii="Times New Roman" w:hAnsi="Times New Roman" w:cs="Times New Roman"/>
          <w:i/>
          <w:noProof/>
          <w:sz w:val="24"/>
        </w:rPr>
        <w:t>Table 2</w:t>
      </w:r>
      <w:r>
        <w:rPr>
          <w:rFonts w:ascii="Times New Roman" w:eastAsia="Calibri" w:hAnsi="Times New Roman" w:cs="Times New Roman"/>
          <w:i/>
          <w:noProof/>
          <w:sz w:val="24"/>
        </w:rPr>
        <w:t>: the percentage of investigations where the data request is fulfilled</w:t>
      </w:r>
    </w:p>
    <w:tbl>
      <w:tblPr>
        <w:tblW w:w="9215" w:type="dxa"/>
        <w:tblInd w:w="93" w:type="dxa"/>
        <w:tblLook w:val="04A0" w:firstRow="1" w:lastRow="0" w:firstColumn="1" w:lastColumn="0" w:noHBand="0" w:noVBand="1"/>
      </w:tblPr>
      <w:tblGrid>
        <w:gridCol w:w="988"/>
        <w:gridCol w:w="457"/>
        <w:gridCol w:w="919"/>
        <w:gridCol w:w="1459"/>
        <w:gridCol w:w="1414"/>
        <w:gridCol w:w="406"/>
        <w:gridCol w:w="1008"/>
        <w:gridCol w:w="269"/>
        <w:gridCol w:w="1145"/>
        <w:gridCol w:w="132"/>
        <w:gridCol w:w="1273"/>
        <w:gridCol w:w="9"/>
      </w:tblGrid>
      <w:tr w:rsidR="001B65FF">
        <w:trPr>
          <w:gridAfter w:val="1"/>
          <w:wAfter w:w="264" w:type="dxa"/>
          <w:trHeight w:val="353"/>
        </w:trPr>
        <w:tc>
          <w:tcPr>
            <w:tcW w:w="3559"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1B65FF" w:rsidRDefault="001B65FF">
            <w:pPr>
              <w:keepNext/>
              <w:spacing w:after="0" w:line="240" w:lineRule="auto"/>
              <w:jc w:val="center"/>
              <w:rPr>
                <w:rFonts w:ascii="Times New Roman" w:eastAsia="Times New Roman" w:hAnsi="Times New Roman" w:cs="Times New Roman"/>
                <w:b/>
                <w:noProof/>
                <w:sz w:val="20"/>
                <w:lang w:eastAsia="en-GB"/>
              </w:rPr>
            </w:pPr>
          </w:p>
        </w:tc>
        <w:tc>
          <w:tcPr>
            <w:tcW w:w="2828" w:type="dxa"/>
            <w:gridSpan w:val="3"/>
            <w:tcBorders>
              <w:top w:val="single" w:sz="8" w:space="0" w:color="auto"/>
              <w:left w:val="nil"/>
              <w:bottom w:val="single" w:sz="8" w:space="0" w:color="auto"/>
              <w:right w:val="single" w:sz="8" w:space="0" w:color="000000"/>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hAnsi="Times New Roman" w:cs="Times New Roman"/>
                <w:b/>
                <w:noProof/>
              </w:rPr>
              <w:t>Within the EU</w:t>
            </w:r>
          </w:p>
        </w:tc>
        <w:tc>
          <w:tcPr>
            <w:tcW w:w="2828" w:type="dxa"/>
            <w:gridSpan w:val="4"/>
            <w:tcBorders>
              <w:top w:val="single" w:sz="8" w:space="0" w:color="auto"/>
              <w:left w:val="nil"/>
              <w:bottom w:val="single" w:sz="8" w:space="0" w:color="auto"/>
              <w:right w:val="single" w:sz="8" w:space="0" w:color="000000"/>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With non-EU countries</w:t>
            </w:r>
          </w:p>
        </w:tc>
      </w:tr>
      <w:tr w:rsidR="001B65FF">
        <w:trPr>
          <w:gridAfter w:val="1"/>
          <w:wAfter w:w="264" w:type="dxa"/>
          <w:trHeight w:val="528"/>
        </w:trPr>
        <w:tc>
          <w:tcPr>
            <w:tcW w:w="3559" w:type="dxa"/>
            <w:gridSpan w:val="4"/>
            <w:vMerge/>
            <w:tcBorders>
              <w:top w:val="single" w:sz="8" w:space="0" w:color="auto"/>
              <w:left w:val="single" w:sz="8" w:space="0" w:color="auto"/>
              <w:bottom w:val="single" w:sz="8" w:space="0" w:color="000000"/>
              <w:right w:val="single" w:sz="8" w:space="0" w:color="000000"/>
            </w:tcBorders>
            <w:vAlign w:val="center"/>
          </w:tcPr>
          <w:p w:rsidR="001B65FF" w:rsidRDefault="001B65FF">
            <w:pPr>
              <w:keepNext/>
              <w:spacing w:after="0" w:line="240" w:lineRule="auto"/>
              <w:jc w:val="center"/>
              <w:rPr>
                <w:rFonts w:ascii="Times New Roman" w:eastAsia="Times New Roman" w:hAnsi="Times New Roman" w:cs="Times New Roman"/>
                <w:b/>
                <w:noProof/>
                <w:sz w:val="20"/>
                <w:lang w:eastAsia="en-GB"/>
              </w:rPr>
            </w:pPr>
          </w:p>
        </w:tc>
        <w:tc>
          <w:tcPr>
            <w:tcW w:w="1414" w:type="dxa"/>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hAnsi="Times New Roman" w:cs="Times New Roman"/>
                <w:b/>
                <w:noProof/>
              </w:rPr>
              <w:t>Judicial cooperation</w:t>
            </w:r>
          </w:p>
        </w:tc>
        <w:tc>
          <w:tcPr>
            <w:tcW w:w="1414"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hAnsi="Times New Roman" w:cs="Times New Roman"/>
                <w:b/>
                <w:noProof/>
              </w:rPr>
              <w:t>Direct cooperation</w:t>
            </w:r>
          </w:p>
        </w:tc>
        <w:tc>
          <w:tcPr>
            <w:tcW w:w="1414"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hAnsi="Times New Roman" w:cs="Times New Roman"/>
                <w:b/>
                <w:noProof/>
              </w:rPr>
              <w:t>Judicial cooperation</w:t>
            </w:r>
          </w:p>
        </w:tc>
        <w:tc>
          <w:tcPr>
            <w:tcW w:w="1414"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hAnsi="Times New Roman" w:cs="Times New Roman"/>
                <w:b/>
                <w:noProof/>
              </w:rPr>
              <w:t>Direct cooperation</w:t>
            </w:r>
          </w:p>
        </w:tc>
      </w:tr>
      <w:tr w:rsidR="001B65FF">
        <w:trPr>
          <w:gridAfter w:val="1"/>
          <w:wAfter w:w="264" w:type="dxa"/>
          <w:trHeight w:val="250"/>
        </w:trPr>
        <w:tc>
          <w:tcPr>
            <w:tcW w:w="988" w:type="dxa"/>
            <w:vMerge w:val="restart"/>
            <w:tcBorders>
              <w:top w:val="nil"/>
              <w:left w:val="single" w:sz="8" w:space="0" w:color="auto"/>
              <w:bottom w:val="single" w:sz="8" w:space="0" w:color="000000"/>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 xml:space="preserve">Non-content </w:t>
            </w:r>
            <w:r>
              <w:rPr>
                <w:rFonts w:ascii="Times New Roman" w:eastAsia="Times New Roman" w:hAnsi="Times New Roman" w:cs="Times New Roman"/>
                <w:b/>
                <w:noProof/>
                <w:lang w:eastAsia="en-GB"/>
              </w:rPr>
              <w:t>data</w:t>
            </w:r>
          </w:p>
        </w:tc>
        <w:tc>
          <w:tcPr>
            <w:tcW w:w="1112"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Subscriber data</w:t>
            </w:r>
          </w:p>
        </w:tc>
        <w:tc>
          <w:tcPr>
            <w:tcW w:w="1459" w:type="dxa"/>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Elect. comm.</w:t>
            </w:r>
          </w:p>
        </w:tc>
        <w:tc>
          <w:tcPr>
            <w:tcW w:w="1414" w:type="dxa"/>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75%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55%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45%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55%</w:t>
            </w:r>
          </w:p>
        </w:tc>
      </w:tr>
      <w:tr w:rsidR="001B65FF">
        <w:trPr>
          <w:gridAfter w:val="1"/>
          <w:wAfter w:w="264" w:type="dxa"/>
          <w:trHeight w:val="250"/>
        </w:trPr>
        <w:tc>
          <w:tcPr>
            <w:tcW w:w="988" w:type="dxa"/>
            <w:vMerge/>
            <w:tcBorders>
              <w:top w:val="nil"/>
              <w:left w:val="single" w:sz="8" w:space="0" w:color="auto"/>
              <w:bottom w:val="single" w:sz="8" w:space="0" w:color="000000"/>
              <w:right w:val="single" w:sz="8" w:space="0" w:color="auto"/>
            </w:tcBorders>
            <w:vAlign w:val="center"/>
          </w:tcPr>
          <w:p w:rsidR="001B65FF" w:rsidRDefault="001B65FF">
            <w:pPr>
              <w:keepNext/>
              <w:spacing w:after="0" w:line="240" w:lineRule="auto"/>
              <w:rPr>
                <w:rFonts w:ascii="Times New Roman" w:eastAsia="Times New Roman" w:hAnsi="Times New Roman" w:cs="Times New Roman"/>
                <w:b/>
                <w:noProof/>
                <w:lang w:eastAsia="en-GB"/>
              </w:rPr>
            </w:pPr>
          </w:p>
        </w:tc>
        <w:tc>
          <w:tcPr>
            <w:tcW w:w="1112" w:type="dxa"/>
            <w:gridSpan w:val="2"/>
            <w:vMerge/>
            <w:tcBorders>
              <w:top w:val="nil"/>
              <w:left w:val="single" w:sz="8" w:space="0" w:color="auto"/>
              <w:bottom w:val="single" w:sz="8" w:space="0" w:color="000000"/>
              <w:right w:val="single" w:sz="8" w:space="0" w:color="auto"/>
            </w:tcBorders>
            <w:vAlign w:val="center"/>
          </w:tcPr>
          <w:p w:rsidR="001B65FF" w:rsidRDefault="001B65FF">
            <w:pPr>
              <w:keepNext/>
              <w:spacing w:after="0" w:line="240" w:lineRule="auto"/>
              <w:rPr>
                <w:rFonts w:ascii="Times New Roman" w:eastAsia="Times New Roman" w:hAnsi="Times New Roman" w:cs="Times New Roman"/>
                <w:b/>
                <w:noProof/>
                <w:lang w:eastAsia="en-GB"/>
              </w:rPr>
            </w:pPr>
          </w:p>
        </w:tc>
        <w:tc>
          <w:tcPr>
            <w:tcW w:w="1459" w:type="dxa"/>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Telco.</w:t>
            </w:r>
          </w:p>
        </w:tc>
        <w:tc>
          <w:tcPr>
            <w:tcW w:w="1414" w:type="dxa"/>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75%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55%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45%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40%</w:t>
            </w:r>
          </w:p>
        </w:tc>
      </w:tr>
      <w:tr w:rsidR="001B65FF">
        <w:trPr>
          <w:gridAfter w:val="1"/>
          <w:wAfter w:w="264" w:type="dxa"/>
          <w:trHeight w:val="250"/>
        </w:trPr>
        <w:tc>
          <w:tcPr>
            <w:tcW w:w="988" w:type="dxa"/>
            <w:vMerge/>
            <w:tcBorders>
              <w:top w:val="nil"/>
              <w:left w:val="single" w:sz="8" w:space="0" w:color="auto"/>
              <w:bottom w:val="single" w:sz="8" w:space="0" w:color="000000"/>
              <w:right w:val="single" w:sz="8" w:space="0" w:color="auto"/>
            </w:tcBorders>
            <w:vAlign w:val="center"/>
          </w:tcPr>
          <w:p w:rsidR="001B65FF" w:rsidRDefault="001B65FF">
            <w:pPr>
              <w:keepNext/>
              <w:spacing w:after="0" w:line="240" w:lineRule="auto"/>
              <w:rPr>
                <w:rFonts w:ascii="Times New Roman" w:eastAsia="Times New Roman" w:hAnsi="Times New Roman" w:cs="Times New Roman"/>
                <w:b/>
                <w:noProof/>
                <w:lang w:eastAsia="en-GB"/>
              </w:rPr>
            </w:pPr>
          </w:p>
        </w:tc>
        <w:tc>
          <w:tcPr>
            <w:tcW w:w="1112" w:type="dxa"/>
            <w:gridSpan w:val="2"/>
            <w:vMerge/>
            <w:tcBorders>
              <w:top w:val="nil"/>
              <w:left w:val="single" w:sz="8" w:space="0" w:color="auto"/>
              <w:bottom w:val="single" w:sz="8" w:space="0" w:color="000000"/>
              <w:right w:val="single" w:sz="8" w:space="0" w:color="auto"/>
            </w:tcBorders>
            <w:vAlign w:val="center"/>
          </w:tcPr>
          <w:p w:rsidR="001B65FF" w:rsidRDefault="001B65FF">
            <w:pPr>
              <w:keepNext/>
              <w:spacing w:after="0" w:line="240" w:lineRule="auto"/>
              <w:rPr>
                <w:rFonts w:ascii="Times New Roman" w:eastAsia="Times New Roman" w:hAnsi="Times New Roman" w:cs="Times New Roman"/>
                <w:b/>
                <w:noProof/>
                <w:lang w:eastAsia="en-GB"/>
              </w:rPr>
            </w:pPr>
          </w:p>
        </w:tc>
        <w:tc>
          <w:tcPr>
            <w:tcW w:w="1459" w:type="dxa"/>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Inter/app.</w:t>
            </w:r>
          </w:p>
        </w:tc>
        <w:tc>
          <w:tcPr>
            <w:tcW w:w="1414" w:type="dxa"/>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65%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65%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45%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45%</w:t>
            </w:r>
          </w:p>
        </w:tc>
      </w:tr>
      <w:tr w:rsidR="001B65FF">
        <w:trPr>
          <w:gridAfter w:val="1"/>
          <w:wAfter w:w="264" w:type="dxa"/>
          <w:trHeight w:val="250"/>
        </w:trPr>
        <w:tc>
          <w:tcPr>
            <w:tcW w:w="988" w:type="dxa"/>
            <w:vMerge/>
            <w:tcBorders>
              <w:top w:val="nil"/>
              <w:left w:val="single" w:sz="8" w:space="0" w:color="auto"/>
              <w:bottom w:val="single" w:sz="8" w:space="0" w:color="000000"/>
              <w:right w:val="single" w:sz="8" w:space="0" w:color="auto"/>
            </w:tcBorders>
            <w:vAlign w:val="center"/>
          </w:tcPr>
          <w:p w:rsidR="001B65FF" w:rsidRDefault="001B65FF">
            <w:pPr>
              <w:keepNext/>
              <w:spacing w:after="0" w:line="240" w:lineRule="auto"/>
              <w:rPr>
                <w:rFonts w:ascii="Times New Roman" w:eastAsia="Times New Roman" w:hAnsi="Times New Roman" w:cs="Times New Roman"/>
                <w:b/>
                <w:noProof/>
                <w:lang w:eastAsia="en-GB"/>
              </w:rPr>
            </w:pPr>
          </w:p>
        </w:tc>
        <w:tc>
          <w:tcPr>
            <w:tcW w:w="1112"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Metadata</w:t>
            </w:r>
          </w:p>
        </w:tc>
        <w:tc>
          <w:tcPr>
            <w:tcW w:w="1459" w:type="dxa"/>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Elect. comm.</w:t>
            </w:r>
          </w:p>
        </w:tc>
        <w:tc>
          <w:tcPr>
            <w:tcW w:w="1414" w:type="dxa"/>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65%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45%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30%</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35%</w:t>
            </w:r>
          </w:p>
        </w:tc>
      </w:tr>
      <w:tr w:rsidR="001B65FF">
        <w:trPr>
          <w:gridAfter w:val="1"/>
          <w:wAfter w:w="264" w:type="dxa"/>
          <w:trHeight w:val="250"/>
        </w:trPr>
        <w:tc>
          <w:tcPr>
            <w:tcW w:w="988" w:type="dxa"/>
            <w:vMerge/>
            <w:tcBorders>
              <w:top w:val="nil"/>
              <w:left w:val="single" w:sz="8" w:space="0" w:color="auto"/>
              <w:bottom w:val="single" w:sz="8" w:space="0" w:color="000000"/>
              <w:right w:val="single" w:sz="8" w:space="0" w:color="auto"/>
            </w:tcBorders>
            <w:vAlign w:val="center"/>
          </w:tcPr>
          <w:p w:rsidR="001B65FF" w:rsidRDefault="001B65FF">
            <w:pPr>
              <w:keepNext/>
              <w:spacing w:after="0" w:line="240" w:lineRule="auto"/>
              <w:rPr>
                <w:rFonts w:ascii="Times New Roman" w:eastAsia="Times New Roman" w:hAnsi="Times New Roman" w:cs="Times New Roman"/>
                <w:b/>
                <w:noProof/>
                <w:lang w:eastAsia="en-GB"/>
              </w:rPr>
            </w:pPr>
          </w:p>
        </w:tc>
        <w:tc>
          <w:tcPr>
            <w:tcW w:w="1112" w:type="dxa"/>
            <w:gridSpan w:val="2"/>
            <w:vMerge/>
            <w:tcBorders>
              <w:top w:val="nil"/>
              <w:left w:val="single" w:sz="8" w:space="0" w:color="auto"/>
              <w:bottom w:val="single" w:sz="8" w:space="0" w:color="000000"/>
              <w:right w:val="single" w:sz="8" w:space="0" w:color="auto"/>
            </w:tcBorders>
            <w:vAlign w:val="center"/>
          </w:tcPr>
          <w:p w:rsidR="001B65FF" w:rsidRDefault="001B65FF">
            <w:pPr>
              <w:keepNext/>
              <w:spacing w:after="0" w:line="240" w:lineRule="auto"/>
              <w:rPr>
                <w:rFonts w:ascii="Times New Roman" w:eastAsia="Times New Roman" w:hAnsi="Times New Roman" w:cs="Times New Roman"/>
                <w:b/>
                <w:noProof/>
                <w:lang w:eastAsia="en-GB"/>
              </w:rPr>
            </w:pPr>
          </w:p>
        </w:tc>
        <w:tc>
          <w:tcPr>
            <w:tcW w:w="1459" w:type="dxa"/>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Telco.</w:t>
            </w:r>
          </w:p>
        </w:tc>
        <w:tc>
          <w:tcPr>
            <w:tcW w:w="1414" w:type="dxa"/>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60%</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45%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35%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35%</w:t>
            </w:r>
          </w:p>
        </w:tc>
      </w:tr>
      <w:tr w:rsidR="001B65FF">
        <w:trPr>
          <w:gridAfter w:val="1"/>
          <w:wAfter w:w="264" w:type="dxa"/>
          <w:trHeight w:val="250"/>
        </w:trPr>
        <w:tc>
          <w:tcPr>
            <w:tcW w:w="988" w:type="dxa"/>
            <w:vMerge/>
            <w:tcBorders>
              <w:top w:val="nil"/>
              <w:left w:val="single" w:sz="8" w:space="0" w:color="auto"/>
              <w:bottom w:val="single" w:sz="8" w:space="0" w:color="000000"/>
              <w:right w:val="single" w:sz="8" w:space="0" w:color="auto"/>
            </w:tcBorders>
            <w:vAlign w:val="center"/>
          </w:tcPr>
          <w:p w:rsidR="001B65FF" w:rsidRDefault="001B65FF">
            <w:pPr>
              <w:keepNext/>
              <w:spacing w:after="0" w:line="240" w:lineRule="auto"/>
              <w:rPr>
                <w:rFonts w:ascii="Times New Roman" w:eastAsia="Times New Roman" w:hAnsi="Times New Roman" w:cs="Times New Roman"/>
                <w:b/>
                <w:noProof/>
                <w:lang w:eastAsia="en-GB"/>
              </w:rPr>
            </w:pPr>
          </w:p>
        </w:tc>
        <w:tc>
          <w:tcPr>
            <w:tcW w:w="1112" w:type="dxa"/>
            <w:gridSpan w:val="2"/>
            <w:vMerge/>
            <w:tcBorders>
              <w:top w:val="nil"/>
              <w:left w:val="single" w:sz="8" w:space="0" w:color="auto"/>
              <w:bottom w:val="single" w:sz="8" w:space="0" w:color="000000"/>
              <w:right w:val="single" w:sz="8" w:space="0" w:color="auto"/>
            </w:tcBorders>
            <w:vAlign w:val="center"/>
          </w:tcPr>
          <w:p w:rsidR="001B65FF" w:rsidRDefault="001B65FF">
            <w:pPr>
              <w:keepNext/>
              <w:spacing w:after="0" w:line="240" w:lineRule="auto"/>
              <w:rPr>
                <w:rFonts w:ascii="Times New Roman" w:eastAsia="Times New Roman" w:hAnsi="Times New Roman" w:cs="Times New Roman"/>
                <w:b/>
                <w:noProof/>
                <w:lang w:eastAsia="en-GB"/>
              </w:rPr>
            </w:pPr>
          </w:p>
        </w:tc>
        <w:tc>
          <w:tcPr>
            <w:tcW w:w="1459" w:type="dxa"/>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Inter/app.</w:t>
            </w:r>
          </w:p>
        </w:tc>
        <w:tc>
          <w:tcPr>
            <w:tcW w:w="1414" w:type="dxa"/>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55%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55%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35%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35%</w:t>
            </w:r>
          </w:p>
        </w:tc>
      </w:tr>
      <w:tr w:rsidR="001B65FF">
        <w:trPr>
          <w:gridAfter w:val="1"/>
          <w:wAfter w:w="264" w:type="dxa"/>
          <w:trHeight w:val="250"/>
        </w:trPr>
        <w:tc>
          <w:tcPr>
            <w:tcW w:w="210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Content data</w:t>
            </w:r>
          </w:p>
        </w:tc>
        <w:tc>
          <w:tcPr>
            <w:tcW w:w="1459" w:type="dxa"/>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Elect. comm.</w:t>
            </w:r>
          </w:p>
        </w:tc>
        <w:tc>
          <w:tcPr>
            <w:tcW w:w="1414" w:type="dxa"/>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55%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55%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40%</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25%</w:t>
            </w:r>
          </w:p>
        </w:tc>
      </w:tr>
      <w:tr w:rsidR="001B65FF">
        <w:trPr>
          <w:gridAfter w:val="1"/>
          <w:wAfter w:w="264" w:type="dxa"/>
          <w:trHeight w:val="250"/>
        </w:trPr>
        <w:tc>
          <w:tcPr>
            <w:tcW w:w="2100" w:type="dxa"/>
            <w:gridSpan w:val="3"/>
            <w:vMerge/>
            <w:tcBorders>
              <w:top w:val="single" w:sz="8" w:space="0" w:color="auto"/>
              <w:left w:val="single" w:sz="8" w:space="0" w:color="auto"/>
              <w:bottom w:val="single" w:sz="8" w:space="0" w:color="000000"/>
              <w:right w:val="single" w:sz="8" w:space="0" w:color="000000"/>
            </w:tcBorders>
            <w:vAlign w:val="center"/>
          </w:tcPr>
          <w:p w:rsidR="001B65FF" w:rsidRDefault="001B65FF">
            <w:pPr>
              <w:keepNext/>
              <w:spacing w:after="0" w:line="240" w:lineRule="auto"/>
              <w:rPr>
                <w:rFonts w:ascii="Times New Roman" w:eastAsia="Times New Roman" w:hAnsi="Times New Roman" w:cs="Times New Roman"/>
                <w:noProof/>
                <w:sz w:val="20"/>
                <w:lang w:eastAsia="en-GB"/>
              </w:rPr>
            </w:pPr>
          </w:p>
        </w:tc>
        <w:tc>
          <w:tcPr>
            <w:tcW w:w="1459" w:type="dxa"/>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Inter/app.</w:t>
            </w:r>
          </w:p>
        </w:tc>
        <w:tc>
          <w:tcPr>
            <w:tcW w:w="1414" w:type="dxa"/>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55%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55%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45%</w:t>
            </w:r>
          </w:p>
        </w:tc>
        <w:tc>
          <w:tcPr>
            <w:tcW w:w="1414" w:type="dxa"/>
            <w:gridSpan w:val="2"/>
            <w:tcBorders>
              <w:top w:val="nil"/>
              <w:left w:val="nil"/>
              <w:bottom w:val="single" w:sz="8" w:space="0" w:color="auto"/>
              <w:right w:val="single" w:sz="8" w:space="0" w:color="auto"/>
            </w:tcBorders>
            <w:shd w:val="clear" w:color="auto" w:fill="auto"/>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rPr>
              <w:t>35%</w:t>
            </w:r>
          </w:p>
        </w:tc>
      </w:tr>
      <w:tr w:rsidR="001B65FF">
        <w:trPr>
          <w:trHeight w:val="202"/>
        </w:trPr>
        <w:tc>
          <w:tcPr>
            <w:tcW w:w="1445"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655" w:type="dxa"/>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1459" w:type="dxa"/>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1820"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1277"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1277"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c>
          <w:tcPr>
            <w:tcW w:w="1282"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lang w:eastAsia="en-GB"/>
              </w:rPr>
            </w:pPr>
          </w:p>
        </w:tc>
      </w:tr>
    </w:tbl>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respondents further mentioned in their comments that it is common practice to send requests only to countries where authorities have already proved to be cooperative while some are not being contacted anymore based </w:t>
      </w:r>
      <w:r>
        <w:rPr>
          <w:rFonts w:ascii="Times New Roman" w:eastAsia="Times New Roman" w:hAnsi="Times New Roman" w:cs="Times New Roman"/>
          <w:noProof/>
          <w:sz w:val="24"/>
          <w:szCs w:val="20"/>
        </w:rPr>
        <w:t>on a previous experience. Several most common causes for the e-evidence requests denials have been identified in the survey. Timely bureaucratic procedures and different legal standards are the most common obstacles when using judicial cooperation channels</w:t>
      </w:r>
      <w:r>
        <w:rPr>
          <w:rFonts w:ascii="Times New Roman" w:eastAsia="Times New Roman" w:hAnsi="Times New Roman" w:cs="Times New Roman"/>
          <w:noProof/>
          <w:sz w:val="24"/>
          <w:szCs w:val="20"/>
        </w:rPr>
        <w:t xml:space="preserve"> within the EU, yet it remains more effective compared to cooperation with non-EU counties. The respondents also mentioned the inability to identify a real geographic location of the providers, other legislative impediments, data availability and its accur</w:t>
      </w:r>
      <w:r>
        <w:rPr>
          <w:rFonts w:ascii="Times New Roman" w:eastAsia="Times New Roman" w:hAnsi="Times New Roman" w:cs="Times New Roman"/>
          <w:noProof/>
          <w:sz w:val="24"/>
          <w:szCs w:val="20"/>
        </w:rPr>
        <w:t>acy in their comments.</w:t>
      </w:r>
    </w:p>
    <w:p w:rsidR="001B65FF" w:rsidRDefault="003E4EF4">
      <w:pPr>
        <w:spacing w:before="120" w:after="120"/>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Investigations negatively affected</w:t>
      </w:r>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table 3 below demonstrates the percentage of investigations involving cross-border requests to access e-evidence that are </w:t>
      </w:r>
      <w:r>
        <w:rPr>
          <w:rFonts w:ascii="Times New Roman" w:eastAsia="Times New Roman" w:hAnsi="Times New Roman" w:cs="Times New Roman"/>
          <w:b/>
          <w:noProof/>
          <w:sz w:val="24"/>
          <w:szCs w:val="20"/>
        </w:rPr>
        <w:t>negatively affected</w:t>
      </w:r>
      <w:r>
        <w:rPr>
          <w:rFonts w:ascii="Times New Roman" w:eastAsia="Times New Roman" w:hAnsi="Times New Roman" w:cs="Times New Roman"/>
          <w:noProof/>
          <w:sz w:val="24"/>
          <w:szCs w:val="20"/>
        </w:rPr>
        <w:t xml:space="preserve"> or cannot be pursued and its main cause.</w:t>
      </w:r>
    </w:p>
    <w:p w:rsidR="001B65FF" w:rsidRDefault="003E4EF4">
      <w:pPr>
        <w:keepNext/>
        <w:jc w:val="center"/>
        <w:rPr>
          <w:rFonts w:ascii="Times New Roman" w:hAnsi="Times New Roman" w:cs="Times New Roman"/>
          <w:noProof/>
          <w:sz w:val="24"/>
        </w:rPr>
      </w:pPr>
      <w:r>
        <w:rPr>
          <w:rFonts w:ascii="Times New Roman" w:hAnsi="Times New Roman" w:cs="Times New Roman"/>
          <w:i/>
          <w:noProof/>
          <w:sz w:val="24"/>
        </w:rPr>
        <w:t>Table 3</w:t>
      </w:r>
      <w:r>
        <w:rPr>
          <w:rFonts w:ascii="Times New Roman" w:eastAsia="Calibri" w:hAnsi="Times New Roman" w:cs="Times New Roman"/>
          <w:i/>
          <w:noProof/>
          <w:sz w:val="24"/>
        </w:rPr>
        <w:t>: th</w:t>
      </w:r>
      <w:r>
        <w:rPr>
          <w:rFonts w:ascii="Times New Roman" w:eastAsia="Calibri" w:hAnsi="Times New Roman" w:cs="Times New Roman"/>
          <w:i/>
          <w:noProof/>
          <w:sz w:val="24"/>
        </w:rPr>
        <w:t>e percentage of investigations involving requests to access to e-evidence across borders that are negatively affected or cannot be pursued</w:t>
      </w:r>
    </w:p>
    <w:tbl>
      <w:tblPr>
        <w:tblW w:w="9479" w:type="dxa"/>
        <w:tblInd w:w="93" w:type="dxa"/>
        <w:tblLook w:val="04A0" w:firstRow="1" w:lastRow="0" w:firstColumn="1" w:lastColumn="0" w:noHBand="0" w:noVBand="1"/>
      </w:tblPr>
      <w:tblGrid>
        <w:gridCol w:w="1445"/>
        <w:gridCol w:w="919"/>
        <w:gridCol w:w="664"/>
        <w:gridCol w:w="795"/>
        <w:gridCol w:w="778"/>
        <w:gridCol w:w="1042"/>
        <w:gridCol w:w="534"/>
        <w:gridCol w:w="743"/>
        <w:gridCol w:w="831"/>
        <w:gridCol w:w="446"/>
        <w:gridCol w:w="1130"/>
        <w:gridCol w:w="152"/>
      </w:tblGrid>
      <w:tr w:rsidR="001B65FF">
        <w:trPr>
          <w:gridAfter w:val="1"/>
          <w:wAfter w:w="152" w:type="dxa"/>
          <w:trHeight w:val="408"/>
        </w:trPr>
        <w:tc>
          <w:tcPr>
            <w:tcW w:w="302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sz w:val="20"/>
                <w:lang w:eastAsia="en-GB"/>
              </w:rPr>
            </w:pPr>
            <w:r>
              <w:rPr>
                <w:rFonts w:ascii="Times New Roman" w:eastAsia="Times New Roman" w:hAnsi="Times New Roman" w:cs="Times New Roman"/>
                <w:b/>
                <w:noProof/>
                <w:lang w:eastAsia="en-GB"/>
              </w:rPr>
              <w:t>Cause</w:t>
            </w:r>
          </w:p>
        </w:tc>
        <w:tc>
          <w:tcPr>
            <w:tcW w:w="3149" w:type="dxa"/>
            <w:gridSpan w:val="4"/>
            <w:tcBorders>
              <w:top w:val="single" w:sz="8" w:space="0" w:color="auto"/>
              <w:left w:val="nil"/>
              <w:bottom w:val="single" w:sz="8" w:space="0" w:color="auto"/>
              <w:right w:val="single" w:sz="8" w:space="0" w:color="000000"/>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hAnsi="Times New Roman" w:cs="Times New Roman"/>
                <w:b/>
                <w:noProof/>
              </w:rPr>
              <w:t>Within the EU</w:t>
            </w:r>
          </w:p>
        </w:tc>
        <w:tc>
          <w:tcPr>
            <w:tcW w:w="3150" w:type="dxa"/>
            <w:gridSpan w:val="4"/>
            <w:tcBorders>
              <w:top w:val="single" w:sz="8" w:space="0" w:color="auto"/>
              <w:left w:val="nil"/>
              <w:bottom w:val="single" w:sz="8" w:space="0" w:color="auto"/>
              <w:right w:val="single" w:sz="8" w:space="0" w:color="000000"/>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eastAsia="Times New Roman" w:hAnsi="Times New Roman" w:cs="Times New Roman"/>
                <w:b/>
                <w:noProof/>
                <w:sz w:val="20"/>
                <w:lang w:eastAsia="en-GB"/>
              </w:rPr>
              <w:t>With non-EU countries</w:t>
            </w:r>
          </w:p>
        </w:tc>
      </w:tr>
      <w:tr w:rsidR="001B65FF">
        <w:trPr>
          <w:gridAfter w:val="1"/>
          <w:wAfter w:w="152" w:type="dxa"/>
          <w:trHeight w:val="609"/>
        </w:trPr>
        <w:tc>
          <w:tcPr>
            <w:tcW w:w="3028" w:type="dxa"/>
            <w:gridSpan w:val="3"/>
            <w:vMerge/>
            <w:tcBorders>
              <w:top w:val="single" w:sz="8" w:space="0" w:color="auto"/>
              <w:left w:val="single" w:sz="8" w:space="0" w:color="auto"/>
              <w:bottom w:val="single" w:sz="4" w:space="0" w:color="auto"/>
              <w:right w:val="single" w:sz="8" w:space="0" w:color="000000"/>
            </w:tcBorders>
            <w:vAlign w:val="center"/>
          </w:tcPr>
          <w:p w:rsidR="001B65FF" w:rsidRDefault="001B65FF">
            <w:pPr>
              <w:keepNext/>
              <w:spacing w:after="0" w:line="240" w:lineRule="auto"/>
              <w:rPr>
                <w:rFonts w:ascii="Times New Roman" w:eastAsia="Times New Roman" w:hAnsi="Times New Roman" w:cs="Times New Roman"/>
                <w:b/>
                <w:noProof/>
                <w:sz w:val="20"/>
                <w:lang w:eastAsia="en-GB"/>
              </w:rPr>
            </w:pPr>
          </w:p>
        </w:tc>
        <w:tc>
          <w:tcPr>
            <w:tcW w:w="1573"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hAnsi="Times New Roman" w:cs="Times New Roman"/>
                <w:b/>
                <w:noProof/>
              </w:rPr>
              <w:t>Judicial cooperation</w:t>
            </w:r>
          </w:p>
        </w:tc>
        <w:tc>
          <w:tcPr>
            <w:tcW w:w="1576"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hAnsi="Times New Roman" w:cs="Times New Roman"/>
                <w:b/>
                <w:noProof/>
              </w:rPr>
              <w:t>Direct cooperation</w:t>
            </w:r>
          </w:p>
        </w:tc>
        <w:tc>
          <w:tcPr>
            <w:tcW w:w="1574"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hAnsi="Times New Roman" w:cs="Times New Roman"/>
                <w:b/>
                <w:noProof/>
              </w:rPr>
              <w:t>Judicial cooperation</w:t>
            </w:r>
          </w:p>
        </w:tc>
        <w:tc>
          <w:tcPr>
            <w:tcW w:w="1576"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b/>
                <w:noProof/>
                <w:sz w:val="20"/>
                <w:lang w:eastAsia="en-GB"/>
              </w:rPr>
            </w:pPr>
            <w:r>
              <w:rPr>
                <w:rFonts w:ascii="Times New Roman" w:hAnsi="Times New Roman" w:cs="Times New Roman"/>
                <w:b/>
                <w:noProof/>
              </w:rPr>
              <w:t xml:space="preserve">Direct </w:t>
            </w:r>
            <w:r>
              <w:rPr>
                <w:rFonts w:ascii="Times New Roman" w:hAnsi="Times New Roman" w:cs="Times New Roman"/>
                <w:b/>
                <w:noProof/>
              </w:rPr>
              <w:t>cooperation</w:t>
            </w:r>
          </w:p>
        </w:tc>
      </w:tr>
      <w:tr w:rsidR="001B65FF">
        <w:trPr>
          <w:gridAfter w:val="1"/>
          <w:wAfter w:w="152" w:type="dxa"/>
          <w:trHeight w:val="288"/>
        </w:trPr>
        <w:tc>
          <w:tcPr>
            <w:tcW w:w="30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hAnsi="Times New Roman" w:cs="Times New Roman"/>
                <w:noProof/>
              </w:rPr>
              <w:t>Lack of timely access</w:t>
            </w:r>
          </w:p>
        </w:tc>
        <w:tc>
          <w:tcPr>
            <w:tcW w:w="1573" w:type="dxa"/>
            <w:gridSpan w:val="2"/>
            <w:tcBorders>
              <w:top w:val="nil"/>
              <w:left w:val="single" w:sz="4" w:space="0" w:color="auto"/>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35%</w:t>
            </w:r>
          </w:p>
        </w:tc>
        <w:tc>
          <w:tcPr>
            <w:tcW w:w="1576"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25%</w:t>
            </w:r>
          </w:p>
        </w:tc>
        <w:tc>
          <w:tcPr>
            <w:tcW w:w="1574"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45%</w:t>
            </w:r>
          </w:p>
        </w:tc>
        <w:tc>
          <w:tcPr>
            <w:tcW w:w="1576"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15%</w:t>
            </w:r>
          </w:p>
        </w:tc>
      </w:tr>
      <w:tr w:rsidR="001B65FF">
        <w:trPr>
          <w:gridAfter w:val="1"/>
          <w:wAfter w:w="152" w:type="dxa"/>
          <w:trHeight w:val="288"/>
        </w:trPr>
        <w:tc>
          <w:tcPr>
            <w:tcW w:w="30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hAnsi="Times New Roman" w:cs="Times New Roman"/>
                <w:noProof/>
              </w:rPr>
              <w:t>Lack of access (access denied)</w:t>
            </w:r>
          </w:p>
        </w:tc>
        <w:tc>
          <w:tcPr>
            <w:tcW w:w="1573" w:type="dxa"/>
            <w:gridSpan w:val="2"/>
            <w:tcBorders>
              <w:top w:val="nil"/>
              <w:left w:val="single" w:sz="4" w:space="0" w:color="auto"/>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25%</w:t>
            </w:r>
          </w:p>
        </w:tc>
        <w:tc>
          <w:tcPr>
            <w:tcW w:w="1576"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25%</w:t>
            </w:r>
          </w:p>
        </w:tc>
        <w:tc>
          <w:tcPr>
            <w:tcW w:w="1574"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25%</w:t>
            </w:r>
          </w:p>
        </w:tc>
        <w:tc>
          <w:tcPr>
            <w:tcW w:w="1576"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15%</w:t>
            </w:r>
          </w:p>
        </w:tc>
      </w:tr>
      <w:tr w:rsidR="001B65FF">
        <w:trPr>
          <w:gridAfter w:val="1"/>
          <w:wAfter w:w="152" w:type="dxa"/>
          <w:trHeight w:val="288"/>
        </w:trPr>
        <w:tc>
          <w:tcPr>
            <w:tcW w:w="30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B65FF" w:rsidRDefault="003E4EF4">
            <w:pPr>
              <w:keepNext/>
              <w:spacing w:after="0" w:line="240" w:lineRule="auto"/>
              <w:rPr>
                <w:rFonts w:ascii="Times New Roman" w:eastAsia="Times New Roman" w:hAnsi="Times New Roman" w:cs="Times New Roman"/>
                <w:b/>
                <w:noProof/>
                <w:lang w:eastAsia="en-GB"/>
              </w:rPr>
            </w:pPr>
            <w:r>
              <w:rPr>
                <w:rFonts w:ascii="Times New Roman" w:hAnsi="Times New Roman" w:cs="Times New Roman"/>
                <w:noProof/>
              </w:rPr>
              <w:t>Other</w:t>
            </w:r>
          </w:p>
        </w:tc>
        <w:tc>
          <w:tcPr>
            <w:tcW w:w="1573" w:type="dxa"/>
            <w:gridSpan w:val="2"/>
            <w:tcBorders>
              <w:top w:val="nil"/>
              <w:left w:val="single" w:sz="4" w:space="0" w:color="auto"/>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15%</w:t>
            </w:r>
          </w:p>
        </w:tc>
        <w:tc>
          <w:tcPr>
            <w:tcW w:w="1576"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5%</w:t>
            </w:r>
          </w:p>
        </w:tc>
        <w:tc>
          <w:tcPr>
            <w:tcW w:w="1574"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15%</w:t>
            </w:r>
          </w:p>
        </w:tc>
        <w:tc>
          <w:tcPr>
            <w:tcW w:w="1576" w:type="dxa"/>
            <w:gridSpan w:val="2"/>
            <w:tcBorders>
              <w:top w:val="nil"/>
              <w:left w:val="nil"/>
              <w:bottom w:val="single" w:sz="8" w:space="0" w:color="auto"/>
              <w:right w:val="single" w:sz="8" w:space="0" w:color="auto"/>
            </w:tcBorders>
            <w:shd w:val="clear" w:color="auto" w:fill="auto"/>
            <w:vAlign w:val="center"/>
          </w:tcPr>
          <w:p w:rsidR="001B65FF" w:rsidRDefault="003E4EF4">
            <w:pPr>
              <w:keepNext/>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noProof/>
                <w:sz w:val="24"/>
              </w:rPr>
              <w:t>10%</w:t>
            </w:r>
          </w:p>
        </w:tc>
      </w:tr>
      <w:tr w:rsidR="001B65FF">
        <w:trPr>
          <w:gridAfter w:val="1"/>
          <w:wAfter w:w="152" w:type="dxa"/>
          <w:trHeight w:val="288"/>
        </w:trPr>
        <w:tc>
          <w:tcPr>
            <w:tcW w:w="302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B65FF" w:rsidRDefault="003E4EF4">
            <w:pPr>
              <w:spacing w:after="0" w:line="240" w:lineRule="auto"/>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Total</w:t>
            </w:r>
          </w:p>
        </w:tc>
        <w:tc>
          <w:tcPr>
            <w:tcW w:w="1573" w:type="dxa"/>
            <w:gridSpan w:val="2"/>
            <w:tcBorders>
              <w:top w:val="nil"/>
              <w:left w:val="single" w:sz="4" w:space="0" w:color="auto"/>
              <w:bottom w:val="single" w:sz="8" w:space="0" w:color="auto"/>
              <w:right w:val="single" w:sz="8" w:space="0" w:color="auto"/>
            </w:tcBorders>
            <w:shd w:val="clear" w:color="auto" w:fill="auto"/>
            <w:vAlign w:val="center"/>
          </w:tcPr>
          <w:p w:rsidR="001B65FF" w:rsidRDefault="003E4EF4">
            <w:pPr>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b/>
                <w:noProof/>
                <w:sz w:val="24"/>
              </w:rPr>
              <w:t>75%</w:t>
            </w:r>
          </w:p>
        </w:tc>
        <w:tc>
          <w:tcPr>
            <w:tcW w:w="1576" w:type="dxa"/>
            <w:gridSpan w:val="2"/>
            <w:tcBorders>
              <w:top w:val="nil"/>
              <w:left w:val="nil"/>
              <w:bottom w:val="single" w:sz="8" w:space="0" w:color="auto"/>
              <w:right w:val="single" w:sz="8" w:space="0" w:color="auto"/>
            </w:tcBorders>
            <w:shd w:val="clear" w:color="auto" w:fill="auto"/>
            <w:vAlign w:val="center"/>
          </w:tcPr>
          <w:p w:rsidR="001B65FF" w:rsidRDefault="003E4EF4">
            <w:pPr>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b/>
                <w:noProof/>
                <w:sz w:val="24"/>
              </w:rPr>
              <w:t>55%</w:t>
            </w:r>
          </w:p>
        </w:tc>
        <w:tc>
          <w:tcPr>
            <w:tcW w:w="1574" w:type="dxa"/>
            <w:gridSpan w:val="2"/>
            <w:tcBorders>
              <w:top w:val="nil"/>
              <w:left w:val="nil"/>
              <w:bottom w:val="single" w:sz="8" w:space="0" w:color="auto"/>
              <w:right w:val="single" w:sz="8" w:space="0" w:color="auto"/>
            </w:tcBorders>
            <w:shd w:val="clear" w:color="auto" w:fill="auto"/>
            <w:vAlign w:val="center"/>
          </w:tcPr>
          <w:p w:rsidR="001B65FF" w:rsidRDefault="003E4EF4">
            <w:pPr>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b/>
                <w:noProof/>
                <w:sz w:val="24"/>
              </w:rPr>
              <w:t>85%</w:t>
            </w:r>
          </w:p>
        </w:tc>
        <w:tc>
          <w:tcPr>
            <w:tcW w:w="1576" w:type="dxa"/>
            <w:gridSpan w:val="2"/>
            <w:tcBorders>
              <w:top w:val="nil"/>
              <w:left w:val="nil"/>
              <w:bottom w:val="single" w:sz="8" w:space="0" w:color="auto"/>
              <w:right w:val="single" w:sz="8" w:space="0" w:color="auto"/>
            </w:tcBorders>
            <w:shd w:val="clear" w:color="auto" w:fill="auto"/>
            <w:vAlign w:val="center"/>
          </w:tcPr>
          <w:p w:rsidR="001B65FF" w:rsidRDefault="003E4EF4">
            <w:pPr>
              <w:spacing w:after="0" w:line="240" w:lineRule="auto"/>
              <w:jc w:val="center"/>
              <w:rPr>
                <w:rFonts w:ascii="Times New Roman" w:eastAsia="Times New Roman" w:hAnsi="Times New Roman" w:cs="Times New Roman"/>
                <w:noProof/>
                <w:sz w:val="20"/>
                <w:lang w:eastAsia="en-GB"/>
              </w:rPr>
            </w:pPr>
            <w:r>
              <w:rPr>
                <w:rFonts w:ascii="Times New Roman" w:hAnsi="Times New Roman" w:cs="Times New Roman"/>
                <w:b/>
                <w:noProof/>
                <w:sz w:val="24"/>
              </w:rPr>
              <w:t>40%</w:t>
            </w:r>
          </w:p>
        </w:tc>
      </w:tr>
      <w:tr w:rsidR="001B65FF">
        <w:trPr>
          <w:trHeight w:val="202"/>
        </w:trPr>
        <w:tc>
          <w:tcPr>
            <w:tcW w:w="1445" w:type="dxa"/>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szCs w:val="20"/>
                <w:lang w:eastAsia="en-GB"/>
              </w:rPr>
            </w:pPr>
          </w:p>
        </w:tc>
        <w:tc>
          <w:tcPr>
            <w:tcW w:w="919" w:type="dxa"/>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szCs w:val="20"/>
                <w:lang w:eastAsia="en-GB"/>
              </w:rPr>
            </w:pPr>
          </w:p>
        </w:tc>
        <w:tc>
          <w:tcPr>
            <w:tcW w:w="1459"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szCs w:val="20"/>
                <w:lang w:eastAsia="en-GB"/>
              </w:rPr>
            </w:pPr>
          </w:p>
        </w:tc>
        <w:tc>
          <w:tcPr>
            <w:tcW w:w="1820"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szCs w:val="20"/>
                <w:lang w:eastAsia="en-GB"/>
              </w:rPr>
            </w:pPr>
          </w:p>
        </w:tc>
        <w:tc>
          <w:tcPr>
            <w:tcW w:w="1277"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szCs w:val="20"/>
                <w:lang w:eastAsia="en-GB"/>
              </w:rPr>
            </w:pPr>
          </w:p>
        </w:tc>
        <w:tc>
          <w:tcPr>
            <w:tcW w:w="1277"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szCs w:val="20"/>
                <w:lang w:eastAsia="en-GB"/>
              </w:rPr>
            </w:pPr>
          </w:p>
        </w:tc>
        <w:tc>
          <w:tcPr>
            <w:tcW w:w="1282" w:type="dxa"/>
            <w:gridSpan w:val="2"/>
            <w:tcBorders>
              <w:top w:val="nil"/>
              <w:left w:val="nil"/>
              <w:bottom w:val="nil"/>
              <w:right w:val="nil"/>
            </w:tcBorders>
            <w:shd w:val="clear" w:color="auto" w:fill="auto"/>
            <w:noWrap/>
            <w:vAlign w:val="bottom"/>
            <w:hideMark/>
          </w:tcPr>
          <w:p w:rsidR="001B65FF" w:rsidRDefault="001B65FF">
            <w:pPr>
              <w:spacing w:after="0" w:line="240" w:lineRule="auto"/>
              <w:rPr>
                <w:rFonts w:ascii="Times New Roman" w:eastAsia="Times New Roman" w:hAnsi="Times New Roman" w:cs="Times New Roman"/>
                <w:noProof/>
                <w:sz w:val="20"/>
                <w:szCs w:val="20"/>
                <w:lang w:eastAsia="en-GB"/>
              </w:rPr>
            </w:pPr>
          </w:p>
        </w:tc>
      </w:tr>
    </w:tbl>
    <w:p w:rsidR="001B65FF" w:rsidRDefault="003E4EF4">
      <w:pPr>
        <w:spacing w:before="120" w:after="120"/>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Time it takes</w:t>
      </w:r>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timely access to e-evidence matters as approximately one third of investigations concerning cross-border access to e-evidence are negatively affected or cannot be pursued precisely because of lack of timely access to the evidence (data not provided in </w:t>
      </w:r>
      <w:r>
        <w:rPr>
          <w:rFonts w:ascii="Times New Roman" w:eastAsia="Times New Roman" w:hAnsi="Times New Roman" w:cs="Times New Roman"/>
          <w:noProof/>
          <w:sz w:val="24"/>
          <w:szCs w:val="20"/>
        </w:rPr>
        <w:t>time, e.g. leading to the disappearance of other leads), according to the law enforcement survey respondents. The time features for preparing and receiving a response through judicial cooperation channels or directly from a service provider reflect the oth</w:t>
      </w:r>
      <w:r>
        <w:rPr>
          <w:rFonts w:ascii="Times New Roman" w:eastAsia="Times New Roman" w:hAnsi="Times New Roman" w:cs="Times New Roman"/>
          <w:noProof/>
          <w:sz w:val="24"/>
          <w:szCs w:val="20"/>
        </w:rPr>
        <w:t>er aspects of cross-border access to e-evidence as described earlier. The law enforcement authorities are regularly able to prepare and send a request within hours, eventually days; however, it usually takes several days, and can take up to months, to rece</w:t>
      </w:r>
      <w:r>
        <w:rPr>
          <w:rFonts w:ascii="Times New Roman" w:eastAsia="Times New Roman" w:hAnsi="Times New Roman" w:cs="Times New Roman"/>
          <w:noProof/>
          <w:sz w:val="24"/>
          <w:szCs w:val="20"/>
        </w:rPr>
        <w:t xml:space="preserve">ive a response. </w:t>
      </w:r>
    </w:p>
    <w:p w:rsidR="001B65FF" w:rsidRDefault="003E4EF4">
      <w:pPr>
        <w:spacing w:before="120" w:after="120"/>
        <w:jc w:val="both"/>
        <w:rPr>
          <w:rFonts w:ascii="Times New Roman" w:eastAsia="Times New Roman" w:hAnsi="Times New Roman" w:cs="Times New Roman"/>
          <w:noProof/>
          <w:sz w:val="24"/>
        </w:rPr>
      </w:pPr>
      <w:r>
        <w:rPr>
          <w:rFonts w:ascii="Times New Roman" w:eastAsia="Times New Roman" w:hAnsi="Times New Roman" w:cs="Times New Roman"/>
          <w:noProof/>
          <w:sz w:val="24"/>
          <w:szCs w:val="20"/>
        </w:rPr>
        <w:t xml:space="preserve">The </w:t>
      </w:r>
      <w:r>
        <w:rPr>
          <w:rFonts w:ascii="Times New Roman" w:eastAsia="Times New Roman" w:hAnsi="Times New Roman" w:cs="Times New Roman"/>
          <w:b/>
          <w:noProof/>
          <w:sz w:val="24"/>
          <w:szCs w:val="20"/>
        </w:rPr>
        <w:t>average time it takes</w:t>
      </w:r>
      <w:r>
        <w:rPr>
          <w:rFonts w:ascii="Times New Roman" w:eastAsia="Times New Roman" w:hAnsi="Times New Roman" w:cs="Times New Roman"/>
          <w:noProof/>
          <w:sz w:val="24"/>
          <w:szCs w:val="20"/>
        </w:rPr>
        <w:t xml:space="preserve"> to prepare a cross-border request for data and receive an answer is displayed in the following figures. The respondents were asked to indicate the average time based on the previously used criterions of cooperatio</w:t>
      </w:r>
      <w:r>
        <w:rPr>
          <w:rFonts w:ascii="Times New Roman" w:eastAsia="Times New Roman" w:hAnsi="Times New Roman" w:cs="Times New Roman"/>
          <w:noProof/>
          <w:sz w:val="24"/>
          <w:szCs w:val="20"/>
        </w:rPr>
        <w:t>n channels, types of the service provider and nature of the requested data.</w:t>
      </w:r>
    </w:p>
    <w:p w:rsidR="001B65FF" w:rsidRDefault="003E4EF4">
      <w:pPr>
        <w:pStyle w:val="ListParagraph"/>
        <w:numPr>
          <w:ilvl w:val="0"/>
          <w:numId w:val="142"/>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figures 1, 2, 3, and 4 show the average time it takes to prepare </w:t>
      </w:r>
      <w:r>
        <w:rPr>
          <w:rFonts w:ascii="Times New Roman" w:eastAsia="Times New Roman" w:hAnsi="Times New Roman" w:cs="Times New Roman"/>
          <w:b/>
          <w:noProof/>
          <w:sz w:val="24"/>
          <w:szCs w:val="20"/>
        </w:rPr>
        <w:t>a request for content data</w:t>
      </w:r>
      <w:r>
        <w:rPr>
          <w:rFonts w:ascii="Times New Roman" w:eastAsia="Times New Roman" w:hAnsi="Times New Roman" w:cs="Times New Roman"/>
          <w:noProof/>
          <w:sz w:val="24"/>
          <w:szCs w:val="20"/>
        </w:rPr>
        <w:t xml:space="preserve"> to all types of service providers located in the EU and in non-EU countries through </w:t>
      </w:r>
      <w:r>
        <w:rPr>
          <w:rFonts w:ascii="Times New Roman" w:eastAsia="Times New Roman" w:hAnsi="Times New Roman" w:cs="Times New Roman"/>
          <w:noProof/>
          <w:sz w:val="24"/>
          <w:szCs w:val="20"/>
        </w:rPr>
        <w:t>different channels.</w:t>
      </w:r>
    </w:p>
    <w:p w:rsidR="001B65FF" w:rsidRDefault="003E4EF4">
      <w:pPr>
        <w:pStyle w:val="ListParagraph"/>
        <w:numPr>
          <w:ilvl w:val="0"/>
          <w:numId w:val="142"/>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time it takes to prepare </w:t>
      </w:r>
      <w:r>
        <w:rPr>
          <w:rFonts w:ascii="Times New Roman" w:eastAsia="Times New Roman" w:hAnsi="Times New Roman" w:cs="Times New Roman"/>
          <w:b/>
          <w:noProof/>
          <w:sz w:val="24"/>
          <w:szCs w:val="20"/>
        </w:rPr>
        <w:t>a request for non-content data</w:t>
      </w:r>
      <w:r>
        <w:rPr>
          <w:rFonts w:ascii="Times New Roman" w:eastAsia="Times New Roman" w:hAnsi="Times New Roman" w:cs="Times New Roman"/>
          <w:noProof/>
          <w:sz w:val="24"/>
          <w:szCs w:val="20"/>
        </w:rPr>
        <w:t xml:space="preserve"> is shown in the figures 5, 6, 7, and 8.</w:t>
      </w:r>
    </w:p>
    <w:p w:rsidR="001B65FF" w:rsidRDefault="003E4EF4">
      <w:pPr>
        <w:pStyle w:val="ListParagraph"/>
        <w:numPr>
          <w:ilvl w:val="0"/>
          <w:numId w:val="142"/>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figures 9, 10, 11, and 12 show the average time it takes to receive </w:t>
      </w:r>
      <w:r>
        <w:rPr>
          <w:rFonts w:ascii="Times New Roman" w:eastAsia="Times New Roman" w:hAnsi="Times New Roman" w:cs="Times New Roman"/>
          <w:b/>
          <w:noProof/>
          <w:sz w:val="24"/>
          <w:szCs w:val="20"/>
        </w:rPr>
        <w:t>a response to</w:t>
      </w:r>
      <w:r>
        <w:rPr>
          <w:rFonts w:ascii="Times New Roman" w:eastAsia="Times New Roman" w:hAnsi="Times New Roman" w:cs="Times New Roman"/>
          <w:noProof/>
          <w:sz w:val="24"/>
          <w:szCs w:val="20"/>
        </w:rPr>
        <w:t xml:space="preserve"> </w:t>
      </w:r>
      <w:r>
        <w:rPr>
          <w:rFonts w:ascii="Times New Roman" w:eastAsia="Times New Roman" w:hAnsi="Times New Roman" w:cs="Times New Roman"/>
          <w:b/>
          <w:noProof/>
          <w:sz w:val="24"/>
          <w:szCs w:val="20"/>
        </w:rPr>
        <w:t>a request for content data</w:t>
      </w:r>
      <w:r>
        <w:rPr>
          <w:rFonts w:ascii="Times New Roman" w:eastAsia="Times New Roman" w:hAnsi="Times New Roman" w:cs="Times New Roman"/>
          <w:noProof/>
          <w:sz w:val="24"/>
          <w:szCs w:val="20"/>
        </w:rPr>
        <w:t xml:space="preserve"> to all types of service</w:t>
      </w:r>
      <w:r>
        <w:rPr>
          <w:rFonts w:ascii="Times New Roman" w:eastAsia="Times New Roman" w:hAnsi="Times New Roman" w:cs="Times New Roman"/>
          <w:noProof/>
          <w:sz w:val="24"/>
          <w:szCs w:val="20"/>
        </w:rPr>
        <w:t xml:space="preserve"> providers located in the EU and in non-EU countries through different channels.</w:t>
      </w:r>
    </w:p>
    <w:p w:rsidR="001B65FF" w:rsidRDefault="003E4EF4">
      <w:pPr>
        <w:pStyle w:val="ListParagraph"/>
        <w:numPr>
          <w:ilvl w:val="0"/>
          <w:numId w:val="142"/>
        </w:numPr>
        <w:spacing w:before="120" w:after="120"/>
        <w:jc w:val="both"/>
        <w:rPr>
          <w:rFonts w:ascii="Times New Roman" w:eastAsia="Times New Roman" w:hAnsi="Times New Roman" w:cs="Times New Roman"/>
          <w:i/>
          <w:noProof/>
          <w:sz w:val="24"/>
          <w:szCs w:val="20"/>
        </w:rPr>
      </w:pPr>
      <w:r>
        <w:rPr>
          <w:rFonts w:ascii="Times New Roman" w:eastAsia="Times New Roman" w:hAnsi="Times New Roman" w:cs="Times New Roman"/>
          <w:noProof/>
          <w:sz w:val="24"/>
          <w:szCs w:val="20"/>
        </w:rPr>
        <w:t xml:space="preserve">Finally, the figures 13, 14, 15, and 16 show the average time it takes to receive </w:t>
      </w:r>
      <w:r>
        <w:rPr>
          <w:rFonts w:ascii="Times New Roman" w:eastAsia="Times New Roman" w:hAnsi="Times New Roman" w:cs="Times New Roman"/>
          <w:b/>
          <w:noProof/>
          <w:sz w:val="24"/>
          <w:szCs w:val="20"/>
        </w:rPr>
        <w:t>a response to non-content data requests</w:t>
      </w:r>
      <w:r>
        <w:rPr>
          <w:rFonts w:ascii="Times New Roman" w:eastAsia="Times New Roman" w:hAnsi="Times New Roman" w:cs="Times New Roman"/>
          <w:noProof/>
          <w:sz w:val="24"/>
          <w:szCs w:val="20"/>
        </w:rPr>
        <w:t>.</w:t>
      </w:r>
      <w:r>
        <w:rPr>
          <w:rFonts w:ascii="Times New Roman" w:eastAsia="Times New Roman" w:hAnsi="Times New Roman" w:cs="Times New Roman"/>
          <w:i/>
          <w:noProof/>
          <w:sz w:val="24"/>
          <w:szCs w:val="20"/>
        </w:rPr>
        <w:br w:type="page"/>
      </w:r>
    </w:p>
    <w:p w:rsidR="001B65FF" w:rsidRDefault="001B65FF">
      <w:pPr>
        <w:rPr>
          <w:rFonts w:ascii="Times New Roman" w:eastAsia="Times New Roman" w:hAnsi="Times New Roman" w:cs="Times New Roman"/>
          <w:i/>
          <w:noProof/>
          <w:sz w:val="24"/>
          <w:szCs w:val="20"/>
        </w:rPr>
        <w:sectPr w:rsidR="001B65FF">
          <w:headerReference w:type="even" r:id="rId175"/>
          <w:headerReference w:type="default" r:id="rId176"/>
          <w:footerReference w:type="even" r:id="rId177"/>
          <w:footerReference w:type="default" r:id="rId178"/>
          <w:headerReference w:type="first" r:id="rId179"/>
          <w:footerReference w:type="first" r:id="rId180"/>
          <w:pgSz w:w="11906" w:h="16838"/>
          <w:pgMar w:top="1418" w:right="1418" w:bottom="1134" w:left="1418" w:header="709" w:footer="709" w:gutter="0"/>
          <w:cols w:space="708"/>
          <w:docGrid w:linePitch="360"/>
        </w:sectPr>
      </w:pPr>
    </w:p>
    <w:p w:rsidR="001B65FF" w:rsidRDefault="003E4EF4">
      <w:pPr>
        <w:jc w:val="both"/>
        <w:rPr>
          <w:rFonts w:ascii="Times New Roman" w:hAnsi="Times New Roman" w:cs="Times New Roman"/>
          <w:i/>
          <w:noProof/>
        </w:rPr>
      </w:pPr>
      <w:r>
        <w:rPr>
          <w:rFonts w:ascii="Times New Roman" w:hAnsi="Times New Roman" w:cs="Times New Roman"/>
          <w:i/>
          <w:noProof/>
        </w:rPr>
        <w:t>Figure 1: the time it takes to prepare a request for content data to service providers via public authorities in the EU</w:t>
      </w:r>
    </w:p>
    <w:p w:rsidR="001B65FF" w:rsidRDefault="003E4EF4">
      <w:pPr>
        <w:contextualSpacing/>
        <w:jc w:val="both"/>
        <w:rPr>
          <w:rFonts w:ascii="Times New Roman" w:hAnsi="Times New Roman" w:cs="Times New Roman"/>
          <w:i/>
          <w:noProof/>
        </w:rPr>
      </w:pPr>
      <w:r>
        <w:rPr>
          <w:rFonts w:ascii="Times New Roman" w:hAnsi="Times New Roman" w:cs="Times New Roman"/>
          <w:noProof/>
          <w:lang w:eastAsia="en-GB"/>
        </w:rPr>
        <w:drawing>
          <wp:inline distT="0" distB="0" distL="0" distR="0" wp14:anchorId="14E43A86" wp14:editId="12A5E4B9">
            <wp:extent cx="4304581" cy="2342563"/>
            <wp:effectExtent l="0" t="0" r="0"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Figure 3: the time it takes to prepare a request for content data to service pr</w:t>
      </w:r>
      <w:r>
        <w:rPr>
          <w:rFonts w:ascii="Times New Roman" w:hAnsi="Times New Roman" w:cs="Times New Roman"/>
          <w:i/>
          <w:noProof/>
        </w:rPr>
        <w:t>oviders via public authorities in non-EU countries</w:t>
      </w:r>
    </w:p>
    <w:p w:rsidR="001B65FF" w:rsidRDefault="003E4EF4">
      <w:pPr>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01444FF9" wp14:editId="34BCB0DD">
            <wp:extent cx="4157716" cy="2288648"/>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Figure 2: the time it takes to prepare a direct request for content data to service providers in the EU</w:t>
      </w:r>
    </w:p>
    <w:p w:rsidR="001B65FF" w:rsidRDefault="003E4EF4">
      <w:pPr>
        <w:contextualSpacing/>
        <w:jc w:val="both"/>
        <w:rPr>
          <w:rFonts w:ascii="Times New Roman" w:hAnsi="Times New Roman" w:cs="Times New Roman"/>
          <w:i/>
          <w:noProof/>
        </w:rPr>
      </w:pPr>
      <w:r>
        <w:rPr>
          <w:rFonts w:ascii="Times New Roman" w:hAnsi="Times New Roman" w:cs="Times New Roman"/>
          <w:noProof/>
          <w:lang w:eastAsia="en-GB"/>
        </w:rPr>
        <w:drawing>
          <wp:inline distT="0" distB="0" distL="0" distR="0" wp14:anchorId="45D9EAF9" wp14:editId="54182BE2">
            <wp:extent cx="4304581" cy="2342563"/>
            <wp:effectExtent l="0" t="0" r="0" b="6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 xml:space="preserve">Figure 4: the time it takes to prepare a direct request for content data to service providers in </w:t>
      </w:r>
      <w:r>
        <w:rPr>
          <w:rFonts w:ascii="Times New Roman" w:hAnsi="Times New Roman" w:cs="Times New Roman"/>
          <w:i/>
          <w:noProof/>
        </w:rPr>
        <w:t>in non-EU countries</w:t>
      </w:r>
    </w:p>
    <w:p w:rsidR="001B65FF" w:rsidRDefault="003E4EF4">
      <w:pPr>
        <w:contextualSpacing/>
        <w:jc w:val="both"/>
        <w:rPr>
          <w:rFonts w:ascii="Times New Roman" w:hAnsi="Times New Roman" w:cs="Times New Roman"/>
          <w:i/>
          <w:noProof/>
        </w:rPr>
      </w:pPr>
      <w:r>
        <w:rPr>
          <w:rFonts w:ascii="Times New Roman" w:hAnsi="Times New Roman" w:cs="Times New Roman"/>
          <w:noProof/>
          <w:lang w:eastAsia="en-GB"/>
        </w:rPr>
        <w:drawing>
          <wp:inline distT="0" distB="0" distL="0" distR="0" wp14:anchorId="3E586208" wp14:editId="5FB59A15">
            <wp:extent cx="4304581" cy="2342563"/>
            <wp:effectExtent l="0" t="0" r="0"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Figure 5: the time it takes to prepare a request for non-content data to service providers via public authorities in the EU</w:t>
      </w:r>
    </w:p>
    <w:p w:rsidR="001B65FF" w:rsidRDefault="003E4EF4">
      <w:pPr>
        <w:contextualSpacing/>
        <w:jc w:val="both"/>
        <w:rPr>
          <w:rFonts w:ascii="Times New Roman" w:hAnsi="Times New Roman" w:cs="Times New Roman"/>
          <w:i/>
          <w:noProof/>
        </w:rPr>
      </w:pPr>
      <w:r>
        <w:rPr>
          <w:rFonts w:ascii="Times New Roman" w:hAnsi="Times New Roman" w:cs="Times New Roman"/>
          <w:noProof/>
          <w:lang w:eastAsia="en-GB"/>
        </w:rPr>
        <w:drawing>
          <wp:inline distT="0" distB="0" distL="0" distR="0" wp14:anchorId="54E4F4EA" wp14:editId="6E949450">
            <wp:extent cx="4304582" cy="231188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 xml:space="preserve">Figure 7: the time it takes to prepare a request for non-content data to service providers via public </w:t>
      </w:r>
      <w:r>
        <w:rPr>
          <w:rFonts w:ascii="Times New Roman" w:hAnsi="Times New Roman" w:cs="Times New Roman"/>
          <w:i/>
          <w:noProof/>
        </w:rPr>
        <w:t>authorities in non-EU countries</w:t>
      </w:r>
    </w:p>
    <w:p w:rsidR="001B65FF" w:rsidRDefault="003E4EF4">
      <w:pPr>
        <w:contextualSpacing/>
        <w:jc w:val="both"/>
        <w:rPr>
          <w:rFonts w:ascii="Times New Roman" w:hAnsi="Times New Roman" w:cs="Times New Roman"/>
          <w:i/>
          <w:noProof/>
        </w:rPr>
      </w:pPr>
      <w:r>
        <w:rPr>
          <w:rFonts w:ascii="Times New Roman" w:hAnsi="Times New Roman" w:cs="Times New Roman"/>
          <w:noProof/>
          <w:lang w:eastAsia="en-GB"/>
        </w:rPr>
        <w:drawing>
          <wp:inline distT="0" distB="0" distL="0" distR="0" wp14:anchorId="550AC310" wp14:editId="18EA1C59">
            <wp:extent cx="4306186" cy="2402958"/>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r>
        <w:rPr>
          <w:rFonts w:ascii="Times New Roman" w:hAnsi="Times New Roman" w:cs="Times New Roman"/>
          <w:i/>
          <w:noProof/>
        </w:rPr>
        <w:t xml:space="preserve"> </w:t>
      </w:r>
    </w:p>
    <w:p w:rsidR="001B65FF" w:rsidRDefault="003E4EF4">
      <w:pPr>
        <w:jc w:val="both"/>
        <w:rPr>
          <w:rFonts w:ascii="Times New Roman" w:hAnsi="Times New Roman" w:cs="Times New Roman"/>
          <w:i/>
          <w:noProof/>
        </w:rPr>
      </w:pPr>
      <w:r>
        <w:rPr>
          <w:rFonts w:ascii="Times New Roman" w:hAnsi="Times New Roman" w:cs="Times New Roman"/>
          <w:i/>
          <w:noProof/>
        </w:rPr>
        <w:t>Figure 6: the time it takes to prepare a direct request for non-content data to service providers in the EU</w:t>
      </w:r>
    </w:p>
    <w:p w:rsidR="001B65FF" w:rsidRDefault="003E4EF4">
      <w:pPr>
        <w:jc w:val="both"/>
        <w:rPr>
          <w:rFonts w:ascii="Times New Roman" w:hAnsi="Times New Roman" w:cs="Times New Roman"/>
          <w:i/>
          <w:noProof/>
        </w:rPr>
      </w:pPr>
      <w:r>
        <w:rPr>
          <w:rFonts w:ascii="Times New Roman" w:hAnsi="Times New Roman" w:cs="Times New Roman"/>
          <w:noProof/>
          <w:lang w:eastAsia="en-GB"/>
        </w:rPr>
        <w:drawing>
          <wp:inline distT="0" distB="0" distL="0" distR="0" wp14:anchorId="684E4C82" wp14:editId="1EDA10B0">
            <wp:extent cx="4298868" cy="2256312"/>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r>
        <w:rPr>
          <w:rFonts w:ascii="Times New Roman" w:hAnsi="Times New Roman" w:cs="Times New Roman"/>
          <w:i/>
          <w:noProof/>
        </w:rPr>
        <w:t xml:space="preserve"> Figure 8: the time it takes to prepare a direct request for non-content data to service providers in in non-EU </w:t>
      </w:r>
      <w:r>
        <w:rPr>
          <w:rFonts w:ascii="Times New Roman" w:hAnsi="Times New Roman" w:cs="Times New Roman"/>
          <w:i/>
          <w:noProof/>
        </w:rPr>
        <w:t>countries</w:t>
      </w:r>
    </w:p>
    <w:p w:rsidR="001B65FF" w:rsidRDefault="003E4EF4">
      <w:pPr>
        <w:jc w:val="both"/>
        <w:rPr>
          <w:rFonts w:ascii="Times New Roman" w:hAnsi="Times New Roman" w:cs="Times New Roman"/>
          <w:i/>
          <w:noProof/>
        </w:rPr>
      </w:pPr>
      <w:r>
        <w:rPr>
          <w:rFonts w:ascii="Times New Roman" w:hAnsi="Times New Roman" w:cs="Times New Roman"/>
          <w:noProof/>
          <w:lang w:eastAsia="en-GB"/>
        </w:rPr>
        <w:drawing>
          <wp:inline distT="0" distB="0" distL="0" distR="0" wp14:anchorId="2EBEF446" wp14:editId="6EADEE14">
            <wp:extent cx="4298868" cy="246622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Figure 9: the time it takes to receive a response to a request for content data to service providers via public authorities in the EU</w:t>
      </w:r>
    </w:p>
    <w:p w:rsidR="001B65FF" w:rsidRDefault="003E4EF4">
      <w:pPr>
        <w:contextualSpacing/>
        <w:jc w:val="both"/>
        <w:rPr>
          <w:rFonts w:ascii="Times New Roman" w:hAnsi="Times New Roman" w:cs="Times New Roman"/>
          <w:i/>
          <w:noProof/>
        </w:rPr>
      </w:pPr>
      <w:r>
        <w:rPr>
          <w:rFonts w:ascii="Times New Roman" w:hAnsi="Times New Roman" w:cs="Times New Roman"/>
          <w:noProof/>
          <w:lang w:eastAsia="en-GB"/>
        </w:rPr>
        <w:drawing>
          <wp:inline distT="0" distB="0" distL="0" distR="0" wp14:anchorId="21936E80" wp14:editId="3002FA4B">
            <wp:extent cx="4461798" cy="22860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1B65FF" w:rsidRDefault="003E4EF4">
      <w:pPr>
        <w:rPr>
          <w:rFonts w:ascii="Times New Roman" w:hAnsi="Times New Roman" w:cs="Times New Roman"/>
          <w:i/>
          <w:noProof/>
        </w:rPr>
      </w:pPr>
      <w:r>
        <w:rPr>
          <w:rFonts w:ascii="Times New Roman" w:hAnsi="Times New Roman" w:cs="Times New Roman"/>
          <w:i/>
          <w:noProof/>
        </w:rPr>
        <w:t>Figure 11: the time it takes to receive a response to a request for content data to service providers via pu</w:t>
      </w:r>
      <w:r>
        <w:rPr>
          <w:rFonts w:ascii="Times New Roman" w:hAnsi="Times New Roman" w:cs="Times New Roman"/>
          <w:i/>
          <w:noProof/>
        </w:rPr>
        <w:t>blic authorities in non-EU countries</w:t>
      </w:r>
    </w:p>
    <w:p w:rsidR="001B65FF" w:rsidRDefault="003E4EF4">
      <w:pPr>
        <w:contextualSpacing/>
        <w:rPr>
          <w:rFonts w:ascii="Times New Roman" w:hAnsi="Times New Roman" w:cs="Times New Roman"/>
          <w:noProof/>
        </w:rPr>
      </w:pPr>
      <w:r>
        <w:rPr>
          <w:rFonts w:ascii="Times New Roman" w:hAnsi="Times New Roman" w:cs="Times New Roman"/>
          <w:noProof/>
          <w:lang w:eastAsia="en-GB"/>
        </w:rPr>
        <w:drawing>
          <wp:inline distT="0" distB="0" distL="0" distR="0" wp14:anchorId="7D48E842" wp14:editId="71032415">
            <wp:extent cx="4386316" cy="2286000"/>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Figure 10: the time it takes to receive a response to a direct request for content data to service providers in the EU</w:t>
      </w:r>
    </w:p>
    <w:p w:rsidR="001B65FF" w:rsidRDefault="003E4EF4">
      <w:pPr>
        <w:contextualSpacing/>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208C406D" wp14:editId="3F9066BF">
            <wp:extent cx="4461798" cy="2286000"/>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 xml:space="preserve">Figure 12: the time it takes to receive a response to a direct content data request to service </w:t>
      </w:r>
      <w:r>
        <w:rPr>
          <w:rFonts w:ascii="Times New Roman" w:hAnsi="Times New Roman" w:cs="Times New Roman"/>
          <w:i/>
          <w:noProof/>
        </w:rPr>
        <w:t>providers in non-EU countries</w:t>
      </w:r>
    </w:p>
    <w:p w:rsidR="001B65FF" w:rsidRDefault="003E4EF4">
      <w:pPr>
        <w:contextualSpacing/>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21C27C5D" wp14:editId="3D29C07F">
            <wp:extent cx="4461798" cy="2286000"/>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Figure 13: the time it takes to receive a response to a request for non-content data to service providers via public authorities in the EU</w:t>
      </w:r>
    </w:p>
    <w:p w:rsidR="001B65FF" w:rsidRDefault="003E4EF4">
      <w:pPr>
        <w:contextualSpacing/>
        <w:jc w:val="both"/>
        <w:rPr>
          <w:rFonts w:ascii="Times New Roman" w:hAnsi="Times New Roman" w:cs="Times New Roman"/>
          <w:i/>
          <w:noProof/>
        </w:rPr>
      </w:pPr>
      <w:r>
        <w:rPr>
          <w:rFonts w:ascii="Times New Roman" w:hAnsi="Times New Roman" w:cs="Times New Roman"/>
          <w:noProof/>
          <w:lang w:eastAsia="en-GB"/>
        </w:rPr>
        <w:drawing>
          <wp:inline distT="0" distB="0" distL="0" distR="0" wp14:anchorId="05CA9145" wp14:editId="4733C255">
            <wp:extent cx="4461798" cy="228600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1B65FF" w:rsidRDefault="003E4EF4">
      <w:pPr>
        <w:rPr>
          <w:rFonts w:ascii="Times New Roman" w:hAnsi="Times New Roman" w:cs="Times New Roman"/>
          <w:i/>
          <w:noProof/>
        </w:rPr>
      </w:pPr>
      <w:r>
        <w:rPr>
          <w:rFonts w:ascii="Times New Roman" w:hAnsi="Times New Roman" w:cs="Times New Roman"/>
          <w:i/>
          <w:noProof/>
        </w:rPr>
        <w:t>Figure 15: the time it takes to receive a response to a request for non-content dat</w:t>
      </w:r>
      <w:r>
        <w:rPr>
          <w:rFonts w:ascii="Times New Roman" w:hAnsi="Times New Roman" w:cs="Times New Roman"/>
          <w:i/>
          <w:noProof/>
        </w:rPr>
        <w:t>a to service providers via public authorities in non-EU countries</w:t>
      </w:r>
    </w:p>
    <w:p w:rsidR="001B65FF" w:rsidRDefault="003E4EF4">
      <w:pPr>
        <w:contextualSpacing/>
        <w:rPr>
          <w:rFonts w:ascii="Times New Roman" w:hAnsi="Times New Roman" w:cs="Times New Roman"/>
          <w:noProof/>
        </w:rPr>
      </w:pPr>
      <w:r>
        <w:rPr>
          <w:rFonts w:ascii="Times New Roman" w:hAnsi="Times New Roman" w:cs="Times New Roman"/>
          <w:noProof/>
          <w:lang w:eastAsia="en-GB"/>
        </w:rPr>
        <w:drawing>
          <wp:inline distT="0" distB="0" distL="0" distR="0" wp14:anchorId="27B30E8C" wp14:editId="1B41D845">
            <wp:extent cx="4386316" cy="228600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Figure 14: the time it takes to receive a response to a direct request for non-content data to service providers in the EU</w:t>
      </w:r>
    </w:p>
    <w:p w:rsidR="001B65FF" w:rsidRDefault="003E4EF4">
      <w:pPr>
        <w:contextualSpacing/>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48128683" wp14:editId="09BF3951">
            <wp:extent cx="4461798" cy="22860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1B65FF" w:rsidRDefault="003E4EF4">
      <w:pPr>
        <w:jc w:val="both"/>
        <w:rPr>
          <w:rFonts w:ascii="Times New Roman" w:hAnsi="Times New Roman" w:cs="Times New Roman"/>
          <w:i/>
          <w:noProof/>
        </w:rPr>
      </w:pPr>
      <w:r>
        <w:rPr>
          <w:rFonts w:ascii="Times New Roman" w:hAnsi="Times New Roman" w:cs="Times New Roman"/>
          <w:i/>
          <w:noProof/>
        </w:rPr>
        <w:t xml:space="preserve">Figure 16: the time it takes to receive a response to a direct </w:t>
      </w:r>
      <w:r>
        <w:rPr>
          <w:rFonts w:ascii="Times New Roman" w:hAnsi="Times New Roman" w:cs="Times New Roman"/>
          <w:i/>
          <w:noProof/>
        </w:rPr>
        <w:t>non-content data request to service providers in non-EU countries</w:t>
      </w:r>
    </w:p>
    <w:p w:rsidR="001B65FF" w:rsidRDefault="003E4EF4">
      <w:pPr>
        <w:contextualSpacing/>
        <w:jc w:val="both"/>
        <w:rPr>
          <w:rFonts w:ascii="Times New Roman" w:hAnsi="Times New Roman" w:cs="Times New Roman"/>
          <w:noProof/>
        </w:rPr>
      </w:pPr>
      <w:r>
        <w:rPr>
          <w:rFonts w:ascii="Times New Roman" w:hAnsi="Times New Roman" w:cs="Times New Roman"/>
          <w:noProof/>
          <w:lang w:eastAsia="en-GB"/>
        </w:rPr>
        <w:drawing>
          <wp:inline distT="0" distB="0" distL="0" distR="0" wp14:anchorId="08069738" wp14:editId="7FE3FB0F">
            <wp:extent cx="4461798" cy="2286000"/>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r>
        <w:rPr>
          <w:rFonts w:ascii="Times New Roman" w:hAnsi="Times New Roman" w:cs="Times New Roman"/>
          <w:noProof/>
        </w:rPr>
        <w:br w:type="page"/>
      </w:r>
    </w:p>
    <w:p w:rsidR="001B65FF" w:rsidRDefault="001B65FF">
      <w:pPr>
        <w:rPr>
          <w:rFonts w:ascii="Times New Roman" w:eastAsia="Times New Roman" w:hAnsi="Times New Roman" w:cs="Times New Roman"/>
          <w:i/>
          <w:noProof/>
          <w:sz w:val="24"/>
          <w:szCs w:val="20"/>
        </w:rPr>
        <w:sectPr w:rsidR="001B65FF">
          <w:headerReference w:type="even" r:id="rId197"/>
          <w:headerReference w:type="default" r:id="rId198"/>
          <w:footerReference w:type="even" r:id="rId199"/>
          <w:footerReference w:type="default" r:id="rId200"/>
          <w:headerReference w:type="first" r:id="rId201"/>
          <w:footerReference w:type="first" r:id="rId202"/>
          <w:pgSz w:w="16838" w:h="11906" w:orient="landscape"/>
          <w:pgMar w:top="1418" w:right="1418" w:bottom="1418" w:left="1134" w:header="709" w:footer="709" w:gutter="0"/>
          <w:cols w:num="2" w:space="708"/>
          <w:docGrid w:linePitch="360"/>
        </w:sectPr>
      </w:pPr>
    </w:p>
    <w:p w:rsidR="001B65FF" w:rsidRDefault="003E4EF4">
      <w:pPr>
        <w:spacing w:before="120" w:after="120"/>
        <w:jc w:val="both"/>
        <w:rPr>
          <w:rFonts w:ascii="Times New Roman" w:eastAsia="Times New Roman" w:hAnsi="Times New Roman" w:cs="Times New Roman"/>
          <w:noProof/>
          <w:sz w:val="24"/>
          <w:u w:val="single"/>
        </w:rPr>
      </w:pPr>
      <w:r>
        <w:rPr>
          <w:rFonts w:ascii="Times New Roman" w:eastAsia="Times New Roman" w:hAnsi="Times New Roman" w:cs="Times New Roman"/>
          <w:noProof/>
          <w:sz w:val="24"/>
          <w:u w:val="single"/>
        </w:rPr>
        <w:t>Data from transparency reports of selected service providers</w:t>
      </w:r>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As indicated in section 2.1.1.:</w:t>
      </w:r>
    </w:p>
    <w:p w:rsidR="001B65FF" w:rsidRDefault="003E4EF4">
      <w:pPr>
        <w:pStyle w:val="ListParagraph"/>
        <w:numPr>
          <w:ilvl w:val="0"/>
          <w:numId w:val="176"/>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Three Member States, </w:t>
      </w:r>
      <w:r>
        <w:rPr>
          <w:rFonts w:ascii="Times New Roman" w:eastAsia="Times New Roman" w:hAnsi="Times New Roman" w:cs="Times New Roman"/>
          <w:b/>
          <w:noProof/>
          <w:sz w:val="24"/>
          <w:szCs w:val="20"/>
        </w:rPr>
        <w:t>Germany, the UK and France</w:t>
      </w:r>
      <w:r>
        <w:rPr>
          <w:rFonts w:ascii="Times New Roman" w:eastAsia="Times New Roman" w:hAnsi="Times New Roman" w:cs="Times New Roman"/>
          <w:noProof/>
          <w:sz w:val="24"/>
          <w:szCs w:val="20"/>
        </w:rPr>
        <w:t xml:space="preserve">, accounted for </w:t>
      </w:r>
      <w:r>
        <w:rPr>
          <w:rFonts w:ascii="Times New Roman" w:eastAsia="Times New Roman" w:hAnsi="Times New Roman" w:cs="Times New Roman"/>
          <w:b/>
          <w:noProof/>
          <w:sz w:val="24"/>
          <w:szCs w:val="20"/>
        </w:rPr>
        <w:t>more than 75%</w:t>
      </w:r>
      <w:r>
        <w:rPr>
          <w:rFonts w:ascii="Times New Roman" w:eastAsia="Times New Roman" w:hAnsi="Times New Roman" w:cs="Times New Roman"/>
          <w:noProof/>
          <w:sz w:val="24"/>
          <w:szCs w:val="20"/>
        </w:rPr>
        <w:t xml:space="preserve"> of the total number of requests to the main service providers in the last year:</w:t>
      </w:r>
    </w:p>
    <w:p w:rsidR="001B65FF" w:rsidRDefault="001B65FF">
      <w:pPr>
        <w:keepNext/>
        <w:spacing w:after="0"/>
        <w:ind w:left="360"/>
        <w:jc w:val="center"/>
        <w:rPr>
          <w:rFonts w:ascii="Times New Roman" w:hAnsi="Times New Roman" w:cs="Times New Roman"/>
          <w:i/>
          <w:noProof/>
          <w:sz w:val="24"/>
        </w:rPr>
      </w:pPr>
    </w:p>
    <w:p w:rsidR="001B65FF" w:rsidRDefault="003E4EF4">
      <w:pPr>
        <w:keepNext/>
        <w:spacing w:after="0"/>
        <w:ind w:left="360"/>
        <w:jc w:val="center"/>
        <w:rPr>
          <w:rFonts w:ascii="Times New Roman" w:hAnsi="Times New Roman" w:cs="Times New Roman"/>
          <w:noProof/>
          <w:sz w:val="24"/>
        </w:rPr>
      </w:pPr>
      <w:r>
        <w:rPr>
          <w:rFonts w:ascii="Times New Roman" w:hAnsi="Times New Roman" w:cs="Times New Roman"/>
          <w:i/>
          <w:noProof/>
          <w:sz w:val="24"/>
        </w:rPr>
        <w:t>Figure 17</w:t>
      </w:r>
      <w:r>
        <w:rPr>
          <w:rFonts w:ascii="Times New Roman" w:eastAsia="Calibri" w:hAnsi="Times New Roman" w:cs="Times New Roman"/>
          <w:i/>
          <w:noProof/>
          <w:sz w:val="24"/>
        </w:rPr>
        <w:t>: number of requests</w:t>
      </w:r>
      <w:r>
        <w:rPr>
          <w:rFonts w:eastAsia="Calibri"/>
          <w:noProof/>
          <w:vertAlign w:val="superscript"/>
        </w:rPr>
        <w:footnoteReference w:id="290"/>
      </w:r>
      <w:r>
        <w:rPr>
          <w:rFonts w:ascii="Times New Roman" w:eastAsia="Calibri" w:hAnsi="Times New Roman" w:cs="Times New Roman"/>
          <w:i/>
          <w:noProof/>
          <w:sz w:val="24"/>
        </w:rPr>
        <w:t xml:space="preserve"> by Member State</w:t>
      </w:r>
      <w:r>
        <w:rPr>
          <w:rFonts w:eastAsia="Calibri"/>
          <w:noProof/>
          <w:vertAlign w:val="superscript"/>
        </w:rPr>
        <w:footnoteReference w:id="291"/>
      </w:r>
      <w:r>
        <w:rPr>
          <w:rFonts w:ascii="Times New Roman" w:eastAsia="Calibri" w:hAnsi="Times New Roman" w:cs="Times New Roman"/>
          <w:i/>
          <w:noProof/>
          <w:sz w:val="24"/>
        </w:rPr>
        <w:t xml:space="preserve"> (2016)</w:t>
      </w:r>
    </w:p>
    <w:p w:rsidR="001B65FF" w:rsidRDefault="003E4EF4">
      <w:pPr>
        <w:spacing w:before="120" w:after="120"/>
        <w:jc w:val="both"/>
        <w:rPr>
          <w:rFonts w:ascii="Times New Roman" w:eastAsia="Times New Roman" w:hAnsi="Times New Roman" w:cs="Times New Roman"/>
          <w:noProof/>
          <w:sz w:val="24"/>
          <w:szCs w:val="20"/>
        </w:rPr>
      </w:pPr>
      <w:r>
        <w:rPr>
          <w:rFonts w:ascii="Times New Roman" w:hAnsi="Times New Roman" w:cs="Times New Roman"/>
          <w:noProof/>
          <w:lang w:eastAsia="en-GB"/>
        </w:rPr>
        <w:drawing>
          <wp:inline distT="0" distB="0" distL="0" distR="0" wp14:anchorId="682365BC" wp14:editId="3102BDBB">
            <wp:extent cx="5759450" cy="5655991"/>
            <wp:effectExtent l="0" t="0" r="0" b="19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1B65FF" w:rsidRDefault="003E4EF4">
      <w:pPr>
        <w:pStyle w:val="ListParagraph"/>
        <w:numPr>
          <w:ilvl w:val="0"/>
          <w:numId w:val="176"/>
        </w:numPr>
        <w:jc w:val="both"/>
        <w:rPr>
          <w:rFonts w:ascii="Times New Roman" w:hAnsi="Times New Roman" w:cs="Times New Roman"/>
          <w:noProof/>
          <w:sz w:val="24"/>
        </w:rPr>
      </w:pPr>
      <w:r>
        <w:rPr>
          <w:rFonts w:ascii="Times New Roman" w:hAnsi="Times New Roman" w:cs="Times New Roman"/>
          <w:b/>
          <w:noProof/>
          <w:sz w:val="24"/>
        </w:rPr>
        <w:t>Google and Facebook</w:t>
      </w:r>
      <w:r>
        <w:rPr>
          <w:rFonts w:ascii="Times New Roman" w:hAnsi="Times New Roman" w:cs="Times New Roman"/>
          <w:noProof/>
          <w:sz w:val="24"/>
        </w:rPr>
        <w:t xml:space="preserve"> accumulated </w:t>
      </w:r>
      <w:r>
        <w:rPr>
          <w:rFonts w:ascii="Times New Roman" w:hAnsi="Times New Roman" w:cs="Times New Roman"/>
          <w:b/>
          <w:noProof/>
          <w:sz w:val="24"/>
        </w:rPr>
        <w:t>more than</w:t>
      </w:r>
      <w:r>
        <w:rPr>
          <w:rFonts w:ascii="Times New Roman" w:hAnsi="Times New Roman" w:cs="Times New Roman"/>
          <w:b/>
          <w:noProof/>
          <w:sz w:val="24"/>
        </w:rPr>
        <w:t xml:space="preserve"> 70%</w:t>
      </w:r>
      <w:r>
        <w:rPr>
          <w:rFonts w:ascii="Times New Roman" w:hAnsi="Times New Roman" w:cs="Times New Roman"/>
          <w:noProof/>
          <w:sz w:val="24"/>
        </w:rPr>
        <w:t xml:space="preserve"> of the total number of requests from Member States to the main service providers in the last year:</w:t>
      </w:r>
    </w:p>
    <w:p w:rsidR="001B65FF" w:rsidRDefault="001B65FF">
      <w:pPr>
        <w:spacing w:before="120" w:after="120"/>
        <w:ind w:left="360"/>
        <w:jc w:val="both"/>
        <w:rPr>
          <w:rFonts w:ascii="Times New Roman" w:eastAsia="Times New Roman" w:hAnsi="Times New Roman" w:cs="Times New Roman"/>
          <w:noProof/>
          <w:sz w:val="24"/>
          <w:szCs w:val="20"/>
        </w:rPr>
      </w:pPr>
    </w:p>
    <w:p w:rsidR="001B65FF" w:rsidRDefault="003E4EF4">
      <w:pPr>
        <w:spacing w:before="120" w:after="120"/>
        <w:ind w:left="360"/>
        <w:jc w:val="center"/>
        <w:rPr>
          <w:rFonts w:ascii="Times New Roman" w:eastAsia="Times New Roman" w:hAnsi="Times New Roman" w:cs="Times New Roman"/>
          <w:noProof/>
          <w:sz w:val="24"/>
          <w:szCs w:val="20"/>
        </w:rPr>
      </w:pPr>
      <w:r>
        <w:rPr>
          <w:rFonts w:ascii="Times New Roman" w:eastAsia="Times New Roman" w:hAnsi="Times New Roman" w:cs="Times New Roman"/>
          <w:i/>
          <w:noProof/>
          <w:sz w:val="24"/>
          <w:szCs w:val="20"/>
        </w:rPr>
        <w:t>Figure 18: number of requests by service provider (2016)</w:t>
      </w:r>
    </w:p>
    <w:p w:rsidR="001B65FF" w:rsidRDefault="003E4EF4">
      <w:pPr>
        <w:spacing w:before="120" w:after="120"/>
        <w:ind w:left="360"/>
        <w:jc w:val="both"/>
        <w:rPr>
          <w:rFonts w:ascii="Times New Roman" w:eastAsia="Times New Roman" w:hAnsi="Times New Roman" w:cs="Times New Roman"/>
          <w:noProof/>
          <w:sz w:val="24"/>
          <w:szCs w:val="20"/>
        </w:rPr>
      </w:pPr>
      <w:r>
        <w:rPr>
          <w:rFonts w:ascii="Times New Roman" w:hAnsi="Times New Roman" w:cs="Times New Roman"/>
          <w:noProof/>
          <w:lang w:eastAsia="en-GB"/>
        </w:rPr>
        <w:drawing>
          <wp:inline distT="0" distB="0" distL="0" distR="0" wp14:anchorId="51358001" wp14:editId="0C7C94BC">
            <wp:extent cx="5507665" cy="2169042"/>
            <wp:effectExtent l="0" t="0" r="0"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1B65FF" w:rsidRDefault="001B65FF">
      <w:pPr>
        <w:spacing w:before="120" w:after="120"/>
        <w:jc w:val="both"/>
        <w:rPr>
          <w:rFonts w:ascii="Times New Roman" w:eastAsia="Times New Roman" w:hAnsi="Times New Roman" w:cs="Times New Roman"/>
          <w:noProof/>
          <w:sz w:val="24"/>
          <w:szCs w:val="20"/>
        </w:rPr>
      </w:pPr>
    </w:p>
    <w:p w:rsidR="001B65FF" w:rsidRDefault="003E4EF4">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following tables demonstrate the </w:t>
      </w:r>
      <w:r>
        <w:rPr>
          <w:rFonts w:ascii="Times New Roman" w:eastAsia="Times New Roman" w:hAnsi="Times New Roman" w:cs="Times New Roman"/>
          <w:b/>
          <w:noProof/>
          <w:sz w:val="24"/>
          <w:szCs w:val="20"/>
        </w:rPr>
        <w:t>volume of requests</w:t>
      </w:r>
      <w:r>
        <w:rPr>
          <w:rFonts w:ascii="Times New Roman" w:eastAsia="Times New Roman" w:hAnsi="Times New Roman" w:cs="Times New Roman"/>
          <w:noProof/>
          <w:sz w:val="24"/>
          <w:szCs w:val="20"/>
        </w:rPr>
        <w:t xml:space="preserve"> for data to selected internet servi</w:t>
      </w:r>
      <w:r>
        <w:rPr>
          <w:rFonts w:ascii="Times New Roman" w:eastAsia="Times New Roman" w:hAnsi="Times New Roman" w:cs="Times New Roman"/>
          <w:noProof/>
          <w:sz w:val="24"/>
          <w:szCs w:val="20"/>
        </w:rPr>
        <w:t>ce providers by the current EU 28 Member States during the period from 2013 to 2016. The data were extracted from the respective providers' transparency registers available online</w:t>
      </w:r>
      <w:r>
        <w:rPr>
          <w:rFonts w:ascii="Times New Roman" w:hAnsi="Times New Roman" w:cs="Times New Roman"/>
          <w:noProof/>
          <w:sz w:val="24"/>
          <w:vertAlign w:val="superscript"/>
        </w:rPr>
        <w:footnoteReference w:id="292"/>
      </w:r>
      <w:r>
        <w:rPr>
          <w:rFonts w:ascii="Times New Roman" w:eastAsia="Times New Roman" w:hAnsi="Times New Roman" w:cs="Times New Roman"/>
          <w:noProof/>
          <w:sz w:val="24"/>
          <w:szCs w:val="20"/>
        </w:rPr>
        <w:t>. The requests to providers are usually divided into subcategories depending</w:t>
      </w:r>
      <w:r>
        <w:rPr>
          <w:rFonts w:ascii="Times New Roman" w:eastAsia="Times New Roman" w:hAnsi="Times New Roman" w:cs="Times New Roman"/>
          <w:noProof/>
          <w:sz w:val="24"/>
          <w:szCs w:val="20"/>
        </w:rPr>
        <w:t xml:space="preserve"> on the provider – (a) emergency disclosure requests, (b) legal requests and (c) preservation requests. Apple also reports on device-based requests which are associated with devices or device connections to Apple services and requests for information regar</w:t>
      </w:r>
      <w:r>
        <w:rPr>
          <w:rFonts w:ascii="Times New Roman" w:eastAsia="Times New Roman" w:hAnsi="Times New Roman" w:cs="Times New Roman"/>
          <w:noProof/>
          <w:sz w:val="24"/>
          <w:szCs w:val="20"/>
        </w:rPr>
        <w:t>ding financial identifier; t</w:t>
      </w:r>
      <w:r>
        <w:rPr>
          <w:rFonts w:ascii="Times New Roman" w:eastAsia="Times New Roman" w:hAnsi="Times New Roman" w:cs="Times New Roman"/>
          <w:noProof/>
          <w:sz w:val="24"/>
        </w:rPr>
        <w:t>he</w:t>
      </w:r>
      <w:r>
        <w:rPr>
          <w:rFonts w:ascii="Times New Roman" w:eastAsia="Times New Roman" w:hAnsi="Times New Roman" w:cs="Times New Roman"/>
          <w:noProof/>
          <w:sz w:val="24"/>
          <w:szCs w:val="20"/>
        </w:rPr>
        <w:t>s</w:t>
      </w:r>
      <w:r>
        <w:rPr>
          <w:rFonts w:ascii="Times New Roman" w:eastAsia="Times New Roman" w:hAnsi="Times New Roman" w:cs="Times New Roman"/>
          <w:noProof/>
          <w:sz w:val="24"/>
        </w:rPr>
        <w:t>e</w:t>
      </w:r>
      <w:r>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rPr>
        <w:t>figures comprise</w:t>
      </w:r>
      <w:r>
        <w:rPr>
          <w:rFonts w:ascii="Times New Roman" w:eastAsia="Times New Roman" w:hAnsi="Times New Roman" w:cs="Times New Roman"/>
          <w:noProof/>
          <w:sz w:val="24"/>
          <w:szCs w:val="20"/>
        </w:rPr>
        <w:t xml:space="preserve"> only account-based requests which are usually seeking details of customers using Apple's services such as iTunes or iCloud. Furthermore, some transparency reposts break down the statistics based on content </w:t>
      </w:r>
      <w:r>
        <w:rPr>
          <w:rFonts w:ascii="Times New Roman" w:eastAsia="Times New Roman" w:hAnsi="Times New Roman" w:cs="Times New Roman"/>
          <w:noProof/>
          <w:sz w:val="24"/>
          <w:szCs w:val="20"/>
        </w:rPr>
        <w:t>or non-content data request criterion.</w:t>
      </w:r>
    </w:p>
    <w:p w:rsidR="001B65FF" w:rsidRDefault="003E4EF4">
      <w:pPr>
        <w:jc w:val="both"/>
        <w:rPr>
          <w:rFonts w:ascii="Times New Roman" w:eastAsia="Times New Roman" w:hAnsi="Times New Roman" w:cs="Times New Roman"/>
          <w:noProof/>
          <w:sz w:val="24"/>
        </w:rPr>
      </w:pPr>
      <w:r>
        <w:rPr>
          <w:rFonts w:ascii="Times New Roman" w:eastAsia="Times New Roman" w:hAnsi="Times New Roman" w:cs="Times New Roman"/>
          <w:noProof/>
          <w:sz w:val="24"/>
          <w:szCs w:val="20"/>
        </w:rPr>
        <w:t xml:space="preserve">The presented figures consider primarily the </w:t>
      </w:r>
      <w:r>
        <w:rPr>
          <w:rFonts w:ascii="Times New Roman" w:eastAsia="Times New Roman" w:hAnsi="Times New Roman" w:cs="Times New Roman"/>
          <w:b/>
          <w:noProof/>
          <w:sz w:val="24"/>
          <w:szCs w:val="20"/>
        </w:rPr>
        <w:t>emergency and legal requests</w:t>
      </w:r>
      <w:r>
        <w:rPr>
          <w:rFonts w:ascii="Times New Roman" w:eastAsia="Times New Roman" w:hAnsi="Times New Roman" w:cs="Times New Roman"/>
          <w:noProof/>
          <w:sz w:val="24"/>
          <w:szCs w:val="20"/>
        </w:rPr>
        <w:t xml:space="preserve"> for data submitted by law enforcement or judicial authorities of the Member States. </w:t>
      </w:r>
      <w:r>
        <w:rPr>
          <w:rFonts w:ascii="Times New Roman" w:eastAsia="Times New Roman" w:hAnsi="Times New Roman" w:cs="Times New Roman"/>
          <w:noProof/>
          <w:sz w:val="24"/>
        </w:rPr>
        <w:t>The respective transparency reports are not always fully co</w:t>
      </w:r>
      <w:r>
        <w:rPr>
          <w:rFonts w:ascii="Times New Roman" w:eastAsia="Times New Roman" w:hAnsi="Times New Roman" w:cs="Times New Roman"/>
          <w:noProof/>
          <w:sz w:val="24"/>
        </w:rPr>
        <w:t>herent, hence</w:t>
      </w:r>
      <w:r>
        <w:rPr>
          <w:rFonts w:ascii="Times New Roman" w:eastAsia="Times New Roman" w:hAnsi="Times New Roman" w:cs="Times New Roman"/>
          <w:noProof/>
          <w:sz w:val="24"/>
          <w:szCs w:val="20"/>
        </w:rPr>
        <w:t xml:space="preserve"> minor discrepancies which might have occurred in the presented </w:t>
      </w:r>
      <w:r>
        <w:rPr>
          <w:rFonts w:ascii="Times New Roman" w:eastAsia="Times New Roman" w:hAnsi="Times New Roman" w:cs="Times New Roman"/>
          <w:noProof/>
          <w:sz w:val="24"/>
        </w:rPr>
        <w:t>figures</w:t>
      </w:r>
      <w:r>
        <w:rPr>
          <w:rFonts w:ascii="Times New Roman" w:eastAsia="Times New Roman" w:hAnsi="Times New Roman" w:cs="Times New Roman"/>
          <w:noProof/>
          <w:sz w:val="24"/>
          <w:szCs w:val="20"/>
        </w:rPr>
        <w:t xml:space="preserve"> should be taken into consideration</w:t>
      </w:r>
      <w:r>
        <w:rPr>
          <w:rFonts w:ascii="Times New Roman" w:eastAsia="Times New Roman" w:hAnsi="Times New Roman" w:cs="Times New Roman"/>
          <w:noProof/>
          <w:sz w:val="24"/>
        </w:rPr>
        <w:t xml:space="preserve">. </w:t>
      </w:r>
      <w:r>
        <w:rPr>
          <w:rFonts w:ascii="Times New Roman" w:eastAsia="Times New Roman" w:hAnsi="Times New Roman" w:cs="Times New Roman"/>
          <w:noProof/>
          <w:sz w:val="24"/>
          <w:szCs w:val="20"/>
        </w:rPr>
        <w:t>The transparency reports of Google and Apple do not differentiate between preservation requests and standard and emergency requests unt</w:t>
      </w:r>
      <w:r>
        <w:rPr>
          <w:rFonts w:ascii="Times New Roman" w:eastAsia="Times New Roman" w:hAnsi="Times New Roman" w:cs="Times New Roman"/>
          <w:noProof/>
          <w:sz w:val="24"/>
          <w:szCs w:val="20"/>
        </w:rPr>
        <w:t>il 30 June 2014 and 31 December 2014 respectively. The presented figures therefore include all requests categories for Google and Apple until these dates and exclude emergency requests to Apple from 1 January 2015 onwards. The ratio between emergency and l</w:t>
      </w:r>
      <w:r>
        <w:rPr>
          <w:rFonts w:ascii="Times New Roman" w:eastAsia="Times New Roman" w:hAnsi="Times New Roman" w:cs="Times New Roman"/>
          <w:noProof/>
          <w:sz w:val="24"/>
          <w:szCs w:val="20"/>
        </w:rPr>
        <w:t xml:space="preserve">egal requests can vary depending on the country, e.g. Twitter reports that </w:t>
      </w:r>
      <w:r>
        <w:rPr>
          <w:rFonts w:ascii="Times New Roman" w:eastAsia="Times New Roman" w:hAnsi="Times New Roman" w:cs="Times New Roman"/>
          <w:i/>
          <w:noProof/>
          <w:sz w:val="24"/>
          <w:szCs w:val="20"/>
        </w:rPr>
        <w:t>17% of total global information requests received between January 1 and June 30, 2017 were emergency disclosure requests</w:t>
      </w:r>
      <w:r>
        <w:rPr>
          <w:rFonts w:ascii="Times New Roman" w:eastAsia="Times New Roman" w:hAnsi="Times New Roman" w:cs="Times New Roman"/>
          <w:noProof/>
          <w:sz w:val="24"/>
          <w:szCs w:val="20"/>
        </w:rPr>
        <w:t xml:space="preserve">; however, it is not </w:t>
      </w:r>
      <w:r>
        <w:rPr>
          <w:rFonts w:ascii="Times New Roman" w:eastAsia="Times New Roman" w:hAnsi="Times New Roman" w:cs="Times New Roman"/>
          <w:noProof/>
          <w:sz w:val="24"/>
        </w:rPr>
        <w:t>indicated</w:t>
      </w:r>
      <w:r>
        <w:rPr>
          <w:rFonts w:ascii="Times New Roman" w:eastAsia="Times New Roman" w:hAnsi="Times New Roman" w:cs="Times New Roman"/>
          <w:noProof/>
          <w:sz w:val="24"/>
          <w:szCs w:val="20"/>
        </w:rPr>
        <w:t xml:space="preserve"> in the presented tables.</w:t>
      </w:r>
    </w:p>
    <w:p w:rsidR="001B65FF" w:rsidRDefault="003E4EF4">
      <w:pPr>
        <w:keepNext/>
        <w:jc w:val="both"/>
        <w:rPr>
          <w:rFonts w:ascii="Times New Roman" w:hAnsi="Times New Roman" w:cs="Times New Roman"/>
          <w:noProof/>
          <w:sz w:val="24"/>
        </w:rPr>
      </w:pPr>
      <w:r>
        <w:rPr>
          <w:rFonts w:ascii="Times New Roman" w:hAnsi="Times New Roman" w:cs="Times New Roman"/>
          <w:noProof/>
          <w:sz w:val="24"/>
        </w:rPr>
        <w:t xml:space="preserve">Table 4 presents the total volume of data requests submitted to the selected service providers by law enforcement authorities in Member States within the past four years and reveals its </w:t>
      </w:r>
      <w:r>
        <w:rPr>
          <w:rFonts w:ascii="Times New Roman" w:hAnsi="Times New Roman" w:cs="Times New Roman"/>
          <w:b/>
          <w:noProof/>
          <w:sz w:val="24"/>
        </w:rPr>
        <w:t>continuous increase</w:t>
      </w:r>
      <w:r>
        <w:rPr>
          <w:rFonts w:ascii="Times New Roman" w:hAnsi="Times New Roman" w:cs="Times New Roman"/>
          <w:noProof/>
          <w:sz w:val="24"/>
        </w:rPr>
        <w:t xml:space="preserve">. A single request can refer to multiple accounts, </w:t>
      </w:r>
      <w:r>
        <w:rPr>
          <w:rFonts w:ascii="Times New Roman" w:hAnsi="Times New Roman" w:cs="Times New Roman"/>
          <w:noProof/>
          <w:sz w:val="24"/>
        </w:rPr>
        <w:t>hence the accounts referenced and the number of data request is not a 1:1 ratio. Optionally, the same account may be the subject of several different requests. Moreover, the percentage of fulfilled requests does not necessary represent fully satisfied data</w:t>
      </w:r>
      <w:r>
        <w:rPr>
          <w:rFonts w:ascii="Times New Roman" w:hAnsi="Times New Roman" w:cs="Times New Roman"/>
          <w:noProof/>
          <w:sz w:val="24"/>
        </w:rPr>
        <w:t xml:space="preserve"> requests from law enforcement and judicial authorities as the providers generally report on cases when some data were produced. The actual satisfaction rate may therefore be lower. The total volume of submitted data requests is then split in categories by</w:t>
      </w:r>
      <w:r>
        <w:rPr>
          <w:rFonts w:ascii="Times New Roman" w:hAnsi="Times New Roman" w:cs="Times New Roman"/>
          <w:noProof/>
          <w:sz w:val="24"/>
        </w:rPr>
        <w:t xml:space="preserve"> the respective service providers in table 5 bellow. </w:t>
      </w:r>
    </w:p>
    <w:p w:rsidR="001B65FF" w:rsidRDefault="003E4EF4">
      <w:pPr>
        <w:keepNext/>
        <w:jc w:val="center"/>
        <w:rPr>
          <w:rFonts w:ascii="Times New Roman" w:hAnsi="Times New Roman" w:cs="Times New Roman"/>
          <w:noProof/>
          <w:sz w:val="24"/>
        </w:rPr>
      </w:pPr>
      <w:r>
        <w:rPr>
          <w:rFonts w:ascii="Times New Roman" w:hAnsi="Times New Roman" w:cs="Times New Roman"/>
          <w:i/>
          <w:noProof/>
          <w:sz w:val="24"/>
        </w:rPr>
        <w:t>Table 4</w:t>
      </w:r>
      <w:r>
        <w:rPr>
          <w:rFonts w:ascii="Times New Roman" w:eastAsia="Calibri" w:hAnsi="Times New Roman" w:cs="Times New Roman"/>
          <w:i/>
          <w:noProof/>
          <w:sz w:val="24"/>
        </w:rPr>
        <w:t>: data requests submitted, accounts referenced and percentage of requests where some date were produced (fulfilled requests)</w:t>
      </w:r>
    </w:p>
    <w:tbl>
      <w:tblPr>
        <w:tblStyle w:val="TableGrid1"/>
        <w:tblW w:w="9924" w:type="dxa"/>
        <w:tblInd w:w="-318" w:type="dxa"/>
        <w:tblLayout w:type="fixed"/>
        <w:tblLook w:val="04A0" w:firstRow="1" w:lastRow="0" w:firstColumn="1" w:lastColumn="0" w:noHBand="0" w:noVBand="1"/>
      </w:tblPr>
      <w:tblGrid>
        <w:gridCol w:w="1419"/>
        <w:gridCol w:w="1063"/>
        <w:gridCol w:w="1063"/>
        <w:gridCol w:w="1063"/>
        <w:gridCol w:w="1063"/>
        <w:gridCol w:w="1063"/>
        <w:gridCol w:w="1063"/>
        <w:gridCol w:w="1063"/>
        <w:gridCol w:w="1064"/>
      </w:tblGrid>
      <w:tr w:rsidR="001B65FF">
        <w:trPr>
          <w:trHeight w:val="296"/>
        </w:trPr>
        <w:tc>
          <w:tcPr>
            <w:tcW w:w="1419" w:type="dxa"/>
            <w:noWrap/>
            <w:vAlign w:val="center"/>
            <w:hideMark/>
          </w:tcPr>
          <w:p w:rsidR="001B65FF" w:rsidRDefault="001B65FF">
            <w:pPr>
              <w:keepNext/>
              <w:jc w:val="center"/>
              <w:rPr>
                <w:rFonts w:ascii="Times New Roman" w:hAnsi="Times New Roman" w:cs="Times New Roman"/>
                <w:b/>
                <w:noProof/>
              </w:rPr>
            </w:pP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1H 2013</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2H 2013</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1H 2014</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2H 2014</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1H 2015</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2H 2015</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1H 2016</w:t>
            </w:r>
          </w:p>
        </w:tc>
        <w:tc>
          <w:tcPr>
            <w:tcW w:w="1064"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2H 2016</w:t>
            </w:r>
          </w:p>
        </w:tc>
      </w:tr>
      <w:tr w:rsidR="001B65FF">
        <w:trPr>
          <w:trHeight w:val="296"/>
        </w:trPr>
        <w:tc>
          <w:tcPr>
            <w:tcW w:w="1419" w:type="dxa"/>
            <w:noWrap/>
            <w:vAlign w:val="center"/>
            <w:hideMark/>
          </w:tcPr>
          <w:p w:rsidR="001B65FF" w:rsidRDefault="003E4EF4">
            <w:pPr>
              <w:keepNext/>
              <w:rPr>
                <w:rFonts w:ascii="Times New Roman" w:hAnsi="Times New Roman" w:cs="Times New Roman"/>
                <w:b/>
                <w:noProof/>
              </w:rPr>
            </w:pPr>
            <w:r>
              <w:rPr>
                <w:rFonts w:ascii="Times New Roman" w:hAnsi="Times New Roman" w:cs="Times New Roman"/>
                <w:b/>
                <w:noProof/>
              </w:rPr>
              <w:t>Submitted requests</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35295</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36176</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40194</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39120</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46762</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54214</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59858</w:t>
            </w:r>
          </w:p>
        </w:tc>
        <w:tc>
          <w:tcPr>
            <w:tcW w:w="1064"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60174</w:t>
            </w:r>
          </w:p>
        </w:tc>
      </w:tr>
      <w:tr w:rsidR="001B65FF">
        <w:trPr>
          <w:trHeight w:val="296"/>
        </w:trPr>
        <w:tc>
          <w:tcPr>
            <w:tcW w:w="1419" w:type="dxa"/>
            <w:noWrap/>
            <w:vAlign w:val="center"/>
            <w:hideMark/>
          </w:tcPr>
          <w:p w:rsidR="001B65FF" w:rsidRDefault="003E4EF4">
            <w:pPr>
              <w:keepNext/>
              <w:rPr>
                <w:rFonts w:ascii="Times New Roman" w:hAnsi="Times New Roman" w:cs="Times New Roman"/>
                <w:b/>
                <w:noProof/>
              </w:rPr>
            </w:pPr>
            <w:r>
              <w:rPr>
                <w:rFonts w:ascii="Times New Roman" w:hAnsi="Times New Roman" w:cs="Times New Roman"/>
                <w:b/>
                <w:noProof/>
              </w:rPr>
              <w:t>Accounts referenced</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52408</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54532</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58639</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57278</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74503</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92349</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86417</w:t>
            </w:r>
          </w:p>
        </w:tc>
        <w:tc>
          <w:tcPr>
            <w:tcW w:w="1064"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84644</w:t>
            </w:r>
          </w:p>
        </w:tc>
      </w:tr>
      <w:tr w:rsidR="001B65FF">
        <w:trPr>
          <w:trHeight w:val="296"/>
        </w:trPr>
        <w:tc>
          <w:tcPr>
            <w:tcW w:w="1419" w:type="dxa"/>
            <w:noWrap/>
            <w:vAlign w:val="center"/>
            <w:hideMark/>
          </w:tcPr>
          <w:p w:rsidR="001B65FF" w:rsidRDefault="003E4EF4">
            <w:pPr>
              <w:keepNext/>
              <w:rPr>
                <w:rFonts w:ascii="Times New Roman" w:hAnsi="Times New Roman" w:cs="Times New Roman"/>
                <w:b/>
                <w:noProof/>
              </w:rPr>
            </w:pPr>
            <w:r>
              <w:rPr>
                <w:rFonts w:ascii="Times New Roman" w:hAnsi="Times New Roman" w:cs="Times New Roman"/>
                <w:b/>
                <w:noProof/>
              </w:rPr>
              <w:t>Fulfilled requests</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45.65%</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44.82%</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44.87%</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43.57%</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44.49%</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47.70%</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53.00%</w:t>
            </w:r>
          </w:p>
        </w:tc>
        <w:tc>
          <w:tcPr>
            <w:tcW w:w="1064"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58.15%</w:t>
            </w:r>
          </w:p>
        </w:tc>
      </w:tr>
    </w:tbl>
    <w:p w:rsidR="001B65FF" w:rsidRDefault="001B65FF">
      <w:pPr>
        <w:spacing w:after="240" w:line="240" w:lineRule="auto"/>
        <w:jc w:val="both"/>
        <w:rPr>
          <w:rFonts w:ascii="Times New Roman" w:eastAsia="Times New Roman" w:hAnsi="Times New Roman" w:cs="Times New Roman"/>
          <w:noProof/>
          <w:sz w:val="24"/>
          <w:szCs w:val="20"/>
        </w:rPr>
      </w:pPr>
    </w:p>
    <w:p w:rsidR="001B65FF" w:rsidRDefault="003E4EF4">
      <w:pPr>
        <w:keepNext/>
        <w:jc w:val="center"/>
        <w:rPr>
          <w:rFonts w:ascii="Times New Roman" w:hAnsi="Times New Roman" w:cs="Times New Roman"/>
          <w:noProof/>
          <w:sz w:val="24"/>
        </w:rPr>
      </w:pPr>
      <w:r>
        <w:rPr>
          <w:rFonts w:ascii="Times New Roman" w:hAnsi="Times New Roman" w:cs="Times New Roman"/>
          <w:i/>
          <w:noProof/>
          <w:sz w:val="24"/>
        </w:rPr>
        <w:t>Table 5</w:t>
      </w:r>
      <w:r>
        <w:rPr>
          <w:rFonts w:ascii="Times New Roman" w:eastAsia="Calibri" w:hAnsi="Times New Roman" w:cs="Times New Roman"/>
          <w:i/>
          <w:noProof/>
          <w:sz w:val="24"/>
        </w:rPr>
        <w:t xml:space="preserve">: data requests submitted to </w:t>
      </w:r>
      <w:r>
        <w:rPr>
          <w:rFonts w:ascii="Times New Roman" w:eastAsia="Calibri" w:hAnsi="Times New Roman" w:cs="Times New Roman"/>
          <w:i/>
          <w:noProof/>
          <w:sz w:val="24"/>
        </w:rPr>
        <w:t>selected providers</w:t>
      </w:r>
    </w:p>
    <w:tbl>
      <w:tblPr>
        <w:tblStyle w:val="TableGrid1"/>
        <w:tblW w:w="9924" w:type="dxa"/>
        <w:tblInd w:w="-318" w:type="dxa"/>
        <w:tblLayout w:type="fixed"/>
        <w:tblLook w:val="04A0" w:firstRow="1" w:lastRow="0" w:firstColumn="1" w:lastColumn="0" w:noHBand="0" w:noVBand="1"/>
      </w:tblPr>
      <w:tblGrid>
        <w:gridCol w:w="1419"/>
        <w:gridCol w:w="1063"/>
        <w:gridCol w:w="1063"/>
        <w:gridCol w:w="1063"/>
        <w:gridCol w:w="1063"/>
        <w:gridCol w:w="1063"/>
        <w:gridCol w:w="1063"/>
        <w:gridCol w:w="1063"/>
        <w:gridCol w:w="1064"/>
      </w:tblGrid>
      <w:tr w:rsidR="001B65FF">
        <w:trPr>
          <w:trHeight w:val="338"/>
        </w:trPr>
        <w:tc>
          <w:tcPr>
            <w:tcW w:w="1419" w:type="dxa"/>
            <w:noWrap/>
            <w:vAlign w:val="center"/>
            <w:hideMark/>
          </w:tcPr>
          <w:p w:rsidR="001B65FF" w:rsidRDefault="001B65FF">
            <w:pPr>
              <w:keepNext/>
              <w:jc w:val="center"/>
              <w:rPr>
                <w:rFonts w:ascii="Times New Roman" w:hAnsi="Times New Roman" w:cs="Times New Roman"/>
                <w:b/>
                <w:noProof/>
              </w:rPr>
            </w:pP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1H 2013</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2H 2013</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1H 2014</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2H 2014</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1H 2015</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2H 2015</w:t>
            </w:r>
          </w:p>
        </w:tc>
        <w:tc>
          <w:tcPr>
            <w:tcW w:w="1063"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1H 2016</w:t>
            </w:r>
          </w:p>
        </w:tc>
        <w:tc>
          <w:tcPr>
            <w:tcW w:w="1064" w:type="dxa"/>
            <w:noWrap/>
            <w:vAlign w:val="center"/>
            <w:hideMark/>
          </w:tcPr>
          <w:p w:rsidR="001B65FF" w:rsidRDefault="003E4EF4">
            <w:pPr>
              <w:keepNext/>
              <w:jc w:val="center"/>
              <w:rPr>
                <w:rFonts w:ascii="Times New Roman" w:hAnsi="Times New Roman" w:cs="Times New Roman"/>
                <w:b/>
                <w:noProof/>
              </w:rPr>
            </w:pPr>
            <w:r>
              <w:rPr>
                <w:rFonts w:ascii="Times New Roman" w:hAnsi="Times New Roman" w:cs="Times New Roman"/>
                <w:b/>
                <w:noProof/>
              </w:rPr>
              <w:t>2H 2016</w:t>
            </w:r>
          </w:p>
        </w:tc>
      </w:tr>
      <w:tr w:rsidR="001B65FF">
        <w:trPr>
          <w:trHeight w:val="338"/>
        </w:trPr>
        <w:tc>
          <w:tcPr>
            <w:tcW w:w="1419" w:type="dxa"/>
            <w:noWrap/>
            <w:vAlign w:val="center"/>
            <w:hideMark/>
          </w:tcPr>
          <w:p w:rsidR="001B65FF" w:rsidRDefault="003E4EF4">
            <w:pPr>
              <w:keepNext/>
              <w:rPr>
                <w:rFonts w:ascii="Times New Roman" w:hAnsi="Times New Roman" w:cs="Times New Roman"/>
                <w:b/>
                <w:noProof/>
              </w:rPr>
            </w:pPr>
            <w:r>
              <w:rPr>
                <w:rFonts w:ascii="Times New Roman" w:hAnsi="Times New Roman" w:cs="Times New Roman"/>
                <w:b/>
                <w:noProof/>
              </w:rPr>
              <w:t>Google</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8299</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9552</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11201</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11311</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14278</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18699</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20675</w:t>
            </w:r>
          </w:p>
        </w:tc>
        <w:tc>
          <w:tcPr>
            <w:tcW w:w="1064"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21881</w:t>
            </w:r>
          </w:p>
        </w:tc>
      </w:tr>
      <w:tr w:rsidR="001B65FF">
        <w:trPr>
          <w:trHeight w:val="338"/>
        </w:trPr>
        <w:tc>
          <w:tcPr>
            <w:tcW w:w="1419" w:type="dxa"/>
            <w:noWrap/>
            <w:vAlign w:val="center"/>
            <w:hideMark/>
          </w:tcPr>
          <w:p w:rsidR="001B65FF" w:rsidRDefault="003E4EF4">
            <w:pPr>
              <w:keepNext/>
              <w:rPr>
                <w:rFonts w:ascii="Times New Roman" w:hAnsi="Times New Roman" w:cs="Times New Roman"/>
                <w:b/>
                <w:noProof/>
              </w:rPr>
            </w:pPr>
            <w:r>
              <w:rPr>
                <w:rFonts w:ascii="Times New Roman" w:hAnsi="Times New Roman" w:cs="Times New Roman"/>
                <w:b/>
                <w:noProof/>
              </w:rPr>
              <w:t>Facebook</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8589</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8368</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10929</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10575</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13078</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14757</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19695</w:t>
            </w:r>
          </w:p>
        </w:tc>
        <w:tc>
          <w:tcPr>
            <w:tcW w:w="1064"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22191</w:t>
            </w:r>
          </w:p>
        </w:tc>
      </w:tr>
      <w:tr w:rsidR="001B65FF">
        <w:trPr>
          <w:trHeight w:val="338"/>
        </w:trPr>
        <w:tc>
          <w:tcPr>
            <w:tcW w:w="1419" w:type="dxa"/>
            <w:noWrap/>
            <w:vAlign w:val="center"/>
            <w:hideMark/>
          </w:tcPr>
          <w:p w:rsidR="001B65FF" w:rsidRDefault="003E4EF4">
            <w:pPr>
              <w:keepNext/>
              <w:rPr>
                <w:rFonts w:ascii="Times New Roman" w:hAnsi="Times New Roman" w:cs="Times New Roman"/>
                <w:b/>
                <w:noProof/>
              </w:rPr>
            </w:pPr>
            <w:r>
              <w:rPr>
                <w:rFonts w:ascii="Times New Roman" w:hAnsi="Times New Roman" w:cs="Times New Roman"/>
                <w:b/>
                <w:noProof/>
              </w:rPr>
              <w:t>Microsoft</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17738</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17531</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17408</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16625</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18328</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18832</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17190</w:t>
            </w:r>
          </w:p>
        </w:tc>
        <w:tc>
          <w:tcPr>
            <w:tcW w:w="1064"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13835</w:t>
            </w:r>
          </w:p>
        </w:tc>
      </w:tr>
      <w:tr w:rsidR="001B65FF">
        <w:trPr>
          <w:trHeight w:val="338"/>
        </w:trPr>
        <w:tc>
          <w:tcPr>
            <w:tcW w:w="1419" w:type="dxa"/>
            <w:noWrap/>
            <w:vAlign w:val="center"/>
            <w:hideMark/>
          </w:tcPr>
          <w:p w:rsidR="001B65FF" w:rsidRDefault="003E4EF4">
            <w:pPr>
              <w:keepNext/>
              <w:rPr>
                <w:rFonts w:ascii="Times New Roman" w:hAnsi="Times New Roman" w:cs="Times New Roman"/>
                <w:b/>
                <w:noProof/>
              </w:rPr>
            </w:pPr>
            <w:r>
              <w:rPr>
                <w:rFonts w:ascii="Times New Roman" w:hAnsi="Times New Roman" w:cs="Times New Roman"/>
                <w:b/>
                <w:noProof/>
              </w:rPr>
              <w:t>Twitter</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97</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168</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207</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276</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664</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1413</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1599</w:t>
            </w:r>
          </w:p>
        </w:tc>
        <w:tc>
          <w:tcPr>
            <w:tcW w:w="1064"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1707</w:t>
            </w:r>
          </w:p>
        </w:tc>
      </w:tr>
      <w:tr w:rsidR="001B65FF">
        <w:trPr>
          <w:trHeight w:val="338"/>
        </w:trPr>
        <w:tc>
          <w:tcPr>
            <w:tcW w:w="1419" w:type="dxa"/>
            <w:noWrap/>
            <w:vAlign w:val="center"/>
            <w:hideMark/>
          </w:tcPr>
          <w:p w:rsidR="001B65FF" w:rsidRDefault="003E4EF4">
            <w:pPr>
              <w:keepNext/>
              <w:rPr>
                <w:rFonts w:ascii="Times New Roman" w:hAnsi="Times New Roman" w:cs="Times New Roman"/>
                <w:b/>
                <w:noProof/>
              </w:rPr>
            </w:pPr>
            <w:r>
              <w:rPr>
                <w:rFonts w:ascii="Times New Roman" w:hAnsi="Times New Roman" w:cs="Times New Roman"/>
                <w:b/>
                <w:noProof/>
              </w:rPr>
              <w:t>Apple</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572</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557</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449</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333</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414</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513</w:t>
            </w:r>
          </w:p>
        </w:tc>
        <w:tc>
          <w:tcPr>
            <w:tcW w:w="1063"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699</w:t>
            </w:r>
          </w:p>
        </w:tc>
        <w:tc>
          <w:tcPr>
            <w:tcW w:w="1064" w:type="dxa"/>
            <w:noWrap/>
            <w:vAlign w:val="center"/>
            <w:hideMark/>
          </w:tcPr>
          <w:p w:rsidR="001B65FF" w:rsidRDefault="003E4EF4">
            <w:pPr>
              <w:keepNext/>
              <w:jc w:val="right"/>
              <w:rPr>
                <w:rFonts w:ascii="Times New Roman" w:hAnsi="Times New Roman" w:cs="Times New Roman"/>
                <w:noProof/>
              </w:rPr>
            </w:pPr>
            <w:r>
              <w:rPr>
                <w:rFonts w:ascii="Times New Roman" w:hAnsi="Times New Roman" w:cs="Times New Roman"/>
                <w:noProof/>
              </w:rPr>
              <w:t>560</w:t>
            </w:r>
          </w:p>
        </w:tc>
      </w:tr>
    </w:tbl>
    <w:p w:rsidR="001B65FF" w:rsidRDefault="001B65FF">
      <w:pPr>
        <w:rPr>
          <w:rFonts w:ascii="Times New Roman" w:hAnsi="Times New Roman" w:cs="Times New Roman"/>
          <w:noProof/>
        </w:rPr>
      </w:pP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following table 6 displays the distribution of the volume of submitted data requests amongst respective Member States. Three Member States, </w:t>
      </w:r>
      <w:r>
        <w:rPr>
          <w:rFonts w:ascii="Times New Roman" w:hAnsi="Times New Roman" w:cs="Times New Roman"/>
          <w:b/>
          <w:noProof/>
          <w:sz w:val="24"/>
        </w:rPr>
        <w:t>Germany, the UK and France</w:t>
      </w:r>
      <w:r>
        <w:rPr>
          <w:rFonts w:ascii="Times New Roman" w:hAnsi="Times New Roman" w:cs="Times New Roman"/>
          <w:noProof/>
          <w:sz w:val="24"/>
        </w:rPr>
        <w:t xml:space="preserve">, </w:t>
      </w:r>
      <w:r>
        <w:rPr>
          <w:rFonts w:ascii="Times New Roman" w:hAnsi="Times New Roman" w:cs="Times New Roman"/>
          <w:noProof/>
          <w:sz w:val="24"/>
        </w:rPr>
        <w:t>representing slightly over 40% of the EU population, account for three quarters of the total number of requests to the main service providers submitted by law enforcement authorities in the EU.</w:t>
      </w:r>
    </w:p>
    <w:p w:rsidR="001B65FF" w:rsidRDefault="003E4EF4">
      <w:pPr>
        <w:jc w:val="center"/>
        <w:rPr>
          <w:rFonts w:ascii="Times New Roman" w:hAnsi="Times New Roman" w:cs="Times New Roman"/>
          <w:noProof/>
          <w:sz w:val="24"/>
        </w:rPr>
      </w:pPr>
      <w:r>
        <w:rPr>
          <w:rFonts w:ascii="Times New Roman" w:hAnsi="Times New Roman" w:cs="Times New Roman"/>
          <w:i/>
          <w:noProof/>
          <w:sz w:val="24"/>
        </w:rPr>
        <w:t>Table 6</w:t>
      </w:r>
      <w:r>
        <w:rPr>
          <w:rFonts w:ascii="Times New Roman" w:eastAsia="Calibri" w:hAnsi="Times New Roman" w:cs="Times New Roman"/>
          <w:i/>
          <w:noProof/>
          <w:sz w:val="24"/>
        </w:rPr>
        <w:t>: data requests submitted by Member States</w:t>
      </w:r>
    </w:p>
    <w:tbl>
      <w:tblPr>
        <w:tblStyle w:val="TableGrid1"/>
        <w:tblW w:w="9991" w:type="dxa"/>
        <w:tblInd w:w="-318" w:type="dxa"/>
        <w:tblLook w:val="04A0" w:firstRow="1" w:lastRow="0" w:firstColumn="1" w:lastColumn="0" w:noHBand="0" w:noVBand="1"/>
      </w:tblPr>
      <w:tblGrid>
        <w:gridCol w:w="1439"/>
        <w:gridCol w:w="1069"/>
        <w:gridCol w:w="1069"/>
        <w:gridCol w:w="1069"/>
        <w:gridCol w:w="1069"/>
        <w:gridCol w:w="1069"/>
        <w:gridCol w:w="1069"/>
        <w:gridCol w:w="1069"/>
        <w:gridCol w:w="1069"/>
      </w:tblGrid>
      <w:tr w:rsidR="001B65FF">
        <w:trPr>
          <w:trHeight w:val="301"/>
        </w:trPr>
        <w:tc>
          <w:tcPr>
            <w:tcW w:w="1439" w:type="dxa"/>
            <w:noWrap/>
            <w:hideMark/>
          </w:tcPr>
          <w:p w:rsidR="001B65FF" w:rsidRDefault="001B65FF">
            <w:pPr>
              <w:rPr>
                <w:rFonts w:ascii="Times New Roman" w:hAnsi="Times New Roman" w:cs="Times New Roman"/>
                <w:b/>
                <w:noProof/>
              </w:rPr>
            </w:pPr>
          </w:p>
        </w:tc>
        <w:tc>
          <w:tcPr>
            <w:tcW w:w="1069" w:type="dxa"/>
            <w:noWrap/>
            <w:hideMark/>
          </w:tcPr>
          <w:p w:rsidR="001B65FF" w:rsidRDefault="003E4EF4">
            <w:pPr>
              <w:rPr>
                <w:rFonts w:ascii="Times New Roman" w:hAnsi="Times New Roman" w:cs="Times New Roman"/>
                <w:b/>
                <w:noProof/>
              </w:rPr>
            </w:pPr>
            <w:r>
              <w:rPr>
                <w:rFonts w:ascii="Times New Roman" w:hAnsi="Times New Roman" w:cs="Times New Roman"/>
                <w:b/>
                <w:noProof/>
              </w:rPr>
              <w:t>1H 2013</w:t>
            </w:r>
          </w:p>
        </w:tc>
        <w:tc>
          <w:tcPr>
            <w:tcW w:w="1069" w:type="dxa"/>
            <w:noWrap/>
            <w:hideMark/>
          </w:tcPr>
          <w:p w:rsidR="001B65FF" w:rsidRDefault="003E4EF4">
            <w:pPr>
              <w:rPr>
                <w:rFonts w:ascii="Times New Roman" w:hAnsi="Times New Roman" w:cs="Times New Roman"/>
                <w:b/>
                <w:noProof/>
              </w:rPr>
            </w:pPr>
            <w:r>
              <w:rPr>
                <w:rFonts w:ascii="Times New Roman" w:hAnsi="Times New Roman" w:cs="Times New Roman"/>
                <w:b/>
                <w:noProof/>
              </w:rPr>
              <w:t xml:space="preserve">2H </w:t>
            </w:r>
            <w:r>
              <w:rPr>
                <w:rFonts w:ascii="Times New Roman" w:hAnsi="Times New Roman" w:cs="Times New Roman"/>
                <w:b/>
                <w:noProof/>
              </w:rPr>
              <w:t>2013</w:t>
            </w:r>
          </w:p>
        </w:tc>
        <w:tc>
          <w:tcPr>
            <w:tcW w:w="1069" w:type="dxa"/>
            <w:noWrap/>
            <w:hideMark/>
          </w:tcPr>
          <w:p w:rsidR="001B65FF" w:rsidRDefault="003E4EF4">
            <w:pPr>
              <w:rPr>
                <w:rFonts w:ascii="Times New Roman" w:hAnsi="Times New Roman" w:cs="Times New Roman"/>
                <w:b/>
                <w:noProof/>
              </w:rPr>
            </w:pPr>
            <w:r>
              <w:rPr>
                <w:rFonts w:ascii="Times New Roman" w:hAnsi="Times New Roman" w:cs="Times New Roman"/>
                <w:b/>
                <w:noProof/>
              </w:rPr>
              <w:t>1H 2014</w:t>
            </w:r>
          </w:p>
        </w:tc>
        <w:tc>
          <w:tcPr>
            <w:tcW w:w="1069" w:type="dxa"/>
            <w:noWrap/>
            <w:hideMark/>
          </w:tcPr>
          <w:p w:rsidR="001B65FF" w:rsidRDefault="003E4EF4">
            <w:pPr>
              <w:rPr>
                <w:rFonts w:ascii="Times New Roman" w:hAnsi="Times New Roman" w:cs="Times New Roman"/>
                <w:b/>
                <w:noProof/>
              </w:rPr>
            </w:pPr>
            <w:r>
              <w:rPr>
                <w:rFonts w:ascii="Times New Roman" w:hAnsi="Times New Roman" w:cs="Times New Roman"/>
                <w:b/>
                <w:noProof/>
              </w:rPr>
              <w:t>2H 2014</w:t>
            </w:r>
          </w:p>
        </w:tc>
        <w:tc>
          <w:tcPr>
            <w:tcW w:w="1069" w:type="dxa"/>
            <w:noWrap/>
            <w:hideMark/>
          </w:tcPr>
          <w:p w:rsidR="001B65FF" w:rsidRDefault="003E4EF4">
            <w:pPr>
              <w:rPr>
                <w:rFonts w:ascii="Times New Roman" w:hAnsi="Times New Roman" w:cs="Times New Roman"/>
                <w:b/>
                <w:noProof/>
              </w:rPr>
            </w:pPr>
            <w:r>
              <w:rPr>
                <w:rFonts w:ascii="Times New Roman" w:hAnsi="Times New Roman" w:cs="Times New Roman"/>
                <w:b/>
                <w:noProof/>
              </w:rPr>
              <w:t>1H 2015</w:t>
            </w:r>
          </w:p>
        </w:tc>
        <w:tc>
          <w:tcPr>
            <w:tcW w:w="1069" w:type="dxa"/>
            <w:noWrap/>
            <w:hideMark/>
          </w:tcPr>
          <w:p w:rsidR="001B65FF" w:rsidRDefault="003E4EF4">
            <w:pPr>
              <w:rPr>
                <w:rFonts w:ascii="Times New Roman" w:hAnsi="Times New Roman" w:cs="Times New Roman"/>
                <w:b/>
                <w:noProof/>
              </w:rPr>
            </w:pPr>
            <w:r>
              <w:rPr>
                <w:rFonts w:ascii="Times New Roman" w:hAnsi="Times New Roman" w:cs="Times New Roman"/>
                <w:b/>
                <w:noProof/>
              </w:rPr>
              <w:t>2H 2015</w:t>
            </w:r>
          </w:p>
        </w:tc>
        <w:tc>
          <w:tcPr>
            <w:tcW w:w="1069" w:type="dxa"/>
            <w:noWrap/>
            <w:hideMark/>
          </w:tcPr>
          <w:p w:rsidR="001B65FF" w:rsidRDefault="003E4EF4">
            <w:pPr>
              <w:rPr>
                <w:rFonts w:ascii="Times New Roman" w:hAnsi="Times New Roman" w:cs="Times New Roman"/>
                <w:b/>
                <w:noProof/>
              </w:rPr>
            </w:pPr>
            <w:r>
              <w:rPr>
                <w:rFonts w:ascii="Times New Roman" w:hAnsi="Times New Roman" w:cs="Times New Roman"/>
                <w:b/>
                <w:noProof/>
              </w:rPr>
              <w:t>1H 2016</w:t>
            </w:r>
          </w:p>
        </w:tc>
        <w:tc>
          <w:tcPr>
            <w:tcW w:w="1069" w:type="dxa"/>
            <w:noWrap/>
            <w:hideMark/>
          </w:tcPr>
          <w:p w:rsidR="001B65FF" w:rsidRDefault="003E4EF4">
            <w:pPr>
              <w:rPr>
                <w:rFonts w:ascii="Times New Roman" w:hAnsi="Times New Roman" w:cs="Times New Roman"/>
                <w:b/>
                <w:noProof/>
              </w:rPr>
            </w:pPr>
            <w:r>
              <w:rPr>
                <w:rFonts w:ascii="Times New Roman" w:hAnsi="Times New Roman" w:cs="Times New Roman"/>
                <w:b/>
                <w:noProof/>
              </w:rPr>
              <w:t>2H 2016</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Austria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158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106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113</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Belgium</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857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701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859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940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936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1056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1088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1040</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Bulgaria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16</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Croatia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67</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Cyprus</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12</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Czechia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105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115</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Denmark</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166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213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174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165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165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142</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Estonia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52</w:t>
            </w:r>
          </w:p>
        </w:tc>
      </w:tr>
      <w:tr w:rsidR="001B65FF">
        <w:trPr>
          <w:trHeight w:val="301"/>
        </w:trPr>
        <w:tc>
          <w:tcPr>
            <w:tcW w:w="1439" w:type="dxa"/>
            <w:hideMark/>
          </w:tcPr>
          <w:p w:rsidR="001B65FF" w:rsidRDefault="003E4EF4">
            <w:pPr>
              <w:rPr>
                <w:rFonts w:ascii="Times New Roman" w:hAnsi="Times New Roman" w:cs="Times New Roman"/>
                <w:b/>
                <w:bCs/>
                <w:noProof/>
              </w:rPr>
            </w:pPr>
            <w:r>
              <w:rPr>
                <w:rFonts w:ascii="Times New Roman" w:hAnsi="Times New Roman" w:cs="Times New Roman"/>
                <w:b/>
                <w:bCs/>
                <w:noProof/>
              </w:rPr>
              <w:t>Finland</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153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125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93</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France</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8026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9214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9579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9816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10587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13932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13755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13513</w:t>
            </w:r>
          </w:p>
        </w:tc>
      </w:tr>
      <w:tr w:rsidR="001B65FF">
        <w:trPr>
          <w:trHeight w:val="301"/>
        </w:trPr>
        <w:tc>
          <w:tcPr>
            <w:tcW w:w="1439" w:type="dxa"/>
            <w:hideMark/>
          </w:tcPr>
          <w:p w:rsidR="001B65FF" w:rsidRDefault="003E4EF4">
            <w:pPr>
              <w:rPr>
                <w:rFonts w:ascii="Times New Roman" w:hAnsi="Times New Roman" w:cs="Times New Roman"/>
                <w:b/>
                <w:bCs/>
                <w:noProof/>
              </w:rPr>
            </w:pPr>
            <w:r>
              <w:rPr>
                <w:rFonts w:ascii="Times New Roman" w:hAnsi="Times New Roman" w:cs="Times New Roman"/>
                <w:b/>
                <w:bCs/>
                <w:noProof/>
              </w:rPr>
              <w:t>Germany</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9481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9701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11194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9539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10760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14856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16964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18307</w:t>
            </w:r>
          </w:p>
        </w:tc>
      </w:tr>
      <w:tr w:rsidR="001B65FF">
        <w:trPr>
          <w:trHeight w:val="301"/>
        </w:trPr>
        <w:tc>
          <w:tcPr>
            <w:tcW w:w="1439" w:type="dxa"/>
            <w:hideMark/>
          </w:tcPr>
          <w:p w:rsidR="001B65FF" w:rsidRDefault="003E4EF4">
            <w:pPr>
              <w:rPr>
                <w:rFonts w:ascii="Times New Roman" w:hAnsi="Times New Roman" w:cs="Times New Roman"/>
                <w:b/>
                <w:bCs/>
                <w:noProof/>
              </w:rPr>
            </w:pPr>
            <w:r>
              <w:rPr>
                <w:rFonts w:ascii="Times New Roman" w:hAnsi="Times New Roman" w:cs="Times New Roman"/>
                <w:b/>
                <w:bCs/>
                <w:noProof/>
              </w:rPr>
              <w:t>Greece</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170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160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241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234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388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380</w:t>
            </w:r>
          </w:p>
        </w:tc>
      </w:tr>
      <w:tr w:rsidR="001B65FF">
        <w:trPr>
          <w:trHeight w:val="301"/>
        </w:trPr>
        <w:tc>
          <w:tcPr>
            <w:tcW w:w="1439" w:type="dxa"/>
            <w:hideMark/>
          </w:tcPr>
          <w:p w:rsidR="001B65FF" w:rsidRDefault="003E4EF4">
            <w:pPr>
              <w:rPr>
                <w:rFonts w:ascii="Times New Roman" w:hAnsi="Times New Roman" w:cs="Times New Roman"/>
                <w:b/>
                <w:bCs/>
                <w:noProof/>
              </w:rPr>
            </w:pPr>
            <w:r>
              <w:rPr>
                <w:rFonts w:ascii="Times New Roman" w:hAnsi="Times New Roman" w:cs="Times New Roman"/>
                <w:b/>
                <w:bCs/>
                <w:noProof/>
              </w:rPr>
              <w:t>Hungary</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181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136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132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206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306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275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401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290</w:t>
            </w:r>
          </w:p>
        </w:tc>
      </w:tr>
      <w:tr w:rsidR="001B65FF">
        <w:trPr>
          <w:trHeight w:val="301"/>
        </w:trPr>
        <w:tc>
          <w:tcPr>
            <w:tcW w:w="1439" w:type="dxa"/>
            <w:hideMark/>
          </w:tcPr>
          <w:p w:rsidR="001B65FF" w:rsidRDefault="003E4EF4">
            <w:pPr>
              <w:rPr>
                <w:rFonts w:ascii="Times New Roman" w:hAnsi="Times New Roman" w:cs="Times New Roman"/>
                <w:b/>
                <w:bCs/>
                <w:noProof/>
              </w:rPr>
            </w:pPr>
            <w:r>
              <w:rPr>
                <w:rFonts w:ascii="Times New Roman" w:hAnsi="Times New Roman" w:cs="Times New Roman"/>
                <w:b/>
                <w:bCs/>
                <w:noProof/>
              </w:rPr>
              <w:t>Ireland</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151</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Italy</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3540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3587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4019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3467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3857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3060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3771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3574</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Latvia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Lithuania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76</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Luxembourg</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73</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Malta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156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167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201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331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270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249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255</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Netherlands</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474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429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477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606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693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902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1121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1364</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Poland</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785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775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938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808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1196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1180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1588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1627</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Portugal</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774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804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1203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1002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1654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1585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2046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1778</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Romania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62</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Slovakia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89</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Slovenia</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30</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Spain</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2168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1768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2092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1941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2051</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1809</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2366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2168</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Sweden</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378</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356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576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465</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540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500</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587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590</w:t>
            </w:r>
          </w:p>
        </w:tc>
      </w:tr>
      <w:tr w:rsidR="001B65FF">
        <w:trPr>
          <w:trHeight w:val="301"/>
        </w:trPr>
        <w:tc>
          <w:tcPr>
            <w:tcW w:w="1439" w:type="dxa"/>
            <w:noWrap/>
            <w:hideMark/>
          </w:tcPr>
          <w:p w:rsidR="001B65FF" w:rsidRDefault="003E4EF4">
            <w:pPr>
              <w:rPr>
                <w:rFonts w:ascii="Times New Roman" w:hAnsi="Times New Roman" w:cs="Times New Roman"/>
                <w:b/>
                <w:bCs/>
                <w:noProof/>
              </w:rPr>
            </w:pPr>
            <w:r>
              <w:rPr>
                <w:rFonts w:ascii="Times New Roman" w:hAnsi="Times New Roman" w:cs="Times New Roman"/>
                <w:b/>
                <w:bCs/>
                <w:noProof/>
              </w:rPr>
              <w:t>United Kingdom</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7806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7723</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7992</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9207</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12716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13576</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14404</w:t>
            </w:r>
          </w:p>
        </w:tc>
        <w:tc>
          <w:tcPr>
            <w:tcW w:w="1069" w:type="dxa"/>
            <w:noWrap/>
            <w:vAlign w:val="center"/>
            <w:hideMark/>
          </w:tcPr>
          <w:p w:rsidR="001B65FF" w:rsidRDefault="003E4EF4">
            <w:pPr>
              <w:jc w:val="right"/>
              <w:rPr>
                <w:rFonts w:ascii="Times New Roman" w:hAnsi="Times New Roman" w:cs="Times New Roman"/>
                <w:noProof/>
              </w:rPr>
            </w:pPr>
            <w:r>
              <w:rPr>
                <w:rFonts w:ascii="Times New Roman" w:hAnsi="Times New Roman" w:cs="Times New Roman"/>
                <w:noProof/>
              </w:rPr>
              <w:t>14194</w:t>
            </w:r>
          </w:p>
        </w:tc>
      </w:tr>
    </w:tbl>
    <w:p w:rsidR="001B65FF" w:rsidRDefault="001B65FF">
      <w:pPr>
        <w:rPr>
          <w:rFonts w:ascii="Times New Roman" w:hAnsi="Times New Roman" w:cs="Times New Roman"/>
          <w:noProof/>
        </w:rPr>
      </w:pPr>
    </w:p>
    <w:p w:rsidR="001B65FF" w:rsidRDefault="003E4EF4">
      <w:pPr>
        <w:jc w:val="both"/>
        <w:rPr>
          <w:rFonts w:ascii="Times New Roman" w:hAnsi="Times New Roman" w:cs="Times New Roman"/>
          <w:noProof/>
          <w:sz w:val="24"/>
        </w:rPr>
      </w:pPr>
      <w:r>
        <w:rPr>
          <w:rFonts w:ascii="Times New Roman" w:hAnsi="Times New Roman" w:cs="Times New Roman"/>
          <w:noProof/>
          <w:sz w:val="24"/>
        </w:rPr>
        <w:t xml:space="preserve">The tables 7, 8, 9, 10, 11, 12, 13 and 14 present detailed information on the total volume of data requests to the </w:t>
      </w:r>
      <w:r>
        <w:rPr>
          <w:rFonts w:ascii="Times New Roman" w:hAnsi="Times New Roman" w:cs="Times New Roman"/>
          <w:noProof/>
          <w:sz w:val="24"/>
        </w:rPr>
        <w:t>selected providers, number of the accounts referenced and the rate of requests which have been fulfilled.</w:t>
      </w:r>
    </w:p>
    <w:p w:rsidR="001B65FF" w:rsidRDefault="001B65FF">
      <w:pPr>
        <w:jc w:val="both"/>
        <w:rPr>
          <w:rFonts w:ascii="Times New Roman" w:hAnsi="Times New Roman" w:cs="Times New Roman"/>
          <w:noProof/>
          <w:sz w:val="24"/>
        </w:rPr>
        <w:sectPr w:rsidR="001B65FF">
          <w:headerReference w:type="even" r:id="rId205"/>
          <w:headerReference w:type="default" r:id="rId206"/>
          <w:footerReference w:type="even" r:id="rId207"/>
          <w:footerReference w:type="default" r:id="rId208"/>
          <w:headerReference w:type="first" r:id="rId209"/>
          <w:footerReference w:type="first" r:id="rId210"/>
          <w:pgSz w:w="11906" w:h="16838"/>
          <w:pgMar w:top="1418" w:right="1418" w:bottom="1134" w:left="1418" w:header="709" w:footer="709" w:gutter="0"/>
          <w:cols w:space="708"/>
          <w:docGrid w:linePitch="360"/>
        </w:sectPr>
      </w:pPr>
    </w:p>
    <w:p w:rsidR="001B65FF" w:rsidRDefault="003E4EF4">
      <w:pPr>
        <w:contextualSpacing/>
        <w:jc w:val="center"/>
        <w:rPr>
          <w:rFonts w:ascii="Times New Roman" w:hAnsi="Times New Roman" w:cs="Times New Roman"/>
          <w:noProof/>
          <w:sz w:val="24"/>
        </w:rPr>
      </w:pPr>
      <w:r>
        <w:rPr>
          <w:rFonts w:ascii="Times New Roman" w:hAnsi="Times New Roman" w:cs="Times New Roman"/>
          <w:i/>
          <w:noProof/>
          <w:sz w:val="24"/>
        </w:rPr>
        <w:t>Table 7</w:t>
      </w:r>
      <w:r>
        <w:rPr>
          <w:rFonts w:ascii="Times New Roman" w:eastAsia="Calibri" w:hAnsi="Times New Roman" w:cs="Times New Roman"/>
          <w:i/>
          <w:noProof/>
          <w:sz w:val="24"/>
        </w:rPr>
        <w:t xml:space="preserve">: data requests submitted by Member States 1.7.2016 – </w:t>
      </w:r>
      <w:r>
        <w:rPr>
          <w:rFonts w:ascii="Times New Roman" w:eastAsia="Calibri" w:hAnsi="Times New Roman" w:cs="Times New Roman"/>
          <w:i/>
          <w:noProof/>
          <w:sz w:val="24"/>
        </w:rPr>
        <w:t>31.12.2016</w:t>
      </w:r>
    </w:p>
    <w:tbl>
      <w:tblPr>
        <w:tblStyle w:val="TableGrid1"/>
        <w:tblW w:w="0" w:type="auto"/>
        <w:tblLayout w:type="fixed"/>
        <w:tblLook w:val="04A0" w:firstRow="1" w:lastRow="0" w:firstColumn="1" w:lastColumn="0" w:noHBand="0" w:noVBand="1"/>
      </w:tblPr>
      <w:tblGrid>
        <w:gridCol w:w="1526"/>
        <w:gridCol w:w="865"/>
        <w:gridCol w:w="865"/>
        <w:gridCol w:w="865"/>
        <w:gridCol w:w="865"/>
        <w:gridCol w:w="865"/>
        <w:gridCol w:w="865"/>
        <w:gridCol w:w="865"/>
        <w:gridCol w:w="865"/>
        <w:gridCol w:w="865"/>
        <w:gridCol w:w="865"/>
        <w:gridCol w:w="865"/>
        <w:gridCol w:w="865"/>
        <w:gridCol w:w="865"/>
        <w:gridCol w:w="865"/>
        <w:gridCol w:w="866"/>
      </w:tblGrid>
      <w:tr w:rsidR="001B65FF">
        <w:trPr>
          <w:cantSplit/>
          <w:trHeight w:val="224"/>
        </w:trPr>
        <w:tc>
          <w:tcPr>
            <w:tcW w:w="1526" w:type="dxa"/>
            <w:vMerge w:val="restart"/>
            <w:noWrap/>
            <w:vAlign w:val="center"/>
            <w:hideMark/>
          </w:tcPr>
          <w:p w:rsidR="001B65FF" w:rsidRDefault="001B65FF">
            <w:pPr>
              <w:jc w:val="center"/>
              <w:rPr>
                <w:rFonts w:ascii="Times New Roman" w:hAnsi="Times New Roman" w:cs="Times New Roman"/>
                <w:b/>
                <w:noProof/>
                <w:sz w:val="18"/>
              </w:rPr>
            </w:pP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Facebook</w:t>
            </w: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Google</w:t>
            </w: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Microsoft</w:t>
            </w: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Twitter</w:t>
            </w:r>
          </w:p>
        </w:tc>
        <w:tc>
          <w:tcPr>
            <w:tcW w:w="2596"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Apple</w:t>
            </w:r>
          </w:p>
        </w:tc>
      </w:tr>
      <w:tr w:rsidR="001B65FF">
        <w:trPr>
          <w:cantSplit/>
          <w:trHeight w:val="1128"/>
        </w:trPr>
        <w:tc>
          <w:tcPr>
            <w:tcW w:w="1526" w:type="dxa"/>
            <w:vMerge/>
            <w:noWrap/>
            <w:textDirection w:val="btLr"/>
            <w:vAlign w:val="center"/>
            <w:hideMark/>
          </w:tcPr>
          <w:p w:rsidR="001B65FF" w:rsidRDefault="001B65FF">
            <w:pPr>
              <w:ind w:left="113" w:right="113"/>
              <w:rPr>
                <w:rFonts w:ascii="Times New Roman" w:hAnsi="Times New Roman" w:cs="Times New Roman"/>
                <w:b/>
                <w:noProof/>
                <w:sz w:val="18"/>
              </w:rPr>
            </w:pP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 xml:space="preserve">Fulfilled requests </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6"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Austria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40.43%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83.33%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Belgium</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85.46%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78.71%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Bulgaria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64.29%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Croatia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95.45%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Cyprus</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36.36%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Czechia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77.05%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Denmark</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44.83%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66.04%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Estonia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82.35%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Finland</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82.35%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72.22%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France</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4478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5195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68.38%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4775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5738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3716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4918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56.54%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Germany</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4422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5631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54.03%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9925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13320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3546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6254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69.51%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268</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Greece</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67.27%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Hungary</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53.49%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51.79%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Ireland</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79.75%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56.25%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Italy</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1876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3230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60.07%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1034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1486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913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52.44%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89.00%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Latvia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Lithuania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84.62%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Luxembourg</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77.46%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0.5</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Malta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72.83%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73.33%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Netherlands</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1204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93.02%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78.38%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Poland</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1060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1209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49.25%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499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50.82%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Portugal</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52.71%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66.90%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Romania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58.62%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Slovakia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83.33%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71.43%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Slovenia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69.23%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Spain</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1363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55.46%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966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67.51%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55.00%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Sweden</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89.10%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81.20%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United Kingdom</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6366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7952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88.69%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3177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5414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3846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6545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73.19%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77.00%</w:t>
            </w:r>
          </w:p>
        </w:tc>
      </w:tr>
      <w:tr w:rsidR="001B65FF">
        <w:trPr>
          <w:cantSplit/>
          <w:trHeight w:val="224"/>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EU total</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22191</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29462</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68.79%</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21881</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29995</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35.06%</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13835</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22146</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65.46%</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1707</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2323</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50.00%</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560</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718</w:t>
            </w:r>
          </w:p>
        </w:tc>
        <w:tc>
          <w:tcPr>
            <w:tcW w:w="866"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71.45%</w:t>
            </w:r>
          </w:p>
        </w:tc>
      </w:tr>
    </w:tbl>
    <w:p w:rsidR="001B65FF" w:rsidRDefault="003E4EF4">
      <w:pPr>
        <w:contextualSpacing/>
        <w:jc w:val="center"/>
        <w:rPr>
          <w:rFonts w:ascii="Times New Roman" w:hAnsi="Times New Roman" w:cs="Times New Roman"/>
          <w:noProof/>
          <w:sz w:val="24"/>
        </w:rPr>
      </w:pPr>
      <w:r>
        <w:rPr>
          <w:rFonts w:ascii="Times New Roman" w:hAnsi="Times New Roman" w:cs="Times New Roman"/>
          <w:i/>
          <w:noProof/>
          <w:sz w:val="24"/>
        </w:rPr>
        <w:t>Table 8</w:t>
      </w:r>
      <w:r>
        <w:rPr>
          <w:rFonts w:ascii="Times New Roman" w:eastAsia="Calibri" w:hAnsi="Times New Roman" w:cs="Times New Roman"/>
          <w:i/>
          <w:noProof/>
          <w:sz w:val="24"/>
        </w:rPr>
        <w:t>: data requests submitted by Member States 1.1.2016 – 30.6.2016</w:t>
      </w:r>
    </w:p>
    <w:tbl>
      <w:tblPr>
        <w:tblStyle w:val="TableGrid1"/>
        <w:tblW w:w="14535" w:type="dxa"/>
        <w:tblLayout w:type="fixed"/>
        <w:tblLook w:val="04A0" w:firstRow="1" w:lastRow="0" w:firstColumn="1" w:lastColumn="0" w:noHBand="0" w:noVBand="1"/>
      </w:tblPr>
      <w:tblGrid>
        <w:gridCol w:w="1529"/>
        <w:gridCol w:w="867"/>
        <w:gridCol w:w="867"/>
        <w:gridCol w:w="867"/>
        <w:gridCol w:w="867"/>
        <w:gridCol w:w="867"/>
        <w:gridCol w:w="867"/>
        <w:gridCol w:w="867"/>
        <w:gridCol w:w="867"/>
        <w:gridCol w:w="867"/>
        <w:gridCol w:w="867"/>
        <w:gridCol w:w="867"/>
        <w:gridCol w:w="867"/>
        <w:gridCol w:w="867"/>
        <w:gridCol w:w="867"/>
        <w:gridCol w:w="868"/>
      </w:tblGrid>
      <w:tr w:rsidR="001B65FF">
        <w:trPr>
          <w:cantSplit/>
          <w:trHeight w:val="212"/>
        </w:trPr>
        <w:tc>
          <w:tcPr>
            <w:tcW w:w="1529" w:type="dxa"/>
            <w:vMerge w:val="restart"/>
            <w:noWrap/>
            <w:vAlign w:val="center"/>
            <w:hideMark/>
          </w:tcPr>
          <w:p w:rsidR="001B65FF" w:rsidRDefault="001B65FF">
            <w:pPr>
              <w:jc w:val="center"/>
              <w:rPr>
                <w:rFonts w:ascii="Times New Roman" w:hAnsi="Times New Roman" w:cs="Times New Roman"/>
                <w:b/>
                <w:noProof/>
                <w:sz w:val="18"/>
              </w:rPr>
            </w:pP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Facebook</w:t>
            </w: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Google</w:t>
            </w: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Microsoft</w:t>
            </w: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Twitter</w:t>
            </w:r>
          </w:p>
        </w:tc>
        <w:tc>
          <w:tcPr>
            <w:tcW w:w="2602"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Apple</w:t>
            </w:r>
          </w:p>
        </w:tc>
      </w:tr>
      <w:tr w:rsidR="001B65FF">
        <w:trPr>
          <w:cantSplit/>
          <w:trHeight w:val="1071"/>
        </w:trPr>
        <w:tc>
          <w:tcPr>
            <w:tcW w:w="1529" w:type="dxa"/>
            <w:vMerge/>
            <w:noWrap/>
            <w:textDirection w:val="btLr"/>
            <w:vAlign w:val="center"/>
            <w:hideMark/>
          </w:tcPr>
          <w:p w:rsidR="001B65FF" w:rsidRDefault="001B65FF">
            <w:pPr>
              <w:ind w:left="113" w:right="113"/>
              <w:rPr>
                <w:rFonts w:ascii="Times New Roman" w:hAnsi="Times New Roman" w:cs="Times New Roman"/>
                <w:b/>
                <w:noProof/>
                <w:sz w:val="18"/>
              </w:rPr>
            </w:pP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 xml:space="preserve">Fulfilled </w:t>
            </w:r>
            <w:r>
              <w:rPr>
                <w:rFonts w:ascii="Times New Roman" w:hAnsi="Times New Roman" w:cs="Times New Roman"/>
                <w:b/>
                <w:noProof/>
                <w:sz w:val="18"/>
              </w:rPr>
              <w:t>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Austria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37.93%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71.50%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Belgium</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420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674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86.43%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248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326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351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453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78.71%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88.00%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Bulgaria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Croatia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93.62%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Cyprus</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Czechia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78.18%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76.00%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Denmark</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47.05%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131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66.04%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75.00%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Estonia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62.50%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29.50%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Finland</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78.95%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37.00%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302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72.22%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France</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3763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4045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59.77%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4300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5185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48.00%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5045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7068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56.54%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572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687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76.00%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117</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47.00%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Germany</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3695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4599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47.52%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8788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13425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4167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7307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69.51%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165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58.00%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203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244</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52.00%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Greece</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326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398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72.08%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62.50%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33.00%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Hungary</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186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230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46.78%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166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218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194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51.79%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Ireland</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65.17%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51.04%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75.00%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Italy</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1913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2877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56.40%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1092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1469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35.50%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663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1247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52.44%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47.00%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54</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38.00%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Latvia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25.00%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Lithuania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Luxembourg</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494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78.81%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29.00%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Malta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146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169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78.08%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73.33%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Netherlands</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758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87.11%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268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280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67.00%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385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441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78.38%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38.00%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Poland</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991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1032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44.61%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497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891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41.50%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249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50.82%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Portugal</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848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48.67%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731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860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31.50%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522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595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66.90%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Romania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48.00%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23.50%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40.00%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Slovakia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66.67%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71.43%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Slovenia</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64.29%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25.00%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Spain</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811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1194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52.28%</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776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1046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73.50%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623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946</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67.51%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295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57.00%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49.00%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Sweden</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303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441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88.44%</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78.50%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185</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257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81.20%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57.00%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80.00%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United Kingdom</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5469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7199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86.63%</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3302</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5219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76.00%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4731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8249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73.19%</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631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1071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76.00%</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271</w:t>
            </w:r>
          </w:p>
        </w:tc>
        <w:tc>
          <w:tcPr>
            <w:tcW w:w="867"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310</w:t>
            </w:r>
          </w:p>
        </w:tc>
        <w:tc>
          <w:tcPr>
            <w:tcW w:w="868"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67.00%</w:t>
            </w:r>
          </w:p>
        </w:tc>
      </w:tr>
      <w:tr w:rsidR="001B65FF">
        <w:trPr>
          <w:cantSplit/>
          <w:trHeight w:val="212"/>
        </w:trPr>
        <w:tc>
          <w:tcPr>
            <w:tcW w:w="1529"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EU total</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19695</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25038</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63.97%</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20675</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29703</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40.56%</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17190</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28345</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56.48%</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1599</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2433</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41.05%</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699</w:t>
            </w:r>
          </w:p>
        </w:tc>
        <w:tc>
          <w:tcPr>
            <w:tcW w:w="867"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898</w:t>
            </w:r>
          </w:p>
        </w:tc>
        <w:tc>
          <w:tcPr>
            <w:tcW w:w="868"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62.95%</w:t>
            </w:r>
          </w:p>
        </w:tc>
      </w:tr>
    </w:tbl>
    <w:p w:rsidR="001B65FF" w:rsidRDefault="001B65FF">
      <w:pPr>
        <w:contextualSpacing/>
        <w:jc w:val="center"/>
        <w:rPr>
          <w:rFonts w:ascii="Times New Roman" w:hAnsi="Times New Roman" w:cs="Times New Roman"/>
          <w:i/>
          <w:noProof/>
          <w:sz w:val="24"/>
        </w:rPr>
      </w:pPr>
    </w:p>
    <w:p w:rsidR="001B65FF" w:rsidRDefault="003E4EF4">
      <w:pPr>
        <w:contextualSpacing/>
        <w:jc w:val="center"/>
        <w:rPr>
          <w:rFonts w:ascii="Times New Roman" w:eastAsia="Calibri" w:hAnsi="Times New Roman" w:cs="Times New Roman"/>
          <w:i/>
          <w:noProof/>
          <w:sz w:val="24"/>
        </w:rPr>
      </w:pPr>
      <w:r>
        <w:rPr>
          <w:rFonts w:ascii="Times New Roman" w:hAnsi="Times New Roman" w:cs="Times New Roman"/>
          <w:i/>
          <w:noProof/>
          <w:sz w:val="24"/>
        </w:rPr>
        <w:t>Table 9</w:t>
      </w:r>
      <w:r>
        <w:rPr>
          <w:rFonts w:ascii="Times New Roman" w:eastAsia="Calibri" w:hAnsi="Times New Roman" w:cs="Times New Roman"/>
          <w:i/>
          <w:noProof/>
          <w:sz w:val="24"/>
        </w:rPr>
        <w:t>: data requests submitted by Member States 1.7.2015 – 31.12.2015</w:t>
      </w:r>
    </w:p>
    <w:tbl>
      <w:tblPr>
        <w:tblStyle w:val="TableGrid1"/>
        <w:tblW w:w="14552" w:type="dxa"/>
        <w:tblLayout w:type="fixed"/>
        <w:tblLook w:val="04A0" w:firstRow="1" w:lastRow="0" w:firstColumn="1" w:lastColumn="0" w:noHBand="0" w:noVBand="1"/>
      </w:tblPr>
      <w:tblGrid>
        <w:gridCol w:w="1531"/>
        <w:gridCol w:w="868"/>
        <w:gridCol w:w="868"/>
        <w:gridCol w:w="868"/>
        <w:gridCol w:w="868"/>
        <w:gridCol w:w="868"/>
        <w:gridCol w:w="868"/>
        <w:gridCol w:w="868"/>
        <w:gridCol w:w="868"/>
        <w:gridCol w:w="868"/>
        <w:gridCol w:w="868"/>
        <w:gridCol w:w="868"/>
        <w:gridCol w:w="868"/>
        <w:gridCol w:w="868"/>
        <w:gridCol w:w="868"/>
        <w:gridCol w:w="869"/>
      </w:tblGrid>
      <w:tr w:rsidR="001B65FF">
        <w:trPr>
          <w:cantSplit/>
          <w:trHeight w:val="224"/>
        </w:trPr>
        <w:tc>
          <w:tcPr>
            <w:tcW w:w="1531" w:type="dxa"/>
            <w:vMerge w:val="restart"/>
            <w:noWrap/>
            <w:vAlign w:val="center"/>
            <w:hideMark/>
          </w:tcPr>
          <w:p w:rsidR="001B65FF" w:rsidRDefault="001B65FF">
            <w:pPr>
              <w:jc w:val="center"/>
              <w:rPr>
                <w:rFonts w:ascii="Times New Roman" w:hAnsi="Times New Roman" w:cs="Times New Roman"/>
                <w:b/>
                <w:noProof/>
                <w:sz w:val="18"/>
              </w:rPr>
            </w:pPr>
          </w:p>
        </w:tc>
        <w:tc>
          <w:tcPr>
            <w:tcW w:w="2604"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Facebook</w:t>
            </w:r>
          </w:p>
        </w:tc>
        <w:tc>
          <w:tcPr>
            <w:tcW w:w="2604"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Google</w:t>
            </w:r>
          </w:p>
        </w:tc>
        <w:tc>
          <w:tcPr>
            <w:tcW w:w="2604"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Microsoft</w:t>
            </w:r>
          </w:p>
        </w:tc>
        <w:tc>
          <w:tcPr>
            <w:tcW w:w="2604"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Twitter</w:t>
            </w:r>
          </w:p>
        </w:tc>
        <w:tc>
          <w:tcPr>
            <w:tcW w:w="260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Apple</w:t>
            </w:r>
          </w:p>
        </w:tc>
      </w:tr>
      <w:tr w:rsidR="001B65FF">
        <w:trPr>
          <w:cantSplit/>
          <w:trHeight w:val="1128"/>
        </w:trPr>
        <w:tc>
          <w:tcPr>
            <w:tcW w:w="1531" w:type="dxa"/>
            <w:vMerge/>
            <w:noWrap/>
            <w:textDirection w:val="btLr"/>
            <w:vAlign w:val="center"/>
            <w:hideMark/>
          </w:tcPr>
          <w:p w:rsidR="001B65FF" w:rsidRDefault="001B65FF">
            <w:pPr>
              <w:ind w:left="113" w:right="113"/>
              <w:rPr>
                <w:rFonts w:ascii="Times New Roman" w:hAnsi="Times New Roman" w:cs="Times New Roman"/>
                <w:b/>
                <w:noProof/>
                <w:sz w:val="18"/>
              </w:rPr>
            </w:pP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 xml:space="preserve">Fulfilled </w:t>
            </w:r>
            <w:r>
              <w:rPr>
                <w:rFonts w:ascii="Times New Roman" w:hAnsi="Times New Roman" w:cs="Times New Roman"/>
                <w:b/>
                <w:noProof/>
                <w:sz w:val="18"/>
              </w:rPr>
              <w:t>requests</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9"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Austria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33.33%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41.94%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Belgium</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77.24%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852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74.64%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Bulgaria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Croatia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90.91%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Cyprus</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Czechia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41.18%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60.94%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Denmark</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41.18%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52.33%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Estonia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66.67%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32.50%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Finland</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71.79%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76.79%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France</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2894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54.22%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4174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5126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6280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8613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57.98%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866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Germany</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3140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3628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42.26%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7491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11562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4026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6585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67.69%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55.00%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Greece</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71.51%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Hungary</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42.13%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56.82%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Ireland</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69.64%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12114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Italy</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1525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2598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52.52%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897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1124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2135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54.03%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55.00%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Latvia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Lithuania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42.42%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Luxembourg</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68.18%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Malta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72.19%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59.46%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Netherlands</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78.59%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Poland</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40.75%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51.85%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Portugal</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30.09%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68.54%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Romania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9.09%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Slovakia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66.67%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Slovenia</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Spain</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947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44.96%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68.56%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Sweden</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87.31%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71.58%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United Kingdom</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4190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5478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82.15%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3497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5405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82.50%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5254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9579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73.66%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956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76.00%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248</w:t>
            </w:r>
          </w:p>
        </w:tc>
        <w:tc>
          <w:tcPr>
            <w:tcW w:w="869"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58.00%</w:t>
            </w:r>
          </w:p>
        </w:tc>
      </w:tr>
      <w:tr w:rsidR="001B65FF">
        <w:trPr>
          <w:cantSplit/>
          <w:trHeight w:val="224"/>
        </w:trPr>
        <w:tc>
          <w:tcPr>
            <w:tcW w:w="1531"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EU total</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14757</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18760</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52.91%</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18699</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38876</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40.31%</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18832</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31793</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60.89%</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1413</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2334</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44.12%</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513</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586</w:t>
            </w:r>
          </w:p>
        </w:tc>
        <w:tc>
          <w:tcPr>
            <w:tcW w:w="869"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40.29%</w:t>
            </w:r>
          </w:p>
        </w:tc>
      </w:tr>
    </w:tbl>
    <w:p w:rsidR="001B65FF" w:rsidRDefault="003E4EF4">
      <w:pPr>
        <w:contextualSpacing/>
        <w:jc w:val="center"/>
        <w:rPr>
          <w:rFonts w:ascii="Times New Roman" w:eastAsia="Calibri" w:hAnsi="Times New Roman"/>
          <w:i/>
          <w:noProof/>
          <w:sz w:val="24"/>
        </w:rPr>
      </w:pPr>
      <w:r>
        <w:rPr>
          <w:rFonts w:ascii="Times New Roman" w:hAnsi="Times New Roman" w:cs="Times New Roman"/>
          <w:i/>
          <w:noProof/>
          <w:sz w:val="24"/>
        </w:rPr>
        <w:br w:type="page"/>
        <w:t>Table 10</w:t>
      </w:r>
      <w:r>
        <w:rPr>
          <w:rFonts w:ascii="Times New Roman" w:eastAsia="Calibri" w:hAnsi="Times New Roman" w:cs="Times New Roman"/>
          <w:i/>
          <w:noProof/>
          <w:sz w:val="24"/>
        </w:rPr>
        <w:t>: data requests submitted by Member States 1.1.2015 – 30.6.2015</w:t>
      </w:r>
    </w:p>
    <w:tbl>
      <w:tblPr>
        <w:tblStyle w:val="TableGrid1"/>
        <w:tblW w:w="14485" w:type="dxa"/>
        <w:tblLayout w:type="fixed"/>
        <w:tblLook w:val="04A0" w:firstRow="1" w:lastRow="0" w:firstColumn="1" w:lastColumn="0" w:noHBand="0" w:noVBand="1"/>
      </w:tblPr>
      <w:tblGrid>
        <w:gridCol w:w="1524"/>
        <w:gridCol w:w="864"/>
        <w:gridCol w:w="864"/>
        <w:gridCol w:w="864"/>
        <w:gridCol w:w="864"/>
        <w:gridCol w:w="864"/>
        <w:gridCol w:w="864"/>
        <w:gridCol w:w="864"/>
        <w:gridCol w:w="864"/>
        <w:gridCol w:w="864"/>
        <w:gridCol w:w="864"/>
        <w:gridCol w:w="864"/>
        <w:gridCol w:w="864"/>
        <w:gridCol w:w="864"/>
        <w:gridCol w:w="864"/>
        <w:gridCol w:w="865"/>
      </w:tblGrid>
      <w:tr w:rsidR="001B65FF">
        <w:trPr>
          <w:cantSplit/>
          <w:trHeight w:val="224"/>
        </w:trPr>
        <w:tc>
          <w:tcPr>
            <w:tcW w:w="1524" w:type="dxa"/>
            <w:vMerge w:val="restart"/>
            <w:noWrap/>
            <w:vAlign w:val="center"/>
            <w:hideMark/>
          </w:tcPr>
          <w:p w:rsidR="001B65FF" w:rsidRDefault="001B65FF">
            <w:pPr>
              <w:jc w:val="center"/>
              <w:rPr>
                <w:rFonts w:ascii="Times New Roman" w:hAnsi="Times New Roman" w:cs="Times New Roman"/>
                <w:b/>
                <w:noProof/>
                <w:sz w:val="18"/>
              </w:rPr>
            </w:pPr>
          </w:p>
        </w:tc>
        <w:tc>
          <w:tcPr>
            <w:tcW w:w="2592"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Facebook</w:t>
            </w:r>
          </w:p>
        </w:tc>
        <w:tc>
          <w:tcPr>
            <w:tcW w:w="2592"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Google</w:t>
            </w:r>
          </w:p>
        </w:tc>
        <w:tc>
          <w:tcPr>
            <w:tcW w:w="2592"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Microsoft</w:t>
            </w:r>
          </w:p>
        </w:tc>
        <w:tc>
          <w:tcPr>
            <w:tcW w:w="2592"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Twitter</w:t>
            </w:r>
          </w:p>
        </w:tc>
        <w:tc>
          <w:tcPr>
            <w:tcW w:w="2593"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Apple</w:t>
            </w:r>
          </w:p>
        </w:tc>
      </w:tr>
      <w:tr w:rsidR="001B65FF">
        <w:trPr>
          <w:cantSplit/>
          <w:trHeight w:val="1116"/>
        </w:trPr>
        <w:tc>
          <w:tcPr>
            <w:tcW w:w="1524" w:type="dxa"/>
            <w:vMerge/>
            <w:noWrap/>
            <w:textDirection w:val="btLr"/>
            <w:vAlign w:val="center"/>
            <w:hideMark/>
          </w:tcPr>
          <w:p w:rsidR="001B65FF" w:rsidRDefault="001B65FF">
            <w:pPr>
              <w:ind w:left="113" w:right="113"/>
              <w:rPr>
                <w:rFonts w:ascii="Times New Roman" w:hAnsi="Times New Roman" w:cs="Times New Roman"/>
                <w:b/>
                <w:noProof/>
                <w:sz w:val="18"/>
              </w:rPr>
            </w:pP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4"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Austria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36.21%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51.06%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Belgium</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68.68%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85.50%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73.15%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Bulgaria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Croatia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44.44%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Cyprus</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Czechia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73.53%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78.57%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Denmark</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38.78%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67.16%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Estonia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57.14%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Finland</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81.25%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83.87%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France</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2520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2847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3489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4160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4396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6403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64.83%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49.00%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Germany</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2344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2716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35.66%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3903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6457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4407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8152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72.68%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Greece</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66.05%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54.17%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Hungary</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36.22%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69.12%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Ireland</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68.09%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Italy</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1816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2994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48.62%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958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1242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1011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1532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66.96%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Latvia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Lithuania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Luxembourg</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72.73%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Malta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71.05%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56.92%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Netherlands</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66.37%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83.12%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Poland</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492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34.35%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55.41%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Portugal</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36.07%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75.78%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Romania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Slovakia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38.46%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Slovenia</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Spain</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41.33%</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941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71.94%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Sweden</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348</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87.82%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78.24%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United Kingdom</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3384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4489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78.04%</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3146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6056</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82.50%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5680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13382</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74.19%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299</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1041</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52.00%</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207</w:t>
            </w:r>
          </w:p>
        </w:tc>
        <w:tc>
          <w:tcPr>
            <w:tcW w:w="864"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63.00%</w:t>
            </w:r>
          </w:p>
        </w:tc>
      </w:tr>
      <w:tr w:rsidR="001B65FF">
        <w:trPr>
          <w:cantSplit/>
          <w:trHeight w:val="224"/>
        </w:trPr>
        <w:tc>
          <w:tcPr>
            <w:tcW w:w="1524"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EU total</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13078</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16855</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50.56%</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14278</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21557</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34.13%</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18328</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33837</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68.26%</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664</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1785</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20.79%</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414</w:t>
            </w:r>
          </w:p>
        </w:tc>
        <w:tc>
          <w:tcPr>
            <w:tcW w:w="864"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469</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48.71%</w:t>
            </w:r>
          </w:p>
        </w:tc>
      </w:tr>
    </w:tbl>
    <w:p w:rsidR="001B65FF" w:rsidRDefault="003E4EF4">
      <w:pPr>
        <w:contextualSpacing/>
        <w:jc w:val="center"/>
        <w:rPr>
          <w:rFonts w:ascii="Times New Roman" w:eastAsia="Calibri" w:hAnsi="Times New Roman" w:cs="Times New Roman"/>
          <w:i/>
          <w:noProof/>
          <w:sz w:val="24"/>
        </w:rPr>
      </w:pPr>
      <w:r>
        <w:rPr>
          <w:rFonts w:ascii="Times New Roman" w:hAnsi="Times New Roman" w:cs="Times New Roman"/>
          <w:i/>
          <w:noProof/>
          <w:sz w:val="24"/>
        </w:rPr>
        <w:br w:type="page"/>
        <w:t>Table 11</w:t>
      </w:r>
      <w:r>
        <w:rPr>
          <w:rFonts w:ascii="Times New Roman" w:eastAsia="Calibri" w:hAnsi="Times New Roman" w:cs="Times New Roman"/>
          <w:i/>
          <w:noProof/>
          <w:sz w:val="24"/>
        </w:rPr>
        <w:t>: data requests submitted by Member States 1.7.2014 – 31.12.2014</w:t>
      </w:r>
    </w:p>
    <w:tbl>
      <w:tblPr>
        <w:tblStyle w:val="TableGrid1"/>
        <w:tblW w:w="0" w:type="auto"/>
        <w:tblLayout w:type="fixed"/>
        <w:tblLook w:val="04A0" w:firstRow="1" w:lastRow="0" w:firstColumn="1" w:lastColumn="0" w:noHBand="0" w:noVBand="1"/>
      </w:tblPr>
      <w:tblGrid>
        <w:gridCol w:w="1526"/>
        <w:gridCol w:w="865"/>
        <w:gridCol w:w="865"/>
        <w:gridCol w:w="865"/>
        <w:gridCol w:w="865"/>
        <w:gridCol w:w="865"/>
        <w:gridCol w:w="865"/>
        <w:gridCol w:w="865"/>
        <w:gridCol w:w="865"/>
        <w:gridCol w:w="865"/>
        <w:gridCol w:w="865"/>
        <w:gridCol w:w="865"/>
        <w:gridCol w:w="865"/>
        <w:gridCol w:w="865"/>
        <w:gridCol w:w="865"/>
        <w:gridCol w:w="866"/>
      </w:tblGrid>
      <w:tr w:rsidR="001B65FF">
        <w:trPr>
          <w:cantSplit/>
          <w:trHeight w:val="223"/>
        </w:trPr>
        <w:tc>
          <w:tcPr>
            <w:tcW w:w="1526" w:type="dxa"/>
            <w:vMerge w:val="restart"/>
            <w:noWrap/>
            <w:vAlign w:val="center"/>
            <w:hideMark/>
          </w:tcPr>
          <w:p w:rsidR="001B65FF" w:rsidRDefault="001B65FF">
            <w:pPr>
              <w:jc w:val="center"/>
              <w:rPr>
                <w:rFonts w:ascii="Times New Roman" w:hAnsi="Times New Roman" w:cs="Times New Roman"/>
                <w:b/>
                <w:noProof/>
                <w:sz w:val="18"/>
              </w:rPr>
            </w:pP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Facebook</w:t>
            </w: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Google</w:t>
            </w: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Microsoft</w:t>
            </w: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Twitter</w:t>
            </w:r>
          </w:p>
        </w:tc>
        <w:tc>
          <w:tcPr>
            <w:tcW w:w="2596"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Apple</w:t>
            </w:r>
          </w:p>
        </w:tc>
      </w:tr>
      <w:tr w:rsidR="001B65FF">
        <w:trPr>
          <w:cantSplit/>
          <w:trHeight w:val="1113"/>
        </w:trPr>
        <w:tc>
          <w:tcPr>
            <w:tcW w:w="1526" w:type="dxa"/>
            <w:vMerge/>
            <w:noWrap/>
            <w:textDirection w:val="btLr"/>
            <w:vAlign w:val="center"/>
            <w:hideMark/>
          </w:tcPr>
          <w:p w:rsidR="001B65FF" w:rsidRDefault="001B65FF">
            <w:pPr>
              <w:ind w:left="113" w:right="113"/>
              <w:rPr>
                <w:rFonts w:ascii="Times New Roman" w:hAnsi="Times New Roman" w:cs="Times New Roman"/>
                <w:b/>
                <w:noProof/>
                <w:sz w:val="18"/>
              </w:rPr>
            </w:pP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 xml:space="preserve">Fulfilled </w:t>
            </w:r>
            <w:r>
              <w:rPr>
                <w:rFonts w:ascii="Times New Roman" w:hAnsi="Times New Roman" w:cs="Times New Roman"/>
                <w:b/>
                <w:noProof/>
                <w:sz w:val="18"/>
              </w:rPr>
              <w:t>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6"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Austria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10.87%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38.10%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Belgium</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81.91%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Bulgaria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Croatia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80.95%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Cyprus</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Czechia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54.55%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90.48%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Denmark</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35.48%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79.25%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Estonia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66.67%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Finland</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72.22%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58.62%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France</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2094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2885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42.41%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3073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3752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4546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6851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79.78%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Germany</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2132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2611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34.29%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3114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3878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4192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7629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79.20%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Greece</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57.26%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Hungary</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34.38%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82.46%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Ireland</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70.59%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70.37%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Italy</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1774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2696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46.45%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914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1130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957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67.59%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Latvia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Lithuania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41.67%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Luxembourg</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74.07%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Malta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70.97%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Netherlands</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64.47%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81.36%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Poland</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29.84%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74.47%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Portugal</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34.75%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461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86.79%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Romania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42.86%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Slovakia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85.00%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Slovenia</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33.33%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Spain</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1041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961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1257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78.17%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Sweden</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213</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289</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76.06%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86.04%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United Kingdom</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2366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2890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75.11%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2080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2755</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83.50%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4518</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8034</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75.12%</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116</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371</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34.00%</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127</w:t>
            </w:r>
          </w:p>
        </w:tc>
        <w:tc>
          <w:tcPr>
            <w:tcW w:w="865"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152</w:t>
            </w:r>
          </w:p>
        </w:tc>
        <w:tc>
          <w:tcPr>
            <w:tcW w:w="866"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EU total</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10575</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14369</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51.97%</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11311</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14375</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36.00%</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16625</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27573</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73.31%</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276</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594</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12.90%</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333</w:t>
            </w:r>
          </w:p>
        </w:tc>
        <w:tc>
          <w:tcPr>
            <w:tcW w:w="865"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367</w:t>
            </w:r>
          </w:p>
        </w:tc>
        <w:tc>
          <w:tcPr>
            <w:tcW w:w="866"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43.69%</w:t>
            </w:r>
          </w:p>
        </w:tc>
      </w:tr>
    </w:tbl>
    <w:p w:rsidR="001B65FF" w:rsidRDefault="003E4EF4">
      <w:pPr>
        <w:contextualSpacing/>
        <w:jc w:val="center"/>
        <w:rPr>
          <w:rFonts w:ascii="Times New Roman" w:eastAsia="Calibri" w:hAnsi="Times New Roman" w:cs="Times New Roman"/>
          <w:i/>
          <w:noProof/>
          <w:sz w:val="24"/>
        </w:rPr>
      </w:pPr>
      <w:r>
        <w:rPr>
          <w:rFonts w:ascii="Times New Roman" w:hAnsi="Times New Roman" w:cs="Times New Roman"/>
          <w:i/>
          <w:noProof/>
          <w:sz w:val="24"/>
        </w:rPr>
        <w:t>Table 12</w:t>
      </w:r>
      <w:r>
        <w:rPr>
          <w:rFonts w:ascii="Times New Roman" w:eastAsia="Calibri" w:hAnsi="Times New Roman" w:cs="Times New Roman"/>
          <w:i/>
          <w:noProof/>
          <w:sz w:val="24"/>
        </w:rPr>
        <w:t>: data requests submitted by Member States 1.1.2014 – 30.6.2014</w:t>
      </w:r>
    </w:p>
    <w:tbl>
      <w:tblPr>
        <w:tblStyle w:val="TableGrid1"/>
        <w:tblW w:w="14536" w:type="dxa"/>
        <w:tblLayout w:type="fixed"/>
        <w:tblLook w:val="04A0" w:firstRow="1" w:lastRow="0" w:firstColumn="1" w:lastColumn="0" w:noHBand="0" w:noVBand="1"/>
      </w:tblPr>
      <w:tblGrid>
        <w:gridCol w:w="1530"/>
        <w:gridCol w:w="867"/>
        <w:gridCol w:w="867"/>
        <w:gridCol w:w="867"/>
        <w:gridCol w:w="867"/>
        <w:gridCol w:w="867"/>
        <w:gridCol w:w="867"/>
        <w:gridCol w:w="867"/>
        <w:gridCol w:w="867"/>
        <w:gridCol w:w="867"/>
        <w:gridCol w:w="867"/>
        <w:gridCol w:w="867"/>
        <w:gridCol w:w="867"/>
        <w:gridCol w:w="867"/>
        <w:gridCol w:w="867"/>
        <w:gridCol w:w="868"/>
      </w:tblGrid>
      <w:tr w:rsidR="001B65FF">
        <w:trPr>
          <w:cantSplit/>
          <w:trHeight w:val="216"/>
        </w:trPr>
        <w:tc>
          <w:tcPr>
            <w:tcW w:w="1530" w:type="dxa"/>
            <w:vMerge w:val="restart"/>
            <w:noWrap/>
            <w:vAlign w:val="center"/>
            <w:hideMark/>
          </w:tcPr>
          <w:p w:rsidR="001B65FF" w:rsidRDefault="001B65FF">
            <w:pPr>
              <w:jc w:val="center"/>
              <w:rPr>
                <w:rFonts w:ascii="Times New Roman" w:hAnsi="Times New Roman" w:cs="Times New Roman"/>
                <w:b/>
                <w:noProof/>
                <w:sz w:val="18"/>
              </w:rPr>
            </w:pP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Facebook</w:t>
            </w: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Google</w:t>
            </w: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Microsoft</w:t>
            </w: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Twitter</w:t>
            </w:r>
          </w:p>
        </w:tc>
        <w:tc>
          <w:tcPr>
            <w:tcW w:w="2602"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Apple</w:t>
            </w:r>
          </w:p>
        </w:tc>
      </w:tr>
      <w:tr w:rsidR="001B65FF">
        <w:trPr>
          <w:cantSplit/>
          <w:trHeight w:val="1080"/>
        </w:trPr>
        <w:tc>
          <w:tcPr>
            <w:tcW w:w="1530" w:type="dxa"/>
            <w:vMerge/>
            <w:noWrap/>
            <w:textDirection w:val="btLr"/>
            <w:vAlign w:val="center"/>
            <w:hideMark/>
          </w:tcPr>
          <w:p w:rsidR="001B65FF" w:rsidRDefault="001B65FF">
            <w:pPr>
              <w:ind w:left="113" w:right="113"/>
              <w:rPr>
                <w:rFonts w:ascii="Times New Roman" w:hAnsi="Times New Roman" w:cs="Times New Roman"/>
                <w:b/>
                <w:noProof/>
                <w:sz w:val="18"/>
              </w:rPr>
            </w:pP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 xml:space="preserve">Accounts </w:t>
            </w:r>
            <w:r>
              <w:rPr>
                <w:rFonts w:ascii="Times New Roman" w:hAnsi="Times New Roman" w:cs="Times New Roman"/>
                <w:b/>
                <w:noProof/>
                <w:sz w:val="18"/>
              </w:rPr>
              <w:t>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Austria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17.46%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Belgium</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56.94%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922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83.14%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Bulgaria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Croatia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78.95%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Cyprus</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69.23%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Czechia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27.27%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87.80%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Denmark</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80.56%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Estonia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42.86%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Finland</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42.86%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94.00%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93.94%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France</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2249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2599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30.24%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3002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3826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4220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6094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80.09%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Germany</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2537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3078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33.94%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3338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4272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5183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8295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78.66%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254</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Greece</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56.25%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Hungary</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33.33%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84.48%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Ireland</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78.95%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Italy</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1869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2658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49.28%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1108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1401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1491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72.18%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Latvia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Lithuania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37.50%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Luxembourg</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84.52%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Malta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62.35%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72.50%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Netherlands</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84.14%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Poland</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27.08%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591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66.07%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67.00%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Portugal</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40.40%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83.17%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Romania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Slovakia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76.47%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Slovenia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Spain</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860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36.58%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921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46.00%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1460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82.03%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30.00%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Sweden</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80.57%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84.31%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United Kingdom</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2619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71.68%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1535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1991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4090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7562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78.44%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46.00%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43.00%</w:t>
            </w:r>
          </w:p>
        </w:tc>
      </w:tr>
      <w:tr w:rsidR="001B65FF">
        <w:trPr>
          <w:cantSplit/>
          <w:trHeight w:val="216"/>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EU total</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10929</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13838</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49.08%</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11201</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14687</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44.60%</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17408</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29022</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76.98%</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207</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433</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17.30%</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449</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659</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36.38%</w:t>
            </w:r>
          </w:p>
        </w:tc>
      </w:tr>
    </w:tbl>
    <w:p w:rsidR="001B65FF" w:rsidRDefault="001B65FF">
      <w:pPr>
        <w:jc w:val="center"/>
        <w:rPr>
          <w:rFonts w:ascii="Times New Roman" w:hAnsi="Times New Roman" w:cs="Times New Roman"/>
          <w:i/>
          <w:noProof/>
          <w:sz w:val="24"/>
        </w:rPr>
      </w:pPr>
    </w:p>
    <w:p w:rsidR="001B65FF" w:rsidRDefault="003E4EF4">
      <w:pPr>
        <w:contextualSpacing/>
        <w:jc w:val="center"/>
        <w:rPr>
          <w:rFonts w:ascii="Times New Roman" w:eastAsia="Calibri" w:hAnsi="Times New Roman" w:cs="Times New Roman"/>
          <w:i/>
          <w:noProof/>
          <w:sz w:val="24"/>
        </w:rPr>
      </w:pPr>
      <w:r>
        <w:rPr>
          <w:rFonts w:ascii="Times New Roman" w:hAnsi="Times New Roman" w:cs="Times New Roman"/>
          <w:i/>
          <w:noProof/>
          <w:sz w:val="24"/>
        </w:rPr>
        <w:t>Table 13</w:t>
      </w:r>
      <w:r>
        <w:rPr>
          <w:rFonts w:ascii="Times New Roman" w:eastAsia="Calibri" w:hAnsi="Times New Roman" w:cs="Times New Roman"/>
          <w:i/>
          <w:noProof/>
          <w:sz w:val="24"/>
        </w:rPr>
        <w:t>: data requests submitted by Member States 1.7.2013 – 31.12.2013</w:t>
      </w:r>
    </w:p>
    <w:tbl>
      <w:tblPr>
        <w:tblStyle w:val="TableGrid1"/>
        <w:tblW w:w="14536" w:type="dxa"/>
        <w:tblLayout w:type="fixed"/>
        <w:tblLook w:val="04A0" w:firstRow="1" w:lastRow="0" w:firstColumn="1" w:lastColumn="0" w:noHBand="0" w:noVBand="1"/>
      </w:tblPr>
      <w:tblGrid>
        <w:gridCol w:w="1530"/>
        <w:gridCol w:w="867"/>
        <w:gridCol w:w="867"/>
        <w:gridCol w:w="867"/>
        <w:gridCol w:w="867"/>
        <w:gridCol w:w="867"/>
        <w:gridCol w:w="867"/>
        <w:gridCol w:w="867"/>
        <w:gridCol w:w="867"/>
        <w:gridCol w:w="867"/>
        <w:gridCol w:w="867"/>
        <w:gridCol w:w="867"/>
        <w:gridCol w:w="867"/>
        <w:gridCol w:w="867"/>
        <w:gridCol w:w="867"/>
        <w:gridCol w:w="868"/>
      </w:tblGrid>
      <w:tr w:rsidR="001B65FF">
        <w:trPr>
          <w:cantSplit/>
          <w:trHeight w:val="224"/>
        </w:trPr>
        <w:tc>
          <w:tcPr>
            <w:tcW w:w="1530" w:type="dxa"/>
            <w:vMerge w:val="restart"/>
            <w:noWrap/>
            <w:vAlign w:val="center"/>
            <w:hideMark/>
          </w:tcPr>
          <w:p w:rsidR="001B65FF" w:rsidRDefault="001B65FF">
            <w:pPr>
              <w:jc w:val="center"/>
              <w:rPr>
                <w:rFonts w:ascii="Times New Roman" w:hAnsi="Times New Roman" w:cs="Times New Roman"/>
                <w:b/>
                <w:noProof/>
                <w:sz w:val="18"/>
              </w:rPr>
            </w:pP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Facebook</w:t>
            </w: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Google</w:t>
            </w: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Microsoft</w:t>
            </w:r>
          </w:p>
        </w:tc>
        <w:tc>
          <w:tcPr>
            <w:tcW w:w="2601"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Twitter</w:t>
            </w:r>
          </w:p>
        </w:tc>
        <w:tc>
          <w:tcPr>
            <w:tcW w:w="2602"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Apple</w:t>
            </w:r>
          </w:p>
        </w:tc>
      </w:tr>
      <w:tr w:rsidR="001B65FF">
        <w:trPr>
          <w:cantSplit/>
          <w:trHeight w:val="1120"/>
        </w:trPr>
        <w:tc>
          <w:tcPr>
            <w:tcW w:w="1530" w:type="dxa"/>
            <w:vMerge/>
            <w:noWrap/>
            <w:textDirection w:val="btLr"/>
            <w:vAlign w:val="center"/>
            <w:hideMark/>
          </w:tcPr>
          <w:p w:rsidR="001B65FF" w:rsidRDefault="001B65FF">
            <w:pPr>
              <w:ind w:left="113" w:right="113"/>
              <w:rPr>
                <w:rFonts w:ascii="Times New Roman" w:hAnsi="Times New Roman" w:cs="Times New Roman"/>
                <w:b/>
                <w:noProof/>
                <w:sz w:val="18"/>
              </w:rPr>
            </w:pP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7"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8"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Austria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14.29%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53.33%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Belgium</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64.94%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75.93%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Bulgaria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Croatia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42.86%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Cyprus</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Czechia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78.57%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90.91%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Denmark</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33.33%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75.71%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Estonia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33.33%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69.23%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Finland</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63.64%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92.00%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72.34%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France</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1661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1845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33.90%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2750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3378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4627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6956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78.15%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Germany</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1687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1950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37.88%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2660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3255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5204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8895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79.88%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46.00%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Greece</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50.43%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Hungary</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28.95%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83.93%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Ireland</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62.86%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27.00%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77.59%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Italy</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1699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52.50%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896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1084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933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1240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75.35%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Latvia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Lithuania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44.44%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64.00%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66.67%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Luxembourg</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76.60%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89.00%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Malta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61.73%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90.48%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Netherlands</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36.36%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75.00%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1551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71.60%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Poland</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15.45%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502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740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84.62%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Portugal</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148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25.00%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483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86.56%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100.00%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Romania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45.45%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Slovakia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87.50%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Slovenia</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66.67%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Spain</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404</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811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39.60%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545</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769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1238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79.58%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0.00%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41</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35.00%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Sweden</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89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109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52.81%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28.00%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478</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79.66%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23.00%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United Kingdom</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1906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2277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71.30%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1397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3142</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69.00%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4213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7276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78.73%</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56</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117</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43.00%</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151</w:t>
            </w:r>
          </w:p>
        </w:tc>
        <w:tc>
          <w:tcPr>
            <w:tcW w:w="867"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179</w:t>
            </w:r>
          </w:p>
        </w:tc>
        <w:tc>
          <w:tcPr>
            <w:tcW w:w="868" w:type="dxa"/>
            <w:noWrap/>
            <w:vAlign w:val="center"/>
            <w:hideMark/>
          </w:tcPr>
          <w:p w:rsidR="001B65FF" w:rsidRDefault="003E4EF4">
            <w:pPr>
              <w:jc w:val="right"/>
              <w:rPr>
                <w:rFonts w:ascii="Times New Roman" w:hAnsi="Times New Roman" w:cs="Times New Roman"/>
                <w:noProof/>
                <w:sz w:val="18"/>
                <w:szCs w:val="18"/>
              </w:rPr>
            </w:pPr>
            <w:r>
              <w:rPr>
                <w:rFonts w:ascii="Times New Roman" w:hAnsi="Times New Roman" w:cs="Times New Roman"/>
                <w:noProof/>
                <w:sz w:val="18"/>
                <w:szCs w:val="18"/>
              </w:rPr>
              <w:t>38.00%</w:t>
            </w:r>
          </w:p>
        </w:tc>
      </w:tr>
      <w:tr w:rsidR="001B65FF">
        <w:trPr>
          <w:cantSplit/>
          <w:trHeight w:val="224"/>
        </w:trPr>
        <w:tc>
          <w:tcPr>
            <w:tcW w:w="1530"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EU total</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8368</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10696</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46.40%</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9552</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13506</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41.21%</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17531</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29415</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73.44%</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168</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292</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27.00%</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557</w:t>
            </w:r>
          </w:p>
        </w:tc>
        <w:tc>
          <w:tcPr>
            <w:tcW w:w="867"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623</w:t>
            </w:r>
          </w:p>
        </w:tc>
        <w:tc>
          <w:tcPr>
            <w:tcW w:w="868" w:type="dxa"/>
            <w:noWrap/>
            <w:vAlign w:val="center"/>
            <w:hideMark/>
          </w:tcPr>
          <w:p w:rsidR="001B65FF" w:rsidRDefault="003E4EF4">
            <w:pPr>
              <w:jc w:val="right"/>
              <w:rPr>
                <w:rFonts w:ascii="Times New Roman" w:hAnsi="Times New Roman" w:cs="Times New Roman"/>
                <w:b/>
                <w:noProof/>
                <w:sz w:val="18"/>
                <w:szCs w:val="18"/>
              </w:rPr>
            </w:pPr>
            <w:r>
              <w:rPr>
                <w:rFonts w:ascii="Times New Roman" w:hAnsi="Times New Roman" w:cs="Times New Roman"/>
                <w:b/>
                <w:noProof/>
                <w:sz w:val="18"/>
                <w:szCs w:val="18"/>
              </w:rPr>
              <w:t>36.06%</w:t>
            </w:r>
          </w:p>
        </w:tc>
      </w:tr>
    </w:tbl>
    <w:p w:rsidR="001B65FF" w:rsidRDefault="003E4EF4">
      <w:pPr>
        <w:contextualSpacing/>
        <w:jc w:val="center"/>
        <w:rPr>
          <w:rFonts w:ascii="Times New Roman" w:eastAsia="Calibri" w:hAnsi="Times New Roman" w:cs="Times New Roman"/>
          <w:i/>
          <w:noProof/>
          <w:sz w:val="24"/>
        </w:rPr>
      </w:pPr>
      <w:r>
        <w:rPr>
          <w:rFonts w:ascii="Times New Roman" w:hAnsi="Times New Roman" w:cs="Times New Roman"/>
          <w:i/>
          <w:noProof/>
          <w:sz w:val="24"/>
        </w:rPr>
        <w:t>Table 14</w:t>
      </w:r>
      <w:r>
        <w:rPr>
          <w:rFonts w:ascii="Times New Roman" w:eastAsia="Calibri" w:hAnsi="Times New Roman" w:cs="Times New Roman"/>
          <w:i/>
          <w:noProof/>
          <w:sz w:val="24"/>
        </w:rPr>
        <w:t>: data requests submitted by Member States 1.1.2013 – 30.6.2013</w:t>
      </w:r>
    </w:p>
    <w:tbl>
      <w:tblPr>
        <w:tblStyle w:val="TableGrid1"/>
        <w:tblW w:w="0" w:type="auto"/>
        <w:tblLayout w:type="fixed"/>
        <w:tblLook w:val="04A0" w:firstRow="1" w:lastRow="0" w:firstColumn="1" w:lastColumn="0" w:noHBand="0" w:noVBand="1"/>
      </w:tblPr>
      <w:tblGrid>
        <w:gridCol w:w="1526"/>
        <w:gridCol w:w="865"/>
        <w:gridCol w:w="865"/>
        <w:gridCol w:w="865"/>
        <w:gridCol w:w="865"/>
        <w:gridCol w:w="865"/>
        <w:gridCol w:w="865"/>
        <w:gridCol w:w="865"/>
        <w:gridCol w:w="865"/>
        <w:gridCol w:w="865"/>
        <w:gridCol w:w="865"/>
        <w:gridCol w:w="865"/>
        <w:gridCol w:w="865"/>
        <w:gridCol w:w="865"/>
        <w:gridCol w:w="865"/>
        <w:gridCol w:w="866"/>
      </w:tblGrid>
      <w:tr w:rsidR="001B65FF">
        <w:trPr>
          <w:cantSplit/>
          <w:trHeight w:val="223"/>
        </w:trPr>
        <w:tc>
          <w:tcPr>
            <w:tcW w:w="1526" w:type="dxa"/>
            <w:vMerge w:val="restart"/>
            <w:noWrap/>
            <w:vAlign w:val="center"/>
            <w:hideMark/>
          </w:tcPr>
          <w:p w:rsidR="001B65FF" w:rsidRDefault="001B65FF">
            <w:pPr>
              <w:jc w:val="center"/>
              <w:rPr>
                <w:rFonts w:ascii="Times New Roman" w:hAnsi="Times New Roman" w:cs="Times New Roman"/>
                <w:b/>
                <w:noProof/>
                <w:sz w:val="18"/>
              </w:rPr>
            </w:pP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Facebook</w:t>
            </w: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Google</w:t>
            </w: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Microsoft</w:t>
            </w:r>
          </w:p>
        </w:tc>
        <w:tc>
          <w:tcPr>
            <w:tcW w:w="2595"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Twitter</w:t>
            </w:r>
          </w:p>
        </w:tc>
        <w:tc>
          <w:tcPr>
            <w:tcW w:w="2596" w:type="dxa"/>
            <w:gridSpan w:val="3"/>
            <w:noWrap/>
            <w:vAlign w:val="center"/>
            <w:hideMark/>
          </w:tcPr>
          <w:p w:rsidR="001B65FF" w:rsidRDefault="003E4EF4">
            <w:pPr>
              <w:jc w:val="center"/>
              <w:rPr>
                <w:rFonts w:ascii="Times New Roman" w:hAnsi="Times New Roman" w:cs="Times New Roman"/>
                <w:b/>
                <w:noProof/>
                <w:sz w:val="18"/>
              </w:rPr>
            </w:pPr>
            <w:r>
              <w:rPr>
                <w:rFonts w:ascii="Times New Roman" w:hAnsi="Times New Roman" w:cs="Times New Roman"/>
                <w:b/>
                <w:noProof/>
                <w:sz w:val="18"/>
              </w:rPr>
              <w:t>Apple</w:t>
            </w:r>
          </w:p>
        </w:tc>
      </w:tr>
      <w:tr w:rsidR="001B65FF">
        <w:trPr>
          <w:cantSplit/>
          <w:trHeight w:val="1113"/>
        </w:trPr>
        <w:tc>
          <w:tcPr>
            <w:tcW w:w="1526" w:type="dxa"/>
            <w:vMerge/>
            <w:noWrap/>
            <w:textDirection w:val="btLr"/>
            <w:vAlign w:val="center"/>
            <w:hideMark/>
          </w:tcPr>
          <w:p w:rsidR="001B65FF" w:rsidRDefault="001B65FF">
            <w:pPr>
              <w:ind w:left="113" w:right="113"/>
              <w:rPr>
                <w:rFonts w:ascii="Times New Roman" w:hAnsi="Times New Roman" w:cs="Times New Roman"/>
                <w:b/>
                <w:noProof/>
                <w:sz w:val="18"/>
              </w:rPr>
            </w:pP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Total requests</w:t>
            </w:r>
          </w:p>
        </w:tc>
        <w:tc>
          <w:tcPr>
            <w:tcW w:w="865"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Accounts referenced</w:t>
            </w:r>
          </w:p>
        </w:tc>
        <w:tc>
          <w:tcPr>
            <w:tcW w:w="866" w:type="dxa"/>
            <w:noWrap/>
            <w:textDirection w:val="btLr"/>
            <w:vAlign w:val="center"/>
            <w:hideMark/>
          </w:tcPr>
          <w:p w:rsidR="001B65FF" w:rsidRDefault="003E4EF4">
            <w:pPr>
              <w:ind w:left="113" w:right="113"/>
              <w:rPr>
                <w:rFonts w:ascii="Times New Roman" w:hAnsi="Times New Roman" w:cs="Times New Roman"/>
                <w:b/>
                <w:noProof/>
                <w:sz w:val="18"/>
              </w:rPr>
            </w:pPr>
            <w:r>
              <w:rPr>
                <w:rFonts w:ascii="Times New Roman" w:hAnsi="Times New Roman" w:cs="Times New Roman"/>
                <w:b/>
                <w:noProof/>
                <w:sz w:val="18"/>
              </w:rPr>
              <w:t>Fulfilled requests</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Austria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17.00%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77.78%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Belgium</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169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194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289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66.00%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81.20%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38.00%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Bulgaria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Croatia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Cyprus</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33.00%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Czechia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76.47%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Denmark</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65.00%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256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83.18%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Estonia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Finland</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75.00%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86.21%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France</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1547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1598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39.00%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2011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2481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49.00%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4379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7926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82.19%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72</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24.00%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Germany</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1886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2068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37.00%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2311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3079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48.00%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5185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9670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83.28%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17.00%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93</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Greece</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122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141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54.00%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Hungary</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36.00%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127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82.86%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Ireland</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71.00%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Italy</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1705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2306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53.00%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901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1222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38.00%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852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1172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78.17%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76</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37.00%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Latvia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Lithuania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17.00%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Luxembourg</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121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78.18%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Malta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82.76%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Netherlands</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36.00%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64.00%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411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714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78.10%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33.00%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25.00%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Poland</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233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496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597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23.00%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72.73%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Portugal</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177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213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42.00%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261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322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334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411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81.74%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100.00%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Romania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63.00%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Slovakia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93.33%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Slovenia</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Spain</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479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715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51.00%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647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954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55.00%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927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1478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79.29%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0.00%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102</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104</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22.00%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Sweden</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54.00%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33.00%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281</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825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87.54%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United Kingdom</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1975</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2337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68.00%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1274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1818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67.00%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4404</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6723</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78.18%</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26</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29</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15.00%</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127</w:t>
            </w:r>
          </w:p>
        </w:tc>
        <w:tc>
          <w:tcPr>
            <w:tcW w:w="865"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141</w:t>
            </w:r>
          </w:p>
        </w:tc>
        <w:tc>
          <w:tcPr>
            <w:tcW w:w="866" w:type="dxa"/>
            <w:noWrap/>
            <w:vAlign w:val="center"/>
            <w:hideMark/>
          </w:tcPr>
          <w:p w:rsidR="001B65FF" w:rsidRDefault="003E4EF4">
            <w:pPr>
              <w:jc w:val="right"/>
              <w:rPr>
                <w:rFonts w:ascii="Times New Roman" w:hAnsi="Times New Roman" w:cs="Times New Roman"/>
                <w:noProof/>
                <w:color w:val="000000"/>
                <w:sz w:val="18"/>
                <w:szCs w:val="18"/>
              </w:rPr>
            </w:pPr>
            <w:r>
              <w:rPr>
                <w:rFonts w:ascii="Times New Roman" w:hAnsi="Times New Roman" w:cs="Times New Roman"/>
                <w:noProof/>
                <w:color w:val="000000"/>
                <w:sz w:val="18"/>
                <w:szCs w:val="18"/>
              </w:rPr>
              <w:t>37.00%</w:t>
            </w:r>
          </w:p>
        </w:tc>
      </w:tr>
      <w:tr w:rsidR="001B65FF">
        <w:trPr>
          <w:cantSplit/>
          <w:trHeight w:val="223"/>
        </w:trPr>
        <w:tc>
          <w:tcPr>
            <w:tcW w:w="1526" w:type="dxa"/>
            <w:noWrap/>
            <w:vAlign w:val="center"/>
            <w:hideMark/>
          </w:tcPr>
          <w:p w:rsidR="001B65FF" w:rsidRDefault="003E4EF4">
            <w:pPr>
              <w:rPr>
                <w:rFonts w:ascii="Times New Roman" w:hAnsi="Times New Roman" w:cs="Times New Roman"/>
                <w:b/>
                <w:noProof/>
                <w:sz w:val="18"/>
              </w:rPr>
            </w:pPr>
            <w:r>
              <w:rPr>
                <w:rFonts w:ascii="Times New Roman" w:hAnsi="Times New Roman" w:cs="Times New Roman"/>
                <w:b/>
                <w:noProof/>
                <w:sz w:val="18"/>
              </w:rPr>
              <w:t>EU total</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8589</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10085</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43.75%</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8299</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11039</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44.83%</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17738</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30624</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81.38%</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97</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119</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22.00%</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572</w:t>
            </w:r>
          </w:p>
        </w:tc>
        <w:tc>
          <w:tcPr>
            <w:tcW w:w="865"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541</w:t>
            </w:r>
          </w:p>
        </w:tc>
        <w:tc>
          <w:tcPr>
            <w:tcW w:w="866" w:type="dxa"/>
            <w:noWrap/>
            <w:vAlign w:val="center"/>
            <w:hideMark/>
          </w:tcPr>
          <w:p w:rsidR="001B65FF" w:rsidRDefault="003E4EF4">
            <w:pPr>
              <w:jc w:val="right"/>
              <w:rPr>
                <w:rFonts w:ascii="Times New Roman" w:hAnsi="Times New Roman" w:cs="Times New Roman"/>
                <w:b/>
                <w:bCs/>
                <w:noProof/>
                <w:color w:val="000000"/>
                <w:sz w:val="18"/>
                <w:szCs w:val="18"/>
              </w:rPr>
            </w:pPr>
            <w:r>
              <w:rPr>
                <w:rFonts w:ascii="Times New Roman" w:hAnsi="Times New Roman" w:cs="Times New Roman"/>
                <w:b/>
                <w:bCs/>
                <w:noProof/>
                <w:color w:val="000000"/>
                <w:sz w:val="18"/>
                <w:szCs w:val="18"/>
              </w:rPr>
              <w:t>36.29%</w:t>
            </w:r>
          </w:p>
        </w:tc>
      </w:tr>
      <w:bookmarkEnd w:id="2232"/>
      <w:bookmarkEnd w:id="2233"/>
      <w:bookmarkEnd w:id="2234"/>
      <w:bookmarkEnd w:id="2235"/>
      <w:bookmarkEnd w:id="2236"/>
      <w:bookmarkEnd w:id="2237"/>
      <w:bookmarkEnd w:id="2238"/>
      <w:bookmarkEnd w:id="2239"/>
      <w:bookmarkEnd w:id="2240"/>
      <w:bookmarkEnd w:id="2241"/>
    </w:tbl>
    <w:p w:rsidR="001B65FF" w:rsidRDefault="001B65FF">
      <w:pPr>
        <w:rPr>
          <w:rFonts w:ascii="Times New Roman" w:hAnsi="Times New Roman" w:cs="Times New Roman"/>
          <w:i/>
          <w:noProof/>
        </w:rPr>
        <w:sectPr w:rsidR="001B65FF">
          <w:headerReference w:type="even" r:id="rId211"/>
          <w:headerReference w:type="default" r:id="rId212"/>
          <w:footerReference w:type="even" r:id="rId213"/>
          <w:footerReference w:type="default" r:id="rId214"/>
          <w:headerReference w:type="first" r:id="rId215"/>
          <w:footerReference w:type="first" r:id="rId216"/>
          <w:pgSz w:w="16838" w:h="11906" w:orient="landscape"/>
          <w:pgMar w:top="1418" w:right="1418" w:bottom="1418" w:left="1134" w:header="709" w:footer="709" w:gutter="0"/>
          <w:cols w:space="708"/>
          <w:docGrid w:linePitch="360"/>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2300" w:name="_Toc499020506"/>
      <w:bookmarkStart w:id="2301" w:name="_Toc499030440"/>
      <w:bookmarkStart w:id="2302" w:name="_Toc499044982"/>
      <w:bookmarkStart w:id="2303" w:name="_Toc499051398"/>
      <w:bookmarkStart w:id="2304" w:name="_Toc499133357"/>
      <w:bookmarkStart w:id="2305" w:name="_Toc499142928"/>
      <w:bookmarkStart w:id="2306" w:name="_Toc510952923"/>
      <w:r>
        <w:rPr>
          <w:rFonts w:ascii="Times New Roman" w:eastAsia="Times New Roman" w:hAnsi="Times New Roman" w:cs="Times New Roman"/>
          <w:b/>
          <w:smallCaps/>
          <w:noProof/>
          <w:sz w:val="24"/>
          <w:szCs w:val="20"/>
        </w:rPr>
        <w:t>Annex 12:  WHOIS database</w:t>
      </w:r>
      <w:bookmarkEnd w:id="2300"/>
      <w:bookmarkEnd w:id="2301"/>
      <w:bookmarkEnd w:id="2302"/>
      <w:bookmarkEnd w:id="2303"/>
      <w:bookmarkEnd w:id="2304"/>
      <w:bookmarkEnd w:id="2305"/>
      <w:bookmarkEnd w:id="2306"/>
    </w:p>
    <w:p w:rsidR="001B65FF" w:rsidRDefault="003E4EF4">
      <w:pPr>
        <w:shd w:val="clear" w:color="auto" w:fill="FFFFFF"/>
        <w:spacing w:before="240" w:after="12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The WHOIS is a directory service for domain names (such as "icann.org") allowing anyone to identify and contact the registered domain holder. This database is currently used by a wide variety of stakeholders for public safety purposes such as consumer prot</w:t>
      </w:r>
      <w:r>
        <w:rPr>
          <w:rFonts w:ascii="Times New Roman" w:eastAsiaTheme="minorHAnsi" w:hAnsi="Times New Roman" w:cs="Times New Roman"/>
          <w:noProof/>
          <w:sz w:val="24"/>
          <w:szCs w:val="24"/>
        </w:rPr>
        <w:t xml:space="preserve">ection, civil and criminal law enforcement, and cybersecurity incident mitigation. It is also used by individual consumers, for example to identify which party they are dealing with in a transaction, and by intellectual property right holders. The WHOIS </w:t>
      </w:r>
      <w:r>
        <w:rPr>
          <w:rFonts w:ascii="Times New Roman" w:hAnsi="Times New Roman" w:cs="Times New Roman"/>
          <w:noProof/>
          <w:sz w:val="24"/>
          <w:szCs w:val="24"/>
        </w:rPr>
        <w:t>in</w:t>
      </w:r>
      <w:r>
        <w:rPr>
          <w:rFonts w:ascii="Times New Roman" w:hAnsi="Times New Roman" w:cs="Times New Roman"/>
          <w:noProof/>
          <w:sz w:val="24"/>
          <w:szCs w:val="24"/>
        </w:rPr>
        <w:t>formation</w:t>
      </w:r>
      <w:r>
        <w:rPr>
          <w:rFonts w:ascii="Times New Roman" w:eastAsiaTheme="minorHAnsi" w:hAnsi="Times New Roman" w:cs="Times New Roman"/>
          <w:noProof/>
          <w:sz w:val="24"/>
          <w:szCs w:val="24"/>
        </w:rPr>
        <w:t xml:space="preserve"> is collected and provided by a web of hundreds of registries and registrars. It includes over 60 data elements and policies, many of which potentially contain personal data.</w:t>
      </w:r>
    </w:p>
    <w:p w:rsidR="001B65FF" w:rsidRDefault="003E4EF4">
      <w:pPr>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 WHOIS record looks like this:</w:t>
      </w:r>
    </w:p>
    <w:p w:rsidR="001B65FF" w:rsidRDefault="003E4EF4">
      <w:pPr>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drawing>
          <wp:inline distT="0" distB="0" distL="0" distR="0" wp14:anchorId="2262B921" wp14:editId="4064EFBE">
            <wp:extent cx="5760720" cy="46499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60720" cy="4649970"/>
                    </a:xfrm>
                    <a:prstGeom prst="rect">
                      <a:avLst/>
                    </a:prstGeom>
                    <a:noFill/>
                    <a:ln>
                      <a:noFill/>
                    </a:ln>
                  </pic:spPr>
                </pic:pic>
              </a:graphicData>
            </a:graphic>
          </wp:inline>
        </w:drawing>
      </w:r>
    </w:p>
    <w:p w:rsidR="001B65FF" w:rsidRDefault="003E4EF4">
      <w:pPr>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collection and publication of WHOIS information is required in the contracts which registries and registrars for so-called "generic" top-level domains (.com, .net etc) have with the Internet Corporation for Assigned Names and Numbers (ICANN). ICANN is </w:t>
      </w:r>
      <w:r>
        <w:rPr>
          <w:rFonts w:ascii="Times New Roman" w:eastAsia="Times New Roman" w:hAnsi="Times New Roman" w:cs="Times New Roman"/>
          <w:noProof/>
          <w:sz w:val="24"/>
          <w:szCs w:val="24"/>
        </w:rPr>
        <w:t xml:space="preserve">a non-profit membership-based corporation which coordinates the Domain Name System and a number of other vital Internet infrastructure elements. </w:t>
      </w:r>
    </w:p>
    <w:p w:rsidR="001B65FF" w:rsidRDefault="003E4EF4">
      <w:pPr>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default option under the contracts is that all WHOIS data is publicly available. However, a number of gTLD</w:t>
      </w:r>
      <w:r>
        <w:rPr>
          <w:rFonts w:ascii="Times New Roman" w:eastAsia="Times New Roman" w:hAnsi="Times New Roman" w:cs="Times New Roman"/>
          <w:noProof/>
          <w:sz w:val="24"/>
          <w:szCs w:val="24"/>
        </w:rPr>
        <w:t xml:space="preserve"> registrars also provide "</w:t>
      </w:r>
      <w:r>
        <w:rPr>
          <w:rFonts w:ascii="Times New Roman" w:eastAsia="Times New Roman" w:hAnsi="Times New Roman"/>
          <w:noProof/>
          <w:sz w:val="24"/>
        </w:rPr>
        <w:t>privacy and proxy</w:t>
      </w:r>
      <w:r>
        <w:rPr>
          <w:rStyle w:val="FootnoteReference"/>
          <w:rFonts w:ascii="Times New Roman" w:eastAsia="Times New Roman" w:hAnsi="Times New Roman"/>
          <w:noProof/>
          <w:sz w:val="24"/>
        </w:rPr>
        <w:footnoteReference w:id="293"/>
      </w:r>
      <w:r>
        <w:rPr>
          <w:rFonts w:ascii="Times New Roman" w:eastAsia="Times New Roman" w:hAnsi="Times New Roman" w:cs="Times New Roman"/>
          <w:noProof/>
          <w:sz w:val="24"/>
          <w:szCs w:val="24"/>
        </w:rPr>
        <w:t>" services – usually at a charge – which allow for a domain name registrant to keep his or her identity private. According to recent statistics, this is the case for 15-20% of registrations. The privacy/proxy ser</w:t>
      </w:r>
      <w:r>
        <w:rPr>
          <w:rFonts w:ascii="Times New Roman" w:eastAsia="Times New Roman" w:hAnsi="Times New Roman" w:cs="Times New Roman"/>
          <w:noProof/>
          <w:sz w:val="24"/>
          <w:szCs w:val="24"/>
        </w:rPr>
        <w:t>vice provider can then provide information on the registrant upon individual request; policies for disclosing this information vary.</w:t>
      </w:r>
    </w:p>
    <w:p w:rsidR="001B65FF" w:rsidRDefault="003E4EF4">
      <w:pPr>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There is another set of top-level domains, the so-called "Country Code" top-level domains (ccTLDs), such as .de, .be or .uk</w:t>
      </w:r>
      <w:r>
        <w:rPr>
          <w:rFonts w:ascii="Times New Roman" w:eastAsia="Times New Roman" w:hAnsi="Times New Roman" w:cs="Times New Roman"/>
          <w:noProof/>
          <w:sz w:val="24"/>
          <w:szCs w:val="24"/>
        </w:rPr>
        <w:t>. The ccTLD policies regarding registration, accreditation of registrars and WHOIS are managed according to the relevant oversight and governance mechanisms within the country, with no role for ICANN's Compliance department. ccTLDs use independent WHOIS lo</w:t>
      </w:r>
      <w:r>
        <w:rPr>
          <w:rFonts w:ascii="Times New Roman" w:eastAsia="Times New Roman" w:hAnsi="Times New Roman" w:cs="Times New Roman"/>
          <w:noProof/>
          <w:sz w:val="24"/>
          <w:szCs w:val="24"/>
        </w:rPr>
        <w:t>okup facilities</w:t>
      </w:r>
      <w:r>
        <w:rPr>
          <w:rStyle w:val="FootnoteReference"/>
          <w:rFonts w:eastAsia="Times New Roman"/>
          <w:noProof/>
          <w:szCs w:val="24"/>
        </w:rPr>
        <w:footnoteReference w:id="294"/>
      </w:r>
      <w:r>
        <w:rPr>
          <w:rFonts w:ascii="Times New Roman" w:eastAsia="Times New Roman" w:hAnsi="Times New Roman" w:cs="Times New Roman"/>
          <w:noProof/>
          <w:sz w:val="24"/>
          <w:szCs w:val="24"/>
        </w:rPr>
        <w:t>. In order to comply with local data protection rules, a number of ccTLD registries have implemented a "layered or gated" model, whereby they treat differently the registration of natural persons and that of companies or legal entities. For</w:t>
      </w:r>
      <w:r>
        <w:rPr>
          <w:rFonts w:ascii="Times New Roman" w:eastAsia="Times New Roman" w:hAnsi="Times New Roman" w:cs="Times New Roman"/>
          <w:noProof/>
          <w:sz w:val="24"/>
          <w:szCs w:val="24"/>
        </w:rPr>
        <w:t xml:space="preserve"> natural persons, certain personal data elements are not made publicly available: for instance, while the name of the registrant who is an natural person might be published, his telephone number, private address and email address are not visible to everyon</w:t>
      </w:r>
      <w:r>
        <w:rPr>
          <w:rFonts w:ascii="Times New Roman" w:eastAsia="Times New Roman" w:hAnsi="Times New Roman" w:cs="Times New Roman"/>
          <w:noProof/>
          <w:sz w:val="24"/>
          <w:szCs w:val="24"/>
        </w:rPr>
        <w:t>e and can only be accessed via specific channels, for instance through forms for individual requests. This has not created significant issues in the past, given that ccTLDs overall have much stricter registration policies and correspondingly much lower lev</w:t>
      </w:r>
      <w:r>
        <w:rPr>
          <w:rFonts w:ascii="Times New Roman" w:eastAsia="Times New Roman" w:hAnsi="Times New Roman" w:cs="Times New Roman"/>
          <w:noProof/>
          <w:sz w:val="24"/>
          <w:szCs w:val="24"/>
        </w:rPr>
        <w:t xml:space="preserve">els of abuse. The volume of requests therefore is not comparable to that generated by a gTLD registrar or registry with a less strict registration and anti-abuse policy. </w:t>
      </w:r>
    </w:p>
    <w:p w:rsidR="001B65FF" w:rsidRDefault="003E4EF4">
      <w:pPr>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To give an overall idea of the volumes involved, at the end of Q1 2017, there were 31</w:t>
      </w:r>
      <w:r>
        <w:rPr>
          <w:rFonts w:ascii="Times New Roman" w:eastAsia="Times New Roman" w:hAnsi="Times New Roman" w:cs="Times New Roman"/>
          <w:noProof/>
          <w:sz w:val="24"/>
          <w:szCs w:val="24"/>
        </w:rPr>
        <w:t>1 million domain names across all TLDs globally. ccTLDs have a combined market share of 40%, compared to 60% for gTLDs</w:t>
      </w:r>
      <w:r>
        <w:rPr>
          <w:rStyle w:val="FootnoteReference"/>
          <w:rFonts w:eastAsia="Times New Roman"/>
          <w:noProof/>
          <w:szCs w:val="24"/>
        </w:rPr>
        <w:footnoteReference w:id="295"/>
      </w:r>
      <w:r>
        <w:rPr>
          <w:rFonts w:ascii="Times New Roman" w:eastAsia="Times New Roman" w:hAnsi="Times New Roman" w:cs="Times New Roman"/>
          <w:noProof/>
          <w:sz w:val="24"/>
          <w:szCs w:val="24"/>
        </w:rPr>
        <w:t>.</w:t>
      </w:r>
    </w:p>
    <w:p w:rsidR="001B65FF" w:rsidRDefault="003E4EF4">
      <w:pPr>
        <w:spacing w:after="240"/>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public availability of WHOIS data has raised data protection concerns for a long time. With the approaching entry into application </w:t>
      </w:r>
      <w:r>
        <w:rPr>
          <w:rFonts w:ascii="Times New Roman" w:eastAsiaTheme="minorHAnsi" w:hAnsi="Times New Roman" w:cs="Times New Roman"/>
          <w:noProof/>
          <w:sz w:val="24"/>
          <w:szCs w:val="24"/>
        </w:rPr>
        <w:t>of the EU General Data Protection Regulation (GDPR) and its sanctions regime, the first registries and registrars, faced with uncertainty and fearing legal action, have stopped providing publicly available WHOIS information on the registrant when that regi</w:t>
      </w:r>
      <w:r>
        <w:rPr>
          <w:rFonts w:ascii="Times New Roman" w:eastAsiaTheme="minorHAnsi" w:hAnsi="Times New Roman" w:cs="Times New Roman"/>
          <w:noProof/>
          <w:sz w:val="24"/>
          <w:szCs w:val="24"/>
        </w:rPr>
        <w:t>strant is not a corporate entity. Government representatives have voiced their concern over these developments, stating that "the continued and lawful availability of WHOIS/RDS data for consumer protection, intellectual property rights protection and law e</w:t>
      </w:r>
      <w:r>
        <w:rPr>
          <w:rFonts w:ascii="Times New Roman" w:eastAsiaTheme="minorHAnsi" w:hAnsi="Times New Roman" w:cs="Times New Roman"/>
          <w:noProof/>
          <w:sz w:val="24"/>
          <w:szCs w:val="24"/>
        </w:rPr>
        <w:t>nforcement activities is a vital public concern and that ICANN should strive to explore all possible mechanisms under the GDPR to ensure that this data remains available for legitimate activities that protect the public and promote a safe, secure, and trus</w:t>
      </w:r>
      <w:r>
        <w:rPr>
          <w:rFonts w:ascii="Times New Roman" w:eastAsiaTheme="minorHAnsi" w:hAnsi="Times New Roman" w:cs="Times New Roman"/>
          <w:noProof/>
          <w:sz w:val="24"/>
          <w:szCs w:val="24"/>
        </w:rPr>
        <w:t>tworthy online environment."</w:t>
      </w:r>
      <w:r>
        <w:rPr>
          <w:rStyle w:val="FootnoteReference"/>
          <w:rFonts w:ascii="Times New Roman" w:eastAsiaTheme="minorHAnsi" w:hAnsi="Times New Roman" w:cs="Times New Roman"/>
          <w:noProof/>
          <w:sz w:val="24"/>
          <w:szCs w:val="24"/>
        </w:rPr>
        <w:footnoteReference w:id="296"/>
      </w:r>
      <w:r>
        <w:rPr>
          <w:rFonts w:ascii="Times New Roman" w:eastAsiaTheme="minorHAnsi" w:hAnsi="Times New Roman" w:cs="Times New Roman"/>
          <w:noProof/>
          <w:sz w:val="24"/>
        </w:rPr>
        <w:t xml:space="preserve"> For the EU, </w:t>
      </w:r>
      <w:r>
        <w:rPr>
          <w:rFonts w:ascii="Times New Roman" w:eastAsiaTheme="minorHAnsi" w:hAnsi="Times New Roman" w:cs="Times New Roman"/>
          <w:noProof/>
          <w:sz w:val="24"/>
          <w:szCs w:val="24"/>
        </w:rPr>
        <w:t xml:space="preserve">the </w:t>
      </w:r>
      <w:r>
        <w:rPr>
          <w:rFonts w:ascii="Times New Roman" w:eastAsiaTheme="minorHAnsi" w:hAnsi="Times New Roman" w:cs="Times New Roman"/>
          <w:noProof/>
          <w:sz w:val="24"/>
        </w:rPr>
        <w:t xml:space="preserve">Joint COM/EEAS </w:t>
      </w:r>
      <w:r>
        <w:rPr>
          <w:rFonts w:ascii="Times New Roman" w:eastAsiaTheme="minorHAnsi" w:hAnsi="Times New Roman" w:cs="Times New Roman"/>
          <w:noProof/>
          <w:sz w:val="24"/>
          <w:szCs w:val="24"/>
        </w:rPr>
        <w:t>Communication on ‘Resilience, Deterrence and Defence: Building strong cybersecurity for the EU’</w:t>
      </w:r>
      <w:r>
        <w:rPr>
          <w:rFonts w:ascii="Times New Roman" w:eastAsiaTheme="minorHAnsi" w:hAnsi="Times New Roman" w:cs="Times New Roman"/>
          <w:noProof/>
          <w:sz w:val="24"/>
          <w:szCs w:val="24"/>
          <w:vertAlign w:val="superscript"/>
        </w:rPr>
        <w:footnoteReference w:id="297"/>
      </w:r>
      <w:r>
        <w:rPr>
          <w:rFonts w:ascii="Times New Roman" w:eastAsiaTheme="minorHAnsi" w:hAnsi="Times New Roman" w:cs="Times New Roman"/>
          <w:noProof/>
          <w:sz w:val="24"/>
          <w:szCs w:val="24"/>
        </w:rPr>
        <w:t xml:space="preserve"> also highlights this issue as a priority: "[…] online accountability should be further promoted. T</w:t>
      </w:r>
      <w:r>
        <w:rPr>
          <w:rFonts w:ascii="Times New Roman" w:eastAsiaTheme="minorHAnsi" w:hAnsi="Times New Roman" w:cs="Times New Roman"/>
          <w:noProof/>
          <w:sz w:val="24"/>
          <w:szCs w:val="24"/>
        </w:rPr>
        <w:t xml:space="preserve">his means promoting measures to prevent the abuse of domain names for the distribution of unsolicited messages or phishing attacks. To this end, the Commission will work to improve the functioning of and the availability and accuracy of information in the </w:t>
      </w:r>
      <w:r>
        <w:rPr>
          <w:rFonts w:ascii="Times New Roman" w:eastAsiaTheme="minorHAnsi" w:hAnsi="Times New Roman" w:cs="Times New Roman"/>
          <w:noProof/>
          <w:sz w:val="24"/>
          <w:szCs w:val="24"/>
        </w:rPr>
        <w:t>Domain Name and IP WHOIS systems in line with the efforts of the Internet Corporation for Assigned Names and Numbers."</w:t>
      </w:r>
    </w:p>
    <w:p w:rsidR="001B65FF" w:rsidRDefault="003E4EF4">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the meantime, ICANN </w:t>
      </w:r>
      <w:r>
        <w:rPr>
          <w:rFonts w:ascii="Times New Roman" w:eastAsia="Times New Roman" w:hAnsi="Times New Roman"/>
          <w:noProof/>
          <w:sz w:val="24"/>
        </w:rPr>
        <w:t>announced</w:t>
      </w:r>
      <w:r>
        <w:rPr>
          <w:rStyle w:val="FootnoteReference"/>
          <w:rFonts w:ascii="Times New Roman" w:eastAsia="Times New Roman" w:hAnsi="Times New Roman"/>
          <w:noProof/>
          <w:sz w:val="24"/>
        </w:rPr>
        <w:footnoteReference w:id="298"/>
      </w:r>
      <w:r>
        <w:rPr>
          <w:rFonts w:ascii="Times New Roman" w:eastAsia="Times New Roman" w:hAnsi="Times New Roman" w:cs="Times New Roman"/>
          <w:noProof/>
          <w:sz w:val="24"/>
          <w:szCs w:val="24"/>
        </w:rPr>
        <w:t xml:space="preserve"> on 2 November that it would temporarily </w:t>
      </w:r>
      <w:r>
        <w:rPr>
          <w:rFonts w:ascii="Times New Roman" w:eastAsia="Times New Roman" w:hAnsi="Times New Roman" w:cs="Times New Roman"/>
          <w:noProof/>
          <w:sz w:val="24"/>
          <w:szCs w:val="24"/>
          <w:u w:val="single"/>
        </w:rPr>
        <w:t>suspend enforcement of the WHOIS policy</w:t>
      </w:r>
      <w:r>
        <w:rPr>
          <w:rFonts w:ascii="Times New Roman" w:eastAsia="Times New Roman" w:hAnsi="Times New Roman" w:cs="Times New Roman"/>
          <w:noProof/>
          <w:sz w:val="24"/>
          <w:szCs w:val="24"/>
        </w:rPr>
        <w:t>, subject to a number of</w:t>
      </w:r>
      <w:r>
        <w:rPr>
          <w:rFonts w:ascii="Times New Roman" w:eastAsia="Times New Roman" w:hAnsi="Times New Roman" w:cs="Times New Roman"/>
          <w:noProof/>
          <w:sz w:val="24"/>
          <w:szCs w:val="24"/>
        </w:rPr>
        <w:t xml:space="preserve"> conditions. ICANN also published legal advice indicating that:</w:t>
      </w:r>
    </w:p>
    <w:p w:rsidR="001B65FF" w:rsidRDefault="003E4EF4">
      <w:pPr>
        <w:numPr>
          <w:ilvl w:val="0"/>
          <w:numId w:val="196"/>
        </w:numPr>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WHOIS services will most likely need to change to</w:t>
      </w:r>
      <w:r>
        <w:rPr>
          <w:rFonts w:ascii="Times New Roman" w:eastAsia="Times New Roman" w:hAnsi="Times New Roman" w:cs="Times New Roman"/>
          <w:noProof/>
          <w:sz w:val="24"/>
          <w:szCs w:val="24"/>
        </w:rPr>
        <w:t xml:space="preserve"> comply with data protection rules as the WHOIS database contains large quantities of personal data that is made available in an unfiltered man</w:t>
      </w:r>
      <w:r>
        <w:rPr>
          <w:rFonts w:ascii="Times New Roman" w:eastAsia="Times New Roman" w:hAnsi="Times New Roman" w:cs="Times New Roman"/>
          <w:noProof/>
          <w:sz w:val="24"/>
          <w:szCs w:val="24"/>
        </w:rPr>
        <w:t>ner to the general public. A legitimate interest for this service will be difficult to demonstrate.</w:t>
      </w:r>
    </w:p>
    <w:p w:rsidR="001B65FF" w:rsidRDefault="003E4EF4">
      <w:pPr>
        <w:numPr>
          <w:ilvl w:val="0"/>
          <w:numId w:val="196"/>
        </w:numPr>
        <w:spacing w:after="2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Maintaining publicly available WHOIS can only be achieved through a series of complex policy changes and technical adjustments that are </w:t>
      </w:r>
      <w:r>
        <w:rPr>
          <w:rFonts w:ascii="Times New Roman" w:eastAsia="Times New Roman" w:hAnsi="Times New Roman" w:cs="Times New Roman"/>
          <w:b/>
          <w:noProof/>
          <w:sz w:val="24"/>
          <w:szCs w:val="24"/>
        </w:rPr>
        <w:t>unlikely</w:t>
      </w:r>
      <w:r>
        <w:rPr>
          <w:rFonts w:ascii="Times New Roman" w:eastAsia="Times New Roman" w:hAnsi="Times New Roman" w:cs="Times New Roman"/>
          <w:noProof/>
          <w:sz w:val="24"/>
          <w:szCs w:val="24"/>
        </w:rPr>
        <w:t xml:space="preserve"> to be put i</w:t>
      </w:r>
      <w:r>
        <w:rPr>
          <w:rFonts w:ascii="Times New Roman" w:eastAsia="Times New Roman" w:hAnsi="Times New Roman" w:cs="Times New Roman"/>
          <w:noProof/>
          <w:sz w:val="24"/>
          <w:szCs w:val="24"/>
        </w:rPr>
        <w:t>n place. A possible solution would need to rely on consent of registrants which would need to be freely given and could be withdrawn at any moment. Registrants would need to be free to opt out.</w:t>
      </w:r>
    </w:p>
    <w:p w:rsidR="001B65FF" w:rsidRDefault="003E4EF4">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expert opinion also indicated that there was </w:t>
      </w:r>
      <w:r>
        <w:rPr>
          <w:rFonts w:ascii="Times New Roman" w:eastAsia="Times New Roman" w:hAnsi="Times New Roman" w:cs="Times New Roman"/>
          <w:b/>
          <w:noProof/>
          <w:sz w:val="24"/>
          <w:szCs w:val="24"/>
        </w:rPr>
        <w:t>lack of compl</w:t>
      </w:r>
      <w:r>
        <w:rPr>
          <w:rFonts w:ascii="Times New Roman" w:eastAsia="Times New Roman" w:hAnsi="Times New Roman" w:cs="Times New Roman"/>
          <w:b/>
          <w:noProof/>
          <w:sz w:val="24"/>
          <w:szCs w:val="24"/>
        </w:rPr>
        <w:t>iance with the existing rules</w:t>
      </w:r>
      <w:r>
        <w:rPr>
          <w:rFonts w:ascii="Times New Roman" w:eastAsia="Times New Roman" w:hAnsi="Times New Roman" w:cs="Times New Roman"/>
          <w:noProof/>
          <w:sz w:val="24"/>
          <w:szCs w:val="24"/>
        </w:rPr>
        <w:t xml:space="preserve">. </w:t>
      </w:r>
    </w:p>
    <w:p w:rsidR="001B65FF" w:rsidRDefault="003E4EF4">
      <w:pPr>
        <w:shd w:val="clear" w:color="auto" w:fill="FFFFFF"/>
        <w:spacing w:before="240"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These announcements pave the way for a differentiated approach to the WHOIS. This could take the form of an expansion of privacy and proxy services or – in response to public interest concerns – a tiered access system, where</w:t>
      </w:r>
      <w:r>
        <w:rPr>
          <w:rFonts w:ascii="Times New Roman" w:eastAsia="Times New Roman" w:hAnsi="Times New Roman" w:cs="Times New Roman"/>
          <w:noProof/>
          <w:sz w:val="24"/>
          <w:szCs w:val="24"/>
        </w:rPr>
        <w:t xml:space="preserve"> a number of data elements would be available using credentialed access and for select groups of users only. This system has not been agreed upon, let alone implemented by all gTLD registries and registrars yet. However, it has been discussed for several y</w:t>
      </w:r>
      <w:r>
        <w:rPr>
          <w:rFonts w:ascii="Times New Roman" w:eastAsia="Times New Roman" w:hAnsi="Times New Roman" w:cs="Times New Roman"/>
          <w:noProof/>
          <w:sz w:val="24"/>
          <w:szCs w:val="24"/>
        </w:rPr>
        <w:t>ears and at this point appears to be the only realistic option for the way forward, given that a full use of privacy and proxy services would have significant negative consequences for the public interest.</w:t>
      </w:r>
    </w:p>
    <w:p w:rsidR="001B65FF" w:rsidRDefault="001B65FF">
      <w:pPr>
        <w:shd w:val="clear" w:color="auto" w:fill="FFFFFF"/>
        <w:spacing w:before="240" w:after="120"/>
        <w:jc w:val="both"/>
        <w:rPr>
          <w:rFonts w:ascii="Times New Roman" w:eastAsia="Times New Roman" w:hAnsi="Times New Roman" w:cs="Times New Roman"/>
          <w:noProof/>
          <w:sz w:val="24"/>
          <w:szCs w:val="24"/>
        </w:rPr>
        <w:sectPr w:rsidR="001B65FF">
          <w:headerReference w:type="even" r:id="rId218"/>
          <w:headerReference w:type="default" r:id="rId219"/>
          <w:footerReference w:type="even" r:id="rId220"/>
          <w:footerReference w:type="default" r:id="rId221"/>
          <w:headerReference w:type="first" r:id="rId222"/>
          <w:footerReference w:type="first" r:id="rId223"/>
          <w:pgSz w:w="11906" w:h="16838"/>
          <w:pgMar w:top="1418" w:right="1418" w:bottom="1134" w:left="1418" w:header="709" w:footer="709" w:gutter="0"/>
          <w:cols w:space="708"/>
          <w:docGrid w:linePitch="360"/>
        </w:sectPr>
      </w:pPr>
    </w:p>
    <w:p w:rsidR="001B65FF" w:rsidRDefault="003E4EF4">
      <w:pPr>
        <w:keepNext/>
        <w:spacing w:before="240" w:after="240" w:line="240" w:lineRule="auto"/>
        <w:jc w:val="both"/>
        <w:outlineLvl w:val="0"/>
        <w:rPr>
          <w:rFonts w:ascii="Times New Roman" w:eastAsia="Times New Roman" w:hAnsi="Times New Roman" w:cs="Times New Roman"/>
          <w:b/>
          <w:smallCaps/>
          <w:noProof/>
          <w:sz w:val="24"/>
          <w:szCs w:val="20"/>
        </w:rPr>
      </w:pPr>
      <w:bookmarkStart w:id="2307" w:name="_Toc499044983"/>
      <w:bookmarkStart w:id="2308" w:name="_Toc499051399"/>
      <w:bookmarkStart w:id="2309" w:name="_Toc499133358"/>
      <w:bookmarkStart w:id="2310" w:name="_Toc499142929"/>
      <w:bookmarkStart w:id="2311" w:name="_Toc510952924"/>
      <w:r>
        <w:rPr>
          <w:rFonts w:ascii="Times New Roman" w:eastAsia="Times New Roman" w:hAnsi="Times New Roman" w:cs="Times New Roman"/>
          <w:b/>
          <w:smallCaps/>
          <w:noProof/>
          <w:sz w:val="24"/>
          <w:szCs w:val="20"/>
        </w:rPr>
        <w:t>Annex 13:  SME Test</w:t>
      </w:r>
      <w:bookmarkEnd w:id="2307"/>
      <w:bookmarkEnd w:id="2308"/>
      <w:bookmarkEnd w:id="2309"/>
      <w:bookmarkEnd w:id="2310"/>
      <w:bookmarkEnd w:id="2311"/>
    </w:p>
    <w:p w:rsidR="001B65FF" w:rsidRDefault="003E4EF4">
      <w:pPr>
        <w:pStyle w:val="ListParagraph"/>
        <w:numPr>
          <w:ilvl w:val="0"/>
          <w:numId w:val="206"/>
        </w:numPr>
        <w:shd w:val="clear" w:color="auto" w:fill="FFFFFF"/>
        <w:spacing w:before="240" w:after="120"/>
        <w:jc w:val="both"/>
        <w:rPr>
          <w:rFonts w:ascii="Times New Roman" w:eastAsiaTheme="minorHAnsi" w:hAnsi="Times New Roman" w:cs="Times New Roman"/>
          <w:b/>
          <w:noProof/>
          <w:sz w:val="24"/>
          <w:szCs w:val="24"/>
        </w:rPr>
      </w:pPr>
      <w:bookmarkStart w:id="2312" w:name="_Toc499044984"/>
      <w:bookmarkStart w:id="2313" w:name="_Toc499051400"/>
      <w:r>
        <w:rPr>
          <w:rFonts w:ascii="Times New Roman" w:eastAsiaTheme="minorHAnsi" w:hAnsi="Times New Roman" w:cs="Times New Roman"/>
          <w:b/>
          <w:noProof/>
          <w:sz w:val="24"/>
          <w:szCs w:val="24"/>
        </w:rPr>
        <w:t>Identification of affected businesses</w:t>
      </w:r>
      <w:bookmarkEnd w:id="2312"/>
      <w:bookmarkEnd w:id="2313"/>
    </w:p>
    <w:p w:rsidR="001B65FF" w:rsidRDefault="003E4EF4">
      <w:pPr>
        <w:shd w:val="clear" w:color="auto" w:fill="FFFFFF"/>
        <w:spacing w:before="240" w:after="120"/>
        <w:contextualSpacing/>
        <w:jc w:val="both"/>
        <w:rPr>
          <w:rFonts w:eastAsiaTheme="minorHAnsi"/>
          <w:noProof/>
          <w:sz w:val="24"/>
          <w:szCs w:val="24"/>
        </w:rPr>
      </w:pPr>
      <w:r>
        <w:rPr>
          <w:rFonts w:ascii="Times New Roman" w:eastAsiaTheme="minorHAnsi" w:hAnsi="Times New Roman" w:cs="Times New Roman"/>
          <w:noProof/>
          <w:sz w:val="24"/>
          <w:szCs w:val="24"/>
        </w:rPr>
        <w:t xml:space="preserve">SMEs are among the service providers affected by the measures described in this impact assessment, although it is estimated that </w:t>
      </w:r>
      <w:r>
        <w:rPr>
          <w:rFonts w:ascii="Times New Roman" w:hAnsi="Times New Roman" w:cs="Times New Roman"/>
          <w:noProof/>
          <w:sz w:val="24"/>
        </w:rPr>
        <w:t>up to 90% of current cross-border requests for</w:t>
      </w:r>
      <w:r>
        <w:rPr>
          <w:rFonts w:ascii="Times New Roman" w:hAnsi="Times New Roman" w:cs="Times New Roman"/>
          <w:noProof/>
          <w:sz w:val="24"/>
        </w:rPr>
        <w:t xml:space="preserve"> non-content data are sent to five providers (Microsoft, Apple, google, Facebook, Twitter). This shows that SMEs account only for a small proportion of requests.</w:t>
      </w:r>
    </w:p>
    <w:p w:rsidR="001B65FF" w:rsidRDefault="003E4EF4">
      <w:pPr>
        <w:pStyle w:val="ListParagraph"/>
        <w:numPr>
          <w:ilvl w:val="0"/>
          <w:numId w:val="206"/>
        </w:numPr>
        <w:shd w:val="clear" w:color="auto" w:fill="FFFFFF"/>
        <w:spacing w:before="240" w:after="120"/>
        <w:jc w:val="both"/>
        <w:rPr>
          <w:rFonts w:ascii="Times New Roman" w:eastAsiaTheme="minorHAnsi" w:hAnsi="Times New Roman" w:cs="Times New Roman"/>
          <w:noProof/>
          <w:sz w:val="24"/>
          <w:szCs w:val="24"/>
        </w:rPr>
      </w:pPr>
      <w:bookmarkStart w:id="2314" w:name="_Toc499044985"/>
      <w:bookmarkStart w:id="2315" w:name="_Toc499051401"/>
      <w:r>
        <w:rPr>
          <w:rFonts w:ascii="Times New Roman" w:eastAsiaTheme="minorHAnsi" w:hAnsi="Times New Roman" w:cs="Times New Roman"/>
          <w:b/>
          <w:noProof/>
          <w:sz w:val="24"/>
          <w:szCs w:val="24"/>
        </w:rPr>
        <w:t>Consultation of SME stakeholders</w:t>
      </w:r>
      <w:bookmarkEnd w:id="2314"/>
      <w:bookmarkEnd w:id="2315"/>
    </w:p>
    <w:p w:rsidR="001B65FF" w:rsidRDefault="003E4EF4">
      <w:pPr>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SME stakeholders provided feedback to the Inception Impact As</w:t>
      </w:r>
      <w:r>
        <w:rPr>
          <w:rFonts w:ascii="Times New Roman" w:eastAsiaTheme="minorHAnsi" w:hAnsi="Times New Roman" w:cs="Times New Roman"/>
          <w:noProof/>
          <w:sz w:val="24"/>
          <w:szCs w:val="24"/>
        </w:rPr>
        <w:t>sessment and participated in the open public consultation through three industry associations: EuroIspa (one of the largest 'umbrella' associations of Internet Services Providers in the world, which includes a significant number of SMEs</w:t>
      </w:r>
      <w:r>
        <w:rPr>
          <w:rStyle w:val="FootnoteReference"/>
          <w:rFonts w:ascii="Times New Roman" w:eastAsiaTheme="minorHAnsi" w:hAnsi="Times New Roman" w:cs="Times New Roman"/>
          <w:noProof/>
          <w:sz w:val="24"/>
          <w:szCs w:val="24"/>
        </w:rPr>
        <w:footnoteReference w:id="299"/>
      </w:r>
      <w:r>
        <w:rPr>
          <w:rFonts w:ascii="Times New Roman" w:eastAsiaTheme="minorHAnsi" w:hAnsi="Times New Roman" w:cs="Times New Roman"/>
          <w:noProof/>
          <w:sz w:val="24"/>
          <w:szCs w:val="24"/>
        </w:rPr>
        <w:t>), ACT | The App As</w:t>
      </w:r>
      <w:r>
        <w:rPr>
          <w:rFonts w:ascii="Times New Roman" w:eastAsiaTheme="minorHAnsi" w:hAnsi="Times New Roman" w:cs="Times New Roman"/>
          <w:noProof/>
          <w:sz w:val="24"/>
          <w:szCs w:val="24"/>
        </w:rPr>
        <w:t>sociation and ECO – German Internet Industry Association. All three raised concerns regarding the potential administrative burden and compliance costs, and two suggested that specific measures should be taken to reduce the financial cost. All however recog</w:t>
      </w:r>
      <w:r>
        <w:rPr>
          <w:rFonts w:ascii="Times New Roman" w:eastAsiaTheme="minorHAnsi" w:hAnsi="Times New Roman" w:cs="Times New Roman"/>
          <w:noProof/>
          <w:sz w:val="24"/>
          <w:szCs w:val="24"/>
        </w:rPr>
        <w:t>nised the need for legal clarity.</w:t>
      </w:r>
    </w:p>
    <w:p w:rsidR="001B65FF" w:rsidRDefault="003E4EF4">
      <w:pPr>
        <w:jc w:val="both"/>
        <w:rPr>
          <w:rFonts w:eastAsiaTheme="minorHAnsi"/>
          <w:noProof/>
          <w:sz w:val="24"/>
          <w:szCs w:val="24"/>
        </w:rPr>
      </w:pPr>
      <w:r>
        <w:rPr>
          <w:rFonts w:ascii="Times New Roman" w:eastAsiaTheme="minorHAnsi" w:hAnsi="Times New Roman" w:cs="Times New Roman"/>
          <w:noProof/>
          <w:sz w:val="24"/>
          <w:szCs w:val="24"/>
        </w:rPr>
        <w:t xml:space="preserve">In addition, the Commission had several meetings with EuroIspa, bilaterally and in the context of </w:t>
      </w:r>
      <w:r>
        <w:rPr>
          <w:rFonts w:ascii="Times New Roman" w:hAnsi="Times New Roman" w:cs="Times New Roman"/>
          <w:noProof/>
          <w:sz w:val="24"/>
        </w:rPr>
        <w:t xml:space="preserve">EU Internet Forum </w:t>
      </w:r>
      <w:r>
        <w:rPr>
          <w:rFonts w:ascii="Times New Roman" w:eastAsiaTheme="minorHAnsi" w:hAnsi="Times New Roman" w:cs="Times New Roman"/>
          <w:noProof/>
          <w:sz w:val="24"/>
          <w:szCs w:val="24"/>
        </w:rPr>
        <w:t>with several other service providers.</w:t>
      </w:r>
    </w:p>
    <w:p w:rsidR="001B65FF" w:rsidRDefault="003E4EF4">
      <w:pPr>
        <w:pStyle w:val="ListParagraph"/>
        <w:numPr>
          <w:ilvl w:val="0"/>
          <w:numId w:val="206"/>
        </w:numPr>
        <w:shd w:val="clear" w:color="auto" w:fill="FFFFFF"/>
        <w:spacing w:before="240" w:after="120"/>
        <w:jc w:val="both"/>
        <w:rPr>
          <w:rFonts w:eastAsiaTheme="minorHAnsi"/>
          <w:b/>
          <w:noProof/>
        </w:rPr>
      </w:pPr>
      <w:bookmarkStart w:id="2316" w:name="_Toc499044986"/>
      <w:bookmarkStart w:id="2317" w:name="_Toc499051402"/>
      <w:r>
        <w:rPr>
          <w:rFonts w:ascii="Times New Roman" w:eastAsiaTheme="minorHAnsi" w:hAnsi="Times New Roman" w:cs="Times New Roman"/>
          <w:b/>
          <w:noProof/>
          <w:sz w:val="24"/>
          <w:szCs w:val="24"/>
        </w:rPr>
        <w:t>Measurement of the impact on SMEs</w:t>
      </w:r>
      <w:bookmarkEnd w:id="2316"/>
      <w:bookmarkEnd w:id="2317"/>
    </w:p>
    <w:p w:rsidR="001B65FF" w:rsidRDefault="003E4EF4">
      <w:pPr>
        <w:shd w:val="clear" w:color="auto" w:fill="FFFFFF"/>
        <w:spacing w:before="240" w:after="120"/>
        <w:contextualSpacing/>
        <w:jc w:val="both"/>
        <w:rPr>
          <w:rFonts w:eastAsiaTheme="minorHAnsi"/>
          <w:noProof/>
        </w:rPr>
      </w:pPr>
      <w:r>
        <w:rPr>
          <w:rFonts w:ascii="Times New Roman" w:eastAsiaTheme="minorHAnsi" w:hAnsi="Times New Roman" w:cs="Times New Roman"/>
          <w:noProof/>
          <w:sz w:val="24"/>
          <w:szCs w:val="24"/>
        </w:rPr>
        <w:t>The different measures have been f</w:t>
      </w:r>
      <w:r>
        <w:rPr>
          <w:rFonts w:ascii="Times New Roman" w:eastAsiaTheme="minorHAnsi" w:hAnsi="Times New Roman" w:cs="Times New Roman"/>
          <w:noProof/>
          <w:sz w:val="24"/>
          <w:szCs w:val="24"/>
        </w:rPr>
        <w:t>ound to have the following impacts on SMEs:</w:t>
      </w:r>
    </w:p>
    <w:p w:rsidR="001B65FF" w:rsidRDefault="001B65FF">
      <w:pPr>
        <w:shd w:val="clear" w:color="auto" w:fill="FFFFFF"/>
        <w:spacing w:before="240" w:after="120"/>
        <w:contextualSpacing/>
        <w:jc w:val="both"/>
        <w:rPr>
          <w:rFonts w:eastAsiaTheme="minorHAnsi"/>
          <w:noProof/>
        </w:rPr>
      </w:pPr>
    </w:p>
    <w:p w:rsidR="001B65FF" w:rsidRDefault="003E4EF4">
      <w:pPr>
        <w:shd w:val="clear" w:color="auto" w:fill="FFFFFF"/>
        <w:spacing w:before="240" w:after="120"/>
        <w:contextualSpacing/>
        <w:jc w:val="both"/>
        <w:rPr>
          <w:rFonts w:eastAsiaTheme="minorHAnsi"/>
          <w:b/>
          <w:i/>
          <w:noProof/>
        </w:rPr>
      </w:pPr>
      <w:r>
        <w:rPr>
          <w:rFonts w:ascii="Times New Roman" w:eastAsiaTheme="minorHAnsi" w:hAnsi="Times New Roman" w:cs="Times New Roman"/>
          <w:b/>
          <w:i/>
          <w:noProof/>
          <w:sz w:val="24"/>
          <w:szCs w:val="24"/>
        </w:rPr>
        <w:t>Baseline scenario</w:t>
      </w:r>
    </w:p>
    <w:p w:rsidR="001B65FF" w:rsidRDefault="001B65FF">
      <w:pPr>
        <w:shd w:val="clear" w:color="auto" w:fill="FFFFFF"/>
        <w:spacing w:before="240" w:after="120"/>
        <w:contextualSpacing/>
        <w:jc w:val="both"/>
        <w:rPr>
          <w:rFonts w:ascii="Times New Roman" w:hAnsi="Times New Roman"/>
          <w:noProof/>
          <w:sz w:val="24"/>
        </w:rPr>
      </w:pPr>
    </w:p>
    <w:p w:rsidR="001B65FF" w:rsidRDefault="003E4EF4">
      <w:pPr>
        <w:shd w:val="clear" w:color="auto" w:fill="FFFFFF"/>
        <w:spacing w:before="240" w:after="120"/>
        <w:contextualSpacing/>
        <w:jc w:val="both"/>
        <w:rPr>
          <w:rFonts w:ascii="Times New Roman" w:hAnsi="Times New Roman"/>
          <w:noProof/>
          <w:sz w:val="24"/>
          <w:szCs w:val="24"/>
        </w:rPr>
      </w:pPr>
      <w:r>
        <w:rPr>
          <w:rFonts w:ascii="Times New Roman" w:hAnsi="Times New Roman"/>
          <w:noProof/>
          <w:sz w:val="24"/>
          <w:lang w:eastAsia="ar-SA"/>
        </w:rPr>
        <w:t xml:space="preserve">The baseline scenario is characterised by a high degree of legal uncertainty. ACT (the app association) sums up the threat to SMEs in the face of legal uncertainty in their response to the </w:t>
      </w:r>
      <w:r>
        <w:rPr>
          <w:rFonts w:ascii="Times New Roman" w:hAnsi="Times New Roman"/>
          <w:noProof/>
          <w:sz w:val="24"/>
          <w:lang w:eastAsia="ar-SA"/>
        </w:rPr>
        <w:t>Inception Impact Assessment: "While cloud computing has the potential to provide SME's with the ability to expand their business overseas at unprecedentedly low cost, legal uncertainty and</w:t>
      </w:r>
      <w:r>
        <w:rPr>
          <w:rFonts w:ascii="Times New Roman" w:hAnsi="Times New Roman"/>
          <w:noProof/>
          <w:sz w:val="24"/>
          <w:szCs w:val="24"/>
          <w:lang w:eastAsia="ar-SA"/>
        </w:rPr>
        <w:t xml:space="preserve"> retaliatory policies threaten this progress. Without a successful i</w:t>
      </w:r>
      <w:r>
        <w:rPr>
          <w:rFonts w:ascii="Times New Roman" w:hAnsi="Times New Roman"/>
          <w:noProof/>
          <w:sz w:val="24"/>
          <w:szCs w:val="24"/>
          <w:lang w:eastAsia="ar-SA"/>
        </w:rPr>
        <w:t>nternational framework to address cross-border law enforcement needs, nor one to address the digital economy, SME's face a legally and financially untenable situation in which they must discern which law governs in the context of extraterritorial warrants.</w:t>
      </w:r>
      <w:r>
        <w:rPr>
          <w:rFonts w:ascii="Times New Roman" w:hAnsi="Times New Roman"/>
          <w:noProof/>
          <w:sz w:val="24"/>
          <w:szCs w:val="24"/>
          <w:lang w:eastAsia="ar-SA"/>
        </w:rPr>
        <w:t>”</w:t>
      </w:r>
      <w:r>
        <w:rPr>
          <w:rStyle w:val="FootnoteReference"/>
          <w:rFonts w:ascii="Times New Roman" w:hAnsi="Times New Roman"/>
          <w:noProof/>
          <w:sz w:val="24"/>
          <w:szCs w:val="24"/>
          <w:lang w:eastAsia="ar-SA"/>
        </w:rPr>
        <w:footnoteReference w:id="300"/>
      </w:r>
    </w:p>
    <w:p w:rsidR="001B65FF" w:rsidRDefault="001B65FF">
      <w:pPr>
        <w:shd w:val="clear" w:color="auto" w:fill="FFFFFF"/>
        <w:spacing w:before="240" w:after="120"/>
        <w:contextualSpacing/>
        <w:jc w:val="both"/>
        <w:rPr>
          <w:rFonts w:eastAsiaTheme="minorHAnsi"/>
          <w:noProof/>
        </w:rPr>
      </w:pPr>
    </w:p>
    <w:p w:rsidR="001B65FF" w:rsidRDefault="003E4EF4">
      <w:pPr>
        <w:keepNext/>
        <w:shd w:val="clear" w:color="auto" w:fill="FFFFFF"/>
        <w:spacing w:before="240" w:after="120"/>
        <w:contextualSpacing/>
        <w:jc w:val="both"/>
        <w:rPr>
          <w:rFonts w:eastAsiaTheme="minorHAnsi"/>
          <w:b/>
          <w:i/>
          <w:noProof/>
        </w:rPr>
      </w:pPr>
      <w:r>
        <w:rPr>
          <w:rFonts w:ascii="Times New Roman" w:eastAsiaTheme="minorHAnsi" w:hAnsi="Times New Roman" w:cs="Times New Roman"/>
          <w:b/>
          <w:i/>
          <w:noProof/>
          <w:sz w:val="24"/>
          <w:szCs w:val="24"/>
        </w:rPr>
        <w:t>Non-legislative measures</w:t>
      </w:r>
    </w:p>
    <w:p w:rsidR="001B65FF" w:rsidRDefault="003E4EF4">
      <w:pPr>
        <w:shd w:val="clear" w:color="auto" w:fill="FFFFFF"/>
        <w:spacing w:before="240" w:after="120"/>
        <w:contextualSpacing/>
        <w:jc w:val="both"/>
        <w:rPr>
          <w:noProof/>
          <w:lang w:eastAsia="ar-SA"/>
        </w:rPr>
      </w:pPr>
      <w:r>
        <w:rPr>
          <w:rFonts w:ascii="Times New Roman" w:hAnsi="Times New Roman"/>
          <w:noProof/>
          <w:sz w:val="24"/>
          <w:szCs w:val="24"/>
          <w:lang w:eastAsia="ar-SA"/>
        </w:rPr>
        <w:t xml:space="preserve">Given that the practical measures are largely voluntary in nature and do not require participation by all service providers, SMEs can participate where they deem measures cost-effective in view of their individual business </w:t>
      </w:r>
      <w:r>
        <w:rPr>
          <w:rFonts w:ascii="Times New Roman" w:hAnsi="Times New Roman"/>
          <w:noProof/>
          <w:sz w:val="24"/>
          <w:szCs w:val="24"/>
          <w:lang w:eastAsia="ar-SA"/>
        </w:rPr>
        <w:t>model, corporate social responsibility and other factors. Therefore, the economic impact of the practical options does not go beyond the necessary and should not disfavour SMEs. On the contrary, SMEs should benefit disproportionately from higher-quality re</w:t>
      </w:r>
      <w:r>
        <w:rPr>
          <w:rFonts w:ascii="Times New Roman" w:hAnsi="Times New Roman"/>
          <w:noProof/>
          <w:sz w:val="24"/>
          <w:szCs w:val="24"/>
          <w:lang w:eastAsia="ar-SA"/>
        </w:rPr>
        <w:t>quests as might be ensured through a centralised SPOC system on the authorities' side. The possibility to opt into standardised forms and to draw upon streamlined policies for inspiration might furthermore have a positive economic impact, alleviating the c</w:t>
      </w:r>
      <w:r>
        <w:rPr>
          <w:rFonts w:ascii="Times New Roman" w:hAnsi="Times New Roman"/>
          <w:noProof/>
          <w:sz w:val="24"/>
          <w:szCs w:val="24"/>
          <w:lang w:eastAsia="ar-SA"/>
        </w:rPr>
        <w:t>ost burden for SMEs and contributing to ensure a level-playing field with bigger companies.</w:t>
      </w:r>
    </w:p>
    <w:p w:rsidR="001B65FF" w:rsidRDefault="001B65FF">
      <w:pPr>
        <w:shd w:val="clear" w:color="auto" w:fill="FFFFFF"/>
        <w:spacing w:before="240" w:after="120"/>
        <w:contextualSpacing/>
        <w:jc w:val="both"/>
        <w:rPr>
          <w:rFonts w:eastAsiaTheme="minorHAnsi"/>
          <w:noProof/>
        </w:rPr>
      </w:pPr>
    </w:p>
    <w:p w:rsidR="001B65FF" w:rsidRDefault="003E4EF4">
      <w:pPr>
        <w:shd w:val="clear" w:color="auto" w:fill="FFFFFF"/>
        <w:spacing w:before="240" w:after="120"/>
        <w:contextualSpacing/>
        <w:jc w:val="both"/>
        <w:rPr>
          <w:rFonts w:eastAsiaTheme="minorHAnsi"/>
          <w:b/>
          <w:i/>
          <w:noProof/>
        </w:rPr>
      </w:pPr>
      <w:r>
        <w:rPr>
          <w:rFonts w:ascii="Times New Roman" w:eastAsiaTheme="minorHAnsi" w:hAnsi="Times New Roman" w:cs="Times New Roman"/>
          <w:b/>
          <w:i/>
          <w:noProof/>
          <w:sz w:val="24"/>
          <w:szCs w:val="24"/>
        </w:rPr>
        <w:t>International agreements</w:t>
      </w:r>
    </w:p>
    <w:p w:rsidR="001B65FF" w:rsidRDefault="003E4EF4">
      <w:pPr>
        <w:shd w:val="clear" w:color="auto" w:fill="FFFFFF"/>
        <w:spacing w:before="240" w:after="120"/>
        <w:contextualSpacing/>
        <w:jc w:val="both"/>
        <w:rPr>
          <w:rFonts w:eastAsiaTheme="minorHAnsi"/>
          <w:noProof/>
        </w:rPr>
      </w:pPr>
      <w:r>
        <w:rPr>
          <w:rFonts w:ascii="Times New Roman" w:eastAsiaTheme="minorHAnsi" w:hAnsi="Times New Roman" w:cs="Times New Roman"/>
          <w:noProof/>
          <w:sz w:val="24"/>
          <w:szCs w:val="24"/>
        </w:rPr>
        <w:t>In the absence of clarity as to the outcome of international negotiations, it is not possible to assess the impact of these measures on SM</w:t>
      </w:r>
      <w:r>
        <w:rPr>
          <w:rFonts w:ascii="Times New Roman" w:eastAsiaTheme="minorHAnsi" w:hAnsi="Times New Roman" w:cs="Times New Roman"/>
          <w:noProof/>
          <w:sz w:val="24"/>
          <w:szCs w:val="24"/>
        </w:rPr>
        <w:t xml:space="preserve">Es at this stage. </w:t>
      </w:r>
    </w:p>
    <w:p w:rsidR="001B65FF" w:rsidRDefault="001B65FF">
      <w:pPr>
        <w:shd w:val="clear" w:color="auto" w:fill="FFFFFF"/>
        <w:spacing w:before="240" w:after="120"/>
        <w:contextualSpacing/>
        <w:jc w:val="both"/>
        <w:rPr>
          <w:rFonts w:eastAsiaTheme="minorHAnsi"/>
          <w:noProof/>
        </w:rPr>
      </w:pPr>
    </w:p>
    <w:p w:rsidR="001B65FF" w:rsidRDefault="003E4EF4">
      <w:pPr>
        <w:shd w:val="clear" w:color="auto" w:fill="FFFFFF"/>
        <w:spacing w:before="240" w:after="120"/>
        <w:contextualSpacing/>
        <w:jc w:val="both"/>
        <w:rPr>
          <w:rFonts w:eastAsiaTheme="minorHAnsi"/>
          <w:b/>
          <w:i/>
          <w:noProof/>
        </w:rPr>
      </w:pPr>
      <w:r>
        <w:rPr>
          <w:rFonts w:ascii="Times New Roman" w:eastAsiaTheme="minorHAnsi" w:hAnsi="Times New Roman" w:cs="Times New Roman"/>
          <w:b/>
          <w:i/>
          <w:noProof/>
          <w:sz w:val="24"/>
          <w:szCs w:val="24"/>
        </w:rPr>
        <w:t xml:space="preserve">Legislative measures </w:t>
      </w:r>
    </w:p>
    <w:p w:rsidR="001B65FF" w:rsidRDefault="003E4EF4">
      <w:pPr>
        <w:shd w:val="clear" w:color="auto" w:fill="FFFFFF"/>
        <w:spacing w:before="240" w:after="120"/>
        <w:contextualSpacing/>
        <w:jc w:val="both"/>
        <w:rPr>
          <w:noProof/>
        </w:rPr>
      </w:pPr>
      <w:r>
        <w:rPr>
          <w:rFonts w:ascii="Times New Roman" w:eastAsiaTheme="minorHAnsi" w:hAnsi="Times New Roman" w:cs="Times New Roman"/>
          <w:noProof/>
          <w:sz w:val="24"/>
          <w:szCs w:val="24"/>
        </w:rPr>
        <w:t xml:space="preserve">Of the two legislative measures discussed, the European Production Order is the only which will have an impact on SMEs. The first important impact is that they would be faced by production orders from other Member </w:t>
      </w:r>
      <w:r>
        <w:rPr>
          <w:rFonts w:ascii="Times New Roman" w:eastAsiaTheme="minorHAnsi" w:hAnsi="Times New Roman" w:cs="Times New Roman"/>
          <w:noProof/>
          <w:sz w:val="24"/>
          <w:szCs w:val="24"/>
        </w:rPr>
        <w:t xml:space="preserve">States. This would affect both EU and non-EU SMEs. </w:t>
      </w:r>
      <w:r>
        <w:rPr>
          <w:rFonts w:ascii="Times New Roman" w:hAnsi="Times New Roman"/>
          <w:noProof/>
          <w:sz w:val="24"/>
          <w:szCs w:val="24"/>
        </w:rPr>
        <w:t>As also results from the replies to the public consultation, they would be faced with a relatively higher administrative burden than bigger companies, many of which already have staff and procedures in pla</w:t>
      </w:r>
      <w:r>
        <w:rPr>
          <w:rFonts w:ascii="Times New Roman" w:hAnsi="Times New Roman"/>
          <w:noProof/>
          <w:sz w:val="24"/>
          <w:szCs w:val="24"/>
        </w:rPr>
        <w:t>ce to deal with foreign orders under voluntary cooperation. A particular burden would be to authenticate the orders to make sure they come from a legitimate source. This is much more difficult for a small company who only gets such order occasionally and i</w:t>
      </w:r>
      <w:r>
        <w:rPr>
          <w:rFonts w:ascii="Times New Roman" w:hAnsi="Times New Roman"/>
          <w:noProof/>
          <w:sz w:val="24"/>
          <w:szCs w:val="24"/>
        </w:rPr>
        <w:t>s not familiar with the rules and procedures. On the other hand, as SMEs are particularly affected by legal uncertainty, they would benefit more from a clear legal framework in the EU and a unique procedure and form applied by all Member States. The fact t</w:t>
      </w:r>
      <w:r>
        <w:rPr>
          <w:rFonts w:ascii="Times New Roman" w:hAnsi="Times New Roman"/>
          <w:noProof/>
          <w:sz w:val="24"/>
          <w:szCs w:val="24"/>
        </w:rPr>
        <w:t>hat the form would be translated into their language would also make it easier for them.</w:t>
      </w:r>
    </w:p>
    <w:p w:rsidR="001B65FF" w:rsidRDefault="001B65FF">
      <w:pPr>
        <w:shd w:val="clear" w:color="auto" w:fill="FFFFFF"/>
        <w:spacing w:before="240" w:after="120"/>
        <w:contextualSpacing/>
        <w:jc w:val="both"/>
        <w:rPr>
          <w:rFonts w:eastAsiaTheme="minorHAnsi"/>
          <w:noProof/>
        </w:rPr>
      </w:pPr>
    </w:p>
    <w:p w:rsidR="001B65FF" w:rsidRDefault="003E4EF4">
      <w:pPr>
        <w:shd w:val="clear" w:color="auto" w:fill="FFFFFF"/>
        <w:spacing w:before="240" w:after="120"/>
        <w:contextualSpacing/>
        <w:jc w:val="both"/>
        <w:rPr>
          <w:noProof/>
          <w:sz w:val="24"/>
        </w:rPr>
      </w:pPr>
      <w:r>
        <w:rPr>
          <w:rFonts w:ascii="Times New Roman" w:eastAsiaTheme="minorHAnsi" w:hAnsi="Times New Roman" w:cs="Times New Roman"/>
          <w:noProof/>
          <w:sz w:val="24"/>
          <w:szCs w:val="24"/>
        </w:rPr>
        <w:t>Another important impact for SMEs will stem from the obligation to nominate a legal representative. This measure will mainly affect non-EU SMEs not present in the EU,</w:t>
      </w:r>
      <w:r>
        <w:rPr>
          <w:rFonts w:ascii="Times New Roman" w:eastAsiaTheme="minorHAnsi" w:hAnsi="Times New Roman" w:cs="Times New Roman"/>
          <w:noProof/>
          <w:sz w:val="24"/>
          <w:szCs w:val="24"/>
        </w:rPr>
        <w:t xml:space="preserve"> as it will require nominating somebody in the EU. </w:t>
      </w:r>
      <w:r>
        <w:rPr>
          <w:rFonts w:ascii="Times New Roman" w:hAnsi="Times New Roman"/>
          <w:noProof/>
          <w:sz w:val="24"/>
          <w:szCs w:val="24"/>
        </w:rPr>
        <w:t>As noted by ACT – The App Association in its response to the Inception Impact Assessment, "[f]or small business service providers located outside of the EU, appointing a legal representative in the EU alon</w:t>
      </w:r>
      <w:r>
        <w:rPr>
          <w:rFonts w:ascii="Times New Roman" w:hAnsi="Times New Roman"/>
          <w:noProof/>
          <w:sz w:val="24"/>
          <w:szCs w:val="24"/>
        </w:rPr>
        <w:t>e may represent an unsustainable cost, and could effectively prevent companies from doing business in the EU or with EU subjects.”</w:t>
      </w:r>
      <w:r>
        <w:rPr>
          <w:rStyle w:val="FootnoteReference"/>
          <w:rFonts w:ascii="Times New Roman" w:hAnsi="Times New Roman"/>
          <w:noProof/>
          <w:sz w:val="24"/>
          <w:szCs w:val="24"/>
        </w:rPr>
        <w:footnoteReference w:id="301"/>
      </w:r>
      <w:r>
        <w:rPr>
          <w:rFonts w:ascii="Times New Roman" w:hAnsi="Times New Roman"/>
          <w:noProof/>
          <w:sz w:val="24"/>
          <w:szCs w:val="24"/>
        </w:rPr>
        <w:t xml:space="preserve"> On the other hand, this legal representative could be shared between service providers, in particular SMEs, and the legal re</w:t>
      </w:r>
      <w:r>
        <w:rPr>
          <w:rFonts w:ascii="Times New Roman" w:hAnsi="Times New Roman"/>
          <w:noProof/>
          <w:sz w:val="24"/>
          <w:szCs w:val="24"/>
        </w:rPr>
        <w:t xml:space="preserve">presentative may accumulate different functions (e.g. GDPR or ePrivacy representatives in addition to the production order legal representative). </w:t>
      </w:r>
      <w:r>
        <w:rPr>
          <w:rFonts w:ascii="Times New Roman" w:eastAsiaTheme="minorHAnsi" w:hAnsi="Times New Roman" w:cs="Times New Roman"/>
          <w:noProof/>
          <w:sz w:val="24"/>
          <w:szCs w:val="24"/>
        </w:rPr>
        <w:t xml:space="preserve">It will only apply to </w:t>
      </w:r>
      <w:r>
        <w:rPr>
          <w:rFonts w:ascii="Times New Roman" w:hAnsi="Times New Roman" w:cs="Times New Roman"/>
          <w:noProof/>
          <w:sz w:val="24"/>
        </w:rPr>
        <w:t>SMEs who offer their services in the EU, and not in case of occasional data processing i</w:t>
      </w:r>
      <w:r>
        <w:rPr>
          <w:rFonts w:ascii="Times New Roman" w:hAnsi="Times New Roman" w:cs="Times New Roman"/>
          <w:noProof/>
          <w:sz w:val="24"/>
        </w:rPr>
        <w:t>n the EU.</w:t>
      </w:r>
      <w:r>
        <w:rPr>
          <w:rFonts w:ascii="Times New Roman" w:hAnsi="Times New Roman"/>
          <w:noProof/>
          <w:sz w:val="24"/>
          <w:szCs w:val="24"/>
        </w:rPr>
        <w:t xml:space="preserve"> </w:t>
      </w:r>
    </w:p>
    <w:p w:rsidR="001B65FF" w:rsidRDefault="003E4EF4">
      <w:pPr>
        <w:pStyle w:val="ListParagraph"/>
        <w:numPr>
          <w:ilvl w:val="0"/>
          <w:numId w:val="206"/>
        </w:numPr>
        <w:shd w:val="clear" w:color="auto" w:fill="FFFFFF"/>
        <w:spacing w:before="240" w:after="120"/>
        <w:jc w:val="both"/>
        <w:rPr>
          <w:rFonts w:ascii="Times New Roman" w:eastAsiaTheme="minorHAnsi" w:hAnsi="Times New Roman" w:cs="Times New Roman"/>
          <w:b/>
          <w:noProof/>
          <w:sz w:val="24"/>
          <w:szCs w:val="24"/>
        </w:rPr>
      </w:pPr>
      <w:bookmarkStart w:id="2318" w:name="_Toc499044987"/>
      <w:bookmarkStart w:id="2319" w:name="_Toc499051403"/>
      <w:r>
        <w:rPr>
          <w:rFonts w:ascii="Times New Roman" w:eastAsiaTheme="minorHAnsi" w:hAnsi="Times New Roman" w:cs="Times New Roman"/>
          <w:b/>
          <w:noProof/>
          <w:sz w:val="24"/>
          <w:szCs w:val="24"/>
        </w:rPr>
        <w:t>Assessment of alternative mechanisms and mitigating measures</w:t>
      </w:r>
      <w:bookmarkEnd w:id="2318"/>
      <w:bookmarkEnd w:id="2319"/>
    </w:p>
    <w:p w:rsidR="001B65FF" w:rsidRDefault="003E4EF4">
      <w:pPr>
        <w:shd w:val="clear" w:color="auto" w:fill="FFFFFF"/>
        <w:spacing w:before="240" w:after="120"/>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The following mitigating measures were considered: </w:t>
      </w:r>
    </w:p>
    <w:p w:rsidR="001B65FF" w:rsidRDefault="003E4EF4">
      <w:pPr>
        <w:pStyle w:val="ListParagraph"/>
        <w:numPr>
          <w:ilvl w:val="0"/>
          <w:numId w:val="201"/>
        </w:numPr>
        <w:tabs>
          <w:tab w:val="left" w:pos="90"/>
          <w:tab w:val="left" w:pos="630"/>
        </w:tabs>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Exempting SMEs from scope of measure on European Production Order</w:t>
      </w:r>
    </w:p>
    <w:p w:rsidR="001B65FF" w:rsidRDefault="003E4EF4">
      <w:pPr>
        <w:tabs>
          <w:tab w:val="left" w:pos="90"/>
          <w:tab w:val="left" w:pos="630"/>
        </w:tabs>
        <w:ind w:left="600"/>
        <w:contextualSpacing/>
        <w:jc w:val="both"/>
        <w:rPr>
          <w:rFonts w:ascii="Times New Roman" w:hAnsi="Times New Roman"/>
          <w:noProof/>
          <w:sz w:val="24"/>
        </w:rPr>
      </w:pPr>
      <w:r>
        <w:rPr>
          <w:rFonts w:ascii="Times New Roman" w:hAnsi="Times New Roman"/>
          <w:noProof/>
          <w:sz w:val="24"/>
        </w:rPr>
        <w:t xml:space="preserve">After discussing this issue with Member States' experts, it has </w:t>
      </w:r>
      <w:r>
        <w:rPr>
          <w:rFonts w:ascii="Times New Roman" w:hAnsi="Times New Roman"/>
          <w:noProof/>
          <w:sz w:val="24"/>
        </w:rPr>
        <w:t>not been retained to exempt SMEs from the scope of the measure, as this would create a gap that could easily be exploited by criminals by moving to services offered by SMEs, and would seriously undermine the effectiveness of the measure.</w:t>
      </w:r>
    </w:p>
    <w:p w:rsidR="001B65FF" w:rsidRDefault="003E4EF4">
      <w:pPr>
        <w:pStyle w:val="ListParagraph"/>
        <w:numPr>
          <w:ilvl w:val="0"/>
          <w:numId w:val="201"/>
        </w:numPr>
        <w:tabs>
          <w:tab w:val="left" w:pos="90"/>
          <w:tab w:val="left" w:pos="630"/>
        </w:tabs>
        <w:jc w:val="both"/>
        <w:rPr>
          <w:rFonts w:ascii="Times New Roman" w:hAnsi="Times New Roman"/>
          <w:b/>
          <w:noProof/>
          <w:sz w:val="24"/>
        </w:rPr>
      </w:pPr>
      <w:r>
        <w:rPr>
          <w:rFonts w:ascii="Times New Roman" w:eastAsiaTheme="minorHAnsi" w:hAnsi="Times New Roman" w:cs="Times New Roman"/>
          <w:noProof/>
          <w:sz w:val="24"/>
          <w:szCs w:val="24"/>
        </w:rPr>
        <w:t>Exempting SMEs fro</w:t>
      </w:r>
      <w:r>
        <w:rPr>
          <w:rFonts w:ascii="Times New Roman" w:eastAsiaTheme="minorHAnsi" w:hAnsi="Times New Roman" w:cs="Times New Roman"/>
          <w:noProof/>
          <w:sz w:val="24"/>
          <w:szCs w:val="24"/>
        </w:rPr>
        <w:t>m scope of obligation to establish a legal representative</w:t>
      </w:r>
    </w:p>
    <w:p w:rsidR="001B65FF" w:rsidRDefault="003E4EF4">
      <w:pPr>
        <w:tabs>
          <w:tab w:val="left" w:pos="90"/>
          <w:tab w:val="left" w:pos="630"/>
        </w:tabs>
        <w:ind w:left="600"/>
        <w:contextualSpacing/>
        <w:jc w:val="both"/>
        <w:rPr>
          <w:rFonts w:ascii="Times New Roman" w:hAnsi="Times New Roman"/>
          <w:noProof/>
          <w:sz w:val="24"/>
        </w:rPr>
      </w:pPr>
      <w:r>
        <w:rPr>
          <w:rFonts w:ascii="Times New Roman" w:hAnsi="Times New Roman"/>
          <w:noProof/>
          <w:sz w:val="24"/>
        </w:rPr>
        <w:t>For the same reason as above, it has not been retained to generally exempt SMEs from the scope of the obligation to nominate a legal representative. However, the obligation will not apply if data pr</w:t>
      </w:r>
      <w:r>
        <w:rPr>
          <w:rFonts w:ascii="Times New Roman" w:hAnsi="Times New Roman"/>
          <w:noProof/>
          <w:sz w:val="24"/>
        </w:rPr>
        <w:t>ocessing in the EU is only occasional, which could be the case for non-EU SMEs who have only a few customers in the EU.</w:t>
      </w:r>
    </w:p>
    <w:p w:rsidR="001B65FF" w:rsidRDefault="003E4EF4">
      <w:pPr>
        <w:pStyle w:val="ListParagraph"/>
        <w:numPr>
          <w:ilvl w:val="0"/>
          <w:numId w:val="201"/>
        </w:numPr>
        <w:tabs>
          <w:tab w:val="left" w:pos="90"/>
          <w:tab w:val="left" w:pos="630"/>
        </w:tabs>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Cost reimbursement for all service providers</w:t>
      </w:r>
    </w:p>
    <w:p w:rsidR="001B65FF" w:rsidRDefault="003E4EF4">
      <w:pPr>
        <w:tabs>
          <w:tab w:val="left" w:pos="90"/>
          <w:tab w:val="left" w:pos="630"/>
        </w:tabs>
        <w:ind w:left="600"/>
        <w:contextualSpacing/>
        <w:jc w:val="both"/>
        <w:rPr>
          <w:rFonts w:ascii="Times New Roman" w:hAnsi="Times New Roman"/>
          <w:noProof/>
          <w:sz w:val="24"/>
        </w:rPr>
      </w:pPr>
      <w:r>
        <w:rPr>
          <w:rFonts w:ascii="Times New Roman" w:hAnsi="Times New Roman"/>
          <w:noProof/>
          <w:sz w:val="24"/>
        </w:rPr>
        <w:t>A cost reimbursement system based on pre-defined rates exists in a few Member States for domestic procedures (e.g. AT, BE), but not in all. If such system is introduced EU-wide, it would have to apply to all service providers, not only to SMEs. Because 90%</w:t>
      </w:r>
      <w:r>
        <w:rPr>
          <w:rFonts w:ascii="Times New Roman" w:hAnsi="Times New Roman"/>
          <w:noProof/>
          <w:sz w:val="24"/>
        </w:rPr>
        <w:t xml:space="preserve"> of all requests go to the big 5 service providers, such general cost reimbursement system would disproportionally affect Member States budgets, and would create an additional complexity to the system. Moreover, it is expected that those SMEs that would on</w:t>
      </w:r>
      <w:r>
        <w:rPr>
          <w:rFonts w:ascii="Times New Roman" w:hAnsi="Times New Roman"/>
          <w:noProof/>
          <w:sz w:val="24"/>
        </w:rPr>
        <w:t xml:space="preserve">ly be occasionally requested to produce data and that therefore would suffer the biggest administrative burden would also not be helped receiving a few Euro per request. </w:t>
      </w:r>
    </w:p>
    <w:p w:rsidR="001B65FF" w:rsidRDefault="003E4EF4">
      <w:pPr>
        <w:pStyle w:val="ListParagraph"/>
        <w:numPr>
          <w:ilvl w:val="0"/>
          <w:numId w:val="201"/>
        </w:numPr>
        <w:tabs>
          <w:tab w:val="left" w:pos="90"/>
          <w:tab w:val="left" w:pos="630"/>
        </w:tabs>
        <w:jc w:val="both"/>
        <w:rPr>
          <w:rFonts w:ascii="Times New Roman" w:hAnsi="Times New Roman"/>
          <w:noProof/>
          <w:sz w:val="24"/>
        </w:rPr>
      </w:pPr>
      <w:r>
        <w:rPr>
          <w:rFonts w:ascii="Times New Roman" w:hAnsi="Times New Roman"/>
          <w:noProof/>
          <w:sz w:val="24"/>
        </w:rPr>
        <w:t>Targeted guidance for SMEs</w:t>
      </w:r>
    </w:p>
    <w:p w:rsidR="001B65FF" w:rsidRDefault="003E4EF4">
      <w:pPr>
        <w:tabs>
          <w:tab w:val="left" w:pos="90"/>
          <w:tab w:val="left" w:pos="630"/>
        </w:tabs>
        <w:ind w:left="600"/>
        <w:contextualSpacing/>
        <w:jc w:val="both"/>
        <w:rPr>
          <w:rFonts w:ascii="Times New Roman" w:hAnsi="Times New Roman"/>
          <w:noProof/>
          <w:sz w:val="24"/>
        </w:rPr>
      </w:pPr>
      <w:r>
        <w:rPr>
          <w:rFonts w:ascii="Times New Roman" w:hAnsi="Times New Roman"/>
          <w:noProof/>
          <w:sz w:val="24"/>
        </w:rPr>
        <w:t>To inform SMEs about the new legal framework and the oblig</w:t>
      </w:r>
      <w:r>
        <w:rPr>
          <w:rFonts w:ascii="Times New Roman" w:hAnsi="Times New Roman"/>
          <w:noProof/>
          <w:sz w:val="24"/>
        </w:rPr>
        <w:t>ations incumbent on them, the Commission would prepare guidance specifically addressed to them. This guidance could be disseminated with the help of industry associations.</w:t>
      </w:r>
    </w:p>
    <w:p w:rsidR="001B65FF" w:rsidRDefault="001B65FF">
      <w:pPr>
        <w:rPr>
          <w:rFonts w:ascii="Times New Roman" w:eastAsiaTheme="minorHAnsi" w:hAnsi="Times New Roman" w:cs="Times New Roman"/>
          <w:noProof/>
          <w:sz w:val="24"/>
          <w:szCs w:val="24"/>
        </w:rPr>
      </w:pPr>
    </w:p>
    <w:sectPr w:rsidR="001B65FF">
      <w:headerReference w:type="even" r:id="rId224"/>
      <w:headerReference w:type="default" r:id="rId225"/>
      <w:footerReference w:type="even" r:id="rId226"/>
      <w:footerReference w:type="default" r:id="rId227"/>
      <w:headerReference w:type="first" r:id="rId228"/>
      <w:footerReference w:type="first" r:id="rId229"/>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5FF" w:rsidRDefault="003E4EF4">
      <w:pPr>
        <w:spacing w:after="0" w:line="240" w:lineRule="auto"/>
      </w:pPr>
      <w:r>
        <w:separator/>
      </w:r>
    </w:p>
  </w:endnote>
  <w:endnote w:type="continuationSeparator" w:id="0">
    <w:p w:rsidR="001B65FF" w:rsidRDefault="003E4EF4">
      <w:pPr>
        <w:spacing w:after="0" w:line="240" w:lineRule="auto"/>
      </w:pPr>
      <w:r>
        <w:continuationSeparator/>
      </w:r>
    </w:p>
  </w:endnote>
  <w:endnote w:type="continuationNotice" w:id="1">
    <w:p w:rsidR="001B65FF" w:rsidRDefault="001B65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xusSansWebPro">
    <w:altName w:val="Times New Roman"/>
    <w:panose1 w:val="00000000000000000000"/>
    <w:charset w:val="00"/>
    <w:family w:val="roman"/>
    <w:notTrueType/>
    <w:pitch w:val="default"/>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Merriweath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4" w:rsidRPr="003E4EF4" w:rsidRDefault="003E4EF4" w:rsidP="003E4EF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p w:rsidR="001B65FF" w:rsidRDefault="001B65F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13</w:t>
    </w:r>
    <w:r>
      <w:fldChar w:fldCharType="end"/>
    </w:r>
  </w:p>
  <w:p w:rsidR="001B65FF" w:rsidRDefault="001B65FF"/>
  <w:p w:rsidR="001B65FF" w:rsidRDefault="001B65F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p w:rsidR="001B65FF" w:rsidRDefault="001B65F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p w:rsidR="001B65FF" w:rsidRDefault="001B65F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76</w:t>
    </w:r>
    <w:r>
      <w:fldChar w:fldCharType="end"/>
    </w:r>
  </w:p>
  <w:p w:rsidR="001B65FF" w:rsidRDefault="001B65FF"/>
  <w:p w:rsidR="001B65FF" w:rsidRDefault="001B65F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p w:rsidR="001B65FF" w:rsidRDefault="001B65F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106</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4" w:rsidRPr="003E4EF4" w:rsidRDefault="003E4EF4" w:rsidP="003E4EF4">
    <w:pPr>
      <w:pStyle w:val="FooterCoverPage"/>
      <w:rPr>
        <w:rFonts w:ascii="Arial" w:hAnsi="Arial" w:cs="Arial"/>
        <w:b/>
        <w:sz w:val="48"/>
      </w:rPr>
    </w:pPr>
    <w:r w:rsidRPr="003E4EF4">
      <w:rPr>
        <w:rFonts w:ascii="Arial" w:hAnsi="Arial" w:cs="Arial"/>
        <w:b/>
        <w:sz w:val="48"/>
      </w:rPr>
      <w:t>EN</w:t>
    </w:r>
    <w:r w:rsidRPr="003E4EF4">
      <w:rPr>
        <w:rFonts w:ascii="Arial" w:hAnsi="Arial" w:cs="Arial"/>
        <w:b/>
        <w:sz w:val="48"/>
      </w:rPr>
      <w:tab/>
    </w:r>
    <w:r w:rsidRPr="003E4EF4">
      <w:rPr>
        <w:rFonts w:ascii="Arial" w:hAnsi="Arial" w:cs="Arial"/>
        <w:b/>
        <w:sz w:val="48"/>
      </w:rPr>
      <w:tab/>
    </w:r>
    <w:r w:rsidRPr="003E4EF4">
      <w:tab/>
    </w:r>
    <w:r w:rsidRPr="003E4EF4">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110</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119</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120</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132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4" w:rsidRPr="003E4EF4" w:rsidRDefault="003E4EF4" w:rsidP="003E4EF4">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136</w:t>
    </w:r>
    <w:r>
      <w:rPr>
        <w:noProof/>
      </w:rPr>
      <w:fldChar w:fldCharType="end"/>
    </w:r>
  </w:p>
  <w:p w:rsidR="001B65FF" w:rsidRDefault="001B65FF"/>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144</w:t>
    </w:r>
    <w:r>
      <w:rPr>
        <w:noProof/>
      </w:rPr>
      <w:fldChar w:fldCharType="end"/>
    </w:r>
  </w:p>
  <w:p w:rsidR="001B65FF" w:rsidRDefault="001B65FF"/>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146</w:t>
    </w:r>
    <w:r>
      <w:rPr>
        <w:noProof/>
      </w:rPr>
      <w:fldChar w:fldCharType="end"/>
    </w:r>
  </w:p>
  <w:p w:rsidR="001B65FF" w:rsidRDefault="001B65FF"/>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148</w:t>
    </w:r>
    <w:r>
      <w:rPr>
        <w:noProof/>
      </w:rPr>
      <w:fldChar w:fldCharType="end"/>
    </w:r>
  </w:p>
  <w:p w:rsidR="001B65FF" w:rsidRDefault="001B65FF"/>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662512"/>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147</w:t>
        </w:r>
        <w:r>
          <w:rPr>
            <w:noProof/>
          </w:rPr>
          <w:fldChar w:fldCharType="end"/>
        </w:r>
      </w:p>
    </w:sdtContent>
  </w:sdt>
  <w:p w:rsidR="001B65FF" w:rsidRDefault="001B65FF"/>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152</w:t>
    </w:r>
    <w:r>
      <w:rPr>
        <w:noProof/>
      </w:rPr>
      <w:fldChar w:fldCharType="end"/>
    </w:r>
  </w:p>
  <w:p w:rsidR="001B65FF" w:rsidRDefault="001B65FF"/>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277091"/>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149</w:t>
        </w:r>
        <w:r>
          <w:rPr>
            <w:noProof/>
          </w:rPr>
          <w:fldChar w:fldCharType="end"/>
        </w:r>
      </w:p>
    </w:sdtContent>
  </w:sdt>
  <w:p w:rsidR="001B65FF" w:rsidRDefault="001B65FF"/>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155</w:t>
    </w:r>
    <w:r>
      <w:rPr>
        <w:noProof/>
      </w:rPr>
      <w:fldChar w:fldCharType="end"/>
    </w:r>
  </w:p>
  <w:p w:rsidR="001B65FF" w:rsidRDefault="001B65FF"/>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065877"/>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153</w:t>
        </w:r>
        <w:r>
          <w:rPr>
            <w:noProof/>
          </w:rPr>
          <w:fldChar w:fldCharType="end"/>
        </w:r>
      </w:p>
    </w:sdtContent>
  </w:sdt>
  <w:p w:rsidR="001B65FF" w:rsidRDefault="001B65FF"/>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p w:rsidR="001B65FF" w:rsidRDefault="001B65F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PAGE</w:instrText>
    </w:r>
    <w:r>
      <w:fldChar w:fldCharType="separate"/>
    </w:r>
    <w:r>
      <w:rPr>
        <w:noProof/>
      </w:rPr>
      <w:t>2</w:t>
    </w:r>
    <w: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215</w:t>
    </w:r>
    <w:r>
      <w:rPr>
        <w:noProof/>
      </w:rPr>
      <w:fldChar w:fldCharType="end"/>
    </w:r>
  </w:p>
  <w:p w:rsidR="001B65FF" w:rsidRDefault="001B65FF"/>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852637"/>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156</w:t>
        </w:r>
        <w:r>
          <w:rPr>
            <w:noProof/>
          </w:rPr>
          <w:fldChar w:fldCharType="end"/>
        </w:r>
      </w:p>
    </w:sdtContent>
  </w:sdt>
  <w:p w:rsidR="001B65FF" w:rsidRDefault="001B65FF"/>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225</w: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348083"/>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231</w:t>
        </w:r>
        <w:r>
          <w:rPr>
            <w:noProof/>
          </w:rPr>
          <w:fldChar w:fldCharType="end"/>
        </w:r>
      </w:p>
    </w:sdtContent>
  </w:sdt>
  <w:p w:rsidR="001B65FF" w:rsidRDefault="001B65FF">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237</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010451"/>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231</w:t>
        </w:r>
        <w:r>
          <w:rPr>
            <w:noProof/>
          </w:rPr>
          <w:fldChar w:fldCharType="end"/>
        </w:r>
      </w:p>
    </w:sdtContent>
  </w:sdt>
  <w:p w:rsidR="001B65FF" w:rsidRDefault="001B65FF">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245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192822"/>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B65FF" w:rsidRDefault="001B65FF">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197150"/>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231</w:t>
        </w:r>
        <w:r>
          <w:rPr>
            <w:noProof/>
          </w:rPr>
          <w:fldChar w:fldCharType="end"/>
        </w:r>
      </w:p>
    </w:sdtContent>
  </w:sdt>
  <w:p w:rsidR="001B65FF" w:rsidRDefault="001B65FF">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252</w:t>
    </w:r>
    <w:r>
      <w:rPr>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294747"/>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231</w:t>
        </w:r>
        <w:r>
          <w:rPr>
            <w:noProof/>
          </w:rPr>
          <w:fldChar w:fldCharType="end"/>
        </w:r>
      </w:p>
    </w:sdtContent>
  </w:sdt>
  <w:p w:rsidR="001B65FF" w:rsidRDefault="001B65FF">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257</w:t>
    </w:r>
    <w:r>
      <w:rPr>
        <w:noProof/>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833577"/>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231</w:t>
        </w:r>
        <w:r>
          <w:rPr>
            <w:noProof/>
          </w:rPr>
          <w:fldChar w:fldCharType="end"/>
        </w:r>
      </w:p>
    </w:sdtContent>
  </w:sdt>
  <w:p w:rsidR="001B65FF" w:rsidRDefault="001B65FF">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260</w:t>
    </w:r>
    <w:r>
      <w:rPr>
        <w:noProof/>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184167"/>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231</w:t>
        </w:r>
        <w:r>
          <w:rPr>
            <w:noProof/>
          </w:rPr>
          <w:fldChar w:fldCharType="end"/>
        </w:r>
      </w:p>
    </w:sdtContent>
  </w:sdt>
  <w:p w:rsidR="001B65FF" w:rsidRDefault="001B65F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264</w:t>
    </w:r>
    <w:r>
      <w:rPr>
        <w:noProof/>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071404"/>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231</w:t>
        </w:r>
        <w:r>
          <w:rPr>
            <w:noProof/>
          </w:rPr>
          <w:fldChar w:fldCharType="end"/>
        </w:r>
      </w:p>
    </w:sdtContent>
  </w:sdt>
  <w:p w:rsidR="001B65FF" w:rsidRDefault="001B65FF">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 xml:space="preserve"> PAGE   \* MERGEFORMAT </w:instrText>
    </w:r>
    <w:r>
      <w:fldChar w:fldCharType="separate"/>
    </w:r>
    <w:r>
      <w:rPr>
        <w:noProof/>
      </w:rPr>
      <w:t>268</w:t>
    </w:r>
    <w:r>
      <w:rPr>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547069"/>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231</w:t>
        </w:r>
        <w:r>
          <w:rPr>
            <w:noProof/>
          </w:rPr>
          <w:fldChar w:fldCharType="end"/>
        </w:r>
      </w:p>
    </w:sdtContent>
  </w:sdt>
  <w:p w:rsidR="001B65FF" w:rsidRDefault="001B65FF">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248448"/>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276</w:t>
        </w:r>
        <w:r>
          <w:rPr>
            <w:noProof/>
          </w:rPr>
          <w:fldChar w:fldCharType="end"/>
        </w:r>
      </w:p>
    </w:sdtContent>
  </w:sdt>
  <w:p w:rsidR="001B65FF" w:rsidRDefault="001B65FF">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3E4EF4">
    <w:pPr>
      <w:pStyle w:val="Footer"/>
      <w:jc w:val="center"/>
    </w:pPr>
    <w:r>
      <w:fldChar w:fldCharType="begin"/>
    </w:r>
    <w:r>
      <w:instrText>PAGE</w:instrText>
    </w:r>
    <w:r>
      <w:fldChar w:fldCharType="separate"/>
    </w:r>
    <w:r>
      <w:rPr>
        <w:noProof/>
      </w:rPr>
      <w:t>17</w:t>
    </w:r>
    <w: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099271"/>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279</w:t>
        </w:r>
        <w:r>
          <w:rPr>
            <w:noProof/>
          </w:rPr>
          <w:fldChar w:fldCharType="end"/>
        </w:r>
      </w:p>
    </w:sdtContent>
  </w:sdt>
  <w:p w:rsidR="001B65FF" w:rsidRDefault="001B65FF">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149258"/>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282</w:t>
        </w:r>
        <w:r>
          <w:rPr>
            <w:noProof/>
          </w:rPr>
          <w:fldChar w:fldCharType="end"/>
        </w:r>
      </w:p>
    </w:sdtContent>
  </w:sdt>
  <w:p w:rsidR="001B65FF" w:rsidRDefault="001B65FF">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554854"/>
      <w:docPartObj>
        <w:docPartGallery w:val="Page Numbers (Bottom of Page)"/>
        <w:docPartUnique/>
      </w:docPartObj>
    </w:sdtPr>
    <w:sdtEndPr>
      <w:rPr>
        <w:noProof/>
      </w:rPr>
    </w:sdtEndPr>
    <w:sdtContent>
      <w:p w:rsidR="001B65FF" w:rsidRDefault="003E4EF4">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1B65FF" w:rsidRDefault="001B65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5FF" w:rsidRDefault="003E4EF4">
      <w:pPr>
        <w:spacing w:after="0" w:line="240" w:lineRule="auto"/>
      </w:pPr>
      <w:r>
        <w:separator/>
      </w:r>
    </w:p>
  </w:footnote>
  <w:footnote w:type="continuationSeparator" w:id="0">
    <w:p w:rsidR="001B65FF" w:rsidRDefault="003E4EF4">
      <w:pPr>
        <w:spacing w:after="0" w:line="240" w:lineRule="auto"/>
      </w:pPr>
      <w:r>
        <w:continuationSeparator/>
      </w:r>
    </w:p>
  </w:footnote>
  <w:footnote w:type="continuationNotice" w:id="1">
    <w:p w:rsidR="001B65FF" w:rsidRDefault="001B65FF">
      <w:pPr>
        <w:spacing w:after="0" w:line="240" w:lineRule="auto"/>
      </w:pPr>
    </w:p>
  </w:footnote>
  <w:footnote w:id="2">
    <w:p w:rsidR="001B65FF" w:rsidRDefault="003E4EF4">
      <w:pPr>
        <w:pStyle w:val="FootnoteText"/>
        <w:spacing w:after="0"/>
      </w:pPr>
      <w:r>
        <w:rPr>
          <w:rStyle w:val="FootnoteReference"/>
        </w:rPr>
        <w:footnoteRef/>
      </w:r>
      <w:r>
        <w:t xml:space="preserve"> </w:t>
      </w:r>
      <w:r>
        <w:tab/>
        <w:t>Please see Annex 12 for further info</w:t>
      </w:r>
      <w:r>
        <w:t>rmation.</w:t>
      </w:r>
    </w:p>
  </w:footnote>
  <w:footnote w:id="3">
    <w:p w:rsidR="001B65FF" w:rsidRDefault="003E4EF4">
      <w:pPr>
        <w:pStyle w:val="FootnoteText"/>
        <w:spacing w:after="0"/>
        <w:rPr>
          <w:lang w:val="nl-NL"/>
        </w:rPr>
      </w:pPr>
      <w:r>
        <w:rPr>
          <w:rStyle w:val="FootnoteReference"/>
        </w:rPr>
        <w:footnoteRef/>
      </w:r>
      <w:r>
        <w:rPr>
          <w:lang w:val="nl-NL"/>
        </w:rPr>
        <w:t xml:space="preserve"> </w:t>
      </w:r>
      <w:r>
        <w:rPr>
          <w:lang w:val="nl-NL"/>
        </w:rPr>
        <w:tab/>
      </w:r>
      <w:hyperlink r:id="rId1" w:history="1">
        <w:r>
          <w:rPr>
            <w:rStyle w:val="Hyperlink"/>
            <w:lang w:val="nl-NL"/>
          </w:rPr>
          <w:t>Hof van Cassatie of Belgium, YAHOO! Inc</w:t>
        </w:r>
      </w:hyperlink>
      <w:r>
        <w:rPr>
          <w:lang w:val="nl-NL"/>
        </w:rPr>
        <w:t xml:space="preserve">., No. P.13.2082.N of 1 December 2015.   </w:t>
      </w:r>
    </w:p>
  </w:footnote>
  <w:footnote w:id="4">
    <w:p w:rsidR="001B65FF" w:rsidRDefault="003E4EF4">
      <w:pPr>
        <w:pStyle w:val="FootnoteText"/>
        <w:spacing w:after="0"/>
      </w:pPr>
      <w:r>
        <w:rPr>
          <w:rStyle w:val="FootnoteReference"/>
        </w:rPr>
        <w:footnoteRef/>
      </w:r>
      <w:r>
        <w:rPr>
          <w:lang w:val="nl-NL"/>
        </w:rPr>
        <w:t xml:space="preserve"> </w:t>
      </w:r>
      <w:r>
        <w:rPr>
          <w:lang w:val="nl-NL"/>
        </w:rPr>
        <w:tab/>
      </w:r>
      <w:hyperlink r:id="rId2" w:history="1">
        <w:r>
          <w:rPr>
            <w:rStyle w:val="Hyperlink"/>
            <w:lang w:val="nl-NL"/>
          </w:rPr>
          <w:t xml:space="preserve">Correctionele Rechtbank van Antwerpen, afdeling Mechelen of Belgium, No. </w:t>
        </w:r>
        <w:r>
          <w:rPr>
            <w:rStyle w:val="Hyperlink"/>
          </w:rPr>
          <w:t>ME20.F1.105151-12</w:t>
        </w:r>
      </w:hyperlink>
      <w:r>
        <w:t xml:space="preserve"> of 27 October 2016. It h</w:t>
      </w:r>
      <w:r>
        <w:t xml:space="preserve">as been reported that Skype has appealed the decision. </w:t>
      </w:r>
    </w:p>
  </w:footnote>
  <w:footnote w:id="5">
    <w:p w:rsidR="001B65FF" w:rsidRDefault="003E4EF4">
      <w:pPr>
        <w:pStyle w:val="FootnoteText"/>
        <w:spacing w:after="0"/>
      </w:pPr>
      <w:r>
        <w:rPr>
          <w:rStyle w:val="FootnoteReference"/>
        </w:rPr>
        <w:footnoteRef/>
      </w:r>
      <w:r>
        <w:t xml:space="preserve"> </w:t>
      </w:r>
      <w:r>
        <w:tab/>
        <w:t xml:space="preserve">U.S. Court of Appeals for the Second Circuit, </w:t>
      </w:r>
      <w:hyperlink r:id="rId3" w:history="1">
        <w:r>
          <w:rPr>
            <w:rStyle w:val="Hyperlink"/>
          </w:rPr>
          <w:t>Microsoft v. United States, No. 14-2985</w:t>
        </w:r>
      </w:hyperlink>
      <w:r>
        <w:t xml:space="preserve"> (2d Ci</w:t>
      </w:r>
      <w:r>
        <w:t xml:space="preserve">r. 2016) of 14 July 2016. The case is under review by the U.S. Supreme Court and a decision is expected by July 2018. See </w:t>
      </w:r>
      <w:hyperlink r:id="rId4" w:history="1">
        <w:r>
          <w:rPr>
            <w:rStyle w:val="Hyperlink"/>
          </w:rPr>
          <w:t>http://www.scotusblog.com/case-files/cases/</w:t>
        </w:r>
        <w:r>
          <w:rPr>
            <w:rStyle w:val="Hyperlink"/>
          </w:rPr>
          <w:t>united-states-v-microsoft-corp/</w:t>
        </w:r>
      </w:hyperlink>
      <w:r>
        <w:t xml:space="preserve"> and Box 1 in Annex 9 on Microsoft case for more details.</w:t>
      </w:r>
    </w:p>
  </w:footnote>
  <w:footnote w:id="6">
    <w:p w:rsidR="001B65FF" w:rsidRDefault="003E4EF4">
      <w:pPr>
        <w:pStyle w:val="FootnoteText"/>
        <w:spacing w:after="0"/>
      </w:pPr>
      <w:r>
        <w:rPr>
          <w:rStyle w:val="FootnoteReference"/>
        </w:rPr>
        <w:footnoteRef/>
      </w:r>
      <w:r>
        <w:t xml:space="preserve"> </w:t>
      </w:r>
      <w:r>
        <w:tab/>
      </w:r>
      <w:hyperlink r:id="rId5" w:history="1">
        <w:r>
          <w:rPr>
            <w:rStyle w:val="Hyperlink"/>
          </w:rPr>
          <w:t>Communication</w:t>
        </w:r>
      </w:hyperlink>
      <w:r>
        <w:t xml:space="preserve"> from the Commission to the European Parliament, the Council, the E</w:t>
      </w:r>
      <w:r>
        <w:t>uropean Economic and Social Committee and the Committee of the Regions: The European Agenda on Security, COM(2015) 185 final.</w:t>
      </w:r>
    </w:p>
  </w:footnote>
  <w:footnote w:id="7">
    <w:p w:rsidR="001B65FF" w:rsidRDefault="003E4EF4">
      <w:pPr>
        <w:pStyle w:val="FootnoteText"/>
        <w:spacing w:after="0"/>
      </w:pPr>
      <w:r>
        <w:rPr>
          <w:rStyle w:val="FootnoteReference"/>
        </w:rPr>
        <w:footnoteRef/>
      </w:r>
      <w:r>
        <w:t xml:space="preserve"> </w:t>
      </w:r>
      <w:r>
        <w:tab/>
      </w:r>
      <w:hyperlink r:id="rId6" w:history="1">
        <w:r>
          <w:rPr>
            <w:rStyle w:val="Hyperlink"/>
          </w:rPr>
          <w:t>Communication</w:t>
        </w:r>
      </w:hyperlink>
      <w:r>
        <w:t xml:space="preserve"> on delivering on the Europea</w:t>
      </w:r>
      <w:r>
        <w:t xml:space="preserve">n Agenda on Security to fight against terrorism and pave the way towards an effective and genuine Security Union, COM/2016/0230 final. </w:t>
      </w:r>
    </w:p>
  </w:footnote>
  <w:footnote w:id="8">
    <w:p w:rsidR="001B65FF" w:rsidRDefault="003E4EF4">
      <w:pPr>
        <w:pStyle w:val="FootnoteText"/>
        <w:spacing w:after="0"/>
      </w:pPr>
      <w:r>
        <w:rPr>
          <w:rStyle w:val="FootnoteReference"/>
        </w:rPr>
        <w:footnoteRef/>
      </w:r>
      <w:r>
        <w:t xml:space="preserve"> </w:t>
      </w:r>
      <w:r>
        <w:tab/>
      </w:r>
      <w:hyperlink r:id="rId7" w:history="1">
        <w:r>
          <w:rPr>
            <w:rStyle w:val="Hyperlink"/>
          </w:rPr>
          <w:t>Con</w:t>
        </w:r>
        <w:r>
          <w:rPr>
            <w:rStyle w:val="Hyperlink"/>
          </w:rPr>
          <w:t>clusions of the Council of the European Union on improving criminal justice in cyberspace</w:t>
        </w:r>
      </w:hyperlink>
      <w:r>
        <w:t xml:space="preserve">, </w:t>
      </w:r>
      <w:hyperlink r:id="rId8" w:history="1">
        <w:r>
          <w:rPr>
            <w:rStyle w:val="Hyperlink"/>
          </w:rPr>
          <w:t>ST9579/16</w:t>
        </w:r>
      </w:hyperlink>
      <w:r>
        <w:t>.</w:t>
      </w:r>
    </w:p>
  </w:footnote>
  <w:footnote w:id="9">
    <w:p w:rsidR="001B65FF" w:rsidRDefault="003E4EF4">
      <w:pPr>
        <w:pStyle w:val="FootnoteText"/>
        <w:spacing w:after="0"/>
        <w:rPr>
          <w:lang w:val="en-US"/>
        </w:rPr>
      </w:pPr>
      <w:r>
        <w:rPr>
          <w:rStyle w:val="FootnoteReference"/>
        </w:rPr>
        <w:footnoteRef/>
      </w:r>
      <w:r>
        <w:t xml:space="preserve"> </w:t>
      </w:r>
      <w:r>
        <w:rPr>
          <w:lang w:val="en-US"/>
        </w:rPr>
        <w:tab/>
      </w:r>
      <w:r>
        <w:rPr>
          <w:lang w:val="en-US"/>
        </w:rPr>
        <w:t xml:space="preserve">In this document, the term “enforcement jurisdiction” makes reference to the competence of the relevant authorities to undertake an investigative measure. </w:t>
      </w:r>
    </w:p>
  </w:footnote>
  <w:footnote w:id="10">
    <w:p w:rsidR="001B65FF" w:rsidRDefault="003E4EF4">
      <w:pPr>
        <w:pStyle w:val="FootnoteText"/>
        <w:spacing w:after="0"/>
      </w:pPr>
      <w:r>
        <w:rPr>
          <w:rStyle w:val="FootnoteReference"/>
        </w:rPr>
        <w:footnoteRef/>
      </w:r>
      <w:r>
        <w:t xml:space="preserve"> </w:t>
      </w:r>
      <w:r>
        <w:tab/>
        <w:t>See Annex 5.</w:t>
      </w:r>
    </w:p>
  </w:footnote>
  <w:footnote w:id="11">
    <w:p w:rsidR="001B65FF" w:rsidRDefault="003E4EF4">
      <w:pPr>
        <w:pStyle w:val="FootnoteText"/>
        <w:spacing w:after="0"/>
      </w:pPr>
      <w:r>
        <w:rPr>
          <w:rStyle w:val="FootnoteReference"/>
        </w:rPr>
        <w:footnoteRef/>
      </w:r>
      <w:r>
        <w:t xml:space="preserve"> </w:t>
      </w:r>
      <w:r>
        <w:tab/>
        <w:t xml:space="preserve">Council of the EU, </w:t>
      </w:r>
      <w:hyperlink r:id="rId9" w:history="1">
        <w:r>
          <w:rPr>
            <w:rStyle w:val="Hyperlink"/>
          </w:rPr>
          <w:t>Final report of the seventh round of mutual evaluations on "The practical implementation and operation of the European policies on prevention and combating cybercrime"</w:t>
        </w:r>
      </w:hyperlink>
      <w:r>
        <w:t>, ST 12711 2017 INIT, 2 October 2017.</w:t>
      </w:r>
    </w:p>
  </w:footnote>
  <w:footnote w:id="12">
    <w:p w:rsidR="001B65FF" w:rsidRDefault="003E4EF4">
      <w:pPr>
        <w:pStyle w:val="FootnoteText"/>
        <w:spacing w:after="0"/>
      </w:pPr>
      <w:r>
        <w:rPr>
          <w:rStyle w:val="FootnoteReference"/>
        </w:rPr>
        <w:footnoteRef/>
      </w:r>
      <w:r>
        <w:t xml:space="preserve"> </w:t>
      </w:r>
      <w:r>
        <w:tab/>
        <w:t>State of the Union 2017</w:t>
      </w:r>
      <w:r>
        <w:t xml:space="preserve">, </w:t>
      </w:r>
      <w:hyperlink r:id="rId10" w:history="1">
        <w:r>
          <w:rPr>
            <w:rStyle w:val="Hyperlink"/>
          </w:rPr>
          <w:t>Letter from Commission President Juncker</w:t>
        </w:r>
      </w:hyperlink>
      <w:r>
        <w:t xml:space="preserve"> to President Antonio Tajani and to Prime Minister Jüri Ratas, 13 September 2017.</w:t>
      </w:r>
    </w:p>
  </w:footnote>
  <w:footnote w:id="13">
    <w:p w:rsidR="001B65FF" w:rsidRDefault="003E4EF4">
      <w:pPr>
        <w:pStyle w:val="FootnoteText"/>
        <w:spacing w:after="0"/>
      </w:pPr>
      <w:r>
        <w:rPr>
          <w:rStyle w:val="FootnoteReference"/>
        </w:rPr>
        <w:footnoteRef/>
      </w:r>
      <w:r>
        <w:t xml:space="preserve"> </w:t>
      </w:r>
      <w:r>
        <w:tab/>
        <w:t>European Parliament resol</w:t>
      </w:r>
      <w:r>
        <w:t>ution of 3 October 2017 on the fight against cybercrime (</w:t>
      </w:r>
      <w:hyperlink r:id="rId11" w:history="1">
        <w:r>
          <w:rPr>
            <w:rStyle w:val="Hyperlink"/>
          </w:rPr>
          <w:t>2017/2068(INI)</w:t>
        </w:r>
      </w:hyperlink>
      <w:r>
        <w:t>).</w:t>
      </w:r>
      <w:r>
        <w:rPr>
          <w:highlight w:val="yellow"/>
        </w:rPr>
        <w:t xml:space="preserve"> </w:t>
      </w:r>
    </w:p>
  </w:footnote>
  <w:footnote w:id="14">
    <w:p w:rsidR="001B65FF" w:rsidRDefault="003E4EF4">
      <w:pPr>
        <w:pStyle w:val="FootnoteText"/>
        <w:spacing w:after="0"/>
      </w:pPr>
      <w:r>
        <w:rPr>
          <w:rStyle w:val="FootnoteReference"/>
        </w:rPr>
        <w:footnoteRef/>
      </w:r>
      <w:r>
        <w:t xml:space="preserve"> </w:t>
      </w:r>
      <w:r>
        <w:tab/>
        <w:t xml:space="preserve">GENVAL Final Report on the Seventh round of mutual </w:t>
      </w:r>
      <w:r>
        <w:t>evaluations on "The practical implementation and operation of the European policies on prevention and combating cybercrime" ("GENVAL Report"), ST 9986/17, p. 52.</w:t>
      </w:r>
    </w:p>
  </w:footnote>
  <w:footnote w:id="15">
    <w:p w:rsidR="001B65FF" w:rsidRDefault="003E4EF4">
      <w:pPr>
        <w:pStyle w:val="FootnoteText"/>
        <w:spacing w:after="0"/>
      </w:pPr>
      <w:r>
        <w:rPr>
          <w:rStyle w:val="FootnoteReference"/>
        </w:rPr>
        <w:footnoteRef/>
      </w:r>
      <w:r>
        <w:t xml:space="preserve"> </w:t>
      </w:r>
      <w:r>
        <w:tab/>
        <w:t>See section 2.2.</w:t>
      </w:r>
    </w:p>
  </w:footnote>
  <w:footnote w:id="16">
    <w:p w:rsidR="001B65FF" w:rsidRDefault="003E4EF4">
      <w:pPr>
        <w:pStyle w:val="FootnoteText"/>
        <w:spacing w:after="0"/>
      </w:pPr>
      <w:r>
        <w:rPr>
          <w:rStyle w:val="FootnoteReference"/>
        </w:rPr>
        <w:footnoteRef/>
      </w:r>
      <w:r>
        <w:t xml:space="preserve"> </w:t>
      </w:r>
      <w:r>
        <w:tab/>
      </w:r>
      <w:hyperlink r:id="rId12" w:history="1">
        <w:r>
          <w:rPr>
            <w:rStyle w:val="Hyperlink"/>
            <w:bCs/>
          </w:rPr>
          <w:t>Council Decision 2009/820/CFSP</w:t>
        </w:r>
      </w:hyperlink>
      <w:r>
        <w:rPr>
          <w:bCs/>
        </w:rPr>
        <w:t xml:space="preserve"> of 23 October 2009 on the conclusion on behalf of the European Union of the Agreement on extradition between the European Union and the United States of America and the Agreement on mutual legal assistance betwee</w:t>
      </w:r>
      <w:r>
        <w:rPr>
          <w:bCs/>
        </w:rPr>
        <w:t>n the European Union and the United States of America.</w:t>
      </w:r>
    </w:p>
  </w:footnote>
  <w:footnote w:id="17">
    <w:p w:rsidR="001B65FF" w:rsidRDefault="003E4EF4">
      <w:pPr>
        <w:pStyle w:val="FootnoteText"/>
      </w:pPr>
      <w:r>
        <w:rPr>
          <w:rStyle w:val="FootnoteReference"/>
        </w:rPr>
        <w:footnoteRef/>
      </w:r>
      <w:r>
        <w:t xml:space="preserve"> </w:t>
      </w:r>
      <w:r>
        <w:tab/>
        <w:t>See Annex 12 for further detail.</w:t>
      </w:r>
    </w:p>
  </w:footnote>
  <w:footnote w:id="18">
    <w:p w:rsidR="001B65FF" w:rsidRDefault="003E4EF4">
      <w:pPr>
        <w:pStyle w:val="FootnoteText"/>
        <w:spacing w:after="0"/>
        <w:rPr>
          <w:lang w:val="en-US"/>
        </w:rPr>
      </w:pPr>
      <w:r>
        <w:rPr>
          <w:rStyle w:val="FootnoteReference"/>
        </w:rPr>
        <w:footnoteRef/>
      </w:r>
      <w:r>
        <w:t xml:space="preserve"> </w:t>
      </w:r>
      <w:r>
        <w:rPr>
          <w:lang w:val="en-US"/>
        </w:rPr>
        <w:tab/>
        <w:t>See Annex 2 for a complete analysis of the survey results. The results presented in this section refer to the median of the responses, to reduce the effect of out</w:t>
      </w:r>
      <w:r>
        <w:rPr>
          <w:lang w:val="en-US"/>
        </w:rPr>
        <w:t>liers (sample size = 76 responses).</w:t>
      </w:r>
    </w:p>
  </w:footnote>
  <w:footnote w:id="19">
    <w:p w:rsidR="001B65FF" w:rsidRDefault="003E4EF4">
      <w:pPr>
        <w:pStyle w:val="FootnoteText"/>
        <w:spacing w:after="0"/>
        <w:rPr>
          <w:lang w:val="en-US"/>
        </w:rPr>
      </w:pPr>
      <w:r>
        <w:rPr>
          <w:rStyle w:val="FootnoteReference"/>
        </w:rPr>
        <w:footnoteRef/>
      </w:r>
      <w:r>
        <w:t xml:space="preserve"> </w:t>
      </w:r>
      <w:r>
        <w:rPr>
          <w:lang w:val="en-US"/>
        </w:rPr>
        <w:tab/>
        <w:t xml:space="preserve">The transparency reports are available online: </w:t>
      </w:r>
      <w:hyperlink r:id="rId13" w:history="1">
        <w:r>
          <w:rPr>
            <w:rStyle w:val="Hyperlink"/>
          </w:rPr>
          <w:t>Google</w:t>
        </w:r>
      </w:hyperlink>
      <w:r>
        <w:rPr>
          <w:rStyle w:val="Hyperlink"/>
        </w:rPr>
        <w:t xml:space="preserve">, </w:t>
      </w:r>
      <w:hyperlink r:id="rId14" w:history="1">
        <w:r>
          <w:rPr>
            <w:rStyle w:val="Hyperlink"/>
          </w:rPr>
          <w:t>Facebook</w:t>
        </w:r>
      </w:hyperlink>
      <w:r>
        <w:t xml:space="preserve">, </w:t>
      </w:r>
      <w:hyperlink r:id="rId15" w:history="1">
        <w:r>
          <w:rPr>
            <w:rStyle w:val="Hyperlink"/>
          </w:rPr>
          <w:t>Microsoft</w:t>
        </w:r>
      </w:hyperlink>
      <w:r>
        <w:rPr>
          <w:rStyle w:val="Hyperlink"/>
        </w:rPr>
        <w:t xml:space="preserve">, </w:t>
      </w:r>
      <w:hyperlink r:id="rId16" w:history="1">
        <w:r>
          <w:rPr>
            <w:rStyle w:val="Hyperlink"/>
          </w:rPr>
          <w:t>Twitter</w:t>
        </w:r>
      </w:hyperlink>
      <w:r>
        <w:t xml:space="preserve"> and </w:t>
      </w:r>
      <w:hyperlink r:id="rId17" w:history="1">
        <w:r>
          <w:rPr>
            <w:rStyle w:val="Hyperlink"/>
          </w:rPr>
          <w:t>Apple</w:t>
        </w:r>
      </w:hyperlink>
      <w:r>
        <w:rPr>
          <w:rStyle w:val="Hyperlink"/>
        </w:rPr>
        <w:t>.</w:t>
      </w:r>
    </w:p>
  </w:footnote>
  <w:footnote w:id="20">
    <w:p w:rsidR="001B65FF" w:rsidRDefault="003E4EF4">
      <w:pPr>
        <w:pStyle w:val="FootnoteText"/>
        <w:spacing w:after="0"/>
      </w:pPr>
      <w:r>
        <w:rPr>
          <w:rStyle w:val="FootnoteReference"/>
        </w:rPr>
        <w:footnoteRef/>
      </w:r>
      <w:r>
        <w:t xml:space="preserve"> </w:t>
      </w:r>
      <w:r>
        <w:tab/>
        <w:t>It was estimated, that up to 90% of current cross-</w:t>
      </w:r>
      <w:r>
        <w:t>border requests for non-content data are sent to these five providers, based on their market share.</w:t>
      </w:r>
    </w:p>
  </w:footnote>
  <w:footnote w:id="21">
    <w:p w:rsidR="001B65FF" w:rsidRDefault="003E4EF4">
      <w:pPr>
        <w:pStyle w:val="FootnoteText"/>
        <w:spacing w:after="0"/>
        <w:rPr>
          <w:lang w:val="en-US"/>
        </w:rPr>
      </w:pPr>
      <w:r>
        <w:rPr>
          <w:rStyle w:val="FootnoteReference"/>
        </w:rPr>
        <w:footnoteRef/>
      </w:r>
      <w:r>
        <w:t xml:space="preserve"> </w:t>
      </w:r>
      <w:r>
        <w:rPr>
          <w:lang w:val="en-US"/>
        </w:rPr>
        <w:tab/>
        <w:t>Indicated growth of 70% corresponds to annual growth rate (CAGR) of 14% over the 2013-2016 period.</w:t>
      </w:r>
    </w:p>
  </w:footnote>
  <w:footnote w:id="22">
    <w:p w:rsidR="001B65FF" w:rsidRDefault="003E4EF4">
      <w:pPr>
        <w:pStyle w:val="FootnoteText"/>
        <w:spacing w:after="0"/>
        <w:rPr>
          <w:lang w:val="en-US"/>
        </w:rPr>
      </w:pPr>
      <w:r>
        <w:rPr>
          <w:rStyle w:val="FootnoteReference"/>
        </w:rPr>
        <w:footnoteRef/>
      </w:r>
      <w:r>
        <w:t xml:space="preserve"> </w:t>
      </w:r>
      <w:r>
        <w:rPr>
          <w:lang w:val="en-US"/>
        </w:rPr>
        <w:tab/>
        <w:t>Includes standard and emergency access requests for</w:t>
      </w:r>
      <w:r>
        <w:rPr>
          <w:lang w:val="en-US"/>
        </w:rPr>
        <w:t xml:space="preserve"> these service providers except Apple, where only standard requests are included (Apple's transparency reports only include emergency requests since 2015 and they only report on emergency requests answered since July 1 2016). The transparency reports of Go</w:t>
      </w:r>
      <w:r>
        <w:rPr>
          <w:lang w:val="en-US"/>
        </w:rPr>
        <w:t xml:space="preserve">ogle and Apple do not differentiate between preservation requests and standard and emergency requests until 30 June 2014 and 31 December 2014 respectively. Apple’s device-based requests are not included. See Annex 4 for the complete data compiled from the </w:t>
      </w:r>
      <w:r>
        <w:rPr>
          <w:lang w:val="en-US"/>
        </w:rPr>
        <w:t xml:space="preserve">transparency reports used in this section. </w:t>
      </w:r>
    </w:p>
  </w:footnote>
  <w:footnote w:id="23">
    <w:p w:rsidR="001B65FF" w:rsidRDefault="003E4EF4">
      <w:pPr>
        <w:pStyle w:val="FootnoteText"/>
        <w:spacing w:after="0"/>
        <w:rPr>
          <w:lang w:val="en-US"/>
        </w:rPr>
      </w:pPr>
      <w:r>
        <w:rPr>
          <w:rStyle w:val="FootnoteReference"/>
        </w:rPr>
        <w:footnoteRef/>
      </w:r>
      <w:r>
        <w:t xml:space="preserve"> </w:t>
      </w:r>
      <w:r>
        <w:tab/>
        <w:t>Direct cooperation with service providers for access to content data is usually available for emergency situations only, which represent a very small number of total requests. Although the survey did not provi</w:t>
      </w:r>
      <w:r>
        <w:t>de for sufficient granularity to indicate whether a request was related to an emergency situation many of the respondents to this question came from counterterrorism units or were otherwise involved in serious crime areas that typically may give rise to em</w:t>
      </w:r>
      <w:r>
        <w:t>ergency requests. Follow-up calls with individual respondents supported this assessment.</w:t>
      </w:r>
    </w:p>
  </w:footnote>
  <w:footnote w:id="24">
    <w:p w:rsidR="001B65FF" w:rsidRDefault="003E4EF4">
      <w:pPr>
        <w:pStyle w:val="FootnoteText"/>
        <w:spacing w:after="0"/>
        <w:rPr>
          <w:lang w:val="en-US"/>
        </w:rPr>
      </w:pPr>
      <w:r>
        <w:rPr>
          <w:rStyle w:val="FootnoteReference"/>
        </w:rPr>
        <w:footnoteRef/>
      </w:r>
      <w:r>
        <w:t xml:space="preserve"> </w:t>
      </w:r>
      <w:r>
        <w:tab/>
      </w:r>
      <w:r>
        <w:rPr>
          <w:i/>
        </w:rPr>
        <w:t>Ibid.</w:t>
      </w:r>
    </w:p>
  </w:footnote>
  <w:footnote w:id="25">
    <w:p w:rsidR="001B65FF" w:rsidRDefault="003E4EF4">
      <w:pPr>
        <w:pStyle w:val="FootnoteText"/>
        <w:spacing w:after="0"/>
        <w:rPr>
          <w:lang w:val="en-US"/>
        </w:rPr>
      </w:pPr>
      <w:r>
        <w:rPr>
          <w:rStyle w:val="FootnoteReference"/>
        </w:rPr>
        <w:footnoteRef/>
      </w:r>
      <w:r>
        <w:t xml:space="preserve"> </w:t>
      </w:r>
      <w:r>
        <w:rPr>
          <w:lang w:val="en-US"/>
        </w:rPr>
        <w:tab/>
        <w:t>I.e. data not provided in time, causing e.g. the disappearance of other leads.</w:t>
      </w:r>
    </w:p>
  </w:footnote>
  <w:footnote w:id="26">
    <w:p w:rsidR="001B65FF" w:rsidRDefault="003E4EF4">
      <w:pPr>
        <w:pStyle w:val="FootnoteText"/>
        <w:spacing w:after="0"/>
        <w:rPr>
          <w:lang w:val="en-US"/>
        </w:rPr>
      </w:pPr>
      <w:r>
        <w:rPr>
          <w:rStyle w:val="FootnoteReference"/>
        </w:rPr>
        <w:footnoteRef/>
      </w:r>
      <w:r>
        <w:t xml:space="preserve"> </w:t>
      </w:r>
      <w:r>
        <w:rPr>
          <w:lang w:val="en-US"/>
        </w:rPr>
        <w:tab/>
        <w:t>The number of investigations is used as a proxy for the number of crimes.</w:t>
      </w:r>
      <w:r>
        <w:rPr>
          <w:lang w:val="en-US"/>
        </w:rPr>
        <w:t xml:space="preserve"> An investigation could include several crimes so the estimates for the number of crimes are likely to be on the conservative side.</w:t>
      </w:r>
    </w:p>
  </w:footnote>
  <w:footnote w:id="27">
    <w:p w:rsidR="001B65FF" w:rsidRDefault="003E4EF4">
      <w:pPr>
        <w:pStyle w:val="FootnoteText"/>
        <w:spacing w:after="0"/>
      </w:pPr>
      <w:r>
        <w:rPr>
          <w:rStyle w:val="FootnoteReference"/>
        </w:rPr>
        <w:footnoteRef/>
      </w:r>
      <w:r>
        <w:t xml:space="preserve"> </w:t>
      </w:r>
      <w:r>
        <w:tab/>
        <w:t>Hans is a fictional name. Also these cases are partially fictional but nonetheless representative of the daily work of pu</w:t>
      </w:r>
      <w:r>
        <w:t>blic authorities, as described during the stakeholder consultation.</w:t>
      </w:r>
    </w:p>
  </w:footnote>
  <w:footnote w:id="28">
    <w:p w:rsidR="001B65FF" w:rsidRDefault="003E4EF4">
      <w:pPr>
        <w:pStyle w:val="FootnoteText"/>
        <w:spacing w:after="0"/>
      </w:pPr>
      <w:r>
        <w:rPr>
          <w:rStyle w:val="FootnoteReference"/>
        </w:rPr>
        <w:footnoteRef/>
      </w:r>
      <w:r>
        <w:t xml:space="preserve"> </w:t>
      </w:r>
      <w:r>
        <w:tab/>
      </w:r>
      <w:hyperlink r:id="rId18" w:history="1">
        <w:r>
          <w:rPr>
            <w:rStyle w:val="Hyperlink"/>
          </w:rPr>
          <w:t>Special Eurobarometer 432</w:t>
        </w:r>
      </w:hyperlink>
      <w:r>
        <w:t xml:space="preserve"> 'Europeans' attitudes towards security' and </w:t>
      </w:r>
      <w:hyperlink r:id="rId19" w:history="1">
        <w:r>
          <w:rPr>
            <w:rStyle w:val="Hyperlink"/>
          </w:rPr>
          <w:t>Special Eurobarometer 464a</w:t>
        </w:r>
      </w:hyperlink>
      <w:r>
        <w:t xml:space="preserve"> 'Europeans’ attitudes towards cyber security' suggest that EU citizens feel increasingly threatened by terrorism, cybercrime and organised crime.</w:t>
      </w:r>
    </w:p>
  </w:footnote>
  <w:footnote w:id="29">
    <w:p w:rsidR="001B65FF" w:rsidRDefault="003E4EF4">
      <w:pPr>
        <w:pStyle w:val="FootnoteText"/>
        <w:spacing w:after="0"/>
      </w:pPr>
      <w:r>
        <w:rPr>
          <w:rStyle w:val="FootnoteReference"/>
        </w:rPr>
        <w:footnoteRef/>
      </w:r>
      <w:r>
        <w:t xml:space="preserve"> </w:t>
      </w:r>
      <w:r>
        <w:tab/>
      </w:r>
      <w:hyperlink r:id="rId20" w:history="1">
        <w:r>
          <w:rPr>
            <w:rStyle w:val="Hyperlink"/>
          </w:rPr>
          <w:t>Directive 2006/24/EC</w:t>
        </w:r>
      </w:hyperlink>
      <w:r>
        <w:t xml:space="preserve"> of the European Parliament and of the Council of 15 March 2006 on the retention of data generated or processed in connection with the provision of public</w:t>
      </w:r>
      <w:r>
        <w:t>ly available electronic communications services or of public communications networks and amending Directive 2002/58/EC.</w:t>
      </w:r>
    </w:p>
  </w:footnote>
  <w:footnote w:id="30">
    <w:p w:rsidR="001B65FF" w:rsidRDefault="003E4EF4">
      <w:pPr>
        <w:pStyle w:val="FootnoteText"/>
        <w:spacing w:after="0"/>
      </w:pPr>
      <w:r>
        <w:rPr>
          <w:rStyle w:val="FootnoteReference"/>
        </w:rPr>
        <w:footnoteRef/>
      </w:r>
      <w:r>
        <w:t xml:space="preserve"> </w:t>
      </w:r>
      <w:r>
        <w:tab/>
      </w:r>
      <w:hyperlink r:id="rId21" w:history="1">
        <w:r>
          <w:rPr>
            <w:rStyle w:val="Hyperlink"/>
          </w:rPr>
          <w:t>ECLI:EU:C:2014:238</w:t>
        </w:r>
      </w:hyperlink>
      <w:r>
        <w:t xml:space="preserve"> (case C-293/12, Digital Rights Ireland Ltd v Minister for Commun</w:t>
      </w:r>
      <w:r>
        <w:t xml:space="preserve">ications). The Tele2/Watson case of December 2016, </w:t>
      </w:r>
      <w:hyperlink r:id="rId22" w:history="1">
        <w:r>
          <w:rPr>
            <w:rStyle w:val="Hyperlink"/>
          </w:rPr>
          <w:t>ECLI:EU:C:2016:970</w:t>
        </w:r>
      </w:hyperlink>
      <w:r>
        <w:t xml:space="preserve"> (case C-203/15, Tele 2 Sverige), provided additional guidance on the rules around the retention of communications data and the safeguard</w:t>
      </w:r>
      <w:r>
        <w:t>s that must be in place to protect it.</w:t>
      </w:r>
    </w:p>
  </w:footnote>
  <w:footnote w:id="31">
    <w:p w:rsidR="001B65FF" w:rsidRDefault="003E4EF4">
      <w:pPr>
        <w:pStyle w:val="FootnoteText"/>
        <w:spacing w:after="0"/>
      </w:pPr>
      <w:r>
        <w:rPr>
          <w:rStyle w:val="FootnoteReference"/>
        </w:rPr>
        <w:footnoteRef/>
      </w:r>
      <w:r>
        <w:t xml:space="preserve"> </w:t>
      </w:r>
      <w:r>
        <w:tab/>
        <w:t xml:space="preserve">See Article 12 of the EIO Directive on time limits for recognition or execution. </w:t>
      </w:r>
    </w:p>
  </w:footnote>
  <w:footnote w:id="32">
    <w:p w:rsidR="001B65FF" w:rsidRDefault="003E4EF4">
      <w:pPr>
        <w:pStyle w:val="FootnoteText"/>
        <w:spacing w:after="0"/>
      </w:pPr>
      <w:r>
        <w:rPr>
          <w:rStyle w:val="FootnoteReference"/>
        </w:rPr>
        <w:footnoteRef/>
      </w:r>
      <w:r>
        <w:t xml:space="preserve"> </w:t>
      </w:r>
      <w:r>
        <w:tab/>
        <w:t xml:space="preserve">E-CODEX, </w:t>
      </w:r>
      <w:hyperlink r:id="rId23" w:history="1">
        <w:r>
          <w:rPr>
            <w:rStyle w:val="Hyperlink"/>
          </w:rPr>
          <w:t>Criminal Justice – Mutual Legal Assis</w:t>
        </w:r>
        <w:r>
          <w:rPr>
            <w:rStyle w:val="Hyperlink"/>
          </w:rPr>
          <w:t>tance</w:t>
        </w:r>
      </w:hyperlink>
      <w:r>
        <w:rPr>
          <w:rStyle w:val="Hyperlink"/>
        </w:rPr>
        <w:t>,</w:t>
      </w:r>
      <w:r>
        <w:t xml:space="preserve"> on MLA requests in all areas, not only e-evidence.</w:t>
      </w:r>
    </w:p>
  </w:footnote>
  <w:footnote w:id="33">
    <w:p w:rsidR="001B65FF" w:rsidRDefault="003E4EF4">
      <w:pPr>
        <w:pStyle w:val="FootnoteText"/>
        <w:spacing w:after="0"/>
      </w:pPr>
      <w:r>
        <w:rPr>
          <w:rStyle w:val="FootnoteReference"/>
        </w:rPr>
        <w:footnoteRef/>
      </w:r>
      <w:r>
        <w:t xml:space="preserve"> </w:t>
      </w:r>
      <w:r>
        <w:tab/>
        <w:t xml:space="preserve">For example, </w:t>
      </w:r>
      <w:hyperlink r:id="rId24" w:history="1">
        <w:r>
          <w:rPr>
            <w:rStyle w:val="Hyperlink"/>
            <w:bCs/>
          </w:rPr>
          <w:t>Council Act of 29 May 2000</w:t>
        </w:r>
      </w:hyperlink>
      <w:r>
        <w:rPr>
          <w:bCs/>
        </w:rPr>
        <w:t xml:space="preserve"> establishing in accordance with Article 34 of the Treaty on European </w:t>
      </w:r>
      <w:r>
        <w:rPr>
          <w:bCs/>
        </w:rPr>
        <w:t xml:space="preserve">Union the Convention on Mutual Assistance in Criminal Matters between the Member States of the European Union; </w:t>
      </w:r>
      <w:hyperlink r:id="rId25" w:history="1">
        <w:r>
          <w:rPr>
            <w:rStyle w:val="Hyperlink"/>
          </w:rPr>
          <w:t>European Convention on Mutual Assistance in Criminal Ma</w:t>
        </w:r>
        <w:r>
          <w:rPr>
            <w:rStyle w:val="Hyperlink"/>
          </w:rPr>
          <w:t>tters</w:t>
        </w:r>
      </w:hyperlink>
      <w:r>
        <w:t xml:space="preserve"> (CETS No.030); and other bilateral or multilateral agreements.</w:t>
      </w:r>
    </w:p>
  </w:footnote>
  <w:footnote w:id="34">
    <w:p w:rsidR="001B65FF" w:rsidRDefault="003E4EF4">
      <w:pPr>
        <w:pStyle w:val="FootnoteText"/>
        <w:spacing w:after="0"/>
        <w:rPr>
          <w:lang w:val="en-US" w:eastAsia="en-US"/>
        </w:rPr>
      </w:pPr>
      <w:r>
        <w:rPr>
          <w:rStyle w:val="FootnoteReference"/>
        </w:rPr>
        <w:footnoteRef/>
      </w:r>
      <w:r>
        <w:t xml:space="preserve"> </w:t>
      </w:r>
      <w:r>
        <w:tab/>
      </w:r>
      <w:r>
        <w:rPr>
          <w:lang w:val="en-US"/>
        </w:rPr>
        <w:t xml:space="preserve">The </w:t>
      </w:r>
      <w:r>
        <w:rPr>
          <w:lang w:val="en-US" w:eastAsia="en-US"/>
        </w:rPr>
        <w:t>T-CY assessment report:</w:t>
      </w:r>
      <w:r>
        <w:rPr>
          <w:lang w:val="en-US"/>
        </w:rPr>
        <w:t xml:space="preserve"> </w:t>
      </w:r>
      <w:hyperlink r:id="rId26" w:history="1">
        <w:r>
          <w:rPr>
            <w:rStyle w:val="Hyperlink"/>
            <w:lang w:val="en-US" w:eastAsia="en-US"/>
          </w:rPr>
          <w:t>The mutual leg</w:t>
        </w:r>
        <w:r>
          <w:rPr>
            <w:rStyle w:val="Hyperlink"/>
            <w:lang w:val="en-US"/>
          </w:rPr>
          <w:t xml:space="preserve">al assistance provisions of the </w:t>
        </w:r>
        <w:r>
          <w:rPr>
            <w:rStyle w:val="Hyperlink"/>
            <w:lang w:val="en-US" w:eastAsia="en-US"/>
          </w:rPr>
          <w:t>Budapest Convention on Cybercrime</w:t>
        </w:r>
      </w:hyperlink>
      <w:r>
        <w:rPr>
          <w:lang w:val="en-US" w:eastAsia="en-US"/>
        </w:rPr>
        <w:t>, adopted by the T-CY at its 12</w:t>
      </w:r>
      <w:r>
        <w:rPr>
          <w:lang w:val="en-US" w:eastAsia="en-US"/>
        </w:rPr>
        <w:t>th Plenary (2-3 December 2014)</w:t>
      </w:r>
      <w:r>
        <w:rPr>
          <w:lang w:val="en-US"/>
        </w:rPr>
        <w:t xml:space="preserve">, also concludes that </w:t>
      </w:r>
      <w:r>
        <w:t>current mutual legal assistance procedures are considered too complex, lengthy and resource intensive, and thus too inefficient, p. 123.</w:t>
      </w:r>
    </w:p>
  </w:footnote>
  <w:footnote w:id="35">
    <w:p w:rsidR="001B65FF" w:rsidRDefault="003E4EF4">
      <w:pPr>
        <w:pStyle w:val="FootnoteText"/>
        <w:spacing w:after="0"/>
      </w:pPr>
      <w:r>
        <w:rPr>
          <w:rStyle w:val="FootnoteReference"/>
        </w:rPr>
        <w:footnoteRef/>
      </w:r>
      <w:r>
        <w:t xml:space="preserve"> </w:t>
      </w:r>
      <w:r>
        <w:tab/>
        <w:t xml:space="preserve">Daskal, Jennifer, </w:t>
      </w:r>
      <w:hyperlink r:id="rId27" w:history="1">
        <w:r>
          <w:rPr>
            <w:rStyle w:val="Hyperlink"/>
          </w:rPr>
          <w:t>A New UK-US Data Sharing Agreement: A Tremendous Opportunity, If Done Right</w:t>
        </w:r>
      </w:hyperlink>
      <w:r>
        <w:t>, February 2016.</w:t>
      </w:r>
    </w:p>
  </w:footnote>
  <w:footnote w:id="36">
    <w:p w:rsidR="001B65FF" w:rsidRDefault="003E4EF4">
      <w:pPr>
        <w:autoSpaceDE w:val="0"/>
        <w:autoSpaceDN w:val="0"/>
        <w:adjustRightInd w:val="0"/>
        <w:spacing w:after="0" w:line="240" w:lineRule="auto"/>
        <w:ind w:left="360" w:hanging="360"/>
        <w:rPr>
          <w:rFonts w:ascii="Times New Roman" w:hAnsi="Times New Roman" w:cs="Times New Roman"/>
          <w:sz w:val="20"/>
        </w:rPr>
      </w:pPr>
      <w:r>
        <w:rPr>
          <w:rStyle w:val="FootnoteReference"/>
        </w:rPr>
        <w:footnoteRef/>
      </w:r>
      <w:r>
        <w:t xml:space="preserve"> </w:t>
      </w:r>
      <w:r>
        <w:tab/>
      </w:r>
      <w:r>
        <w:rPr>
          <w:rFonts w:ascii="Times New Roman" w:hAnsi="Times New Roman" w:cs="Times New Roman"/>
          <w:sz w:val="20"/>
        </w:rPr>
        <w:t>Examples of recent calls for reform from the U.S. include:</w:t>
      </w:r>
    </w:p>
    <w:p w:rsidR="001B65FF" w:rsidRDefault="003E4EF4">
      <w:pPr>
        <w:pStyle w:val="ListParagraph"/>
        <w:numPr>
          <w:ilvl w:val="0"/>
          <w:numId w:val="26"/>
        </w:numPr>
        <w:autoSpaceDE w:val="0"/>
        <w:autoSpaceDN w:val="0"/>
        <w:adjustRightInd w:val="0"/>
        <w:spacing w:after="0" w:line="240" w:lineRule="auto"/>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Vivek Krishnamurthy, </w:t>
      </w:r>
      <w:hyperlink r:id="rId28" w:history="1">
        <w:r>
          <w:rPr>
            <w:rStyle w:val="Hyperlink"/>
            <w:rFonts w:ascii="Times New Roman" w:hAnsi="Times New Roman" w:cs="Times New Roman"/>
            <w:sz w:val="20"/>
            <w:szCs w:val="20"/>
          </w:rPr>
          <w:t>Cloudy with a Conflict of Laws: How Cloud Computing Has Disrupted the Mutual Legal Assistance Treaty System and Why It Matters</w:t>
        </w:r>
      </w:hyperlink>
      <w:r>
        <w:rPr>
          <w:rFonts w:ascii="Times New Roman" w:hAnsi="Times New Roman" w:cs="Times New Roman"/>
          <w:color w:val="000000"/>
          <w:sz w:val="20"/>
          <w:szCs w:val="20"/>
        </w:rPr>
        <w:t xml:space="preserve">, </w:t>
      </w:r>
      <w:r>
        <w:rPr>
          <w:rFonts w:ascii="Times New Roman" w:hAnsi="Times New Roman" w:cs="Times New Roman"/>
          <w:iCs/>
          <w:color w:val="000000"/>
          <w:sz w:val="20"/>
          <w:szCs w:val="20"/>
        </w:rPr>
        <w:t xml:space="preserve">Berkman Klein Center Research Publication No. 2016-3, </w:t>
      </w:r>
      <w:r>
        <w:rPr>
          <w:rFonts w:ascii="Times New Roman" w:hAnsi="Times New Roman" w:cs="Times New Roman"/>
          <w:color w:val="000000"/>
          <w:sz w:val="20"/>
          <w:szCs w:val="20"/>
        </w:rPr>
        <w:t xml:space="preserve">February 2016; </w:t>
      </w:r>
    </w:p>
    <w:p w:rsidR="001B65FF" w:rsidRDefault="003E4EF4">
      <w:pPr>
        <w:pStyle w:val="ListParagraph"/>
        <w:numPr>
          <w:ilvl w:val="0"/>
          <w:numId w:val="26"/>
        </w:numPr>
        <w:autoSpaceDE w:val="0"/>
        <w:autoSpaceDN w:val="0"/>
        <w:adjustRightInd w:val="0"/>
        <w:spacing w:after="0" w:line="240" w:lineRule="auto"/>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Jonah Force Hill, </w:t>
      </w:r>
      <w:hyperlink r:id="rId29" w:history="1">
        <w:r>
          <w:rPr>
            <w:rStyle w:val="Hyperlink"/>
            <w:rFonts w:ascii="Times New Roman" w:hAnsi="Times New Roman" w:cs="Times New Roman"/>
            <w:sz w:val="20"/>
            <w:szCs w:val="20"/>
          </w:rPr>
          <w:t>Problematic Alternatives: MLAT Reform for the Digital Age</w:t>
        </w:r>
      </w:hyperlink>
      <w:r>
        <w:rPr>
          <w:rFonts w:ascii="Times New Roman" w:hAnsi="Times New Roman" w:cs="Times New Roman"/>
          <w:color w:val="000000"/>
          <w:sz w:val="20"/>
          <w:szCs w:val="20"/>
        </w:rPr>
        <w:t xml:space="preserve">, </w:t>
      </w:r>
      <w:r>
        <w:rPr>
          <w:rFonts w:ascii="Times New Roman" w:hAnsi="Times New Roman" w:cs="Times New Roman"/>
          <w:iCs/>
          <w:color w:val="000000"/>
          <w:sz w:val="20"/>
          <w:szCs w:val="20"/>
        </w:rPr>
        <w:t xml:space="preserve">Harvard National Security Journal Online, </w:t>
      </w:r>
      <w:r>
        <w:rPr>
          <w:rFonts w:ascii="Times New Roman" w:hAnsi="Times New Roman" w:cs="Times New Roman"/>
          <w:color w:val="000000"/>
          <w:sz w:val="20"/>
          <w:szCs w:val="20"/>
        </w:rPr>
        <w:t>January 2015;</w:t>
      </w:r>
    </w:p>
    <w:p w:rsidR="001B65FF" w:rsidRDefault="003E4EF4">
      <w:pPr>
        <w:pStyle w:val="ListParagraph"/>
        <w:numPr>
          <w:ilvl w:val="0"/>
          <w:numId w:val="26"/>
        </w:numPr>
        <w:autoSpaceDE w:val="0"/>
        <w:autoSpaceDN w:val="0"/>
        <w:adjustRightInd w:val="0"/>
        <w:spacing w:after="0" w:line="240" w:lineRule="auto"/>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Glo</w:t>
      </w:r>
      <w:r>
        <w:rPr>
          <w:rFonts w:ascii="Times New Roman" w:hAnsi="Times New Roman" w:cs="Times New Roman"/>
          <w:color w:val="000000"/>
          <w:sz w:val="20"/>
          <w:szCs w:val="20"/>
        </w:rPr>
        <w:t xml:space="preserve">bal Network Initiative, </w:t>
      </w:r>
      <w:hyperlink r:id="rId30" w:history="1">
        <w:r>
          <w:rPr>
            <w:rStyle w:val="Hyperlink"/>
            <w:rFonts w:ascii="Times New Roman" w:hAnsi="Times New Roman" w:cs="Times New Roman"/>
            <w:sz w:val="20"/>
            <w:szCs w:val="20"/>
          </w:rPr>
          <w:t>Data Beyond Borders: Mutual Legal Assistance in the Internet Age</w:t>
        </w:r>
      </w:hyperlink>
      <w:r>
        <w:rPr>
          <w:rFonts w:ascii="Times New Roman" w:hAnsi="Times New Roman" w:cs="Times New Roman"/>
          <w:color w:val="000000"/>
          <w:sz w:val="20"/>
          <w:szCs w:val="20"/>
        </w:rPr>
        <w:t>, January 2015;</w:t>
      </w:r>
    </w:p>
    <w:p w:rsidR="001B65FF" w:rsidRDefault="003E4EF4">
      <w:pPr>
        <w:pStyle w:val="ListParagraph"/>
        <w:numPr>
          <w:ilvl w:val="0"/>
          <w:numId w:val="26"/>
        </w:numPr>
        <w:autoSpaceDE w:val="0"/>
        <w:autoSpaceDN w:val="0"/>
        <w:adjustRightInd w:val="0"/>
        <w:spacing w:after="0" w:line="240" w:lineRule="auto"/>
        <w:ind w:left="720"/>
        <w:jc w:val="both"/>
      </w:pPr>
      <w:hyperlink r:id="rId31" w:history="1">
        <w:r>
          <w:rPr>
            <w:rStyle w:val="Hyperlink"/>
            <w:rFonts w:ascii="Times New Roman" w:hAnsi="Times New Roman" w:cs="Times New Roman"/>
            <w:sz w:val="20"/>
            <w:szCs w:val="20"/>
          </w:rPr>
          <w:t>Liberty and S</w:t>
        </w:r>
        <w:r>
          <w:rPr>
            <w:rStyle w:val="Hyperlink"/>
            <w:rFonts w:ascii="Times New Roman" w:hAnsi="Times New Roman" w:cs="Times New Roman"/>
            <w:sz w:val="20"/>
            <w:szCs w:val="20"/>
          </w:rPr>
          <w:t>ecurity in a Changing World: Report and Recommendations of the President’s Review Group on Intelligence and Communications Technologies</w:t>
        </w:r>
      </w:hyperlink>
      <w:r>
        <w:rPr>
          <w:rFonts w:ascii="Times New Roman" w:hAnsi="Times New Roman" w:cs="Times New Roman"/>
          <w:color w:val="000000"/>
          <w:sz w:val="20"/>
          <w:szCs w:val="20"/>
        </w:rPr>
        <w:t>, December 2013.</w:t>
      </w:r>
    </w:p>
  </w:footnote>
  <w:footnote w:id="37">
    <w:p w:rsidR="001B65FF" w:rsidRDefault="003E4EF4">
      <w:pPr>
        <w:pStyle w:val="FootnoteText"/>
        <w:spacing w:after="0"/>
      </w:pPr>
      <w:r>
        <w:rPr>
          <w:rStyle w:val="FootnoteReference"/>
        </w:rPr>
        <w:footnoteRef/>
      </w:r>
      <w:r>
        <w:t xml:space="preserve"> </w:t>
      </w:r>
      <w:r>
        <w:tab/>
      </w:r>
      <w:hyperlink r:id="rId32" w:history="1">
        <w:r>
          <w:rPr>
            <w:rStyle w:val="Hyperlink"/>
          </w:rPr>
          <w:t>18 U.S.</w:t>
        </w:r>
        <w:r>
          <w:rPr>
            <w:rStyle w:val="Hyperlink"/>
            <w:rFonts w:ascii="NexusSansWebPro" w:hAnsi="NexusSansWebPro"/>
            <w:shd w:val="clear" w:color="auto" w:fill="FFFFFF"/>
          </w:rPr>
          <w:t>C.</w:t>
        </w:r>
        <w:r>
          <w:rPr>
            <w:rStyle w:val="Hyperlink"/>
          </w:rPr>
          <w:t xml:space="preserve"> § 2702(b)(8).</w:t>
        </w:r>
      </w:hyperlink>
    </w:p>
  </w:footnote>
  <w:footnote w:id="38">
    <w:p w:rsidR="001B65FF" w:rsidRDefault="003E4EF4">
      <w:pPr>
        <w:pStyle w:val="FootnoteText"/>
        <w:spacing w:after="0"/>
      </w:pPr>
      <w:r>
        <w:rPr>
          <w:rStyle w:val="FootnoteReference"/>
        </w:rPr>
        <w:footnoteRef/>
      </w:r>
      <w:r>
        <w:t xml:space="preserve"> </w:t>
      </w:r>
      <w:r>
        <w:tab/>
        <w:t>“Voluntary</w:t>
      </w:r>
      <w:r>
        <w:t>” means that there is a domestic legal title which cannot be enforced directly in the recipient country. Nevertheless, the distinction between voluntary and mandatory cooperation is not always easy to establish, and in fact, in the absence of a clear legal</w:t>
      </w:r>
      <w:r>
        <w:t xml:space="preserve"> framework the parties involved may disagree on the voluntary or mandatory nature of the direct cooperation.</w:t>
      </w:r>
    </w:p>
  </w:footnote>
  <w:footnote w:id="39">
    <w:p w:rsidR="001B65FF" w:rsidRDefault="003E4EF4">
      <w:pPr>
        <w:pStyle w:val="FootnoteText"/>
        <w:spacing w:after="0"/>
      </w:pPr>
      <w:r>
        <w:rPr>
          <w:rStyle w:val="FootnoteReference"/>
        </w:rPr>
        <w:footnoteRef/>
      </w:r>
      <w:r>
        <w:t xml:space="preserve"> </w:t>
      </w:r>
      <w:r>
        <w:tab/>
        <w:t xml:space="preserve">Based on the 2016 transparency reports by Google, Facebook, Microsoft, Twitter and Apple. </w:t>
      </w:r>
    </w:p>
  </w:footnote>
  <w:footnote w:id="40">
    <w:p w:rsidR="001B65FF" w:rsidRDefault="003E4EF4">
      <w:pPr>
        <w:pStyle w:val="FootnoteText"/>
        <w:spacing w:after="0"/>
      </w:pPr>
      <w:r>
        <w:rPr>
          <w:rStyle w:val="FootnoteReference"/>
        </w:rPr>
        <w:footnoteRef/>
      </w:r>
      <w:r>
        <w:t xml:space="preserve"> </w:t>
      </w:r>
      <w:r>
        <w:tab/>
      </w:r>
      <w:r>
        <w:rPr>
          <w:szCs w:val="24"/>
        </w:rPr>
        <w:t xml:space="preserve">The </w:t>
      </w:r>
      <w:r>
        <w:t>five year review carried out in 2016 of the EU</w:t>
      </w:r>
      <w:r>
        <w:t>-US MLA agreement also contained recommendations for Member States to seek to obtain direct cooperation from US-based service providers in order to secure and obtain e-evidence more quickly and effectively.</w:t>
      </w:r>
    </w:p>
  </w:footnote>
  <w:footnote w:id="41">
    <w:p w:rsidR="001B65FF" w:rsidRDefault="003E4EF4">
      <w:pPr>
        <w:pStyle w:val="FootnoteText"/>
        <w:spacing w:after="0"/>
      </w:pPr>
      <w:r>
        <w:rPr>
          <w:rStyle w:val="FootnoteReference"/>
        </w:rPr>
        <w:footnoteRef/>
      </w:r>
      <w:r>
        <w:t xml:space="preserve"> </w:t>
      </w:r>
      <w:r>
        <w:tab/>
        <w:t>Given that it is a voluntary system from the p</w:t>
      </w:r>
      <w:r>
        <w:t>erspective of US laws, each provider decides what kind of non-content data would be disclosed following a direct request from law enforcement authorities in the EU.</w:t>
      </w:r>
    </w:p>
  </w:footnote>
  <w:footnote w:id="42">
    <w:p w:rsidR="001B65FF" w:rsidRDefault="003E4EF4">
      <w:pPr>
        <w:pStyle w:val="FootnoteText"/>
        <w:spacing w:after="0"/>
      </w:pPr>
      <w:r>
        <w:rPr>
          <w:rStyle w:val="FootnoteReference"/>
        </w:rPr>
        <w:footnoteRef/>
      </w:r>
      <w:r>
        <w:t xml:space="preserve"> </w:t>
      </w:r>
      <w:r>
        <w:tab/>
        <w:t>As described in annex 6 (Box 1), ECPA prohibits service providers to give access to cont</w:t>
      </w:r>
      <w:r>
        <w:t>ent data on a voluntary basis, except in cases of emergency.</w:t>
      </w:r>
    </w:p>
  </w:footnote>
  <w:footnote w:id="43">
    <w:p w:rsidR="001B65FF" w:rsidRDefault="003E4EF4">
      <w:pPr>
        <w:pStyle w:val="FootnoteText"/>
        <w:spacing w:after="0"/>
        <w:rPr>
          <w:lang w:val="en-US"/>
        </w:rPr>
      </w:pPr>
      <w:r>
        <w:rPr>
          <w:rStyle w:val="FootnoteReference"/>
        </w:rPr>
        <w:footnoteRef/>
      </w:r>
      <w:r>
        <w:t xml:space="preserve"> </w:t>
      </w:r>
      <w:r>
        <w:rPr>
          <w:lang w:val="en-US"/>
        </w:rPr>
        <w:tab/>
        <w:t xml:space="preserve">The cooperation is voluntary </w:t>
      </w:r>
      <w:r>
        <w:rPr>
          <w:szCs w:val="24"/>
        </w:rPr>
        <w:t>from the perspective of ECPA, even though law enforcement in some Member States may be using nationally binding orders in making the request.</w:t>
      </w:r>
    </w:p>
  </w:footnote>
  <w:footnote w:id="44">
    <w:p w:rsidR="001B65FF" w:rsidRDefault="003E4EF4">
      <w:pPr>
        <w:pStyle w:val="FootnoteText"/>
        <w:spacing w:after="0"/>
      </w:pPr>
      <w:r>
        <w:rPr>
          <w:rStyle w:val="FootnoteReference"/>
        </w:rPr>
        <w:footnoteRef/>
      </w:r>
      <w:r>
        <w:t xml:space="preserve"> </w:t>
      </w:r>
      <w:r>
        <w:tab/>
      </w:r>
      <w:r>
        <w:t xml:space="preserve">For a more company-specific analysis see e.g.: Council of Europe Budapest Convention on Cybercrime Convention Committee (T-CY), </w:t>
      </w:r>
      <w:hyperlink r:id="rId33" w:history="1">
        <w:r>
          <w:rPr>
            <w:rStyle w:val="Hyperlink"/>
          </w:rPr>
          <w:t>Criminal justice access to data in the cloud: Cooperation with “foreign” service p</w:t>
        </w:r>
        <w:r>
          <w:rPr>
            <w:rStyle w:val="Hyperlink"/>
          </w:rPr>
          <w:t>roviders</w:t>
        </w:r>
      </w:hyperlink>
      <w:r>
        <w:t xml:space="preserve">, T-CY (2016)2, provisional document of 3 May 2016. </w:t>
      </w:r>
    </w:p>
  </w:footnote>
  <w:footnote w:id="45">
    <w:p w:rsidR="001B65FF" w:rsidRDefault="003E4EF4">
      <w:pPr>
        <w:pStyle w:val="FootnoteText"/>
        <w:spacing w:after="0"/>
        <w:rPr>
          <w:lang w:val="en-US"/>
        </w:rPr>
      </w:pPr>
      <w:r>
        <w:rPr>
          <w:rStyle w:val="FootnoteReference"/>
        </w:rPr>
        <w:footnoteRef/>
      </w:r>
      <w:r>
        <w:t xml:space="preserve"> </w:t>
      </w:r>
      <w:r>
        <w:tab/>
      </w:r>
      <w:r>
        <w:rPr>
          <w:lang w:val="en-US"/>
        </w:rPr>
        <w:t>A connecting factor is a fact that connects an occurrence with a particular law or jurisdiction. Examples include the place where a crime was committed, the nationality of the suspect or the p</w:t>
      </w:r>
      <w:r>
        <w:rPr>
          <w:lang w:val="en-US"/>
        </w:rPr>
        <w:t>lace where a legal person is registered. In the area of cross-border access to e-evidence, a connecting factor is a fact that can be used to determine whether a country can apply a certain law or exercise jurisdiction that allows it to mandate, access or r</w:t>
      </w:r>
      <w:r>
        <w:rPr>
          <w:lang w:val="en-US"/>
        </w:rPr>
        <w:t>equest access to e-evidence.</w:t>
      </w:r>
    </w:p>
  </w:footnote>
  <w:footnote w:id="46">
    <w:p w:rsidR="001B65FF" w:rsidRDefault="003E4EF4">
      <w:pPr>
        <w:pStyle w:val="FootnoteText"/>
        <w:spacing w:after="0"/>
      </w:pPr>
      <w:r>
        <w:rPr>
          <w:rStyle w:val="FootnoteReference"/>
        </w:rPr>
        <w:footnoteRef/>
      </w:r>
      <w:r>
        <w:t xml:space="preserve"> </w:t>
      </w:r>
      <w:r>
        <w:tab/>
        <w:t xml:space="preserve">While data location is often cited as a key factor in determining territorial competence, in practice it is impossible for authorities to tell where the data is stored without the cooperation of service providers. Therefore </w:t>
      </w:r>
      <w:r>
        <w:t>authorities can only direct mutual legal assistance requests at a given country once the service provider has disclosed the data storage location and has agreed to keep the data in place, i.e. not to move it to another jurisdiction. Service providers may a</w:t>
      </w:r>
      <w:r>
        <w:t xml:space="preserve">lso choose to "shard" their data, storing bits in various locations, and some have internal technical measures and policies allowing access to data only from one country regardless of whether it is stored there or – wholly or in part – in other countries. </w:t>
      </w:r>
      <w:r>
        <w:t xml:space="preserve">See </w:t>
      </w:r>
      <w:hyperlink r:id="rId34" w:history="1">
        <w:r>
          <w:rPr>
            <w:rStyle w:val="Hyperlink"/>
          </w:rPr>
          <w:t>U.S. District Court for the Eastern District of Pennsylvania, In re Search Warrant No. 16-960-M-01 to Google</w:t>
        </w:r>
      </w:hyperlink>
      <w:r>
        <w:t xml:space="preserve">, p. 7 and 8, for further </w:t>
      </w:r>
      <w:r>
        <w:t>details.</w:t>
      </w:r>
    </w:p>
    <w:p w:rsidR="001B65FF" w:rsidRDefault="003E4EF4">
      <w:pPr>
        <w:pStyle w:val="FootnoteText"/>
        <w:spacing w:after="0"/>
      </w:pPr>
      <w:r>
        <w:tab/>
        <w:t xml:space="preserve">In relation to data location see also U.S. Court of Appeals for the Second Circuit, </w:t>
      </w:r>
      <w:hyperlink r:id="rId35" w:history="1">
        <w:r>
          <w:rPr>
            <w:rStyle w:val="Hyperlink"/>
          </w:rPr>
          <w:t>Microsoft v. United States, No. 14-2985</w:t>
        </w:r>
      </w:hyperlink>
      <w:r>
        <w:t xml:space="preserve"> (2d Cir. 2016) of</w:t>
      </w:r>
      <w:r>
        <w:t xml:space="preserve"> 14 July 2016. The case is under review by the U.S. Supreme Court and a decision is expected by July 2018. See Annex 9 (Box 1) in this document for more details.</w:t>
      </w:r>
    </w:p>
  </w:footnote>
  <w:footnote w:id="47">
    <w:p w:rsidR="001B65FF" w:rsidRDefault="003E4EF4">
      <w:pPr>
        <w:pStyle w:val="FootnoteText"/>
        <w:spacing w:after="0"/>
      </w:pPr>
      <w:r>
        <w:rPr>
          <w:rStyle w:val="FootnoteReference"/>
        </w:rPr>
        <w:footnoteRef/>
      </w:r>
      <w:r>
        <w:t xml:space="preserve"> </w:t>
      </w:r>
      <w:r>
        <w:tab/>
        <w:t>The data storage location depends on business considerations designed to ensure swift acces</w:t>
      </w:r>
      <w:r>
        <w:t>s for users and secure a resilient system architecture. Location may shift multiple times within a short period. Where storage location is not an explicit part of the business model – such as for some corporate customer solutions - it often does not coinci</w:t>
      </w:r>
      <w:r>
        <w:t>de with the place where the user is using the service. The use of specific storage algorithms for data stored in the cloud makes it very difficult in some cases to determine the storage place; not even the service provider may be able to provide the necess</w:t>
      </w:r>
      <w:r>
        <w:t>ary information in due time.</w:t>
      </w:r>
    </w:p>
    <w:p w:rsidR="001B65FF" w:rsidRDefault="003E4EF4">
      <w:pPr>
        <w:pStyle w:val="FootnoteText"/>
        <w:spacing w:after="0"/>
        <w:ind w:firstLine="0"/>
      </w:pPr>
      <w:r>
        <w:t>In addition and for reasons of data security, data in the cloud is often split. For example, Microsoft has currently more than 100 data storage centres in more than 40 countries across the world, and pieces of the requested dat</w:t>
      </w:r>
      <w:r>
        <w:t>a could be found in several of those. Some service providers change the data storage location of all data automatically within a few days or even a shorter period. Thus, even if the service provider could tell where the data was at a certain point of time,</w:t>
      </w:r>
      <w:r>
        <w:t xml:space="preserve"> the information could be outdated by the time it reaches the requesting authority.</w:t>
      </w:r>
    </w:p>
    <w:p w:rsidR="001B65FF" w:rsidRDefault="003E4EF4">
      <w:pPr>
        <w:pStyle w:val="FootnoteText"/>
        <w:spacing w:after="0"/>
        <w:ind w:firstLine="0"/>
      </w:pPr>
      <w:r>
        <w:t>At the same time, service providers must be able to locate the data (and thus to know its location) as specific obligations apply to the data depending on where it is store</w:t>
      </w:r>
      <w:r>
        <w:t>d and/or further processed (e.g. data protection rules). From a commercial point of view, it should also be noted that an increasing number of service providers are marketing to customers the fact that their data will stay in the EU.</w:t>
      </w:r>
    </w:p>
  </w:footnote>
  <w:footnote w:id="48">
    <w:p w:rsidR="001B65FF" w:rsidRDefault="003E4EF4">
      <w:pPr>
        <w:pStyle w:val="FootnoteText"/>
        <w:spacing w:after="0"/>
        <w:ind w:left="360" w:hanging="360"/>
      </w:pPr>
      <w:r>
        <w:rPr>
          <w:rStyle w:val="FootnoteReference"/>
        </w:rPr>
        <w:footnoteRef/>
      </w:r>
      <w:r>
        <w:t xml:space="preserve"> </w:t>
      </w:r>
      <w:r>
        <w:tab/>
        <w:t>The ongoing negotia</w:t>
      </w:r>
      <w:r>
        <w:t>tions in the T-CY Committee, the Committee representing the Parties to the Council of Europe Budapest Convention on Cybercrime, on a second additional protocol to the Budapest Convention, include the aim to move away from data storage location as a decisiv</w:t>
      </w:r>
      <w:r>
        <w:t xml:space="preserve">e factor. </w:t>
      </w:r>
    </w:p>
  </w:footnote>
  <w:footnote w:id="49">
    <w:p w:rsidR="001B65FF" w:rsidRDefault="003E4EF4">
      <w:pPr>
        <w:pStyle w:val="FootnoteText"/>
        <w:spacing w:after="0"/>
        <w:ind w:left="360" w:hanging="360"/>
      </w:pPr>
      <w:r>
        <w:rPr>
          <w:rStyle w:val="FootnoteReference"/>
        </w:rPr>
        <w:footnoteRef/>
      </w:r>
      <w:r>
        <w:t xml:space="preserve"> </w:t>
      </w:r>
      <w:r>
        <w:tab/>
        <w:t xml:space="preserve">Internet &amp; Jurisdiction, </w:t>
      </w:r>
      <w:hyperlink r:id="rId36" w:history="1">
        <w:r>
          <w:rPr>
            <w:rStyle w:val="Hyperlink"/>
          </w:rPr>
          <w:t>Data &amp; Jurisdiction Program: Cross-Border Access to User Data</w:t>
        </w:r>
      </w:hyperlink>
      <w:r>
        <w:t xml:space="preserve">, May 2017. </w:t>
      </w:r>
    </w:p>
  </w:footnote>
  <w:footnote w:id="50">
    <w:p w:rsidR="001B65FF" w:rsidRDefault="003E4EF4">
      <w:pPr>
        <w:pStyle w:val="FootnoteText"/>
        <w:spacing w:after="0"/>
      </w:pPr>
      <w:r>
        <w:rPr>
          <w:rStyle w:val="FootnoteReference"/>
        </w:rPr>
        <w:footnoteRef/>
      </w:r>
      <w:r>
        <w:rPr>
          <w:lang w:val="nl-NL"/>
        </w:rPr>
        <w:t xml:space="preserve"> </w:t>
      </w:r>
      <w:r>
        <w:rPr>
          <w:lang w:val="nl-NL"/>
        </w:rPr>
        <w:tab/>
        <w:t xml:space="preserve">See e.g.: </w:t>
      </w:r>
      <w:hyperlink r:id="rId37" w:history="1">
        <w:r>
          <w:rPr>
            <w:rStyle w:val="Hyperlink"/>
            <w:lang w:val="nl-NL"/>
          </w:rPr>
          <w:t>Hof van Cassatie of Belgium, YAHOO! Inc</w:t>
        </w:r>
      </w:hyperlink>
      <w:r>
        <w:rPr>
          <w:lang w:val="nl-NL"/>
        </w:rPr>
        <w:t xml:space="preserve">., No. P.13.2082.N of 1 December 2015, and </w:t>
      </w:r>
      <w:hyperlink r:id="rId38" w:history="1">
        <w:r>
          <w:rPr>
            <w:rStyle w:val="Hyperlink"/>
            <w:lang w:val="nl-NL"/>
          </w:rPr>
          <w:t xml:space="preserve">Correctionele Rechtbank van Antwerpen, afdeling Mechelen of Belgium, No. </w:t>
        </w:r>
        <w:r>
          <w:rPr>
            <w:rStyle w:val="Hyperlink"/>
          </w:rPr>
          <w:t>ME20.F1.105151-12</w:t>
        </w:r>
      </w:hyperlink>
      <w:r>
        <w:t xml:space="preserve"> of 27 October 2016.</w:t>
      </w:r>
    </w:p>
  </w:footnote>
  <w:footnote w:id="51">
    <w:p w:rsidR="001B65FF" w:rsidRDefault="003E4EF4">
      <w:pPr>
        <w:pStyle w:val="FootnoteText"/>
        <w:spacing w:after="0"/>
      </w:pPr>
      <w:r>
        <w:rPr>
          <w:rStyle w:val="FootnoteReference"/>
        </w:rPr>
        <w:footnoteRef/>
      </w:r>
      <w:r>
        <w:t xml:space="preserve"> </w:t>
      </w:r>
      <w:r>
        <w:tab/>
        <w:t xml:space="preserve">See e.g.: Conings, C., </w:t>
      </w:r>
      <w:hyperlink r:id="rId39" w:history="1">
        <w:r>
          <w:rPr>
            <w:rStyle w:val="Hyperlink"/>
          </w:rPr>
          <w:t>Locating criminal investigative measures in a virtual environment</w:t>
        </w:r>
      </w:hyperlink>
      <w:r>
        <w:t xml:space="preserve">, 2014;                  see also </w:t>
      </w:r>
      <w:hyperlink r:id="rId40" w:history="1">
        <w:r>
          <w:rPr>
            <w:rStyle w:val="Hyperlink"/>
          </w:rPr>
          <w:t>Di</w:t>
        </w:r>
        <w:r>
          <w:rPr>
            <w:rStyle w:val="Hyperlink"/>
          </w:rPr>
          <w:t>scussion paper on tackling cybercrime, Informal Meeting of the Justice and Home Affairs Ministers</w:t>
        </w:r>
      </w:hyperlink>
      <w:r>
        <w:t>, Amsterdam 25-26 January 2016.</w:t>
      </w:r>
    </w:p>
  </w:footnote>
  <w:footnote w:id="52">
    <w:p w:rsidR="001B65FF" w:rsidRDefault="003E4EF4">
      <w:pPr>
        <w:pStyle w:val="FootnoteText"/>
        <w:spacing w:after="0"/>
      </w:pPr>
      <w:r>
        <w:rPr>
          <w:rStyle w:val="FootnoteReference"/>
        </w:rPr>
        <w:footnoteRef/>
      </w:r>
      <w:r>
        <w:t xml:space="preserve"> </w:t>
      </w:r>
      <w:r>
        <w:tab/>
        <w:t xml:space="preserve">See e.g.: Mike Masnick, </w:t>
      </w:r>
      <w:hyperlink r:id="rId41" w:history="1">
        <w:r>
          <w:rPr>
            <w:rStyle w:val="Hyperlink"/>
          </w:rPr>
          <w:t>Brazil Arrests Facebook Exec Because Company Refuses to Reveal Info On WhatsApp Users</w:t>
        </w:r>
      </w:hyperlink>
      <w:r>
        <w:t xml:space="preserve">, Techdirt, March 16, 2016. </w:t>
      </w:r>
    </w:p>
  </w:footnote>
  <w:footnote w:id="53">
    <w:p w:rsidR="001B65FF" w:rsidRDefault="003E4EF4">
      <w:pPr>
        <w:pStyle w:val="FootnoteText"/>
        <w:spacing w:after="0"/>
      </w:pPr>
      <w:r>
        <w:rPr>
          <w:rStyle w:val="FootnoteReference"/>
        </w:rPr>
        <w:footnoteRef/>
      </w:r>
      <w:r>
        <w:t xml:space="preserve"> </w:t>
      </w:r>
      <w:r>
        <w:tab/>
        <w:t xml:space="preserve">See e.g.: </w:t>
      </w:r>
      <w:hyperlink r:id="rId42" w:history="1">
        <w:r>
          <w:rPr>
            <w:rStyle w:val="Hyperlink"/>
          </w:rPr>
          <w:t>RGS Statement on US-UK Data Protection Discussions</w:t>
        </w:r>
      </w:hyperlink>
      <w:r>
        <w:t>, July 15, 2016.</w:t>
      </w:r>
    </w:p>
  </w:footnote>
  <w:footnote w:id="54">
    <w:p w:rsidR="001B65FF" w:rsidRDefault="003E4EF4">
      <w:pPr>
        <w:pStyle w:val="FootnoteText"/>
        <w:spacing w:after="0"/>
        <w:rPr>
          <w:lang w:val="en-US"/>
        </w:rPr>
      </w:pPr>
      <w:r>
        <w:rPr>
          <w:rStyle w:val="FootnoteReference"/>
        </w:rPr>
        <w:footnoteRef/>
      </w:r>
      <w:r>
        <w:t xml:space="preserve"> </w:t>
      </w:r>
      <w:r>
        <w:rPr>
          <w:lang w:val="en-US"/>
        </w:rPr>
        <w:tab/>
        <w:t xml:space="preserve">In the targeted survey 1 of </w:t>
      </w:r>
      <w:r>
        <w:rPr>
          <w:rFonts w:eastAsia="Calibri"/>
        </w:rPr>
        <w:t>September 2016, 12 Member States indicated that</w:t>
      </w:r>
      <w:r>
        <w:rPr>
          <w:rFonts w:eastAsia="Calibri"/>
        </w:rPr>
        <w:t xml:space="preserve"> they use a definition of subscriber information (AT, RO, SE, EL, LV, DE, DK, ES, FI, PT and UK), 15 Member States indicated they use a definition of traffic information (AT, RO, SE, BE, SK, EL, LV, DE, DK, ES, FI, PT, SI, UK and LT), and 8 Member States i</w:t>
      </w:r>
      <w:r>
        <w:rPr>
          <w:rFonts w:eastAsia="Calibri"/>
        </w:rPr>
        <w:t>ndicated they use a definition of content information (AT, RO, EL, DE, DK, ES, FI and FR). These definitions, sometimes based in international conventions or EU acquis, are not the same across Member States. This problem is also highlighted in the GENVAL F</w:t>
      </w:r>
      <w:r>
        <w:rPr>
          <w:rFonts w:eastAsia="Calibri"/>
        </w:rPr>
        <w:t>inal Report on the Seventh round of mutual evaluations on "The practical implementation and operation of the European policies on prevention and combating cybercrime" ("GENVAL Report"), ST 9986/17, p. 49.</w:t>
      </w:r>
    </w:p>
  </w:footnote>
  <w:footnote w:id="55">
    <w:p w:rsidR="001B65FF" w:rsidRDefault="003E4EF4">
      <w:pPr>
        <w:pStyle w:val="FootnoteText"/>
        <w:spacing w:after="0"/>
      </w:pPr>
      <w:r>
        <w:rPr>
          <w:rStyle w:val="FootnoteReference"/>
        </w:rPr>
        <w:footnoteRef/>
      </w:r>
      <w:r>
        <w:rPr>
          <w:rStyle w:val="FootnoteReference"/>
        </w:rPr>
        <w:t xml:space="preserve"> </w:t>
      </w:r>
      <w:r>
        <w:tab/>
        <w:t>Personal data is any information related to an i</w:t>
      </w:r>
      <w:r>
        <w:t xml:space="preserve">dentified or identifiable natural person, as defined in Article 4(1) of </w:t>
      </w:r>
      <w:hyperlink r:id="rId43" w:tgtFrame="_blank" w:history="1">
        <w:r>
          <w:rPr>
            <w:rStyle w:val="Hyperlink"/>
            <w:bCs/>
          </w:rPr>
          <w:t>Regulation (EU) 2016/679 </w:t>
        </w:r>
      </w:hyperlink>
      <w:r>
        <w:t>of the European Parl</w:t>
      </w:r>
      <w:r>
        <w:t>iament and of the Council of 27 April 2016 on the protection of natural persons with regard to the processing of personal data and on the free movement of such data, and repealing Directive 95/46/EC.</w:t>
      </w:r>
    </w:p>
  </w:footnote>
  <w:footnote w:id="56">
    <w:p w:rsidR="001B65FF" w:rsidRDefault="003E4EF4">
      <w:pPr>
        <w:pStyle w:val="FootnoteText"/>
        <w:spacing w:after="0"/>
      </w:pPr>
      <w:r>
        <w:rPr>
          <w:rStyle w:val="FootnoteReference"/>
        </w:rPr>
        <w:footnoteRef/>
      </w:r>
      <w:r>
        <w:rPr>
          <w:rStyle w:val="FootnoteReference"/>
          <w:lang w:val="nl-NL"/>
        </w:rPr>
        <w:t xml:space="preserve"> </w:t>
      </w:r>
      <w:r>
        <w:rPr>
          <w:sz w:val="16"/>
          <w:lang w:val="nl-NL"/>
        </w:rPr>
        <w:tab/>
      </w:r>
      <w:r>
        <w:rPr>
          <w:lang w:val="nl-NL"/>
        </w:rPr>
        <w:t xml:space="preserve">See e.g.: </w:t>
      </w:r>
      <w:hyperlink r:id="rId44" w:history="1">
        <w:r>
          <w:rPr>
            <w:rStyle w:val="Hyperlink"/>
            <w:lang w:val="nl-NL"/>
          </w:rPr>
          <w:t>Hof van Cassatie of Belgium, YAHOO! Inc</w:t>
        </w:r>
      </w:hyperlink>
      <w:r>
        <w:rPr>
          <w:lang w:val="nl-NL"/>
        </w:rPr>
        <w:t xml:space="preserve">., No. P.13.2082.N of 1 December 2015, and </w:t>
      </w:r>
      <w:hyperlink r:id="rId45" w:history="1">
        <w:r>
          <w:rPr>
            <w:rStyle w:val="Hyperlink"/>
            <w:lang w:val="nl-NL"/>
          </w:rPr>
          <w:t xml:space="preserve">Correctionele Rechtbank van Antwerpen, afdeling Mechelen of Belgium, No. </w:t>
        </w:r>
        <w:r>
          <w:rPr>
            <w:rStyle w:val="Hyperlink"/>
          </w:rPr>
          <w:t>ME20.F1.105151-12</w:t>
        </w:r>
      </w:hyperlink>
      <w:r>
        <w:t xml:space="preserve"> of 27 October 2016.</w:t>
      </w:r>
    </w:p>
  </w:footnote>
  <w:footnote w:id="57">
    <w:p w:rsidR="001B65FF" w:rsidRDefault="003E4EF4">
      <w:pPr>
        <w:pStyle w:val="FootnoteText"/>
        <w:spacing w:after="0"/>
        <w:rPr>
          <w:lang w:val="en-US"/>
        </w:rPr>
      </w:pPr>
      <w:r>
        <w:rPr>
          <w:rStyle w:val="FootnoteReference"/>
        </w:rPr>
        <w:footnoteRef/>
      </w:r>
      <w:r>
        <w:t xml:space="preserve"> </w:t>
      </w:r>
      <w:r>
        <w:tab/>
      </w:r>
      <w:r>
        <w:rPr>
          <w:rFonts w:eastAsia="Calibri"/>
          <w:szCs w:val="24"/>
        </w:rPr>
        <w:t>Data sharding – the storage of different parts of a database across various servers that might be in different physical locations – has beco</w:t>
      </w:r>
      <w:r>
        <w:rPr>
          <w:rFonts w:eastAsia="Calibri"/>
          <w:szCs w:val="24"/>
        </w:rPr>
        <w:t xml:space="preserve">me a common security technique. See footnotes 45 and 46. </w:t>
      </w:r>
    </w:p>
  </w:footnote>
  <w:footnote w:id="58">
    <w:p w:rsidR="001B65FF" w:rsidRDefault="003E4EF4">
      <w:pPr>
        <w:pStyle w:val="FootnoteText"/>
        <w:spacing w:after="0"/>
      </w:pPr>
      <w:r>
        <w:rPr>
          <w:rStyle w:val="FootnoteReference"/>
        </w:rPr>
        <w:footnoteRef/>
      </w:r>
      <w:r>
        <w:t xml:space="preserve"> </w:t>
      </w:r>
      <w:r>
        <w:tab/>
        <w:t xml:space="preserve">See e.g.: </w:t>
      </w:r>
      <w:hyperlink r:id="rId46" w:history="1">
        <w:r>
          <w:rPr>
            <w:rStyle w:val="Hyperlink"/>
          </w:rPr>
          <w:t>Discussion paper on tackling cybercrime, Informal Meeting of the Justice and Home Affairs Ministers</w:t>
        </w:r>
      </w:hyperlink>
      <w:r>
        <w:t>, Amsterdam 25-26 January 2016;</w:t>
      </w:r>
    </w:p>
    <w:p w:rsidR="001B65FF" w:rsidRDefault="003E4EF4">
      <w:pPr>
        <w:pStyle w:val="FootnoteText"/>
        <w:spacing w:after="0"/>
        <w:ind w:firstLine="0"/>
      </w:pPr>
      <w:r>
        <w:t>See also Eu</w:t>
      </w:r>
      <w:r>
        <w:t xml:space="preserve">ropol </w:t>
      </w:r>
      <w:hyperlink r:id="rId47" w:history="1">
        <w:r>
          <w:rPr>
            <w:rStyle w:val="Hyperlink"/>
          </w:rPr>
          <w:t>Internet Organised Crime Assessment (i-OCTA) 2017</w:t>
        </w:r>
      </w:hyperlink>
      <w:r>
        <w:rPr>
          <w:rStyle w:val="Hyperlink"/>
          <w:color w:val="auto"/>
          <w:u w:val="none"/>
        </w:rPr>
        <w:t>.</w:t>
      </w:r>
    </w:p>
  </w:footnote>
  <w:footnote w:id="59">
    <w:p w:rsidR="001B65FF" w:rsidRDefault="003E4EF4">
      <w:pPr>
        <w:pStyle w:val="FootnoteText"/>
        <w:spacing w:after="0"/>
        <w:ind w:left="360" w:hanging="360"/>
      </w:pPr>
      <w:r>
        <w:rPr>
          <w:rStyle w:val="FootnoteReference"/>
        </w:rPr>
        <w:footnoteRef/>
      </w:r>
      <w:r>
        <w:t xml:space="preserve"> </w:t>
      </w:r>
      <w:r>
        <w:tab/>
      </w:r>
      <w:r>
        <w:rPr>
          <w:rFonts w:eastAsia="Calibri"/>
          <w:szCs w:val="24"/>
        </w:rPr>
        <w:t>In response to the September 2016 questionnaire, at least 4 Mem</w:t>
      </w:r>
      <w:r>
        <w:rPr>
          <w:rFonts w:eastAsia="Calibri"/>
          <w:szCs w:val="24"/>
        </w:rPr>
        <w:t>ber States indicated that law enforcement and judicial authorities can access electronic evidence directly if it is unclear or even impossible to establish where the information is located (</w:t>
      </w:r>
      <w:r>
        <w:rPr>
          <w:rFonts w:eastAsia="Calibri"/>
        </w:rPr>
        <w:t>BE, ES, PT</w:t>
      </w:r>
      <w:r>
        <w:rPr>
          <w:rFonts w:eastAsia="Calibri"/>
          <w:szCs w:val="24"/>
        </w:rPr>
        <w:t xml:space="preserve"> and </w:t>
      </w:r>
      <w:r>
        <w:rPr>
          <w:rFonts w:eastAsia="Calibri"/>
        </w:rPr>
        <w:t>FR</w:t>
      </w:r>
      <w:r>
        <w:rPr>
          <w:rFonts w:eastAsia="Calibri"/>
          <w:szCs w:val="24"/>
        </w:rPr>
        <w:t>).</w:t>
      </w:r>
    </w:p>
  </w:footnote>
  <w:footnote w:id="60">
    <w:p w:rsidR="001B65FF" w:rsidRDefault="003E4EF4">
      <w:pPr>
        <w:pStyle w:val="FootnoteText"/>
        <w:spacing w:after="0"/>
        <w:ind w:left="360" w:hanging="360"/>
      </w:pPr>
      <w:r>
        <w:rPr>
          <w:rStyle w:val="FootnoteReference"/>
        </w:rPr>
        <w:footnoteRef/>
      </w:r>
      <w:r>
        <w:t xml:space="preserve"> </w:t>
      </w:r>
      <w:r>
        <w:tab/>
      </w:r>
      <w:r>
        <w:rPr>
          <w:rFonts w:eastAsia="Calibri"/>
          <w:szCs w:val="24"/>
        </w:rPr>
        <w:t xml:space="preserve">In response to the questionnaire, 8 Member </w:t>
      </w:r>
      <w:r>
        <w:rPr>
          <w:rFonts w:eastAsia="Calibri"/>
          <w:szCs w:val="24"/>
        </w:rPr>
        <w:t>States indicated that their authorities cannot themselves access electronic evidence when it is unclear what the location of the information is or when it is impossible to establish the location of the information (</w:t>
      </w:r>
      <w:r>
        <w:rPr>
          <w:rFonts w:eastAsia="Calibri"/>
        </w:rPr>
        <w:t>HU, SE, HR, CY, EL, LV, FI</w:t>
      </w:r>
      <w:r>
        <w:rPr>
          <w:rFonts w:eastAsia="Calibri"/>
          <w:szCs w:val="24"/>
        </w:rPr>
        <w:t xml:space="preserve"> and</w:t>
      </w:r>
      <w:r>
        <w:rPr>
          <w:rFonts w:eastAsia="Calibri"/>
        </w:rPr>
        <w:t xml:space="preserve"> SI</w:t>
      </w:r>
      <w:r>
        <w:rPr>
          <w:rFonts w:eastAsia="Calibri"/>
          <w:szCs w:val="24"/>
        </w:rPr>
        <w:t>) and 11</w:t>
      </w:r>
      <w:r>
        <w:rPr>
          <w:rFonts w:eastAsia="Calibri"/>
          <w:szCs w:val="24"/>
        </w:rPr>
        <w:t xml:space="preserve"> Member States clarified that this depends on specific circumstances (</w:t>
      </w:r>
      <w:r>
        <w:rPr>
          <w:rFonts w:eastAsia="Calibri"/>
        </w:rPr>
        <w:t>AT, EE, RO, SK, NL, CZ, DE, DK, UK, IT</w:t>
      </w:r>
      <w:r>
        <w:rPr>
          <w:rFonts w:eastAsia="Calibri"/>
          <w:szCs w:val="24"/>
        </w:rPr>
        <w:t xml:space="preserve"> and</w:t>
      </w:r>
      <w:r>
        <w:rPr>
          <w:rFonts w:eastAsia="Calibri"/>
        </w:rPr>
        <w:t xml:space="preserve"> LT</w:t>
      </w:r>
      <w:r>
        <w:rPr>
          <w:rFonts w:eastAsia="Calibri"/>
          <w:szCs w:val="24"/>
        </w:rPr>
        <w:t>).</w:t>
      </w:r>
    </w:p>
  </w:footnote>
  <w:footnote w:id="61">
    <w:p w:rsidR="001B65FF" w:rsidRDefault="003E4EF4">
      <w:pPr>
        <w:pStyle w:val="FootnoteText"/>
        <w:spacing w:after="0"/>
        <w:rPr>
          <w:lang w:val="en-US"/>
        </w:rPr>
      </w:pPr>
      <w:r>
        <w:rPr>
          <w:rStyle w:val="FootnoteReference"/>
        </w:rPr>
        <w:footnoteRef/>
      </w:r>
      <w:r>
        <w:t xml:space="preserve"> </w:t>
      </w:r>
      <w:r>
        <w:rPr>
          <w:lang w:val="en-US"/>
        </w:rPr>
        <w:tab/>
        <w:t>E.g. DK.</w:t>
      </w:r>
    </w:p>
  </w:footnote>
  <w:footnote w:id="62">
    <w:p w:rsidR="001B65FF" w:rsidRDefault="003E4EF4">
      <w:pPr>
        <w:pStyle w:val="FootnoteText"/>
        <w:spacing w:after="0"/>
        <w:rPr>
          <w:lang w:val="en-US"/>
        </w:rPr>
      </w:pPr>
      <w:r>
        <w:rPr>
          <w:rStyle w:val="FootnoteReference"/>
        </w:rPr>
        <w:footnoteRef/>
      </w:r>
      <w:r>
        <w:t xml:space="preserve"> </w:t>
      </w:r>
      <w:r>
        <w:rPr>
          <w:lang w:val="en-US"/>
        </w:rPr>
        <w:tab/>
        <w:t>E.g. BE, FR, NL.</w:t>
      </w:r>
    </w:p>
  </w:footnote>
  <w:footnote w:id="63">
    <w:p w:rsidR="001B65FF" w:rsidRDefault="003E4EF4">
      <w:pPr>
        <w:pStyle w:val="FootnoteText"/>
        <w:spacing w:after="0"/>
        <w:rPr>
          <w:lang w:val="en-US"/>
        </w:rPr>
      </w:pPr>
      <w:r>
        <w:rPr>
          <w:rStyle w:val="FootnoteReference"/>
        </w:rPr>
        <w:footnoteRef/>
      </w:r>
      <w:r>
        <w:t xml:space="preserve"> </w:t>
      </w:r>
      <w:r>
        <w:tab/>
        <w:t xml:space="preserve">E.g. </w:t>
      </w:r>
      <w:r>
        <w:rPr>
          <w:lang w:val="en-US"/>
        </w:rPr>
        <w:t>CZ, RO, DE.</w:t>
      </w:r>
    </w:p>
  </w:footnote>
  <w:footnote w:id="64">
    <w:p w:rsidR="001B65FF" w:rsidRDefault="003E4EF4">
      <w:pPr>
        <w:pStyle w:val="FootnoteText"/>
        <w:spacing w:after="0"/>
      </w:pPr>
      <w:r>
        <w:rPr>
          <w:rStyle w:val="FootnoteReference"/>
        </w:rPr>
        <w:footnoteRef/>
      </w:r>
      <w:r>
        <w:t xml:space="preserve"> </w:t>
      </w:r>
      <w:r>
        <w:tab/>
        <w:t xml:space="preserve">As reported by </w:t>
      </w:r>
      <w:hyperlink r:id="rId48" w:history="1">
        <w:r>
          <w:rPr>
            <w:rStyle w:val="Hyperlink"/>
          </w:rPr>
          <w:t>Kaspersky Labs</w:t>
        </w:r>
      </w:hyperlink>
      <w:r>
        <w:t>, 2014.</w:t>
      </w:r>
    </w:p>
  </w:footnote>
  <w:footnote w:id="65">
    <w:p w:rsidR="001B65FF" w:rsidRDefault="003E4EF4">
      <w:pPr>
        <w:pStyle w:val="FootnoteText"/>
        <w:spacing w:after="0"/>
      </w:pPr>
      <w:r>
        <w:rPr>
          <w:rStyle w:val="FootnoteReference"/>
        </w:rPr>
        <w:footnoteRef/>
      </w:r>
      <w:r>
        <w:t xml:space="preserve"> </w:t>
      </w:r>
      <w:r>
        <w:tab/>
      </w:r>
      <w:hyperlink r:id="rId49" w:history="1">
        <w:r>
          <w:rPr>
            <w:rStyle w:val="Hyperlink"/>
          </w:rPr>
          <w:t>The In</w:t>
        </w:r>
        <w:r>
          <w:rPr>
            <w:rStyle w:val="Hyperlink"/>
          </w:rPr>
          <w:t>ternet of Things: How the Next Evolution of the Internet Is Changing Everything</w:t>
        </w:r>
      </w:hyperlink>
      <w:r>
        <w:t>, Dave Evans, Cisco, 2011.</w:t>
      </w:r>
    </w:p>
  </w:footnote>
  <w:footnote w:id="66">
    <w:p w:rsidR="001B65FF" w:rsidRDefault="003E4EF4">
      <w:pPr>
        <w:pStyle w:val="FootnoteText"/>
        <w:spacing w:after="0"/>
      </w:pPr>
      <w:r>
        <w:rPr>
          <w:rStyle w:val="FootnoteReference"/>
        </w:rPr>
        <w:footnoteRef/>
      </w:r>
      <w:r>
        <w:t xml:space="preserve"> </w:t>
      </w:r>
      <w:r>
        <w:tab/>
        <w:t>Crime-as-a-service is a business model that allows for the provision of cybercrime capabilities or ready to use cybercrime tools to other individua</w:t>
      </w:r>
      <w:r>
        <w:t>ls or criminal groups.</w:t>
      </w:r>
    </w:p>
  </w:footnote>
  <w:footnote w:id="67">
    <w:p w:rsidR="001B65FF" w:rsidRDefault="003E4EF4">
      <w:pPr>
        <w:spacing w:line="240" w:lineRule="auto"/>
        <w:ind w:left="357" w:hanging="357"/>
        <w:jc w:val="both"/>
        <w:rPr>
          <w:rFonts w:ascii="Times New Roman" w:hAnsi="Times New Roman" w:cs="Times New Roman"/>
          <w:color w:val="666666"/>
          <w:lang w:eastAsia="en-GB"/>
        </w:rPr>
      </w:pPr>
      <w:r>
        <w:rPr>
          <w:rStyle w:val="FootnoteReference"/>
          <w:rFonts w:ascii="Times New Roman" w:hAnsi="Times New Roman" w:cs="Times New Roman"/>
          <w:sz w:val="20"/>
        </w:rPr>
        <w:footnoteRef/>
      </w:r>
      <w:r>
        <w:rPr>
          <w:rFonts w:ascii="Times New Roman" w:hAnsi="Times New Roman" w:cs="Times New Roman"/>
          <w:sz w:val="20"/>
        </w:rPr>
        <w:t xml:space="preserve"> </w:t>
      </w:r>
      <w:r>
        <w:rPr>
          <w:rFonts w:ascii="Times New Roman" w:hAnsi="Times New Roman" w:cs="Times New Roman"/>
          <w:sz w:val="20"/>
        </w:rPr>
        <w:tab/>
      </w:r>
      <w:hyperlink r:id="rId50" w:history="1">
        <w:r>
          <w:rPr>
            <w:rStyle w:val="Hyperlink"/>
            <w:rFonts w:ascii="Times New Roman" w:eastAsia="Times New Roman" w:hAnsi="Times New Roman" w:cs="Times New Roman"/>
            <w:sz w:val="20"/>
            <w:szCs w:val="20"/>
            <w:lang w:eastAsia="en-GB"/>
          </w:rPr>
          <w:t>Council Conclusions</w:t>
        </w:r>
      </w:hyperlink>
      <w:r>
        <w:rPr>
          <w:rFonts w:ascii="Times New Roman" w:eastAsia="Times New Roman" w:hAnsi="Times New Roman" w:cs="Times New Roman"/>
          <w:sz w:val="20"/>
          <w:szCs w:val="20"/>
          <w:lang w:eastAsia="en-GB"/>
        </w:rPr>
        <w:t xml:space="preserve"> on the Joint Communication to the European Parliament and the Council: Resilience, Deterrence and Defence: Building strong cyberse</w:t>
      </w:r>
      <w:r>
        <w:rPr>
          <w:rFonts w:ascii="Times New Roman" w:eastAsia="Times New Roman" w:hAnsi="Times New Roman" w:cs="Times New Roman"/>
          <w:sz w:val="20"/>
          <w:szCs w:val="20"/>
          <w:lang w:eastAsia="en-GB"/>
        </w:rPr>
        <w:t>curity for the EU - Council conclusions (20 November 2017), ST-</w:t>
      </w:r>
      <w:r>
        <w:t xml:space="preserve"> </w:t>
      </w:r>
      <w:r>
        <w:rPr>
          <w:rFonts w:ascii="Times New Roman" w:eastAsia="Times New Roman" w:hAnsi="Times New Roman" w:cs="Times New Roman"/>
          <w:sz w:val="20"/>
          <w:szCs w:val="20"/>
          <w:lang w:eastAsia="en-GB"/>
        </w:rPr>
        <w:t>14435/17.</w:t>
      </w:r>
    </w:p>
  </w:footnote>
  <w:footnote w:id="68">
    <w:p w:rsidR="001B65FF" w:rsidRDefault="003E4EF4">
      <w:pPr>
        <w:pStyle w:val="FootnoteText"/>
        <w:spacing w:after="0"/>
        <w:ind w:hanging="360"/>
      </w:pPr>
      <w:r>
        <w:rPr>
          <w:rStyle w:val="FootnoteReference"/>
        </w:rPr>
        <w:footnoteRef/>
      </w:r>
      <w:r>
        <w:t xml:space="preserve"> </w:t>
      </w:r>
      <w:r>
        <w:tab/>
        <w:t>This classification is convenient as there are legal definitions for each of these categories in different legal instruments:</w:t>
      </w:r>
    </w:p>
    <w:p w:rsidR="001B65FF" w:rsidRDefault="003E4EF4">
      <w:pPr>
        <w:pStyle w:val="FootnoteText"/>
        <w:numPr>
          <w:ilvl w:val="0"/>
          <w:numId w:val="41"/>
        </w:numPr>
        <w:spacing w:after="0"/>
        <w:rPr>
          <w:rFonts w:eastAsia="Calibri"/>
          <w:b/>
        </w:rPr>
      </w:pPr>
      <w:r>
        <w:rPr>
          <w:rFonts w:eastAsia="Calibri"/>
        </w:rPr>
        <w:t xml:space="preserve">a definition of </w:t>
      </w:r>
      <w:r>
        <w:rPr>
          <w:rFonts w:eastAsia="Calibri"/>
          <w:b/>
        </w:rPr>
        <w:t>subscriber data</w:t>
      </w:r>
      <w:r>
        <w:t xml:space="preserve"> appears in Article 18</w:t>
      </w:r>
      <w:r>
        <w:t xml:space="preserve">(3) of the </w:t>
      </w:r>
      <w:hyperlink r:id="rId51" w:history="1">
        <w:r>
          <w:rPr>
            <w:rStyle w:val="Hyperlink"/>
          </w:rPr>
          <w:t>Council of Europe Convention on Cybercrime</w:t>
        </w:r>
      </w:hyperlink>
      <w:r>
        <w:t xml:space="preserve"> (CETS No 185): </w:t>
      </w:r>
      <w:r>
        <w:rPr>
          <w:rFonts w:eastAsia="Calibri"/>
        </w:rPr>
        <w:t>"any data held by a service provider, relating to subscribers of its services other than meta-data</w:t>
      </w:r>
      <w:r>
        <w:rPr>
          <w:rFonts w:eastAsia="Calibri"/>
        </w:rPr>
        <w:t xml:space="preserve"> or content data and by which can be established: i) the type of communication service used, the technical provisions taken thereto and the period of service, ii) b the subscriber’s identity, postal or geographic address, telephone and other access number,</w:t>
      </w:r>
      <w:r>
        <w:rPr>
          <w:rFonts w:eastAsia="Calibri"/>
        </w:rPr>
        <w:t xml:space="preserve"> billing and payment information, available on the basis of the service agreement or arrangement, iii) any other information on the site of the installation of communication equipment, available on the basis of the service agreement or arrangement";</w:t>
      </w:r>
      <w:r>
        <w:rPr>
          <w:rFonts w:eastAsia="Calibri"/>
          <w:b/>
        </w:rPr>
        <w:t xml:space="preserve"> </w:t>
      </w:r>
    </w:p>
    <w:p w:rsidR="001B65FF" w:rsidRDefault="003E4EF4">
      <w:pPr>
        <w:pStyle w:val="FootnoteText"/>
        <w:numPr>
          <w:ilvl w:val="0"/>
          <w:numId w:val="40"/>
        </w:numPr>
        <w:spacing w:after="0"/>
      </w:pPr>
      <w:r>
        <w:rPr>
          <w:rFonts w:eastAsia="Calibri"/>
        </w:rPr>
        <w:t>a def</w:t>
      </w:r>
      <w:r>
        <w:rPr>
          <w:rFonts w:eastAsia="Calibri"/>
        </w:rPr>
        <w:t xml:space="preserve">inition of </w:t>
      </w:r>
      <w:r>
        <w:rPr>
          <w:rFonts w:eastAsia="Calibri"/>
          <w:b/>
        </w:rPr>
        <w:t>electronic communication</w:t>
      </w:r>
      <w:r>
        <w:rPr>
          <w:rFonts w:eastAsia="Calibri"/>
        </w:rPr>
        <w:t xml:space="preserve"> </w:t>
      </w:r>
      <w:r>
        <w:rPr>
          <w:rFonts w:eastAsia="Calibri"/>
          <w:b/>
        </w:rPr>
        <w:t>metadata</w:t>
      </w:r>
      <w:r>
        <w:rPr>
          <w:rFonts w:eastAsia="Calibri"/>
        </w:rPr>
        <w:t xml:space="preserve"> is included in </w:t>
      </w:r>
      <w:r>
        <w:t xml:space="preserve">Article 4(3)(c) of the </w:t>
      </w:r>
      <w:hyperlink r:id="rId52" w:history="1">
        <w:r>
          <w:rPr>
            <w:rStyle w:val="Hyperlink"/>
          </w:rPr>
          <w:t>Proposal for a Regulation</w:t>
        </w:r>
      </w:hyperlink>
      <w:r>
        <w:t xml:space="preserve"> concerning the respect for private life and the protecti</w:t>
      </w:r>
      <w:r>
        <w:t>on of personal data in electronic communications and repealing Directive 2002/58/EC (Regulation on Privacy and Electronic Communications) COM(2017) 10 final: “</w:t>
      </w:r>
      <w:r>
        <w:rPr>
          <w:rFonts w:eastAsia="Calibri"/>
        </w:rPr>
        <w:t>"data processed in an electronic communications network for the purposes of transmitting, distrib</w:t>
      </w:r>
      <w:r>
        <w:rPr>
          <w:rFonts w:eastAsia="Calibri"/>
        </w:rPr>
        <w:t>uting or exchanging electronic communications content; including data used to trace and identify the source and destination of a communication, data on the location of the device generated in the context of providing electronic communications services, and</w:t>
      </w:r>
      <w:r>
        <w:rPr>
          <w:rFonts w:eastAsia="Calibri"/>
        </w:rPr>
        <w:t xml:space="preserve"> the date, time, duration and the type of communication";</w:t>
      </w:r>
    </w:p>
    <w:p w:rsidR="001B65FF" w:rsidRDefault="003E4EF4">
      <w:pPr>
        <w:pStyle w:val="FootnoteText"/>
        <w:numPr>
          <w:ilvl w:val="0"/>
          <w:numId w:val="40"/>
        </w:numPr>
        <w:spacing w:after="0"/>
      </w:pPr>
      <w:r>
        <w:t xml:space="preserve">a definition of </w:t>
      </w:r>
      <w:r>
        <w:rPr>
          <w:rFonts w:eastAsia="Calibri"/>
          <w:b/>
        </w:rPr>
        <w:t>electronic communication</w:t>
      </w:r>
      <w:r>
        <w:rPr>
          <w:rFonts w:eastAsia="Calibri"/>
        </w:rPr>
        <w:t xml:space="preserve"> </w:t>
      </w:r>
      <w:r>
        <w:rPr>
          <w:rFonts w:eastAsia="Calibri"/>
          <w:b/>
        </w:rPr>
        <w:t xml:space="preserve">content </w:t>
      </w:r>
      <w:r>
        <w:rPr>
          <w:rFonts w:eastAsia="Calibri"/>
        </w:rPr>
        <w:t xml:space="preserve">appears in </w:t>
      </w:r>
      <w:r>
        <w:t>Article 4(3)(b) of the proposal for a Regulation on Privacy and Electronic Communications</w:t>
      </w:r>
      <w:r>
        <w:rPr>
          <w:rFonts w:eastAsia="Calibri"/>
        </w:rPr>
        <w:t xml:space="preserve"> above: "the content exchanged by means of electr</w:t>
      </w:r>
      <w:r>
        <w:rPr>
          <w:rFonts w:eastAsia="Calibri"/>
        </w:rPr>
        <w:t>onic communications services, such as text, voice, videos, images, and sound".</w:t>
      </w:r>
    </w:p>
  </w:footnote>
  <w:footnote w:id="69">
    <w:p w:rsidR="001B65FF" w:rsidRDefault="003E4EF4">
      <w:pPr>
        <w:pStyle w:val="FootnoteText"/>
        <w:spacing w:after="0"/>
      </w:pPr>
      <w:r>
        <w:rPr>
          <w:rStyle w:val="FootnoteReference"/>
        </w:rPr>
        <w:footnoteRef/>
      </w:r>
      <w:r>
        <w:t xml:space="preserve"> </w:t>
      </w:r>
      <w:r>
        <w:tab/>
        <w:t>See previous footnote.</w:t>
      </w:r>
    </w:p>
  </w:footnote>
  <w:footnote w:id="70">
    <w:p w:rsidR="001B65FF" w:rsidRDefault="003E4EF4">
      <w:pPr>
        <w:pStyle w:val="Briefinglist1"/>
        <w:numPr>
          <w:ilvl w:val="0"/>
          <w:numId w:val="0"/>
        </w:numPr>
        <w:tabs>
          <w:tab w:val="left" w:pos="720"/>
        </w:tabs>
        <w:spacing w:after="0"/>
        <w:ind w:left="360" w:hanging="360"/>
        <w:rPr>
          <w:rFonts w:ascii="Times New Roman" w:hAnsi="Times New Roman" w:cs="Times New Roman"/>
          <w:sz w:val="20"/>
          <w:szCs w:val="20"/>
        </w:rPr>
      </w:pPr>
      <w:r>
        <w:rPr>
          <w:rStyle w:val="FootnoteReference"/>
          <w:rFonts w:ascii="Times New Roman" w:hAnsi="Times New Roman" w:cs="Times New Roman"/>
        </w:rPr>
        <w:footnoteRef/>
      </w:r>
      <w:r>
        <w:t xml:space="preserve"> </w:t>
      </w:r>
      <w:r>
        <w:tab/>
      </w:r>
      <w:r>
        <w:rPr>
          <w:rFonts w:ascii="Times New Roman" w:hAnsi="Times New Roman" w:cs="Times New Roman"/>
          <w:sz w:val="20"/>
          <w:szCs w:val="20"/>
        </w:rPr>
        <w:t>See in that regard Judgement of the Court of Justice of 8 April 2014,</w:t>
      </w:r>
      <w:r>
        <w:rPr>
          <w:rFonts w:ascii="Times New Roman" w:hAnsi="Times New Roman" w:cs="Times New Roman"/>
          <w:iCs/>
          <w:sz w:val="20"/>
          <w:szCs w:val="20"/>
        </w:rPr>
        <w:t xml:space="preserve"> Digital Rights Ireland Ltd (C-293/12) v Minister for Communications, Marine and Natural Resources, Minister for Justice, Equality and Law Reform, The Commissioner of the Garda Síochána, Ireland and the Attorney General, and Kärntner Landesregierung, Micha</w:t>
      </w:r>
      <w:r>
        <w:rPr>
          <w:rFonts w:ascii="Times New Roman" w:hAnsi="Times New Roman" w:cs="Times New Roman"/>
          <w:iCs/>
          <w:sz w:val="20"/>
          <w:szCs w:val="20"/>
        </w:rPr>
        <w:t>el Seitlinger, Christof Tschohl and Others (C-594/12)</w:t>
      </w:r>
      <w:r>
        <w:rPr>
          <w:rFonts w:ascii="Times New Roman" w:hAnsi="Times New Roman" w:cs="Times New Roman"/>
          <w:sz w:val="20"/>
          <w:szCs w:val="20"/>
        </w:rPr>
        <w:t xml:space="preserve"> (</w:t>
      </w:r>
      <w:hyperlink r:id="rId53" w:history="1">
        <w:r>
          <w:rPr>
            <w:rStyle w:val="Hyperlink"/>
            <w:rFonts w:ascii="Times New Roman" w:hAnsi="Times New Roman" w:cs="Times New Roman"/>
            <w:sz w:val="20"/>
            <w:szCs w:val="20"/>
          </w:rPr>
          <w:t>Joined Cases C-293/12 and C-594/12</w:t>
        </w:r>
      </w:hyperlink>
      <w:r>
        <w:rPr>
          <w:rFonts w:ascii="Times New Roman" w:hAnsi="Times New Roman" w:cs="Times New Roman"/>
          <w:sz w:val="20"/>
          <w:szCs w:val="20"/>
        </w:rPr>
        <w:t xml:space="preserve">), in particular paragraphs 26 and 27.   </w:t>
      </w:r>
    </w:p>
    <w:p w:rsidR="001B65FF" w:rsidRDefault="003E4EF4">
      <w:pPr>
        <w:pStyle w:val="FootnoteText"/>
        <w:spacing w:after="0"/>
      </w:pPr>
      <w:r>
        <w:tab/>
        <w:t>See also the case Tele2 Sverige A</w:t>
      </w:r>
      <w:r>
        <w:t>B v Post- och telestyrelsen and Secretary of State for the Home Department v Tom Watson and Others (</w:t>
      </w:r>
      <w:hyperlink r:id="rId54" w:history="1">
        <w:r>
          <w:rPr>
            <w:rStyle w:val="Hyperlink"/>
          </w:rPr>
          <w:t>Joined Cases C-203/15 and C-698/15</w:t>
        </w:r>
      </w:hyperlink>
      <w:r>
        <w:t>), in particular para. 98 and 99.</w:t>
      </w:r>
    </w:p>
  </w:footnote>
  <w:footnote w:id="71">
    <w:p w:rsidR="001B65FF" w:rsidRDefault="003E4EF4">
      <w:pPr>
        <w:pStyle w:val="FootnoteText"/>
        <w:spacing w:after="0"/>
        <w:rPr>
          <w:lang w:val="en-US"/>
        </w:rPr>
      </w:pPr>
      <w:r>
        <w:rPr>
          <w:rStyle w:val="FootnoteReference"/>
        </w:rPr>
        <w:footnoteRef/>
      </w:r>
      <w:r>
        <w:t xml:space="preserve"> </w:t>
      </w:r>
      <w:r>
        <w:rPr>
          <w:lang w:val="en-US"/>
        </w:rPr>
        <w:tab/>
        <w:t>See options disca</w:t>
      </w:r>
      <w:r>
        <w:rPr>
          <w:lang w:val="en-US"/>
        </w:rPr>
        <w:t xml:space="preserve">rded at an early stage, section 5.3. The current procedures to obtain e-evidence through for judicial cooperation, </w:t>
      </w:r>
      <w:r>
        <w:t>MLA and EIO, are not limited to certain types of crime. An EIO can be issued "in proceedings brought by administrative authorities in respect</w:t>
      </w:r>
      <w:r>
        <w:t xml:space="preserve"> to acts which are punishable under the national law of the issuing State by virtue of being infringements of the rule of law", without being considered as criminal offences, as long as "the decision may give rise to proceedings before a court having juris</w:t>
      </w:r>
      <w:r>
        <w:t xml:space="preserve">diction in criminal matters". On the other hand, the EIO also allows the executing authority to refuse the execution of an EIO where "the use of the investigative measure indicated in the EIO is restricted under the law of the executing State to a list or </w:t>
      </w:r>
      <w:r>
        <w:t>category of offences or to offences punishable by a certain threshold, which does not include the offence covered by the EIO" (see Art. 11 para. 1 lit. (h), Directive 2014/41).</w:t>
      </w:r>
    </w:p>
  </w:footnote>
  <w:footnote w:id="72">
    <w:p w:rsidR="001B65FF" w:rsidRDefault="003E4EF4">
      <w:pPr>
        <w:pStyle w:val="FootnoteText"/>
        <w:spacing w:after="0"/>
      </w:pPr>
      <w:r>
        <w:rPr>
          <w:rStyle w:val="FootnoteReference"/>
        </w:rPr>
        <w:footnoteRef/>
      </w:r>
      <w:r>
        <w:t xml:space="preserve"> </w:t>
      </w:r>
      <w:r>
        <w:tab/>
      </w:r>
      <w:hyperlink r:id="rId55" w:history="1">
        <w:r>
          <w:rPr>
            <w:rStyle w:val="Hyperlink"/>
          </w:rPr>
          <w:t xml:space="preserve">Proposal for </w:t>
        </w:r>
        <w:r>
          <w:rPr>
            <w:rStyle w:val="Hyperlink"/>
          </w:rPr>
          <w:t>a Directive</w:t>
        </w:r>
      </w:hyperlink>
      <w:r>
        <w:t xml:space="preserve"> of the European Parliament and of the Council establishing the European Electronic Communications Code (Recast), COM(2016)590.</w:t>
      </w:r>
    </w:p>
  </w:footnote>
  <w:footnote w:id="73">
    <w:p w:rsidR="001B65FF" w:rsidRDefault="003E4EF4">
      <w:pPr>
        <w:pStyle w:val="FootnoteText"/>
        <w:spacing w:after="0"/>
      </w:pPr>
      <w:r>
        <w:rPr>
          <w:rStyle w:val="FootnoteReference"/>
        </w:rPr>
        <w:footnoteRef/>
      </w:r>
      <w:r>
        <w:t xml:space="preserve"> </w:t>
      </w:r>
      <w:r>
        <w:tab/>
      </w:r>
      <w:hyperlink r:id="rId56" w:history="1">
        <w:r>
          <w:rPr>
            <w:rStyle w:val="Hyperlink"/>
          </w:rPr>
          <w:t>Directive 2002/21/EC</w:t>
        </w:r>
      </w:hyperlink>
      <w:r>
        <w:t xml:space="preserve"> of the European Parliament and of the Council of 7 March 2002 on a common regulatory framework for electronic communications networks and services (Framework Directive).</w:t>
      </w:r>
    </w:p>
  </w:footnote>
  <w:footnote w:id="74">
    <w:p w:rsidR="001B65FF" w:rsidRDefault="003E4EF4">
      <w:pPr>
        <w:pStyle w:val="FootnoteText"/>
        <w:spacing w:after="0"/>
      </w:pPr>
      <w:r>
        <w:rPr>
          <w:rStyle w:val="FootnoteReference"/>
        </w:rPr>
        <w:footnoteRef/>
      </w:r>
      <w:r>
        <w:t xml:space="preserve"> </w:t>
      </w:r>
      <w:r>
        <w:tab/>
        <w:t>"Any service normally provided for remuneration, at a distance, by electronic mean</w:t>
      </w:r>
      <w:r>
        <w:t>s and at the individual request of a recipient of services".</w:t>
      </w:r>
    </w:p>
  </w:footnote>
  <w:footnote w:id="75">
    <w:p w:rsidR="001B65FF" w:rsidRDefault="003E4EF4">
      <w:pPr>
        <w:pStyle w:val="FootnoteText"/>
        <w:spacing w:after="0"/>
      </w:pPr>
      <w:r>
        <w:rPr>
          <w:rStyle w:val="FootnoteReference"/>
        </w:rPr>
        <w:footnoteRef/>
      </w:r>
      <w:r>
        <w:t xml:space="preserve"> </w:t>
      </w:r>
      <w:r>
        <w:tab/>
        <w:t>The Commission launched a call for proposals with a budget of EUR 1million total for improving cooperation both between judicial authorities of EU Member States and the US and between EU autho</w:t>
      </w:r>
      <w:r>
        <w:t xml:space="preserve">rities and US-based service providers on 4 May 2017 under the Partnership Instrument Annual Action Programme 2016 Phase II - International Digital Cooperation - Component D – Cross Border Access to Electronic Evidence (EuropeAid/155907/DH/ACT/Multi). More </w:t>
      </w:r>
      <w:r>
        <w:t xml:space="preserve">information is available </w:t>
      </w:r>
      <w:hyperlink r:id="rId57" w:history="1">
        <w:r>
          <w:rPr>
            <w:rStyle w:val="Hyperlink"/>
          </w:rPr>
          <w:t>here</w:t>
        </w:r>
      </w:hyperlink>
      <w:r>
        <w:t>.</w:t>
      </w:r>
    </w:p>
  </w:footnote>
  <w:footnote w:id="76">
    <w:p w:rsidR="001B65FF" w:rsidRDefault="003E4EF4">
      <w:pPr>
        <w:pStyle w:val="FootnoteText"/>
        <w:spacing w:after="0"/>
        <w:rPr>
          <w:i/>
        </w:rPr>
      </w:pPr>
      <w:r>
        <w:rPr>
          <w:rStyle w:val="FootnoteReference"/>
        </w:rPr>
        <w:footnoteRef/>
      </w:r>
      <w:r>
        <w:t xml:space="preserve"> </w:t>
      </w:r>
      <w:r>
        <w:tab/>
      </w:r>
      <w:r>
        <w:rPr>
          <w:i/>
        </w:rPr>
        <w:t>Ibid.</w:t>
      </w:r>
    </w:p>
  </w:footnote>
  <w:footnote w:id="77">
    <w:p w:rsidR="001B65FF" w:rsidRDefault="003E4EF4">
      <w:pPr>
        <w:pStyle w:val="FootnoteText"/>
        <w:spacing w:after="0"/>
      </w:pPr>
      <w:r>
        <w:rPr>
          <w:rStyle w:val="FootnoteReference"/>
        </w:rPr>
        <w:footnoteRef/>
      </w:r>
      <w:r>
        <w:t xml:space="preserve"> </w:t>
      </w:r>
      <w:r>
        <w:tab/>
        <w:t>This interactive platform would allow law enforcement authorities to collect publicly available information, to identify the relevant service provide</w:t>
      </w:r>
      <w:r>
        <w:t xml:space="preserve">rs for additional information, and to find the appropriate channel for making the request. More information is available </w:t>
      </w:r>
      <w:hyperlink r:id="rId58" w:history="1">
        <w:r>
          <w:rPr>
            <w:rStyle w:val="Hyperlink"/>
          </w:rPr>
          <w:t>here</w:t>
        </w:r>
      </w:hyperlink>
      <w:r>
        <w:t>.</w:t>
      </w:r>
    </w:p>
  </w:footnote>
  <w:footnote w:id="78">
    <w:p w:rsidR="001B65FF" w:rsidRDefault="003E4EF4">
      <w:pPr>
        <w:pStyle w:val="FootnoteText"/>
        <w:spacing w:after="0"/>
        <w:ind w:left="360" w:hanging="360"/>
      </w:pPr>
      <w:r>
        <w:rPr>
          <w:rStyle w:val="FootnoteReference"/>
        </w:rPr>
        <w:footnoteRef/>
      </w:r>
      <w:r>
        <w:t xml:space="preserve"> </w:t>
      </w:r>
      <w:r>
        <w:tab/>
        <w:t xml:space="preserve">See e.g.: U.S. Court of Appeals for the Second Circuit, </w:t>
      </w:r>
      <w:hyperlink r:id="rId59" w:history="1">
        <w:r>
          <w:rPr>
            <w:rStyle w:val="Hyperlink"/>
          </w:rPr>
          <w:t>Microsoft v. United States, No. 14-2985</w:t>
        </w:r>
      </w:hyperlink>
      <w:r>
        <w:t xml:space="preserve"> (2d Cir. 2016) of 14 July 2016. The case is under re</w:t>
      </w:r>
      <w:r>
        <w:t xml:space="preserve">view by the U.S. Supreme Court and a decision is expected by July 2018. See Annex 9 (Box 1) in this document for more details; </w:t>
      </w:r>
    </w:p>
    <w:p w:rsidR="001B65FF" w:rsidRDefault="003E4EF4">
      <w:pPr>
        <w:pStyle w:val="FootnoteText"/>
        <w:spacing w:after="0"/>
        <w:ind w:left="360" w:hanging="3"/>
      </w:pPr>
      <w:r>
        <w:t xml:space="preserve">see also the Skype vs Belgium case (e.g. Stibbe, </w:t>
      </w:r>
      <w:hyperlink r:id="rId60" w:history="1">
        <w:r>
          <w:rPr>
            <w:rStyle w:val="Hyperlink"/>
          </w:rPr>
          <w:t>Skype Luxembourg condemned in Belgium for refusing to set up wiretap</w:t>
        </w:r>
      </w:hyperlink>
      <w:r>
        <w:t>, 24 February 2017): Belgian authorities considered the request for data as a domestic request when the provider located in Luxembourg co</w:t>
      </w:r>
      <w:r>
        <w:t>nsidered the request as a foreign request (in accordance with the current Luxemburgish legal framework).</w:t>
      </w:r>
    </w:p>
  </w:footnote>
  <w:footnote w:id="79">
    <w:p w:rsidR="001B65FF" w:rsidRDefault="003E4EF4">
      <w:pPr>
        <w:pStyle w:val="FootnoteText"/>
        <w:spacing w:after="0"/>
        <w:ind w:left="360" w:hanging="360"/>
      </w:pPr>
      <w:r>
        <w:rPr>
          <w:rStyle w:val="FootnoteReference"/>
        </w:rPr>
        <w:footnoteRef/>
      </w:r>
      <w:r>
        <w:t xml:space="preserve"> </w:t>
      </w:r>
      <w:r>
        <w:tab/>
      </w:r>
      <w:hyperlink r:id="rId61" w:history="1">
        <w:r>
          <w:rPr>
            <w:rStyle w:val="Hyperlink"/>
          </w:rPr>
          <w:t>Joint communication</w:t>
        </w:r>
      </w:hyperlink>
      <w:r>
        <w:t xml:space="preserve"> to the European Parliament, the Council, </w:t>
      </w:r>
      <w:r>
        <w:t>the European Economic and Social Committee and the Committee of the Regions - Cybersecurity Strategy of the European Union: An open, Safe and Secure Cyberspace (JOIN(2013) 1 final of 7.2.2013).</w:t>
      </w:r>
    </w:p>
  </w:footnote>
  <w:footnote w:id="80">
    <w:p w:rsidR="001B65FF" w:rsidRDefault="003E4EF4">
      <w:pPr>
        <w:pStyle w:val="FootnoteText"/>
        <w:spacing w:after="0"/>
      </w:pPr>
      <w:r>
        <w:rPr>
          <w:rStyle w:val="FootnoteReference"/>
        </w:rPr>
        <w:footnoteRef/>
      </w:r>
      <w:r>
        <w:t xml:space="preserve"> </w:t>
      </w:r>
      <w:r>
        <w:tab/>
      </w:r>
      <w:hyperlink r:id="rId62" w:history="1">
        <w:r>
          <w:rPr>
            <w:rStyle w:val="Hyperlink"/>
          </w:rPr>
          <w:t>(DRAFT) Terms of Reference for the Preparation of a Draft 2nd Additional Protocol to the Budapest Convention on Cybercrime</w:t>
        </w:r>
      </w:hyperlink>
      <w:r>
        <w:t>, T-CY (2017)3, version 1 June 2017.</w:t>
      </w:r>
    </w:p>
  </w:footnote>
  <w:footnote w:id="81">
    <w:p w:rsidR="001B65FF" w:rsidRDefault="003E4EF4">
      <w:pPr>
        <w:pStyle w:val="FootnoteText"/>
        <w:spacing w:after="0"/>
      </w:pPr>
      <w:r>
        <w:rPr>
          <w:rStyle w:val="FootnoteReference"/>
        </w:rPr>
        <w:footnoteRef/>
      </w:r>
      <w:r>
        <w:t xml:space="preserve"> </w:t>
      </w:r>
      <w:r>
        <w:tab/>
        <w:t xml:space="preserve">The EU-US data protection "Umbrella </w:t>
      </w:r>
      <w:r>
        <w:t xml:space="preserve">Agreement" puts in place a comprehensive high-level data protection framework for EU-US law enforcement cooperation. More information is available </w:t>
      </w:r>
      <w:hyperlink r:id="rId63" w:history="1">
        <w:r>
          <w:rPr>
            <w:rStyle w:val="Hyperlink"/>
          </w:rPr>
          <w:t>here</w:t>
        </w:r>
      </w:hyperlink>
      <w:r>
        <w:t>.</w:t>
      </w:r>
    </w:p>
  </w:footnote>
  <w:footnote w:id="82">
    <w:p w:rsidR="001B65FF" w:rsidRDefault="003E4EF4">
      <w:pPr>
        <w:pStyle w:val="FootnoteText"/>
        <w:spacing w:after="0"/>
        <w:rPr>
          <w:lang w:val="en-US"/>
        </w:rPr>
      </w:pPr>
      <w:r>
        <w:rPr>
          <w:rStyle w:val="FootnoteReference"/>
        </w:rPr>
        <w:footnoteRef/>
      </w:r>
      <w:r>
        <w:t xml:space="preserve"> </w:t>
      </w:r>
      <w:r>
        <w:rPr>
          <w:lang w:val="en-US"/>
        </w:rPr>
        <w:tab/>
        <w:t xml:space="preserve">The </w:t>
      </w:r>
      <w:hyperlink r:id="rId64" w:history="1">
        <w:r>
          <w:rPr>
            <w:rStyle w:val="Hyperlink"/>
            <w:rFonts w:eastAsia="Calibri"/>
            <w:szCs w:val="24"/>
          </w:rPr>
          <w:t>Proposal for a Directive</w:t>
        </w:r>
      </w:hyperlink>
      <w:r>
        <w:rPr>
          <w:rFonts w:eastAsia="Calibri"/>
          <w:szCs w:val="24"/>
        </w:rPr>
        <w:t xml:space="preserve"> to empower the competition authorities of the Member States to be more effective enforcers and to ensure the proper functioning of the internal market, COM(2017)142 fina</w:t>
      </w:r>
      <w:r>
        <w:rPr>
          <w:rFonts w:eastAsia="Calibri"/>
          <w:szCs w:val="24"/>
        </w:rPr>
        <w:t>l, follows a similar approach. It provides national competition authorities with the right to require information irrespective of where it is stored, provided that it is accessible to the addressee of the request for information (see in particular recitals</w:t>
      </w:r>
      <w:r>
        <w:rPr>
          <w:rFonts w:eastAsia="Calibri"/>
          <w:szCs w:val="24"/>
        </w:rPr>
        <w:t xml:space="preserve"> 23 and 26, and Articles 6 and 8).</w:t>
      </w:r>
    </w:p>
  </w:footnote>
  <w:footnote w:id="83">
    <w:p w:rsidR="001B65FF" w:rsidRDefault="003E4EF4">
      <w:pPr>
        <w:pStyle w:val="FootnoteText"/>
        <w:spacing w:after="0"/>
        <w:rPr>
          <w:lang w:val="en-US"/>
        </w:rPr>
      </w:pPr>
      <w:r>
        <w:rPr>
          <w:rStyle w:val="FootnoteReference"/>
        </w:rPr>
        <w:footnoteRef/>
      </w:r>
      <w:r>
        <w:t xml:space="preserve"> </w:t>
      </w:r>
      <w:r>
        <w:rPr>
          <w:lang w:val="en-US"/>
        </w:rPr>
        <w:tab/>
        <w:t xml:space="preserve">The </w:t>
      </w:r>
      <w:r>
        <w:t>Budapest Convention Committee recently adopted a guidance note on the use of domestic production orders for subscriber information against service providers with a business link to the country of the issuing author</w:t>
      </w:r>
      <w:r>
        <w:t xml:space="preserve">ity (i.e. "offering its services in the territory of a Party" to the Convention): Convention Committee (T-CY) of the Council of Europe Budapest Convention on Cybercrime, </w:t>
      </w:r>
      <w:hyperlink r:id="rId65" w:history="1">
        <w:r>
          <w:rPr>
            <w:rStyle w:val="Hyperlink"/>
          </w:rPr>
          <w:t>Guidance Note #10 - Production orders fo</w:t>
        </w:r>
        <w:r>
          <w:rPr>
            <w:rStyle w:val="Hyperlink"/>
          </w:rPr>
          <w:t>r subscriber information (Article 18 Budapest Convention)</w:t>
        </w:r>
      </w:hyperlink>
      <w:r>
        <w:t>, 1 March 2017, T-CY (2015)16.</w:t>
      </w:r>
    </w:p>
  </w:footnote>
  <w:footnote w:id="84">
    <w:p w:rsidR="001B65FF" w:rsidRDefault="003E4EF4">
      <w:pPr>
        <w:pStyle w:val="FootnoteText"/>
        <w:spacing w:after="0"/>
      </w:pPr>
      <w:r>
        <w:rPr>
          <w:rStyle w:val="FootnoteReference"/>
        </w:rPr>
        <w:footnoteRef/>
      </w:r>
      <w:r>
        <w:t xml:space="preserve"> </w:t>
      </w:r>
      <w:r>
        <w:tab/>
        <w:t>A similar approach is followed in EU competition, consumer protection and data protection laws.</w:t>
      </w:r>
    </w:p>
  </w:footnote>
  <w:footnote w:id="85">
    <w:p w:rsidR="001B65FF" w:rsidRDefault="003E4EF4">
      <w:pPr>
        <w:pStyle w:val="FootnoteText"/>
        <w:spacing w:after="0"/>
        <w:rPr>
          <w:lang w:val="en-US"/>
        </w:rPr>
      </w:pPr>
      <w:r>
        <w:rPr>
          <w:rStyle w:val="FootnoteReference"/>
        </w:rPr>
        <w:footnoteRef/>
      </w:r>
      <w:r>
        <w:t xml:space="preserve"> </w:t>
      </w:r>
      <w:r>
        <w:rPr>
          <w:lang w:val="en-US"/>
        </w:rPr>
        <w:tab/>
      </w:r>
      <w:r>
        <w:t xml:space="preserve">Article 27 of the GDPR obliges certain data controllers to </w:t>
      </w:r>
      <w:r>
        <w:t>designate a representative in order to facilitate the cooperation with the data protection authorities and allow for the enforcement of the EU data protection rules to the extent they apply to the foreign data controller, according to the GDPR's scope of a</w:t>
      </w:r>
      <w:r>
        <w:t>pplication.</w:t>
      </w:r>
    </w:p>
  </w:footnote>
  <w:footnote w:id="86">
    <w:p w:rsidR="001B65FF" w:rsidRDefault="003E4EF4">
      <w:pPr>
        <w:pStyle w:val="FootnoteText"/>
        <w:spacing w:after="0"/>
        <w:rPr>
          <w:lang w:val="en-US"/>
        </w:rPr>
      </w:pPr>
      <w:r>
        <w:rPr>
          <w:rStyle w:val="FootnoteReference"/>
        </w:rPr>
        <w:footnoteRef/>
      </w:r>
      <w:r>
        <w:t xml:space="preserve"> </w:t>
      </w:r>
      <w:r>
        <w:rPr>
          <w:lang w:val="en-US"/>
        </w:rPr>
        <w:tab/>
        <w:t xml:space="preserve">For the ePrivacy representatives, see Art. 3 of the ePrivacy proposal, </w:t>
      </w:r>
      <w:hyperlink r:id="rId66" w:history="1">
        <w:r>
          <w:rPr>
            <w:rStyle w:val="Hyperlink"/>
          </w:rPr>
          <w:t>Proposal for a Regulation</w:t>
        </w:r>
      </w:hyperlink>
      <w:r>
        <w:t xml:space="preserve"> concerning the respect for private life and the prote</w:t>
      </w:r>
      <w:r>
        <w:t>ction of personal data in electronic communications and repealing Directive 2002/58/EC (Regulation on Privacy and Electronic Communications) COM(2017) 10 final.</w:t>
      </w:r>
    </w:p>
  </w:footnote>
  <w:footnote w:id="87">
    <w:p w:rsidR="001B65FF" w:rsidRDefault="003E4EF4">
      <w:pPr>
        <w:pStyle w:val="FootnoteText"/>
        <w:spacing w:after="0"/>
      </w:pPr>
      <w:r>
        <w:rPr>
          <w:rStyle w:val="FootnoteReference"/>
        </w:rPr>
        <w:footnoteRef/>
      </w:r>
      <w:r>
        <w:t xml:space="preserve"> </w:t>
      </w:r>
      <w:r>
        <w:tab/>
        <w:t>As an example, the maximum penalty currently set out in Hungarian law is EUR 5 000.</w:t>
      </w:r>
    </w:p>
    <w:p w:rsidR="001B65FF" w:rsidRDefault="001B65FF">
      <w:pPr>
        <w:pStyle w:val="FootnoteText"/>
      </w:pPr>
    </w:p>
  </w:footnote>
  <w:footnote w:id="88">
    <w:p w:rsidR="001B65FF" w:rsidRDefault="003E4EF4">
      <w:pPr>
        <w:pStyle w:val="FootnoteText"/>
        <w:spacing w:after="0"/>
        <w:rPr>
          <w:lang w:val="en-US"/>
        </w:rPr>
      </w:pPr>
      <w:r>
        <w:rPr>
          <w:rStyle w:val="FootnoteReference"/>
        </w:rPr>
        <w:footnoteRef/>
      </w:r>
      <w:r>
        <w:t xml:space="preserve"> </w:t>
      </w:r>
      <w:r>
        <w:rPr>
          <w:lang w:val="en-US"/>
        </w:rPr>
        <w:tab/>
      </w:r>
      <w:r>
        <w:t>Curr</w:t>
      </w:r>
      <w:r>
        <w:t>ently, requests for expeditious preservation of data can be sent from the authority in one country to the authority of another country under Art. 29 of the Cybercrime Convention, and followed up by an EIO/MLA request. Preservation requests can also be sent</w:t>
      </w:r>
      <w:r>
        <w:t xml:space="preserve"> under Art. 32 of the EIO Directive.</w:t>
      </w:r>
    </w:p>
  </w:footnote>
  <w:footnote w:id="89">
    <w:p w:rsidR="001B65FF" w:rsidRDefault="003E4EF4">
      <w:pPr>
        <w:pStyle w:val="FootnoteText"/>
        <w:spacing w:after="0"/>
        <w:rPr>
          <w:lang w:val="en-US"/>
        </w:rPr>
      </w:pPr>
      <w:r>
        <w:rPr>
          <w:rStyle w:val="FootnoteReference"/>
        </w:rPr>
        <w:footnoteRef/>
      </w:r>
      <w:r>
        <w:t xml:space="preserve"> </w:t>
      </w:r>
      <w:r>
        <w:rPr>
          <w:lang w:val="en-US"/>
        </w:rPr>
        <w:tab/>
        <w:t xml:space="preserve">See e.g. </w:t>
      </w:r>
      <w:r>
        <w:rPr>
          <w:szCs w:val="24"/>
        </w:rPr>
        <w:t xml:space="preserve">Chapter V of the </w:t>
      </w:r>
      <w:hyperlink r:id="rId67" w:history="1">
        <w:r>
          <w:rPr>
            <w:rStyle w:val="Hyperlink"/>
            <w:szCs w:val="24"/>
          </w:rPr>
          <w:t>General Data Protection Regulation (EU) 2016/679 (GDPR)</w:t>
        </w:r>
      </w:hyperlink>
      <w:r>
        <w:rPr>
          <w:szCs w:val="24"/>
        </w:rPr>
        <w:t xml:space="preserve"> with regard to transfer of personal data by serv</w:t>
      </w:r>
      <w:r>
        <w:rPr>
          <w:szCs w:val="24"/>
        </w:rPr>
        <w:t xml:space="preserve">ice providers to a non-EU country. </w:t>
      </w:r>
    </w:p>
  </w:footnote>
  <w:footnote w:id="90">
    <w:p w:rsidR="001B65FF" w:rsidRDefault="003E4EF4">
      <w:pPr>
        <w:pStyle w:val="FootnoteText"/>
        <w:spacing w:after="0"/>
        <w:rPr>
          <w:lang w:val="en-US"/>
        </w:rPr>
      </w:pPr>
      <w:r>
        <w:rPr>
          <w:rStyle w:val="FootnoteReference"/>
        </w:rPr>
        <w:footnoteRef/>
      </w:r>
      <w:r>
        <w:t xml:space="preserve"> </w:t>
      </w:r>
      <w:r>
        <w:rPr>
          <w:lang w:val="en-US"/>
        </w:rPr>
        <w:tab/>
      </w:r>
      <w:hyperlink r:id="rId68" w:history="1">
        <w:r>
          <w:rPr>
            <w:rStyle w:val="Hyperlink"/>
            <w:lang w:val="en-US"/>
          </w:rPr>
          <w:t>Directive 2012/13/EU</w:t>
        </w:r>
      </w:hyperlink>
      <w:r>
        <w:rPr>
          <w:lang w:val="en-US"/>
        </w:rPr>
        <w:t xml:space="preserve"> of the European Parliament and of the Council of 22 May 2012 on the right to information in criminal proceedings.</w:t>
      </w:r>
    </w:p>
  </w:footnote>
  <w:footnote w:id="91">
    <w:p w:rsidR="001B65FF" w:rsidRDefault="003E4EF4">
      <w:pPr>
        <w:pStyle w:val="FootnoteText"/>
        <w:spacing w:after="0"/>
        <w:rPr>
          <w:lang w:val="en-US"/>
        </w:rPr>
      </w:pPr>
      <w:r>
        <w:rPr>
          <w:rStyle w:val="FootnoteReference"/>
        </w:rPr>
        <w:footnoteRef/>
      </w:r>
      <w:r>
        <w:t xml:space="preserve"> </w:t>
      </w:r>
      <w:r>
        <w:rPr>
          <w:lang w:val="en-US"/>
        </w:rPr>
        <w:tab/>
      </w:r>
      <w:hyperlink r:id="rId69" w:tgtFrame="_blank" w:history="1">
        <w:r>
          <w:rPr>
            <w:rStyle w:val="Hyperlink"/>
            <w:bCs/>
          </w:rPr>
          <w:t>Directive (EU) 2016/680 </w:t>
        </w:r>
      </w:hyperlink>
      <w:r>
        <w:t>of the European Parliament and of the Council of 27 April 2016 on the protection of natural persons with regard to the processing of personal data by competent authorities for the purposes of the prevention, investigation, detectio</w:t>
      </w:r>
      <w:r>
        <w:t>n or prosecution of criminal offences or the execution of criminal penalties, and on the free movement of such data, and repealing Council Framework Decision 2008/977/JHA.</w:t>
      </w:r>
    </w:p>
  </w:footnote>
  <w:footnote w:id="92">
    <w:p w:rsidR="001B65FF" w:rsidRDefault="003E4EF4">
      <w:pPr>
        <w:pStyle w:val="FootnoteText"/>
        <w:spacing w:after="0"/>
        <w:rPr>
          <w:bCs/>
        </w:rPr>
      </w:pPr>
      <w:r>
        <w:rPr>
          <w:rStyle w:val="FootnoteReference"/>
        </w:rPr>
        <w:footnoteRef/>
      </w:r>
      <w:r>
        <w:rPr>
          <w:bCs/>
        </w:rPr>
        <w:t xml:space="preserve"> </w:t>
      </w:r>
      <w:r>
        <w:rPr>
          <w:bCs/>
        </w:rPr>
        <w:tab/>
      </w:r>
      <w:r>
        <w:t>Even if the initial case is closed, there might be cases where the data is releva</w:t>
      </w:r>
      <w:r>
        <w:t>nt for another case, and informing the data subject might jeopardise this other case (example: the evidence is needed against another person or the evidence is essential for a whole new case). In these situations, where the use of data collected in one cas</w:t>
      </w:r>
      <w:r>
        <w:t>e for another case is lawful, law enforcement should have the possibility to delay the user notification further.</w:t>
      </w:r>
    </w:p>
  </w:footnote>
  <w:footnote w:id="93">
    <w:p w:rsidR="001B65FF" w:rsidRDefault="003E4EF4">
      <w:pPr>
        <w:pStyle w:val="FootnoteText"/>
        <w:spacing w:after="0"/>
        <w:ind w:hanging="360"/>
      </w:pPr>
      <w:r>
        <w:rPr>
          <w:rStyle w:val="FootnoteReference"/>
        </w:rPr>
        <w:footnoteRef/>
      </w:r>
      <w:r>
        <w:t xml:space="preserve"> </w:t>
      </w:r>
      <w:r>
        <w:tab/>
        <w:t>Similar considerations apply when no trial takes place against the suspect.</w:t>
      </w:r>
    </w:p>
  </w:footnote>
  <w:footnote w:id="94">
    <w:p w:rsidR="001B65FF" w:rsidRDefault="003E4EF4">
      <w:pPr>
        <w:pStyle w:val="FootnoteText"/>
        <w:spacing w:after="0"/>
        <w:ind w:hanging="360"/>
      </w:pPr>
      <w:r>
        <w:rPr>
          <w:rStyle w:val="FootnoteReference"/>
        </w:rPr>
        <w:footnoteRef/>
      </w:r>
      <w:r>
        <w:t xml:space="preserve"> </w:t>
      </w:r>
      <w:r>
        <w:tab/>
        <w:t xml:space="preserve">In coherence with Articles 52 and 53 of </w:t>
      </w:r>
      <w:hyperlink r:id="rId70" w:history="1">
        <w:r>
          <w:rPr>
            <w:rStyle w:val="Hyperlink"/>
          </w:rPr>
          <w:t>Directive 2016/680</w:t>
        </w:r>
      </w:hyperlink>
      <w:r>
        <w:t xml:space="preserve"> (“Police Directive”), for any data subject whose data was in his/her opinion unlawfully processed.</w:t>
      </w:r>
    </w:p>
  </w:footnote>
  <w:footnote w:id="95">
    <w:p w:rsidR="001B65FF" w:rsidRDefault="003E4EF4">
      <w:pPr>
        <w:pStyle w:val="FootnoteText"/>
        <w:spacing w:after="0"/>
        <w:ind w:hanging="360"/>
      </w:pPr>
      <w:r>
        <w:rPr>
          <w:rStyle w:val="FootnoteReference"/>
        </w:rPr>
        <w:footnoteRef/>
      </w:r>
      <w:r>
        <w:t xml:space="preserve"> </w:t>
      </w:r>
      <w:r>
        <w:tab/>
        <w:t>The importance to ensure application of the lawyer</w:t>
      </w:r>
      <w:r>
        <w:t>-client privilege has been raised by the CCBE during the public consultation.</w:t>
      </w:r>
    </w:p>
  </w:footnote>
  <w:footnote w:id="96">
    <w:p w:rsidR="001B65FF" w:rsidRDefault="003E4EF4">
      <w:pPr>
        <w:pStyle w:val="FootnoteText"/>
        <w:spacing w:after="0"/>
      </w:pPr>
      <w:r>
        <w:rPr>
          <w:rStyle w:val="FootnoteReference"/>
        </w:rPr>
        <w:footnoteRef/>
      </w:r>
      <w:r>
        <w:t xml:space="preserve"> </w:t>
      </w:r>
      <w:r>
        <w:tab/>
        <w:t>A systematic notification of the receiving State was considered as too burdensome, see discarded options.</w:t>
      </w:r>
    </w:p>
  </w:footnote>
  <w:footnote w:id="97">
    <w:p w:rsidR="001B65FF" w:rsidRDefault="003E4EF4">
      <w:pPr>
        <w:pStyle w:val="FootnoteText"/>
        <w:spacing w:after="0"/>
        <w:rPr>
          <w:lang w:val="en-US"/>
        </w:rPr>
      </w:pPr>
      <w:r>
        <w:rPr>
          <w:rStyle w:val="FootnoteReference"/>
        </w:rPr>
        <w:footnoteRef/>
      </w:r>
      <w:r>
        <w:t xml:space="preserve"> </w:t>
      </w:r>
      <w:r>
        <w:rPr>
          <w:lang w:val="en-US"/>
        </w:rPr>
        <w:tab/>
        <w:t xml:space="preserve">The </w:t>
      </w:r>
      <w:hyperlink r:id="rId71" w:history="1">
        <w:r>
          <w:rPr>
            <w:rStyle w:val="Hyperlink"/>
            <w:rFonts w:eastAsia="Calibri"/>
            <w:szCs w:val="24"/>
          </w:rPr>
          <w:t>Proposal for a Directive</w:t>
        </w:r>
      </w:hyperlink>
      <w:r>
        <w:rPr>
          <w:rFonts w:eastAsia="Calibri"/>
          <w:szCs w:val="24"/>
        </w:rPr>
        <w:t xml:space="preserve"> to empower the competition authorities of the Member States to be more effective enforcers and to ensure the proper functioning of the internal mark</w:t>
      </w:r>
      <w:r>
        <w:rPr>
          <w:rFonts w:eastAsia="Calibri"/>
          <w:szCs w:val="24"/>
        </w:rPr>
        <w:t>et, COM(2017)142 final, follows a similar approach. It provides national competition authorities with the right to require information irrespective of where it is stored, provided that it is accessible to the addressee of the request for information (see i</w:t>
      </w:r>
      <w:r>
        <w:rPr>
          <w:rFonts w:eastAsia="Calibri"/>
          <w:szCs w:val="24"/>
        </w:rPr>
        <w:t>n particular recitals 23 and 26, and Articles 6 and 8).</w:t>
      </w:r>
    </w:p>
  </w:footnote>
  <w:footnote w:id="98">
    <w:p w:rsidR="001B65FF" w:rsidRDefault="003E4EF4">
      <w:pPr>
        <w:pStyle w:val="FootnoteText"/>
        <w:spacing w:after="0"/>
        <w:rPr>
          <w:lang w:val="en-US"/>
        </w:rPr>
      </w:pPr>
      <w:r>
        <w:rPr>
          <w:rStyle w:val="FootnoteReference"/>
        </w:rPr>
        <w:footnoteRef/>
      </w:r>
      <w:r>
        <w:t xml:space="preserve"> </w:t>
      </w:r>
      <w:r>
        <w:rPr>
          <w:lang w:val="en-US"/>
        </w:rPr>
        <w:tab/>
      </w:r>
      <w:hyperlink r:id="rId72" w:history="1">
        <w:r>
          <w:rPr>
            <w:rStyle w:val="Hyperlink"/>
            <w:lang w:val="en-US"/>
          </w:rPr>
          <w:t>Directive 2012/13/EU</w:t>
        </w:r>
      </w:hyperlink>
      <w:r>
        <w:rPr>
          <w:lang w:val="en-US"/>
        </w:rPr>
        <w:t xml:space="preserve"> of the European Parliament and of the Council of 22 May 2012 on the right to information in </w:t>
      </w:r>
      <w:r>
        <w:rPr>
          <w:lang w:val="en-US"/>
        </w:rPr>
        <w:t>criminal proceedings.</w:t>
      </w:r>
    </w:p>
  </w:footnote>
  <w:footnote w:id="99">
    <w:p w:rsidR="001B65FF" w:rsidRDefault="003E4EF4">
      <w:pPr>
        <w:pStyle w:val="FootnoteText"/>
        <w:spacing w:after="0"/>
        <w:rPr>
          <w:lang w:val="en-US"/>
        </w:rPr>
      </w:pPr>
      <w:r>
        <w:rPr>
          <w:rStyle w:val="FootnoteReference"/>
        </w:rPr>
        <w:footnoteRef/>
      </w:r>
      <w:r>
        <w:t xml:space="preserve"> </w:t>
      </w:r>
      <w:r>
        <w:rPr>
          <w:lang w:val="en-US"/>
        </w:rPr>
        <w:tab/>
      </w:r>
      <w:hyperlink r:id="rId73" w:tgtFrame="_blank" w:history="1">
        <w:r>
          <w:rPr>
            <w:rStyle w:val="Hyperlink"/>
            <w:bCs/>
          </w:rPr>
          <w:t>Directive (EU) 2016/680 </w:t>
        </w:r>
      </w:hyperlink>
      <w:r>
        <w:t>of the European Parliament and of the Council of 27 April 2016 on th</w:t>
      </w:r>
      <w:r>
        <w:t>e protection of natural persons with regard to the processing of personal data by competent authorities for the purposes of the prevention, investigation, detection or prosecution of criminal offences or the execution of criminal penalties, and on the free</w:t>
      </w:r>
      <w:r>
        <w:t xml:space="preserve"> movement of such data, and repealing Council Framework Decision 2008/977/JHA.</w:t>
      </w:r>
    </w:p>
  </w:footnote>
  <w:footnote w:id="100">
    <w:p w:rsidR="001B65FF" w:rsidRDefault="003E4EF4">
      <w:pPr>
        <w:pStyle w:val="FootnoteText"/>
        <w:spacing w:after="0"/>
      </w:pPr>
      <w:r>
        <w:rPr>
          <w:rStyle w:val="FootnoteReference"/>
        </w:rPr>
        <w:footnoteRef/>
      </w:r>
      <w:r>
        <w:t xml:space="preserve"> </w:t>
      </w:r>
      <w:r>
        <w:tab/>
      </w:r>
      <w:hyperlink r:id="rId74" w:history="1">
        <w:r>
          <w:rPr>
            <w:rStyle w:val="Hyperlink"/>
          </w:rPr>
          <w:t>Council Framework Decision 2002/584/JHA</w:t>
        </w:r>
      </w:hyperlink>
      <w:r>
        <w:t xml:space="preserve"> of 13 June 2002 on the European arrest warrant and</w:t>
      </w:r>
      <w:r>
        <w:t xml:space="preserve"> the surrender procedures between Member States, OJ 190/1.</w:t>
      </w:r>
    </w:p>
  </w:footnote>
  <w:footnote w:id="101">
    <w:p w:rsidR="001B65FF" w:rsidRDefault="003E4EF4">
      <w:pPr>
        <w:pStyle w:val="FootnoteText"/>
        <w:spacing w:after="0"/>
      </w:pPr>
      <w:r>
        <w:rPr>
          <w:rStyle w:val="FootnoteReference"/>
        </w:rPr>
        <w:footnoteRef/>
      </w:r>
      <w:r>
        <w:t xml:space="preserve"> </w:t>
      </w:r>
      <w:r>
        <w:tab/>
      </w:r>
      <w:hyperlink r:id="rId75" w:history="1">
        <w:r>
          <w:rPr>
            <w:rStyle w:val="Hyperlink"/>
          </w:rPr>
          <w:t>Regulation 2016/794/EU</w:t>
        </w:r>
      </w:hyperlink>
      <w:r>
        <w:t xml:space="preserve"> of the European Parliament and of the Council of 11 May 2016 on the European Union Ag</w:t>
      </w:r>
      <w:r>
        <w:t>ency for Law Enforcement Cooperation (Europol), OJ L 135/53.</w:t>
      </w:r>
    </w:p>
  </w:footnote>
  <w:footnote w:id="102">
    <w:p w:rsidR="001B65FF" w:rsidRDefault="003E4EF4">
      <w:pPr>
        <w:pStyle w:val="FootnoteText"/>
        <w:spacing w:after="0"/>
        <w:rPr>
          <w:lang w:val="en-US"/>
        </w:rPr>
      </w:pPr>
      <w:r>
        <w:rPr>
          <w:rStyle w:val="FootnoteReference"/>
        </w:rPr>
        <w:footnoteRef/>
      </w:r>
      <w:r>
        <w:t xml:space="preserve"> </w:t>
      </w:r>
      <w:r>
        <w:rPr>
          <w:lang w:val="en-US"/>
        </w:rPr>
        <w:tab/>
        <w:t>See Article 32, Trans-border access to stored computer data with consent or where publicly available.</w:t>
      </w:r>
    </w:p>
  </w:footnote>
  <w:footnote w:id="103">
    <w:p w:rsidR="001B65FF" w:rsidRDefault="003E4EF4">
      <w:pPr>
        <w:pStyle w:val="FootnoteText"/>
        <w:spacing w:after="0"/>
      </w:pPr>
      <w:r>
        <w:rPr>
          <w:rStyle w:val="FootnoteReference"/>
        </w:rPr>
        <w:footnoteRef/>
      </w:r>
      <w:r>
        <w:t xml:space="preserve"> </w:t>
      </w:r>
      <w:r>
        <w:tab/>
        <w:t>For example, the risk of losing the data is high when, in the context of an open search</w:t>
      </w:r>
      <w:r>
        <w:t>, the suspect becomes aware of the investigation and may seek to destroy evidence. In such a situation, judicial cooperation between public authorities or direct cooperation with service providers may not be fast enough.</w:t>
      </w:r>
    </w:p>
  </w:footnote>
  <w:footnote w:id="104">
    <w:p w:rsidR="001B65FF" w:rsidRDefault="003E4EF4">
      <w:pPr>
        <w:pStyle w:val="FootnoteText"/>
        <w:spacing w:after="0"/>
      </w:pPr>
      <w:r>
        <w:rPr>
          <w:rStyle w:val="FootnoteReference"/>
        </w:rPr>
        <w:footnoteRef/>
      </w:r>
      <w:r>
        <w:t xml:space="preserve"> </w:t>
      </w:r>
      <w:r>
        <w:tab/>
        <w:t xml:space="preserve">The President’s Review Group on </w:t>
      </w:r>
      <w:r>
        <w:t xml:space="preserve">Intelligence and Communications Technologies already highlighted in 2013the possible convenience of creating an online submission form for MLATs to streamline the process, </w:t>
      </w:r>
      <w:hyperlink r:id="rId76" w:history="1">
        <w:r>
          <w:rPr>
            <w:rStyle w:val="Hyperlink"/>
          </w:rPr>
          <w:t>Liberty and Security in a Changing World:</w:t>
        </w:r>
        <w:r>
          <w:rPr>
            <w:rStyle w:val="Hyperlink"/>
          </w:rPr>
          <w:t xml:space="preserve"> Report and Recommendations of the President’s Review Group on Intelligence and Communications Technologies</w:t>
        </w:r>
      </w:hyperlink>
      <w:r>
        <w:t>, December 12, 2013.</w:t>
      </w:r>
    </w:p>
  </w:footnote>
  <w:footnote w:id="105">
    <w:p w:rsidR="001B65FF" w:rsidRDefault="003E4EF4">
      <w:pPr>
        <w:pStyle w:val="FootnoteText"/>
        <w:spacing w:after="0"/>
      </w:pPr>
      <w:r>
        <w:rPr>
          <w:rStyle w:val="FootnoteReference"/>
        </w:rPr>
        <w:footnoteRef/>
      </w:r>
      <w:r>
        <w:t xml:space="preserve"> </w:t>
      </w:r>
      <w:r>
        <w:tab/>
      </w:r>
      <w:hyperlink r:id="rId77" w:tgtFrame="_blank" w:history="1">
        <w:r>
          <w:rPr>
            <w:rStyle w:val="Hyperlink"/>
            <w:bCs/>
          </w:rPr>
          <w:t>Directive (EU) 2016/680 </w:t>
        </w:r>
      </w:hyperlink>
      <w:r>
        <w:t>of the European Parliament and of the Council of 27 April 2016 on the protection of natural persons with regard to the processing of personal data by competent authorities for the purposes of the prevention, investigat</w:t>
      </w:r>
      <w:r>
        <w:t>ion, detection or prosecution of criminal offences or the execution of criminal penalties, and on the free movement of such data, and repealing Council Framework Decision 2008/977/JHA.</w:t>
      </w:r>
    </w:p>
  </w:footnote>
  <w:footnote w:id="106">
    <w:p w:rsidR="001B65FF" w:rsidRDefault="003E4EF4">
      <w:pPr>
        <w:pStyle w:val="FootnoteText"/>
        <w:spacing w:after="0"/>
      </w:pPr>
      <w:r>
        <w:rPr>
          <w:rStyle w:val="FootnoteReference"/>
        </w:rPr>
        <w:footnoteRef/>
      </w:r>
      <w:r>
        <w:t xml:space="preserve"> </w:t>
      </w:r>
      <w:r>
        <w:tab/>
        <w:t>See in Annex 9 the box on Microsoft case.</w:t>
      </w:r>
    </w:p>
  </w:footnote>
  <w:footnote w:id="107">
    <w:p w:rsidR="001B65FF" w:rsidRDefault="003E4EF4">
      <w:pPr>
        <w:pStyle w:val="FootnoteText"/>
      </w:pPr>
      <w:r>
        <w:rPr>
          <w:rStyle w:val="FootnoteReference"/>
        </w:rPr>
        <w:footnoteRef/>
      </w:r>
      <w:r>
        <w:t xml:space="preserve"> </w:t>
      </w:r>
      <w:r>
        <w:tab/>
        <w:t>On 23 March 2018 the US</w:t>
      </w:r>
      <w:r>
        <w:t xml:space="preserve"> Congress adopted the Clarifying Lawful Overseas Use of Data (CLOUD) Act, right before the adoption of the EU legislative proposals that this impact assessment accompanies. The CLOUD Act is available </w:t>
      </w:r>
      <w:hyperlink r:id="rId78" w:history="1">
        <w:r>
          <w:rPr>
            <w:rStyle w:val="Hyperlink"/>
          </w:rPr>
          <w:t>here</w:t>
        </w:r>
      </w:hyperlink>
      <w:r>
        <w:t>.</w:t>
      </w:r>
    </w:p>
  </w:footnote>
  <w:footnote w:id="108">
    <w:p w:rsidR="001B65FF" w:rsidRDefault="003E4EF4">
      <w:pPr>
        <w:pStyle w:val="FootnoteText"/>
        <w:spacing w:after="0"/>
        <w:rPr>
          <w:lang w:val="en-US"/>
        </w:rPr>
      </w:pPr>
      <w:r>
        <w:rPr>
          <w:rStyle w:val="FootnoteReference"/>
        </w:rPr>
        <w:footnoteRef/>
      </w:r>
      <w:r>
        <w:t xml:space="preserve"> </w:t>
      </w:r>
      <w:r>
        <w:rPr>
          <w:lang w:val="en-US"/>
        </w:rPr>
        <w:tab/>
        <w:t xml:space="preserve">See e.g. </w:t>
      </w:r>
      <w:r>
        <w:rPr>
          <w:szCs w:val="24"/>
        </w:rPr>
        <w:t xml:space="preserve">Chapter V of the </w:t>
      </w:r>
      <w:hyperlink r:id="rId79" w:history="1">
        <w:r>
          <w:rPr>
            <w:rStyle w:val="Hyperlink"/>
            <w:szCs w:val="24"/>
          </w:rPr>
          <w:t>General Data Protection Regulation (EU) 2016/679 (GDPR)</w:t>
        </w:r>
      </w:hyperlink>
      <w:r>
        <w:rPr>
          <w:szCs w:val="24"/>
        </w:rPr>
        <w:t xml:space="preserve"> with regard to transfer of personal data by service providers to a non-EU country.</w:t>
      </w:r>
    </w:p>
  </w:footnote>
  <w:footnote w:id="109">
    <w:p w:rsidR="001B65FF" w:rsidRDefault="003E4EF4">
      <w:pPr>
        <w:pStyle w:val="FootnoteText"/>
        <w:spacing w:after="0"/>
        <w:rPr>
          <w:lang w:val="en-US"/>
        </w:rPr>
      </w:pPr>
      <w:r>
        <w:rPr>
          <w:rStyle w:val="FootnoteReference"/>
        </w:rPr>
        <w:footnoteRef/>
      </w:r>
      <w:r>
        <w:t xml:space="preserve"> </w:t>
      </w:r>
      <w:r>
        <w:rPr>
          <w:lang w:val="en-US"/>
        </w:rPr>
        <w:tab/>
        <w:t xml:space="preserve">The only difference is that option D would cover </w:t>
      </w:r>
      <w:r>
        <w:rPr>
          <w:b/>
          <w:lang w:val="en-US"/>
        </w:rPr>
        <w:t xml:space="preserve">at least </w:t>
      </w:r>
      <w:r>
        <w:rPr>
          <w:lang w:val="en-US"/>
        </w:rPr>
        <w:t>serious crimes, leaving to Member States whether to cover other types of crime, whereas option C would cover an</w:t>
      </w:r>
      <w:r>
        <w:rPr>
          <w:lang w:val="en-US"/>
        </w:rPr>
        <w:t>y type of crime by default.</w:t>
      </w:r>
    </w:p>
  </w:footnote>
  <w:footnote w:id="110">
    <w:p w:rsidR="001B65FF" w:rsidRDefault="003E4EF4">
      <w:pPr>
        <w:pStyle w:val="FootnoteText"/>
        <w:spacing w:after="0"/>
      </w:pPr>
      <w:r>
        <w:rPr>
          <w:rStyle w:val="FootnoteReference"/>
        </w:rPr>
        <w:footnoteRef/>
      </w:r>
      <w:r>
        <w:t xml:space="preserve"> </w:t>
      </w:r>
      <w:r>
        <w:tab/>
        <w:t>As none of the options are considered to have a major environmental impact, apart from a potential effect on the investigation and prosecution of environmental crime, and a small reduction in paper usage through digitalisatio</w:t>
      </w:r>
      <w:r>
        <w:t>n of processes through measure 2, the environmental impact will not be assessed.</w:t>
      </w:r>
    </w:p>
    <w:p w:rsidR="001B65FF" w:rsidRDefault="001B65FF">
      <w:pPr>
        <w:pStyle w:val="FootnoteText"/>
      </w:pPr>
    </w:p>
  </w:footnote>
  <w:footnote w:id="111">
    <w:p w:rsidR="001B65FF" w:rsidRDefault="003E4EF4">
      <w:pPr>
        <w:pStyle w:val="FootnoteText"/>
        <w:spacing w:after="0"/>
      </w:pPr>
      <w:r>
        <w:rPr>
          <w:rStyle w:val="FootnoteReference"/>
        </w:rPr>
        <w:footnoteRef/>
      </w:r>
      <w:r>
        <w:t xml:space="preserve"> </w:t>
      </w:r>
      <w:r>
        <w:tab/>
        <w:t xml:space="preserve">The costs would vary depending on how Member States would implement this measure. </w:t>
      </w:r>
    </w:p>
  </w:footnote>
  <w:footnote w:id="112">
    <w:p w:rsidR="001B65FF" w:rsidRDefault="003E4EF4">
      <w:pPr>
        <w:pStyle w:val="FootnoteText"/>
      </w:pPr>
      <w:r>
        <w:rPr>
          <w:rStyle w:val="FootnoteReference"/>
        </w:rPr>
        <w:footnoteRef/>
      </w:r>
      <w:r>
        <w:t xml:space="preserve"> </w:t>
      </w:r>
      <w:r>
        <w:tab/>
        <w:t>For European SMEs, having to designate a legal representative as addressee of product</w:t>
      </w:r>
      <w:r>
        <w:t>ion orders may even bring benefits, as it would centralise expertise to deal with such orders.</w:t>
      </w:r>
    </w:p>
  </w:footnote>
  <w:footnote w:id="113">
    <w:p w:rsidR="001B65FF" w:rsidRDefault="003E4EF4">
      <w:pPr>
        <w:pStyle w:val="FootnoteText"/>
        <w:spacing w:after="0"/>
        <w:ind w:left="360" w:hanging="360"/>
        <w:rPr>
          <w:lang w:val="en-US"/>
        </w:rPr>
      </w:pPr>
      <w:r>
        <w:rPr>
          <w:rStyle w:val="FootnoteReference"/>
        </w:rPr>
        <w:footnoteRef/>
      </w:r>
      <w:r>
        <w:t xml:space="preserve">  </w:t>
      </w:r>
      <w:r>
        <w:tab/>
      </w:r>
      <w:hyperlink r:id="rId80" w:history="1">
        <w:r>
          <w:rPr>
            <w:rStyle w:val="Hyperlink"/>
          </w:rPr>
          <w:t>Directive 2012/13/EU</w:t>
        </w:r>
      </w:hyperlink>
      <w:r>
        <w:t xml:space="preserve"> of the European Parliament and of the Council of 22 </w:t>
      </w:r>
      <w:r>
        <w:t>May 2012 on the right to information in criminal proceedings (OJ L 142, 1.6.2012, p. 1).</w:t>
      </w:r>
    </w:p>
  </w:footnote>
  <w:footnote w:id="114">
    <w:p w:rsidR="001B65FF" w:rsidRDefault="003E4EF4">
      <w:pPr>
        <w:pStyle w:val="FootnoteText"/>
        <w:spacing w:after="0"/>
      </w:pPr>
      <w:r>
        <w:rPr>
          <w:rStyle w:val="FootnoteReference"/>
        </w:rPr>
        <w:footnoteRef/>
      </w:r>
      <w:r>
        <w:t xml:space="preserve"> </w:t>
      </w:r>
      <w:r>
        <w:tab/>
        <w:t>Under the EIO Directive, the executing State can only refuse recognition and execution in a limited number of cases, but include fundamental rights issues. The poss</w:t>
      </w:r>
      <w:r>
        <w:t>ibilities to refuse are much wider under MLAT.</w:t>
      </w:r>
    </w:p>
  </w:footnote>
  <w:footnote w:id="115">
    <w:p w:rsidR="001B65FF" w:rsidRDefault="003E4EF4">
      <w:pPr>
        <w:pStyle w:val="FootnoteText"/>
        <w:spacing w:after="0"/>
      </w:pPr>
      <w:r>
        <w:rPr>
          <w:rStyle w:val="FootnoteReference"/>
        </w:rPr>
        <w:footnoteRef/>
      </w:r>
      <w:r>
        <w:t xml:space="preserve"> </w:t>
      </w:r>
      <w:r>
        <w:tab/>
        <w:t>Tele2 Sverige AB v Post- och telestyrelsen and Secretary of State for the Home Department v Tom Watson and Others (</w:t>
      </w:r>
      <w:hyperlink r:id="rId81" w:history="1">
        <w:r>
          <w:rPr>
            <w:rStyle w:val="Hyperlink"/>
          </w:rPr>
          <w:t xml:space="preserve">Joined Cases C-203/15 </w:t>
        </w:r>
        <w:r>
          <w:rPr>
            <w:rStyle w:val="Hyperlink"/>
          </w:rPr>
          <w:t>and C-698/15</w:t>
        </w:r>
      </w:hyperlink>
      <w:r>
        <w:t xml:space="preserve">), </w:t>
      </w:r>
      <w:r>
        <w:rPr>
          <w:bCs/>
        </w:rPr>
        <w:t xml:space="preserve">paragraphs 101-102, </w:t>
      </w:r>
      <w:r>
        <w:t>21 December 2016.</w:t>
      </w:r>
    </w:p>
  </w:footnote>
  <w:footnote w:id="116">
    <w:p w:rsidR="001B65FF" w:rsidRDefault="003E4EF4">
      <w:pPr>
        <w:pStyle w:val="FootnoteText"/>
        <w:spacing w:after="0"/>
        <w:rPr>
          <w:lang w:val="en-US"/>
        </w:rPr>
      </w:pPr>
      <w:r>
        <w:rPr>
          <w:rStyle w:val="FootnoteReference"/>
        </w:rPr>
        <w:footnoteRef/>
      </w:r>
      <w:r>
        <w:t xml:space="preserve"> </w:t>
      </w:r>
      <w:r>
        <w:rPr>
          <w:lang w:val="en-US"/>
        </w:rPr>
        <w:tab/>
        <w:t xml:space="preserve">Based on 2014 Mean Hourly Earnings By Main Economic Activity And Occupation* + adjustment to 2014 Prices No data for Croatia was available. Source: Eurostat, </w:t>
      </w:r>
      <w:hyperlink r:id="rId82" w:history="1">
        <w:r>
          <w:rPr>
            <w:rStyle w:val="Hyperlink"/>
            <w:lang w:val="en-US"/>
          </w:rPr>
          <w:t>Structure of Earnings Survey</w:t>
        </w:r>
      </w:hyperlink>
      <w:r>
        <w:rPr>
          <w:lang w:val="en-US"/>
        </w:rPr>
        <w:t xml:space="preserve"> - </w:t>
      </w:r>
      <w:hyperlink r:id="rId83" w:history="1">
        <w:r>
          <w:rPr>
            <w:rStyle w:val="Hyperlink"/>
            <w:lang w:val="en-US"/>
          </w:rPr>
          <w:t>NACE Revision 2</w:t>
        </w:r>
      </w:hyperlink>
      <w:r>
        <w:rPr>
          <w:lang w:val="en-US"/>
        </w:rPr>
        <w:t>.</w:t>
      </w:r>
    </w:p>
  </w:footnote>
  <w:footnote w:id="117">
    <w:p w:rsidR="001B65FF" w:rsidRDefault="003E4EF4">
      <w:pPr>
        <w:pStyle w:val="FootnoteText"/>
        <w:spacing w:after="0"/>
        <w:ind w:left="360" w:hanging="360"/>
        <w:rPr>
          <w:lang w:val="en-US"/>
        </w:rPr>
      </w:pPr>
      <w:r>
        <w:rPr>
          <w:rStyle w:val="FootnoteReference"/>
        </w:rPr>
        <w:footnoteRef/>
      </w:r>
      <w:r>
        <w:t xml:space="preserve"> </w:t>
      </w:r>
      <w:r>
        <w:tab/>
        <w:t>EU GDP in 2016 amou</w:t>
      </w:r>
      <w:r>
        <w:t xml:space="preserve">nted to EUR 14 800 billion at current prices, according to </w:t>
      </w:r>
      <w:hyperlink r:id="rId84" w:history="1">
        <w:r>
          <w:rPr>
            <w:rStyle w:val="Hyperlink"/>
          </w:rPr>
          <w:t>Eurostat</w:t>
        </w:r>
      </w:hyperlink>
      <w:r>
        <w:t>.</w:t>
      </w:r>
      <w:r>
        <w:rPr>
          <w:lang w:val="en-US"/>
        </w:rPr>
        <w:tab/>
      </w:r>
    </w:p>
  </w:footnote>
  <w:footnote w:id="118">
    <w:p w:rsidR="001B65FF" w:rsidRDefault="003E4EF4">
      <w:pPr>
        <w:pStyle w:val="FootnoteText"/>
        <w:spacing w:after="0"/>
        <w:rPr>
          <w:lang w:val="en-US"/>
        </w:rPr>
      </w:pPr>
      <w:r>
        <w:rPr>
          <w:rStyle w:val="FootnoteReference"/>
        </w:rPr>
        <w:footnoteRef/>
      </w:r>
      <w:r>
        <w:t xml:space="preserve"> </w:t>
      </w:r>
      <w:r>
        <w:tab/>
        <w:t xml:space="preserve">Estimates of the United Nations for global costs of organised crime, United Nations Office on </w:t>
      </w:r>
      <w:r>
        <w:t xml:space="preserve">Drugs and Crime, </w:t>
      </w:r>
      <w:hyperlink r:id="rId85" w:history="1">
        <w:r>
          <w:rPr>
            <w:rStyle w:val="Hyperlink"/>
          </w:rPr>
          <w:t>Estimating Illicit Financial Flows Resulting from Drug Trafficking and Other Transnational Organized Crimes: Research Report</w:t>
        </w:r>
      </w:hyperlink>
      <w:r>
        <w:t xml:space="preserve">, </w:t>
      </w:r>
      <w:r>
        <w:t xml:space="preserve">Vienna, October 2011. See also a related fact sheet from UNODC </w:t>
      </w:r>
      <w:hyperlink r:id="rId86" w:history="1">
        <w:r>
          <w:rPr>
            <w:rStyle w:val="Hyperlink"/>
          </w:rPr>
          <w:t>here</w:t>
        </w:r>
      </w:hyperlink>
      <w:r>
        <w:t xml:space="preserve">, and a study from the European Parliament Research Service study on </w:t>
      </w:r>
      <w:hyperlink r:id="rId87" w:history="1">
        <w:r>
          <w:rPr>
            <w:rStyle w:val="Hyperlink"/>
          </w:rPr>
          <w:t>Organised Crime and Corruption, Cost of Non-Europe Report</w:t>
        </w:r>
      </w:hyperlink>
      <w:r>
        <w:t>, March 2016.</w:t>
      </w:r>
    </w:p>
  </w:footnote>
  <w:footnote w:id="119">
    <w:p w:rsidR="001B65FF" w:rsidRDefault="003E4EF4">
      <w:pPr>
        <w:pStyle w:val="FootnoteText"/>
        <w:spacing w:after="0"/>
        <w:ind w:left="360" w:hanging="360"/>
        <w:rPr>
          <w:lang w:val="en-US"/>
        </w:rPr>
      </w:pPr>
      <w:r>
        <w:rPr>
          <w:rStyle w:val="FootnoteReference"/>
        </w:rPr>
        <w:footnoteRef/>
      </w:r>
      <w:r>
        <w:t xml:space="preserve"> </w:t>
      </w:r>
      <w:r>
        <w:rPr>
          <w:lang w:val="en-US"/>
        </w:rPr>
        <w:tab/>
        <w:t xml:space="preserve">See </w:t>
      </w:r>
      <w:hyperlink r:id="rId88" w:history="1">
        <w:r>
          <w:rPr>
            <w:rStyle w:val="Hyperlink"/>
            <w:lang w:val="en-US"/>
          </w:rPr>
          <w:t>here</w:t>
        </w:r>
      </w:hyperlink>
      <w:r>
        <w:rPr>
          <w:lang w:val="en-US"/>
        </w:rPr>
        <w:t xml:space="preserve"> for more information.</w:t>
      </w:r>
    </w:p>
  </w:footnote>
  <w:footnote w:id="120">
    <w:p w:rsidR="001B65FF" w:rsidRDefault="003E4EF4">
      <w:pPr>
        <w:pStyle w:val="FootnoteText"/>
        <w:spacing w:after="0"/>
        <w:ind w:left="360" w:hanging="360"/>
        <w:rPr>
          <w:lang w:val="en-US"/>
        </w:rPr>
      </w:pPr>
      <w:r>
        <w:rPr>
          <w:rStyle w:val="FootnoteReference"/>
        </w:rPr>
        <w:footnoteRef/>
      </w:r>
      <w:r>
        <w:t xml:space="preserve"> </w:t>
      </w:r>
      <w:r>
        <w:rPr>
          <w:lang w:val="en-US"/>
        </w:rPr>
        <w:tab/>
      </w:r>
      <w:r>
        <w:t xml:space="preserve">See </w:t>
      </w:r>
      <w:hyperlink r:id="rId89" w:history="1">
        <w:r>
          <w:rPr>
            <w:rStyle w:val="Hyperlink"/>
          </w:rPr>
          <w:t>here</w:t>
        </w:r>
      </w:hyperlink>
      <w:r>
        <w:t xml:space="preserve"> for more information.</w:t>
      </w:r>
    </w:p>
  </w:footnote>
  <w:footnote w:id="121">
    <w:p w:rsidR="001B65FF" w:rsidRDefault="003E4EF4">
      <w:pPr>
        <w:pStyle w:val="FootnoteText"/>
        <w:spacing w:after="0"/>
      </w:pPr>
      <w:r>
        <w:rPr>
          <w:rStyle w:val="FootnoteReference"/>
        </w:rPr>
        <w:footnoteRef/>
      </w:r>
      <w:r>
        <w:t xml:space="preserve"> </w:t>
      </w:r>
      <w:r>
        <w:tab/>
      </w:r>
      <w:hyperlink r:id="rId90" w:history="1">
        <w:r>
          <w:rPr>
            <w:rStyle w:val="Hyperlink"/>
          </w:rPr>
          <w:t xml:space="preserve">Conclusions </w:t>
        </w:r>
        <w:r>
          <w:rPr>
            <w:rStyle w:val="Hyperlink"/>
          </w:rPr>
          <w:t>of the Council of the European Union on improving criminal justice in cyberspace</w:t>
        </w:r>
      </w:hyperlink>
      <w:r>
        <w:t xml:space="preserve">, </w:t>
      </w:r>
      <w:hyperlink r:id="rId91" w:history="1">
        <w:r>
          <w:rPr>
            <w:rStyle w:val="Hyperlink"/>
          </w:rPr>
          <w:t>ST9579/16</w:t>
        </w:r>
      </w:hyperlink>
      <w:r>
        <w:t>.</w:t>
      </w:r>
    </w:p>
  </w:footnote>
  <w:footnote w:id="122">
    <w:p w:rsidR="001B65FF" w:rsidRDefault="003E4EF4">
      <w:pPr>
        <w:pStyle w:val="FootnoteText"/>
        <w:spacing w:after="0"/>
        <w:rPr>
          <w:lang w:val="en-US"/>
        </w:rPr>
      </w:pPr>
      <w:r>
        <w:rPr>
          <w:rStyle w:val="FootnoteReference"/>
        </w:rPr>
        <w:footnoteRef/>
      </w:r>
      <w:r>
        <w:t xml:space="preserve"> </w:t>
      </w:r>
      <w:r>
        <w:rPr>
          <w:lang w:val="en-US"/>
        </w:rPr>
        <w:tab/>
        <w:t>In this document, the term “enforcing jurisdic</w:t>
      </w:r>
      <w:r>
        <w:rPr>
          <w:lang w:val="en-US"/>
        </w:rPr>
        <w:t xml:space="preserve">tion” makes reference to the competence of the relevant authorities to undertake an investigative measure. </w:t>
      </w:r>
    </w:p>
  </w:footnote>
  <w:footnote w:id="123">
    <w:p w:rsidR="001B65FF" w:rsidRDefault="003E4EF4">
      <w:pPr>
        <w:pStyle w:val="FootnoteText"/>
        <w:spacing w:after="0"/>
      </w:pPr>
      <w:r>
        <w:rPr>
          <w:rStyle w:val="FootnoteReference"/>
        </w:rPr>
        <w:footnoteRef/>
      </w:r>
      <w:r>
        <w:t xml:space="preserve"> </w:t>
      </w:r>
      <w:r>
        <w:tab/>
      </w:r>
      <w:hyperlink r:id="rId92" w:history="1">
        <w:r>
          <w:rPr>
            <w:rStyle w:val="Hyperlink"/>
          </w:rPr>
          <w:t>Communication</w:t>
        </w:r>
      </w:hyperlink>
      <w:r>
        <w:t xml:space="preserve"> from the Commission to the European Parliament</w:t>
      </w:r>
      <w:r>
        <w:t>, the Council, the European Economic and Social Committee and the Committee of the Regions, Commission Work Programme 2017, Delivering a Europe that protects, empowers and defends, COM(2016)710 final.</w:t>
      </w:r>
    </w:p>
  </w:footnote>
  <w:footnote w:id="124">
    <w:p w:rsidR="001B65FF" w:rsidRDefault="003E4EF4">
      <w:pPr>
        <w:pStyle w:val="FootnoteText"/>
        <w:spacing w:after="0"/>
      </w:pPr>
      <w:r>
        <w:rPr>
          <w:rStyle w:val="FootnoteReference"/>
        </w:rPr>
        <w:footnoteRef/>
      </w:r>
      <w:r>
        <w:t xml:space="preserve"> </w:t>
      </w:r>
      <w:r>
        <w:tab/>
        <w:t>Non-paper: Progress Report following the Conclusions</w:t>
      </w:r>
      <w:r>
        <w:t xml:space="preserve"> of the Council of the European Union on Improving Criminal Justice in Cyberspace, </w:t>
      </w:r>
      <w:hyperlink r:id="rId93" w:history="1">
        <w:r>
          <w:rPr>
            <w:rStyle w:val="Hyperlink"/>
          </w:rPr>
          <w:t>ST15072</w:t>
        </w:r>
      </w:hyperlink>
      <w:r>
        <w:t>.</w:t>
      </w:r>
    </w:p>
  </w:footnote>
  <w:footnote w:id="125">
    <w:p w:rsidR="001B65FF" w:rsidRDefault="003E4EF4">
      <w:pPr>
        <w:pStyle w:val="FootnoteText"/>
        <w:spacing w:after="0"/>
      </w:pPr>
      <w:r>
        <w:rPr>
          <w:rStyle w:val="FootnoteReference"/>
        </w:rPr>
        <w:footnoteRef/>
      </w:r>
      <w:r>
        <w:t xml:space="preserve"> </w:t>
      </w:r>
      <w:r>
        <w:tab/>
      </w:r>
      <w:hyperlink r:id="rId94" w:history="1">
        <w:r>
          <w:rPr>
            <w:rStyle w:val="Hyperlink"/>
          </w:rPr>
          <w:t>Non-paper from the Commission services: Improving cross-border access to electronic evidence: Findings from the expert process and suggested way forward</w:t>
        </w:r>
      </w:hyperlink>
      <w:r>
        <w:t>. This document was prepared by the Commission</w:t>
      </w:r>
      <w:r>
        <w:t xml:space="preserve"> services and cannot be considered as stating an official position of the Commission.</w:t>
      </w:r>
    </w:p>
  </w:footnote>
  <w:footnote w:id="126">
    <w:p w:rsidR="001B65FF" w:rsidRDefault="003E4EF4">
      <w:pPr>
        <w:pStyle w:val="FootnoteText"/>
        <w:spacing w:after="0"/>
      </w:pPr>
      <w:r>
        <w:rPr>
          <w:rStyle w:val="FootnoteReference"/>
        </w:rPr>
        <w:footnoteRef/>
      </w:r>
      <w:r>
        <w:t xml:space="preserve"> </w:t>
      </w:r>
      <w:r>
        <w:tab/>
      </w:r>
      <w:hyperlink r:id="rId95" w:history="1">
        <w:r>
          <w:rPr>
            <w:rStyle w:val="Hyperlink"/>
          </w:rPr>
          <w:t>Technical Document: Measure</w:t>
        </w:r>
        <w:r>
          <w:rPr>
            <w:rStyle w:val="Hyperlink"/>
          </w:rPr>
          <w:t>s to improve cross-border access to electronic evidence for criminal investigations following the Conclusions of the Council of the European Union on Improving Criminal Justice in Cyberspace</w:t>
        </w:r>
      </w:hyperlink>
      <w:r>
        <w:t>. This document was not adopted or endorsed by the European Commis</w:t>
      </w:r>
      <w:r>
        <w:t>sion. Any views expressed are the preliminary views of the Commission services and may not in any circumstances be regarded as stating an official position of the Commission.</w:t>
      </w:r>
    </w:p>
  </w:footnote>
  <w:footnote w:id="127">
    <w:p w:rsidR="001B65FF" w:rsidRDefault="003E4EF4">
      <w:pPr>
        <w:pStyle w:val="FootnoteText"/>
        <w:spacing w:after="0"/>
      </w:pPr>
      <w:r>
        <w:rPr>
          <w:rStyle w:val="FootnoteReference"/>
        </w:rPr>
        <w:footnoteRef/>
      </w:r>
      <w:r>
        <w:t xml:space="preserve"> </w:t>
      </w:r>
      <w:r>
        <w:tab/>
        <w:t xml:space="preserve">More information </w:t>
      </w:r>
      <w:hyperlink r:id="rId96" w:history="1">
        <w:r>
          <w:rPr>
            <w:rStyle w:val="Hyperlink"/>
          </w:rPr>
          <w:t>here</w:t>
        </w:r>
      </w:hyperlink>
      <w:r>
        <w:t>.</w:t>
      </w:r>
    </w:p>
  </w:footnote>
  <w:footnote w:id="128">
    <w:p w:rsidR="001B65FF" w:rsidRDefault="003E4EF4">
      <w:pPr>
        <w:pStyle w:val="FootnoteText"/>
        <w:spacing w:after="0"/>
      </w:pPr>
      <w:r>
        <w:rPr>
          <w:rStyle w:val="FootnoteReference"/>
        </w:rPr>
        <w:footnoteRef/>
      </w:r>
      <w:r>
        <w:t xml:space="preserve"> </w:t>
      </w:r>
      <w:r>
        <w:tab/>
        <w:t xml:space="preserve">Inception impact assessment: </w:t>
      </w:r>
      <w:hyperlink r:id="rId97" w:history="1">
        <w:r>
          <w:rPr>
            <w:rStyle w:val="Hyperlink"/>
          </w:rPr>
          <w:t>Improving cross-</w:t>
        </w:r>
        <w:r>
          <w:rPr>
            <w:rStyle w:val="Hyperlink"/>
          </w:rPr>
          <w:t>border access to electronic evidence in criminal matters</w:t>
        </w:r>
      </w:hyperlink>
      <w:r>
        <w:t>.</w:t>
      </w:r>
    </w:p>
  </w:footnote>
  <w:footnote w:id="129">
    <w:p w:rsidR="001B65FF" w:rsidRDefault="003E4EF4">
      <w:pPr>
        <w:pStyle w:val="FootnoteText"/>
      </w:pPr>
      <w:r>
        <w:rPr>
          <w:rStyle w:val="FootnoteReference"/>
        </w:rPr>
        <w:footnoteRef/>
      </w:r>
      <w:r>
        <w:t xml:space="preserve"> </w:t>
      </w:r>
      <w:r>
        <w:tab/>
        <w:t xml:space="preserve">See </w:t>
      </w:r>
      <w:hyperlink r:id="rId98" w:history="1">
        <w:r>
          <w:rPr>
            <w:rStyle w:val="Hyperlink"/>
          </w:rPr>
          <w:t>here</w:t>
        </w:r>
      </w:hyperlink>
      <w:r>
        <w:t xml:space="preserve">. </w:t>
      </w:r>
      <w:r>
        <w:tab/>
      </w:r>
    </w:p>
  </w:footnote>
  <w:footnote w:id="130">
    <w:p w:rsidR="001B65FF" w:rsidRDefault="003E4EF4">
      <w:pPr>
        <w:pStyle w:val="FootnoteText"/>
        <w:spacing w:after="0"/>
        <w:rPr>
          <w:lang w:val="en-US"/>
        </w:rPr>
      </w:pPr>
      <w:r>
        <w:rPr>
          <w:rStyle w:val="FootnoteReference"/>
        </w:rPr>
        <w:footnoteRef/>
      </w:r>
      <w:r>
        <w:t xml:space="preserve">  Accessible </w:t>
      </w:r>
      <w:hyperlink r:id="rId99" w:history="1">
        <w:r>
          <w:rPr>
            <w:rStyle w:val="Hyperlink"/>
          </w:rPr>
          <w:t>here</w:t>
        </w:r>
      </w:hyperlink>
      <w:r>
        <w:t>.</w:t>
      </w:r>
    </w:p>
  </w:footnote>
  <w:footnote w:id="131">
    <w:p w:rsidR="001B65FF" w:rsidRDefault="003E4EF4">
      <w:pPr>
        <w:pStyle w:val="FootnoteText"/>
        <w:rPr>
          <w:lang w:val="en-US"/>
        </w:rPr>
      </w:pPr>
      <w:r>
        <w:rPr>
          <w:rStyle w:val="FootnoteReference"/>
        </w:rPr>
        <w:footnoteRef/>
      </w:r>
      <w:r>
        <w:t xml:space="preserve">  Accessible </w:t>
      </w:r>
      <w:hyperlink r:id="rId100" w:history="1">
        <w:r>
          <w:rPr>
            <w:rStyle w:val="Hyperlink"/>
            <w:lang w:val="en-US"/>
          </w:rPr>
          <w:t>here.</w:t>
        </w:r>
      </w:hyperlink>
    </w:p>
  </w:footnote>
  <w:footnote w:id="132">
    <w:p w:rsidR="001B65FF" w:rsidRDefault="003E4EF4">
      <w:pPr>
        <w:pStyle w:val="FootnoteText"/>
        <w:contextualSpacing/>
        <w:rPr>
          <w:highlight w:val="yellow"/>
        </w:rPr>
      </w:pPr>
      <w:r>
        <w:rPr>
          <w:rStyle w:val="FootnoteReference"/>
        </w:rPr>
        <w:footnoteRef/>
      </w:r>
      <w:r>
        <w:t xml:space="preserve"> </w:t>
      </w:r>
      <w:r>
        <w:tab/>
        <w:t>Open publi</w:t>
      </w:r>
      <w:r>
        <w:t>c consultation feedback: 46.3% yes, 37.8% no, 15.9% no opinion (n=82) of all respondents.</w:t>
      </w:r>
    </w:p>
  </w:footnote>
  <w:footnote w:id="133">
    <w:p w:rsidR="001B65FF" w:rsidRDefault="003E4EF4">
      <w:pPr>
        <w:pStyle w:val="FootnoteText"/>
        <w:contextualSpacing/>
      </w:pPr>
      <w:r>
        <w:rPr>
          <w:rStyle w:val="FootnoteReference"/>
        </w:rPr>
        <w:footnoteRef/>
      </w:r>
      <w:r>
        <w:t xml:space="preserve"> </w:t>
      </w:r>
      <w:r>
        <w:tab/>
        <w:t>Open public consultation feedback: 96% (n=25) of the respondents from law enforcement, judicial or public authorities directly related to it (e.g. Ministry of Just</w:t>
      </w:r>
      <w:r>
        <w:t>ice, Ministry of Interior) selected "very relevant" or "relevant".</w:t>
      </w:r>
    </w:p>
  </w:footnote>
  <w:footnote w:id="134">
    <w:p w:rsidR="001B65FF" w:rsidRDefault="003E4EF4">
      <w:pPr>
        <w:pStyle w:val="FootnoteText"/>
        <w:contextualSpacing/>
      </w:pPr>
      <w:r>
        <w:rPr>
          <w:rStyle w:val="FootnoteReference"/>
        </w:rPr>
        <w:footnoteRef/>
      </w:r>
      <w:r>
        <w:t xml:space="preserve"> </w:t>
      </w:r>
      <w:r>
        <w:tab/>
        <w:t>Open public consultation feedback: 88% (n=25) of the respondents from law enforcement, judicial or public authorities directly related to it (e.g. Ministry of Justice, Ministry of Interi</w:t>
      </w:r>
      <w:r>
        <w:t>or).</w:t>
      </w:r>
    </w:p>
  </w:footnote>
  <w:footnote w:id="135">
    <w:p w:rsidR="001B65FF" w:rsidRDefault="003E4EF4">
      <w:pPr>
        <w:pStyle w:val="FootnoteText"/>
        <w:contextualSpacing/>
      </w:pPr>
      <w:r>
        <w:rPr>
          <w:rStyle w:val="FootnoteReference"/>
        </w:rPr>
        <w:footnoteRef/>
      </w:r>
      <w:r>
        <w:t xml:space="preserve"> </w:t>
      </w:r>
      <w:r>
        <w:tab/>
        <w:t>Open public consultation feedback: 96% (n=25) of the respondents from law enforcement, judicial or public authorities directly related to it (e.g. Ministry of Justice, Ministry of Interior).</w:t>
      </w:r>
    </w:p>
  </w:footnote>
  <w:footnote w:id="136">
    <w:p w:rsidR="001B65FF" w:rsidRDefault="003E4EF4">
      <w:pPr>
        <w:pStyle w:val="FootnoteText"/>
        <w:contextualSpacing/>
      </w:pPr>
      <w:r>
        <w:rPr>
          <w:rStyle w:val="FootnoteReference"/>
        </w:rPr>
        <w:footnoteRef/>
      </w:r>
      <w:r>
        <w:t xml:space="preserve"> </w:t>
      </w:r>
      <w:r>
        <w:tab/>
        <w:t>Open public consultation feedback: 84% (n=25) of the r</w:t>
      </w:r>
      <w:r>
        <w:t>espondents from law enforcement, judicial or public authorities directly related to it (e.g. Ministry of Justice, Ministry of Interior).</w:t>
      </w:r>
    </w:p>
  </w:footnote>
  <w:footnote w:id="137">
    <w:p w:rsidR="001B65FF" w:rsidRDefault="003E4EF4">
      <w:pPr>
        <w:pStyle w:val="FootnoteText"/>
        <w:spacing w:after="0"/>
        <w:rPr>
          <w:highlight w:val="yellow"/>
        </w:rPr>
      </w:pPr>
      <w:r>
        <w:rPr>
          <w:rStyle w:val="FootnoteReference"/>
        </w:rPr>
        <w:footnoteRef/>
      </w:r>
      <w:r>
        <w:t xml:space="preserve"> </w:t>
      </w:r>
      <w:r>
        <w:tab/>
        <w:t>Open public consultation feedback: 82.05% (n=39) respondents answering in their personal capacity selected "very rel</w:t>
      </w:r>
      <w:r>
        <w:t xml:space="preserve">evant" or "relevant".  </w:t>
      </w:r>
    </w:p>
  </w:footnote>
  <w:footnote w:id="138">
    <w:p w:rsidR="001B65FF" w:rsidRDefault="003E4EF4">
      <w:pPr>
        <w:pStyle w:val="FootnoteText"/>
        <w:contextualSpacing/>
      </w:pPr>
      <w:r>
        <w:rPr>
          <w:rStyle w:val="FootnoteReference"/>
        </w:rPr>
        <w:footnoteRef/>
      </w:r>
      <w:r>
        <w:t xml:space="preserve"> </w:t>
      </w:r>
      <w:r>
        <w:tab/>
        <w:t>Open public consultation feedback: 74.67% (n=75) of all respondents who answered this question.</w:t>
      </w:r>
    </w:p>
  </w:footnote>
  <w:footnote w:id="139">
    <w:p w:rsidR="001B65FF" w:rsidRDefault="003E4EF4">
      <w:pPr>
        <w:pStyle w:val="FootnoteText"/>
        <w:contextualSpacing/>
      </w:pPr>
      <w:r>
        <w:rPr>
          <w:rStyle w:val="FootnoteReference"/>
        </w:rPr>
        <w:footnoteRef/>
      </w:r>
      <w:r>
        <w:t xml:space="preserve"> </w:t>
      </w:r>
      <w:r>
        <w:tab/>
        <w:t xml:space="preserve">Open public consultation feedback: 83.3% (n=36) of respondents from law enforcement and service providers. </w:t>
      </w:r>
    </w:p>
  </w:footnote>
  <w:footnote w:id="140">
    <w:p w:rsidR="001B65FF" w:rsidRDefault="003E4EF4">
      <w:pPr>
        <w:pStyle w:val="FootnoteText"/>
        <w:contextualSpacing/>
      </w:pPr>
      <w:r>
        <w:rPr>
          <w:rStyle w:val="FootnoteReference"/>
        </w:rPr>
        <w:footnoteRef/>
      </w:r>
      <w:r>
        <w:t xml:space="preserve"> </w:t>
      </w:r>
      <w:r>
        <w:tab/>
        <w:t>Open public consult</w:t>
      </w:r>
      <w:r>
        <w:t>ation feedback: 32.9% yes, 45.1% no, 22% no opinion (n=82) of all respondents on question "[…] do you think the possible EU initiative should also cover purely domestic cases?"</w:t>
      </w:r>
    </w:p>
  </w:footnote>
  <w:footnote w:id="141">
    <w:p w:rsidR="001B65FF" w:rsidRDefault="003E4EF4">
      <w:pPr>
        <w:pStyle w:val="FootnoteText"/>
        <w:contextualSpacing/>
      </w:pPr>
      <w:r>
        <w:rPr>
          <w:rStyle w:val="FootnoteReference"/>
        </w:rPr>
        <w:footnoteRef/>
      </w:r>
      <w:r>
        <w:t xml:space="preserve"> </w:t>
      </w:r>
      <w:r>
        <w:tab/>
        <w:t>Open public consultation feedback: 44.44% very relevant, 44.44% relevant, 11</w:t>
      </w:r>
      <w:r>
        <w:t>.12% no opinion (n=9) of the service providers.</w:t>
      </w:r>
    </w:p>
  </w:footnote>
  <w:footnote w:id="142">
    <w:p w:rsidR="001B65FF" w:rsidRDefault="003E4EF4">
      <w:pPr>
        <w:pStyle w:val="FootnoteText"/>
        <w:contextualSpacing/>
      </w:pPr>
      <w:r>
        <w:rPr>
          <w:rStyle w:val="FootnoteReference"/>
        </w:rPr>
        <w:footnoteRef/>
      </w:r>
      <w:r>
        <w:t xml:space="preserve"> </w:t>
      </w:r>
      <w:r>
        <w:tab/>
        <w:t>Open public consultation feedback: 44.44% yes, 11.12% no, 44.44% no opinion (n=9) of the service providers.</w:t>
      </w:r>
    </w:p>
  </w:footnote>
  <w:footnote w:id="143">
    <w:p w:rsidR="001B65FF" w:rsidRDefault="003E4EF4">
      <w:pPr>
        <w:pStyle w:val="FootnoteText"/>
        <w:contextualSpacing/>
      </w:pPr>
      <w:r>
        <w:rPr>
          <w:rStyle w:val="FootnoteReference"/>
        </w:rPr>
        <w:footnoteRef/>
      </w:r>
      <w:r>
        <w:t xml:space="preserve"> </w:t>
      </w:r>
      <w:r>
        <w:tab/>
        <w:t xml:space="preserve">Open public consultation feedback: 89% yes, 4% no, 7% no opinion (n=28) of respondents from </w:t>
      </w:r>
      <w:r>
        <w:t>law enforcement authorities or public authorities directly related to it.</w:t>
      </w:r>
    </w:p>
  </w:footnote>
  <w:footnote w:id="144">
    <w:p w:rsidR="001B65FF" w:rsidRDefault="003E4EF4">
      <w:pPr>
        <w:pStyle w:val="FootnoteText"/>
        <w:contextualSpacing/>
      </w:pPr>
      <w:r>
        <w:rPr>
          <w:rStyle w:val="FootnoteReference"/>
        </w:rPr>
        <w:footnoteRef/>
      </w:r>
      <w:r>
        <w:t xml:space="preserve"> </w:t>
      </w:r>
      <w:r>
        <w:tab/>
        <w:t>Open public consultation feedback: 100% yes (n=20) of respondents from law enforcement authorities or public authorities directly related to it.</w:t>
      </w:r>
    </w:p>
  </w:footnote>
  <w:footnote w:id="145">
    <w:p w:rsidR="001B65FF" w:rsidRDefault="003E4EF4">
      <w:pPr>
        <w:pStyle w:val="FootnoteText"/>
        <w:contextualSpacing/>
      </w:pPr>
      <w:r>
        <w:rPr>
          <w:rStyle w:val="FootnoteReference"/>
        </w:rPr>
        <w:footnoteRef/>
      </w:r>
      <w:r>
        <w:t xml:space="preserve"> </w:t>
      </w:r>
      <w:r>
        <w:tab/>
        <w:t>As identified by the public sur</w:t>
      </w:r>
      <w:r>
        <w:t>vey respondents.</w:t>
      </w:r>
    </w:p>
  </w:footnote>
  <w:footnote w:id="146">
    <w:p w:rsidR="001B65FF" w:rsidRDefault="003E4EF4">
      <w:pPr>
        <w:pStyle w:val="FootnoteText"/>
        <w:contextualSpacing/>
      </w:pPr>
      <w:r>
        <w:rPr>
          <w:rStyle w:val="FootnoteReference"/>
        </w:rPr>
        <w:footnoteRef/>
      </w:r>
      <w:r>
        <w:t xml:space="preserve"> </w:t>
      </w:r>
      <w:r>
        <w:tab/>
        <w:t>Open public consultation feedback: 81.7% (n=82) of all respondents selected "very important" or "important".</w:t>
      </w:r>
    </w:p>
  </w:footnote>
  <w:footnote w:id="147">
    <w:p w:rsidR="001B65FF" w:rsidRDefault="003E4EF4">
      <w:pPr>
        <w:pStyle w:val="FootnoteText"/>
        <w:contextualSpacing/>
      </w:pPr>
      <w:r>
        <w:rPr>
          <w:rStyle w:val="FootnoteReference"/>
        </w:rPr>
        <w:footnoteRef/>
      </w:r>
      <w:r>
        <w:t xml:space="preserve"> </w:t>
      </w:r>
      <w:r>
        <w:tab/>
        <w:t>Open public consultation feedback: 22.73% very important, 22.73% important (n=22) of practitioners from law enforcement auth</w:t>
      </w:r>
      <w:r>
        <w:t>orities and public authorities directly related to it.</w:t>
      </w:r>
    </w:p>
  </w:footnote>
  <w:footnote w:id="148">
    <w:p w:rsidR="001B65FF" w:rsidRDefault="003E4EF4">
      <w:pPr>
        <w:pStyle w:val="FootnoteText"/>
        <w:contextualSpacing/>
      </w:pPr>
      <w:r>
        <w:rPr>
          <w:rStyle w:val="FootnoteReference"/>
        </w:rPr>
        <w:footnoteRef/>
      </w:r>
      <w:r>
        <w:t xml:space="preserve"> </w:t>
      </w:r>
      <w:r>
        <w:tab/>
        <w:t>Open public consultation feedback: 40.91% very important, 22.73% important (n=22) of practitioners from law enforcement authorities and public authorities directly related to it.</w:t>
      </w:r>
    </w:p>
  </w:footnote>
  <w:footnote w:id="149">
    <w:p w:rsidR="001B65FF" w:rsidRDefault="003E4EF4">
      <w:pPr>
        <w:pStyle w:val="FootnoteText"/>
        <w:contextualSpacing/>
      </w:pPr>
      <w:r>
        <w:rPr>
          <w:rStyle w:val="FootnoteReference"/>
        </w:rPr>
        <w:footnoteRef/>
      </w:r>
      <w:r>
        <w:t xml:space="preserve"> </w:t>
      </w:r>
      <w:r>
        <w:tab/>
        <w:t>Open public cons</w:t>
      </w:r>
      <w:r>
        <w:t>ultation feedback: 73.2% (n=82) of all respondents.</w:t>
      </w:r>
    </w:p>
  </w:footnote>
  <w:footnote w:id="150">
    <w:p w:rsidR="001B65FF" w:rsidRDefault="003E4EF4">
      <w:pPr>
        <w:pStyle w:val="FootnoteText"/>
        <w:contextualSpacing/>
      </w:pPr>
      <w:r>
        <w:rPr>
          <w:rStyle w:val="FootnoteReference"/>
        </w:rPr>
        <w:footnoteRef/>
      </w:r>
      <w:r>
        <w:t xml:space="preserve"> </w:t>
      </w:r>
      <w:r>
        <w:tab/>
        <w:t xml:space="preserve">Open public consultation feedback: 67.1% (n=82) of all respondents.  </w:t>
      </w:r>
    </w:p>
  </w:footnote>
  <w:footnote w:id="151">
    <w:p w:rsidR="001B65FF" w:rsidRDefault="003E4EF4">
      <w:pPr>
        <w:pStyle w:val="FootnoteText"/>
        <w:contextualSpacing/>
        <w:rPr>
          <w:highlight w:val="yellow"/>
        </w:rPr>
      </w:pPr>
      <w:r>
        <w:rPr>
          <w:rStyle w:val="FootnoteReference"/>
        </w:rPr>
        <w:footnoteRef/>
      </w:r>
      <w:r>
        <w:t xml:space="preserve"> </w:t>
      </w:r>
      <w:r>
        <w:tab/>
        <w:t>Open public consultation feedback: 84,15% selected information society service providers, 82,93% electronic communication servic</w:t>
      </w:r>
      <w:r>
        <w:t>e providers, and 42,68% other digital services providers in a multiple choice question (n=82).</w:t>
      </w:r>
    </w:p>
  </w:footnote>
  <w:footnote w:id="152">
    <w:p w:rsidR="001B65FF" w:rsidRDefault="003E4EF4">
      <w:pPr>
        <w:pStyle w:val="FootnoteText"/>
        <w:contextualSpacing/>
      </w:pPr>
      <w:r>
        <w:rPr>
          <w:rStyle w:val="FootnoteReference"/>
        </w:rPr>
        <w:footnoteRef/>
      </w:r>
      <w:r>
        <w:t xml:space="preserve"> </w:t>
      </w:r>
      <w:r>
        <w:tab/>
        <w:t xml:space="preserve">Open public consultation feedback: 69.09% (n=55) of the respondents who answered this question.  </w:t>
      </w:r>
    </w:p>
  </w:footnote>
  <w:footnote w:id="153">
    <w:p w:rsidR="001B65FF" w:rsidRDefault="003E4EF4">
      <w:pPr>
        <w:pStyle w:val="FootnoteText"/>
        <w:contextualSpacing/>
      </w:pPr>
      <w:r>
        <w:rPr>
          <w:rStyle w:val="FootnoteReference"/>
        </w:rPr>
        <w:footnoteRef/>
      </w:r>
      <w:r>
        <w:t xml:space="preserve"> </w:t>
      </w:r>
      <w:r>
        <w:tab/>
        <w:t>Open public consultation feedback: 54.24% (n=59) of the r</w:t>
      </w:r>
      <w:r>
        <w:t xml:space="preserve">espondents who answered this question. </w:t>
      </w:r>
    </w:p>
  </w:footnote>
  <w:footnote w:id="154">
    <w:p w:rsidR="001B65FF" w:rsidRDefault="003E4EF4">
      <w:pPr>
        <w:pStyle w:val="FootnoteText"/>
        <w:spacing w:after="0"/>
      </w:pPr>
      <w:r>
        <w:rPr>
          <w:rStyle w:val="FootnoteReference"/>
        </w:rPr>
        <w:footnoteRef/>
      </w:r>
      <w:r>
        <w:t xml:space="preserve"> </w:t>
      </w:r>
      <w:r>
        <w:tab/>
        <w:t>Open public consultation feedback: 50% yes, 35.37% no, 14.63% no opinion (n=82).</w:t>
      </w:r>
    </w:p>
  </w:footnote>
  <w:footnote w:id="155">
    <w:p w:rsidR="001B65FF" w:rsidRDefault="003E4EF4">
      <w:pPr>
        <w:pStyle w:val="FootnoteText"/>
        <w:spacing w:after="0"/>
        <w:contextualSpacing/>
        <w:rPr>
          <w:highlight w:val="yellow"/>
        </w:rPr>
      </w:pPr>
      <w:r>
        <w:rPr>
          <w:rStyle w:val="FootnoteReference"/>
        </w:rPr>
        <w:footnoteRef/>
      </w:r>
      <w:r>
        <w:t xml:space="preserve"> </w:t>
      </w:r>
      <w:r>
        <w:tab/>
        <w:t xml:space="preserve">Open public consultation feedback: 43.9% yes, 41.46% no, 14.63% no opinion (n=82) of all respondents.  </w:t>
      </w:r>
    </w:p>
  </w:footnote>
  <w:footnote w:id="156">
    <w:p w:rsidR="001B65FF" w:rsidRDefault="003E4EF4">
      <w:pPr>
        <w:pStyle w:val="FootnoteText"/>
        <w:contextualSpacing/>
        <w:rPr>
          <w:highlight w:val="yellow"/>
        </w:rPr>
      </w:pPr>
      <w:r>
        <w:rPr>
          <w:rStyle w:val="FootnoteReference"/>
        </w:rPr>
        <w:footnoteRef/>
      </w:r>
      <w:r>
        <w:t xml:space="preserve"> </w:t>
      </w:r>
      <w:r>
        <w:tab/>
        <w:t xml:space="preserve">Open public </w:t>
      </w:r>
      <w:r>
        <w:t>consultation feedback: 66.7% (n=39) of the respondents answering in their personal capacity selected "very relevant" or "relevant".</w:t>
      </w:r>
    </w:p>
  </w:footnote>
  <w:footnote w:id="157">
    <w:p w:rsidR="001B65FF" w:rsidRDefault="003E4EF4">
      <w:pPr>
        <w:pStyle w:val="FootnoteText"/>
        <w:contextualSpacing/>
      </w:pPr>
      <w:r>
        <w:rPr>
          <w:rStyle w:val="FootnoteReference"/>
        </w:rPr>
        <w:footnoteRef/>
      </w:r>
      <w:r>
        <w:t xml:space="preserve"> </w:t>
      </w:r>
      <w:r>
        <w:tab/>
        <w:t>Open public consultation feedback: 60% yes, 10% no, 30% no opinion (n=10) of service providers.</w:t>
      </w:r>
    </w:p>
  </w:footnote>
  <w:footnote w:id="158">
    <w:p w:rsidR="001B65FF" w:rsidRDefault="003E4EF4">
      <w:pPr>
        <w:pStyle w:val="FootnoteText"/>
        <w:contextualSpacing/>
      </w:pPr>
      <w:r>
        <w:rPr>
          <w:rStyle w:val="FootnoteReference"/>
        </w:rPr>
        <w:footnoteRef/>
      </w:r>
      <w:r>
        <w:t xml:space="preserve"> </w:t>
      </w:r>
      <w:r>
        <w:tab/>
        <w:t>Open public consultati</w:t>
      </w:r>
      <w:r>
        <w:t>on feedback: 60% yes, 30% no, 10% no opinion (n=10) of service providers.</w:t>
      </w:r>
    </w:p>
  </w:footnote>
  <w:footnote w:id="159">
    <w:p w:rsidR="001B65FF" w:rsidRDefault="003E4EF4">
      <w:pPr>
        <w:pStyle w:val="FootnoteText"/>
        <w:contextualSpacing/>
      </w:pPr>
      <w:r>
        <w:rPr>
          <w:rStyle w:val="FootnoteReference"/>
        </w:rPr>
        <w:footnoteRef/>
      </w:r>
      <w:r>
        <w:t xml:space="preserve"> </w:t>
      </w:r>
      <w:r>
        <w:tab/>
        <w:t>Open public consultation feedback: 20% yes, 80% no (n=10) of service providers.</w:t>
      </w:r>
    </w:p>
  </w:footnote>
  <w:footnote w:id="160">
    <w:p w:rsidR="001B65FF" w:rsidRDefault="003E4EF4">
      <w:pPr>
        <w:pStyle w:val="FootnoteText"/>
        <w:contextualSpacing/>
      </w:pPr>
      <w:r>
        <w:rPr>
          <w:rStyle w:val="FootnoteReference"/>
        </w:rPr>
        <w:footnoteRef/>
      </w:r>
      <w:r>
        <w:t xml:space="preserve"> </w:t>
      </w:r>
      <w:r>
        <w:tab/>
        <w:t>Open public consultation feedback: 55.56% very relevant, 11.12% relevant, 22.23% somewhat releva</w:t>
      </w:r>
      <w:r>
        <w:t>nt, 11.11% no opinion (n=9) of the service providers.</w:t>
      </w:r>
    </w:p>
  </w:footnote>
  <w:footnote w:id="161">
    <w:p w:rsidR="001B65FF" w:rsidRDefault="003E4EF4">
      <w:pPr>
        <w:pStyle w:val="FootnoteText"/>
        <w:contextualSpacing/>
      </w:pPr>
      <w:r>
        <w:rPr>
          <w:rStyle w:val="FootnoteReference"/>
        </w:rPr>
        <w:footnoteRef/>
      </w:r>
      <w:r>
        <w:t xml:space="preserve"> </w:t>
      </w:r>
      <w:r>
        <w:tab/>
        <w:t>Open public consultation feedback: 55,56% very relevant, 11.12% relevant, 22.23% somewhat relevant, 11.12% not relevant (n=9) of the service providers.</w:t>
      </w:r>
    </w:p>
  </w:footnote>
  <w:footnote w:id="162">
    <w:p w:rsidR="001B65FF" w:rsidRDefault="003E4EF4">
      <w:pPr>
        <w:pStyle w:val="FootnoteText"/>
        <w:contextualSpacing/>
      </w:pPr>
      <w:r>
        <w:rPr>
          <w:rStyle w:val="FootnoteReference"/>
        </w:rPr>
        <w:footnoteRef/>
      </w:r>
      <w:r>
        <w:t xml:space="preserve"> </w:t>
      </w:r>
      <w:r>
        <w:tab/>
        <w:t>Open public consultation feedback: 61% yes (</w:t>
      </w:r>
      <w:r>
        <w:t>n=28) of practitioners from law enforcement authorities and public authorities directly related to it.</w:t>
      </w:r>
    </w:p>
  </w:footnote>
  <w:footnote w:id="163">
    <w:p w:rsidR="001B65FF" w:rsidRDefault="003E4EF4">
      <w:pPr>
        <w:pStyle w:val="FootnoteText"/>
        <w:contextualSpacing/>
      </w:pPr>
      <w:r>
        <w:rPr>
          <w:rStyle w:val="FootnoteReference"/>
        </w:rPr>
        <w:footnoteRef/>
      </w:r>
      <w:r>
        <w:t xml:space="preserve"> </w:t>
      </w:r>
      <w:r>
        <w:tab/>
        <w:t>Open public consultation feedback: 68% yes (n=28) of practitioners from law enforcement authorities and public authorities directly related to it.</w:t>
      </w:r>
    </w:p>
  </w:footnote>
  <w:footnote w:id="164">
    <w:p w:rsidR="001B65FF" w:rsidRDefault="003E4EF4">
      <w:pPr>
        <w:pStyle w:val="FootnoteText"/>
        <w:contextualSpacing/>
      </w:pPr>
      <w:r>
        <w:rPr>
          <w:rStyle w:val="FootnoteReference"/>
        </w:rPr>
        <w:footnoteRef/>
      </w:r>
      <w:r>
        <w:t xml:space="preserve"> </w:t>
      </w:r>
      <w:r>
        <w:tab/>
      </w:r>
      <w:r>
        <w:t>Open public consultation feedback: 34% yes, 46% no, 20% no opinion (n=44) of citizens and other entities.</w:t>
      </w:r>
    </w:p>
  </w:footnote>
  <w:footnote w:id="165">
    <w:p w:rsidR="001B65FF" w:rsidRDefault="003E4EF4">
      <w:pPr>
        <w:pStyle w:val="FootnoteText"/>
        <w:contextualSpacing/>
      </w:pPr>
      <w:r>
        <w:rPr>
          <w:rStyle w:val="FootnoteReference"/>
        </w:rPr>
        <w:footnoteRef/>
      </w:r>
      <w:r>
        <w:t xml:space="preserve"> </w:t>
      </w:r>
      <w:r>
        <w:tab/>
        <w:t>Open public consultation feedback: 54.9% yes, 24.4% no, 20.7% no opinion (n=82) of all respondents.</w:t>
      </w:r>
    </w:p>
  </w:footnote>
  <w:footnote w:id="166">
    <w:p w:rsidR="001B65FF" w:rsidRDefault="003E4EF4">
      <w:pPr>
        <w:pStyle w:val="FootnoteText"/>
        <w:contextualSpacing/>
      </w:pPr>
      <w:r>
        <w:rPr>
          <w:rStyle w:val="FootnoteReference"/>
        </w:rPr>
        <w:footnoteRef/>
      </w:r>
      <w:r>
        <w:t xml:space="preserve"> </w:t>
      </w:r>
      <w:r>
        <w:tab/>
        <w:t>Open public consultation feedback: 80.49% (n</w:t>
      </w:r>
      <w:r>
        <w:t>=82) of all respondents.</w:t>
      </w:r>
    </w:p>
  </w:footnote>
  <w:footnote w:id="167">
    <w:p w:rsidR="001B65FF" w:rsidRDefault="003E4EF4">
      <w:pPr>
        <w:pStyle w:val="FootnoteText"/>
        <w:contextualSpacing/>
      </w:pPr>
      <w:r>
        <w:rPr>
          <w:rStyle w:val="FootnoteReference"/>
        </w:rPr>
        <w:footnoteRef/>
      </w:r>
      <w:r>
        <w:t xml:space="preserve"> </w:t>
      </w:r>
      <w:r>
        <w:tab/>
        <w:t>Open public consultation feedback: 80.49% (n=82) of all respondents.</w:t>
      </w:r>
    </w:p>
  </w:footnote>
  <w:footnote w:id="168">
    <w:p w:rsidR="001B65FF" w:rsidRDefault="003E4EF4">
      <w:pPr>
        <w:pStyle w:val="FootnoteText"/>
        <w:contextualSpacing/>
      </w:pPr>
      <w:r>
        <w:rPr>
          <w:rStyle w:val="FootnoteReference"/>
        </w:rPr>
        <w:footnoteRef/>
      </w:r>
      <w:r>
        <w:t xml:space="preserve"> </w:t>
      </w:r>
      <w:r>
        <w:tab/>
        <w:t>Open public consultation feedback: 71.95% (n=82) of all respondents.</w:t>
      </w:r>
    </w:p>
  </w:footnote>
  <w:footnote w:id="169">
    <w:p w:rsidR="001B65FF" w:rsidRDefault="003E4EF4">
      <w:pPr>
        <w:pStyle w:val="FootnoteText"/>
        <w:contextualSpacing/>
      </w:pPr>
      <w:r>
        <w:rPr>
          <w:rStyle w:val="FootnoteReference"/>
        </w:rPr>
        <w:footnoteRef/>
      </w:r>
      <w:r>
        <w:t xml:space="preserve"> </w:t>
      </w:r>
      <w:r>
        <w:tab/>
        <w:t xml:space="preserve">Open public consultation feedback: 89% very relevant, 11% not relevant (n=9) of the </w:t>
      </w:r>
      <w:r>
        <w:t>service providers.</w:t>
      </w:r>
    </w:p>
  </w:footnote>
  <w:footnote w:id="170">
    <w:p w:rsidR="001B65FF" w:rsidRDefault="003E4EF4">
      <w:pPr>
        <w:pStyle w:val="FootnoteText"/>
        <w:contextualSpacing/>
      </w:pPr>
      <w:r>
        <w:rPr>
          <w:rStyle w:val="FootnoteReference"/>
        </w:rPr>
        <w:footnoteRef/>
      </w:r>
      <w:r>
        <w:t xml:space="preserve"> </w:t>
      </w:r>
      <w:r>
        <w:tab/>
        <w:t>Open public consultation feedback: 90% yes, 10% no opinion (n=10) of the service providers.</w:t>
      </w:r>
    </w:p>
  </w:footnote>
  <w:footnote w:id="171">
    <w:p w:rsidR="001B65FF" w:rsidRDefault="003E4EF4">
      <w:pPr>
        <w:pStyle w:val="FootnoteText"/>
        <w:contextualSpacing/>
      </w:pPr>
      <w:r>
        <w:rPr>
          <w:rStyle w:val="FootnoteReference"/>
        </w:rPr>
        <w:footnoteRef/>
      </w:r>
      <w:r>
        <w:t xml:space="preserve"> </w:t>
      </w:r>
      <w:r>
        <w:tab/>
        <w:t>Open public consultation feedback: 90% yes, 10% no opinion (n=10) of the service providers.</w:t>
      </w:r>
    </w:p>
  </w:footnote>
  <w:footnote w:id="172">
    <w:p w:rsidR="001B65FF" w:rsidRDefault="003E4EF4">
      <w:pPr>
        <w:pStyle w:val="FootnoteText"/>
        <w:contextualSpacing/>
      </w:pPr>
      <w:r>
        <w:rPr>
          <w:rStyle w:val="FootnoteReference"/>
        </w:rPr>
        <w:footnoteRef/>
      </w:r>
      <w:r>
        <w:t xml:space="preserve"> </w:t>
      </w:r>
      <w:r>
        <w:tab/>
        <w:t xml:space="preserve">Open public consultation feedback: 79% yes, </w:t>
      </w:r>
      <w:r>
        <w:t>14% no, 7% no opinion (n=28) of practitioners from law enforcement authorities and public authorities directly related to it.</w:t>
      </w:r>
    </w:p>
  </w:footnote>
  <w:footnote w:id="173">
    <w:p w:rsidR="001B65FF" w:rsidRDefault="003E4EF4">
      <w:pPr>
        <w:pStyle w:val="FootnoteText"/>
        <w:contextualSpacing/>
      </w:pPr>
      <w:r>
        <w:rPr>
          <w:rStyle w:val="FootnoteReference"/>
        </w:rPr>
        <w:footnoteRef/>
      </w:r>
      <w:r>
        <w:t xml:space="preserve"> </w:t>
      </w:r>
      <w:r>
        <w:tab/>
        <w:t>Open public consultation feedback: 45% yes, 30% no, 25% no opinion (n=44) of citizens and other entities.</w:t>
      </w:r>
    </w:p>
  </w:footnote>
  <w:footnote w:id="174">
    <w:p w:rsidR="001B65FF" w:rsidRDefault="003E4EF4">
      <w:pPr>
        <w:pStyle w:val="FootnoteText"/>
        <w:contextualSpacing/>
      </w:pPr>
      <w:r>
        <w:rPr>
          <w:rStyle w:val="FootnoteReference"/>
        </w:rPr>
        <w:footnoteRef/>
      </w:r>
      <w:r>
        <w:t xml:space="preserve"> </w:t>
      </w:r>
      <w:r>
        <w:tab/>
        <w:t>Open public consul</w:t>
      </w:r>
      <w:r>
        <w:t>tation feedback: 82% yes, 2% no, 16% no opinion (n=44) of citizens and other entities.</w:t>
      </w:r>
    </w:p>
  </w:footnote>
  <w:footnote w:id="175">
    <w:p w:rsidR="001B65FF" w:rsidRDefault="003E4EF4">
      <w:pPr>
        <w:pStyle w:val="FootnoteText"/>
        <w:contextualSpacing/>
      </w:pPr>
      <w:r>
        <w:rPr>
          <w:rStyle w:val="FootnoteReference"/>
        </w:rPr>
        <w:footnoteRef/>
      </w:r>
      <w:r>
        <w:t xml:space="preserve"> </w:t>
      </w:r>
      <w:r>
        <w:tab/>
        <w:t xml:space="preserve">Accessible </w:t>
      </w:r>
      <w:hyperlink r:id="rId101" w:history="1">
        <w:r>
          <w:rPr>
            <w:rStyle w:val="Hyperlink"/>
          </w:rPr>
          <w:t>here</w:t>
        </w:r>
      </w:hyperlink>
      <w:r>
        <w:t>.</w:t>
      </w:r>
    </w:p>
  </w:footnote>
  <w:footnote w:id="176">
    <w:p w:rsidR="001B65FF" w:rsidRDefault="003E4EF4">
      <w:pPr>
        <w:pStyle w:val="FootnoteText"/>
        <w:ind w:left="360" w:hanging="360"/>
      </w:pPr>
      <w:r>
        <w:rPr>
          <w:rStyle w:val="FootnoteReference"/>
        </w:rPr>
        <w:footnoteRef/>
      </w:r>
      <w:r>
        <w:t xml:space="preserve"> </w:t>
      </w:r>
      <w:r>
        <w:tab/>
        <w:t>As regards non-EU countries, the General Data Pro</w:t>
      </w:r>
      <w:r>
        <w:t xml:space="preserve">tection Regulation (Regulation (EU) 2016/679) and the Directive on data protection in the police and criminal justice field (Directive (EU) 2016/681) applicable from May 2018 set certain requirements on transfers of personal data in this context. </w:t>
      </w:r>
    </w:p>
  </w:footnote>
  <w:footnote w:id="177">
    <w:p w:rsidR="001B65FF" w:rsidRDefault="003E4EF4">
      <w:pPr>
        <w:pStyle w:val="FootnoteText"/>
        <w:rPr>
          <w:lang w:val="en-US"/>
        </w:rPr>
      </w:pPr>
      <w:r>
        <w:rPr>
          <w:rStyle w:val="FootnoteReference"/>
        </w:rPr>
        <w:footnoteRef/>
      </w:r>
      <w:r>
        <w:t xml:space="preserve"> </w:t>
      </w:r>
      <w:r>
        <w:tab/>
        <w:t xml:space="preserve">See </w:t>
      </w:r>
      <w:hyperlink r:id="rId102" w:history="1">
        <w:r>
          <w:rPr>
            <w:rStyle w:val="Hyperlink"/>
          </w:rPr>
          <w:t>here</w:t>
        </w:r>
      </w:hyperlink>
      <w:r>
        <w:t>.</w:t>
      </w:r>
    </w:p>
  </w:footnote>
  <w:footnote w:id="178">
    <w:p w:rsidR="001B65FF" w:rsidRDefault="003E4EF4">
      <w:pPr>
        <w:pStyle w:val="FootnoteText"/>
      </w:pPr>
      <w:r>
        <w:rPr>
          <w:rStyle w:val="FootnoteReference"/>
        </w:rPr>
        <w:footnoteRef/>
      </w:r>
      <w:r>
        <w:t xml:space="preserve"> </w:t>
      </w:r>
      <w:r>
        <w:tab/>
        <w:t xml:space="preserve">Available </w:t>
      </w:r>
      <w:hyperlink r:id="rId103" w:history="1">
        <w:r>
          <w:rPr>
            <w:rStyle w:val="Hyperlink"/>
          </w:rPr>
          <w:t>here</w:t>
        </w:r>
      </w:hyperlink>
      <w:r>
        <w:t>.</w:t>
      </w:r>
    </w:p>
  </w:footnote>
  <w:footnote w:id="179">
    <w:p w:rsidR="001B65FF" w:rsidRDefault="003E4EF4">
      <w:pPr>
        <w:pStyle w:val="FootnoteText"/>
      </w:pPr>
      <w:r>
        <w:rPr>
          <w:rStyle w:val="FootnoteReference"/>
        </w:rPr>
        <w:footnoteRef/>
      </w:r>
      <w:r>
        <w:t xml:space="preserve"> </w:t>
      </w:r>
      <w:r>
        <w:tab/>
        <w:t xml:space="preserve">See </w:t>
      </w:r>
      <w:hyperlink r:id="rId104" w:history="1">
        <w:r>
          <w:rPr>
            <w:rStyle w:val="Hyperlink"/>
          </w:rPr>
          <w:t>here</w:t>
        </w:r>
      </w:hyperlink>
      <w:r>
        <w:t>.</w:t>
      </w:r>
    </w:p>
  </w:footnote>
  <w:footnote w:id="180">
    <w:p w:rsidR="001B65FF" w:rsidRDefault="003E4EF4">
      <w:pPr>
        <w:pStyle w:val="FootnoteText"/>
        <w:ind w:left="360" w:hanging="360"/>
        <w:rPr>
          <w:lang w:val="en-US"/>
        </w:rPr>
      </w:pPr>
      <w:r>
        <w:rPr>
          <w:rStyle w:val="FootnoteReference"/>
        </w:rPr>
        <w:footnoteRef/>
      </w:r>
      <w:r>
        <w:t xml:space="preserve"> </w:t>
      </w:r>
      <w:r>
        <w:tab/>
        <w:t xml:space="preserve">Joint statement of The Computer &amp; Communications Industry </w:t>
      </w:r>
      <w:r>
        <w:t>Association (CCIA Europe), BSA │The Software Alliance, and DIGITALEUROPE of 10 June 2016 on the 9 June 2016 Conclusions of the Council of the European Union on improving criminal justice in cyberspace.</w:t>
      </w:r>
    </w:p>
  </w:footnote>
  <w:footnote w:id="181">
    <w:p w:rsidR="001B65FF" w:rsidRDefault="003E4EF4">
      <w:pPr>
        <w:pStyle w:val="FootnoteText"/>
      </w:pPr>
      <w:r>
        <w:rPr>
          <w:rStyle w:val="FootnoteReference"/>
        </w:rPr>
        <w:footnoteRef/>
      </w:r>
      <w:r>
        <w:t xml:space="preserve"> </w:t>
      </w:r>
      <w:r>
        <w:tab/>
        <w:t>The costs would depend on how Member States would i</w:t>
      </w:r>
      <w:r>
        <w:t xml:space="preserve">mplement this measure. </w:t>
      </w:r>
    </w:p>
  </w:footnote>
  <w:footnote w:id="182">
    <w:p w:rsidR="001B65FF" w:rsidRDefault="003E4EF4">
      <w:pPr>
        <w:pStyle w:val="FootnoteText"/>
      </w:pPr>
      <w:r>
        <w:rPr>
          <w:rStyle w:val="FootnoteReference"/>
        </w:rPr>
        <w:footnoteRef/>
      </w:r>
      <w:r>
        <w:t xml:space="preserve"> </w:t>
      </w:r>
      <w:r>
        <w:tab/>
        <w:t xml:space="preserve">The costs would depend on how Member States would implement this measure. </w:t>
      </w:r>
    </w:p>
  </w:footnote>
  <w:footnote w:id="183">
    <w:p w:rsidR="001B65FF" w:rsidRDefault="003E4EF4">
      <w:pPr>
        <w:pStyle w:val="FootnoteText"/>
      </w:pPr>
      <w:r>
        <w:rPr>
          <w:rStyle w:val="FootnoteReference"/>
        </w:rPr>
        <w:footnoteRef/>
      </w:r>
      <w:r>
        <w:t xml:space="preserve"> </w:t>
      </w:r>
      <w:r>
        <w:tab/>
        <w:t>According to replies received to a questionnaire in summer 2016, this concerns 8 Member States.</w:t>
      </w:r>
    </w:p>
  </w:footnote>
  <w:footnote w:id="184">
    <w:p w:rsidR="001B65FF" w:rsidRDefault="003E4EF4">
      <w:pPr>
        <w:pStyle w:val="FootnoteText"/>
      </w:pPr>
      <w:r>
        <w:rPr>
          <w:rStyle w:val="FootnoteReference"/>
        </w:rPr>
        <w:footnoteRef/>
      </w:r>
      <w:r>
        <w:t xml:space="preserve"> </w:t>
      </w:r>
      <w:r>
        <w:tab/>
        <w:t xml:space="preserve">According to replies received to a questionnaire in </w:t>
      </w:r>
      <w:r>
        <w:t>summer 2016, this concerns 8 Member States.</w:t>
      </w:r>
    </w:p>
  </w:footnote>
  <w:footnote w:id="185">
    <w:p w:rsidR="001B65FF" w:rsidRDefault="003E4EF4">
      <w:pPr>
        <w:pStyle w:val="FootnoteText"/>
        <w:ind w:left="360" w:hanging="360"/>
        <w:rPr>
          <w:lang w:val="en-US"/>
        </w:rPr>
      </w:pPr>
      <w:r>
        <w:rPr>
          <w:rStyle w:val="FootnoteReference"/>
        </w:rPr>
        <w:footnoteRef/>
      </w:r>
      <w:r>
        <w:t xml:space="preserve"> </w:t>
      </w:r>
      <w:r>
        <w:rPr>
          <w:lang w:val="en-US"/>
        </w:rPr>
        <w:tab/>
        <w:t xml:space="preserve">Based on 2014 Mean Hourly Earnings By Main Economic Activity And Occupation* + adjustment to 2014 Prices. No data for Croatia was available. Source: Eurostat, </w:t>
      </w:r>
      <w:hyperlink r:id="rId105" w:history="1">
        <w:r>
          <w:rPr>
            <w:rStyle w:val="Hyperlink"/>
            <w:lang w:val="en-US"/>
          </w:rPr>
          <w:t>Structure of Earnings Survey</w:t>
        </w:r>
      </w:hyperlink>
      <w:r>
        <w:rPr>
          <w:lang w:val="en-US"/>
        </w:rPr>
        <w:t xml:space="preserve"> - </w:t>
      </w:r>
      <w:hyperlink r:id="rId106" w:history="1">
        <w:r>
          <w:rPr>
            <w:rStyle w:val="Hyperlink"/>
            <w:lang w:val="en-US"/>
          </w:rPr>
          <w:t>NACE Revision 2</w:t>
        </w:r>
      </w:hyperlink>
      <w:r>
        <w:rPr>
          <w:lang w:val="en-US"/>
        </w:rPr>
        <w:t>.</w:t>
      </w:r>
    </w:p>
  </w:footnote>
  <w:footnote w:id="186">
    <w:p w:rsidR="001B65FF" w:rsidRDefault="003E4EF4">
      <w:pPr>
        <w:pStyle w:val="FootnoteText"/>
      </w:pPr>
      <w:r>
        <w:rPr>
          <w:rStyle w:val="FootnoteReference"/>
        </w:rPr>
        <w:footnoteRef/>
      </w:r>
      <w:r>
        <w:t xml:space="preserve"> </w:t>
      </w:r>
      <w:r>
        <w:tab/>
        <w:t>These figures represent ave</w:t>
      </w:r>
      <w:r>
        <w:t>rages. It should also be noted that according to feedback received from big service providers, 80-90% of all attempts are routine cases that take less time than indicated thanks to efficient procedures put in place by big service providers, but the statist</w:t>
      </w:r>
      <w:r>
        <w:t>ics are influenced by the remaining number of problematic cases that take much longer.</w:t>
      </w:r>
    </w:p>
  </w:footnote>
  <w:footnote w:id="187">
    <w:p w:rsidR="001B65FF" w:rsidRDefault="003E4EF4">
      <w:pPr>
        <w:pStyle w:val="FootnoteText"/>
      </w:pPr>
      <w:r>
        <w:rPr>
          <w:rStyle w:val="FootnoteReference"/>
        </w:rPr>
        <w:footnoteRef/>
      </w:r>
      <w:r>
        <w:t xml:space="preserve"> </w:t>
      </w:r>
      <w:r>
        <w:tab/>
      </w:r>
      <w:hyperlink r:id="rId107" w:history="1">
        <w:r>
          <w:rPr>
            <w:rStyle w:val="Hyperlink"/>
          </w:rPr>
          <w:t>Study for an</w:t>
        </w:r>
        <w:r>
          <w:rPr>
            <w:rStyle w:val="Hyperlink"/>
          </w:rPr>
          <w:t xml:space="preserve"> impact assessment on a proposal for a new legal framework on identity theft</w:t>
        </w:r>
      </w:hyperlink>
      <w:r>
        <w:rPr>
          <w:color w:val="1F497D" w:themeColor="text2"/>
        </w:rPr>
        <w:t xml:space="preserve">, </w:t>
      </w:r>
      <w:r>
        <w:t>2012, p160.</w:t>
      </w:r>
    </w:p>
  </w:footnote>
  <w:footnote w:id="188">
    <w:p w:rsidR="001B65FF" w:rsidRDefault="003E4EF4">
      <w:pPr>
        <w:pStyle w:val="FootnoteText"/>
      </w:pPr>
      <w:r>
        <w:rPr>
          <w:rStyle w:val="FootnoteReference"/>
        </w:rPr>
        <w:footnoteRef/>
      </w:r>
      <w:r>
        <w:t xml:space="preserve"> </w:t>
      </w:r>
      <w:r>
        <w:tab/>
      </w:r>
      <w:hyperlink r:id="rId108" w:history="1">
        <w:r>
          <w:rPr>
            <w:rStyle w:val="Hyperlink"/>
          </w:rPr>
          <w:t>Study for</w:t>
        </w:r>
        <w:r>
          <w:rPr>
            <w:rStyle w:val="Hyperlink"/>
          </w:rPr>
          <w:t xml:space="preserve"> an impact assessment on a proposal for a new legal framework on identity theft</w:t>
        </w:r>
      </w:hyperlink>
      <w:r>
        <w:rPr>
          <w:color w:val="1F497D" w:themeColor="text2"/>
        </w:rPr>
        <w:t xml:space="preserve">, </w:t>
      </w:r>
      <w:r>
        <w:t>2012, p160.</w:t>
      </w:r>
    </w:p>
  </w:footnote>
  <w:footnote w:id="189">
    <w:p w:rsidR="001B65FF" w:rsidRDefault="003E4EF4">
      <w:pPr>
        <w:pStyle w:val="FootnoteText"/>
      </w:pPr>
      <w:r>
        <w:rPr>
          <w:rStyle w:val="FootnoteReference"/>
        </w:rPr>
        <w:footnoteRef/>
      </w:r>
      <w:r>
        <w:t xml:space="preserve"> </w:t>
      </w:r>
      <w:r>
        <w:tab/>
      </w:r>
      <w:hyperlink r:id="rId109" w:history="1">
        <w:r>
          <w:rPr>
            <w:rStyle w:val="Hyperlink"/>
          </w:rPr>
          <w:t xml:space="preserve">Study </w:t>
        </w:r>
        <w:r>
          <w:rPr>
            <w:rStyle w:val="Hyperlink"/>
          </w:rPr>
          <w:t>for an impact assessment on a proposal for a new legal framework on identity theft</w:t>
        </w:r>
      </w:hyperlink>
      <w:r>
        <w:rPr>
          <w:color w:val="1F497D" w:themeColor="text2"/>
        </w:rPr>
        <w:t xml:space="preserve">, </w:t>
      </w:r>
      <w:r>
        <w:t>2012, p160.</w:t>
      </w:r>
    </w:p>
  </w:footnote>
  <w:footnote w:id="190">
    <w:p w:rsidR="001B65FF" w:rsidRDefault="003E4EF4">
      <w:pPr>
        <w:pStyle w:val="FootnoteText"/>
        <w:spacing w:after="0"/>
      </w:pPr>
      <w:r>
        <w:rPr>
          <w:rStyle w:val="FootnoteReference"/>
        </w:rPr>
        <w:footnoteRef/>
      </w:r>
      <w:r>
        <w:t xml:space="preserve"> </w:t>
      </w:r>
      <w:r>
        <w:tab/>
      </w:r>
      <w:hyperlink r:id="rId110" w:history="1">
        <w:r>
          <w:rPr>
            <w:rStyle w:val="Hyperlink"/>
          </w:rPr>
          <w:t>Directive 2014/41/EU</w:t>
        </w:r>
      </w:hyperlink>
      <w:r>
        <w:t xml:space="preserve"> of the European Parliament and of the Council of 3</w:t>
      </w:r>
      <w:r>
        <w:t xml:space="preserve"> April 2014 regarding the European Investigation Order in criminal matters, OJ L 130, p.1.</w:t>
      </w:r>
    </w:p>
  </w:footnote>
  <w:footnote w:id="191">
    <w:p w:rsidR="001B65FF" w:rsidRDefault="003E4EF4">
      <w:pPr>
        <w:pStyle w:val="FootnoteText"/>
        <w:spacing w:after="0"/>
        <w:ind w:left="360" w:hanging="360"/>
      </w:pPr>
      <w:r>
        <w:rPr>
          <w:rStyle w:val="FootnoteReference"/>
        </w:rPr>
        <w:footnoteRef/>
      </w:r>
      <w:r>
        <w:t xml:space="preserve"> </w:t>
      </w:r>
      <w:r>
        <w:tab/>
      </w:r>
      <w:hyperlink r:id="rId111" w:history="1">
        <w:r>
          <w:rPr>
            <w:rStyle w:val="Hyperlink"/>
            <w:bCs/>
          </w:rPr>
          <w:t>Council Act of 29 May 2000</w:t>
        </w:r>
      </w:hyperlink>
      <w:r>
        <w:rPr>
          <w:bCs/>
        </w:rPr>
        <w:t> establishing in accordance with Article 34 of the</w:t>
      </w:r>
      <w:r>
        <w:rPr>
          <w:bCs/>
        </w:rPr>
        <w:t xml:space="preserve"> Treaty on European Union the Convention on Mutual Assistance in Criminal Matters between the Member States of the European Union.</w:t>
      </w:r>
    </w:p>
  </w:footnote>
  <w:footnote w:id="192">
    <w:p w:rsidR="001B65FF" w:rsidRDefault="003E4EF4">
      <w:pPr>
        <w:pStyle w:val="FootnoteText"/>
        <w:spacing w:after="0"/>
      </w:pPr>
      <w:r>
        <w:rPr>
          <w:rStyle w:val="FootnoteReference"/>
        </w:rPr>
        <w:footnoteRef/>
      </w:r>
      <w:r>
        <w:t xml:space="preserve"> </w:t>
      </w:r>
      <w:r>
        <w:tab/>
      </w:r>
      <w:hyperlink r:id="rId112" w:history="1">
        <w:r>
          <w:rPr>
            <w:rStyle w:val="Hyperlink"/>
          </w:rPr>
          <w:t>Council Decision 2002/187/JHA</w:t>
        </w:r>
      </w:hyperlink>
      <w:r>
        <w:t xml:space="preserve"> of 28 February 2002 setting up Eurojust with a view to reinforcing the fight against serious crime. </w:t>
      </w:r>
    </w:p>
    <w:p w:rsidR="001B65FF" w:rsidRDefault="003E4EF4">
      <w:pPr>
        <w:pStyle w:val="FootnoteText"/>
        <w:spacing w:after="0"/>
        <w:ind w:firstLine="0"/>
      </w:pPr>
      <w:r>
        <w:t xml:space="preserve">The Commission adopted in 2013 a </w:t>
      </w:r>
      <w:hyperlink r:id="rId113" w:history="1">
        <w:r>
          <w:rPr>
            <w:rStyle w:val="Hyperlink"/>
          </w:rPr>
          <w:t>proposal for a Regulation</w:t>
        </w:r>
      </w:hyperlink>
      <w:r>
        <w:t xml:space="preserve"> to reform </w:t>
      </w:r>
      <w:r>
        <w:t>Eurojust (Proposal for a Regulation of the European Parliament and of the Council on the European Union Agency for Criminal Justice Cooperation (Eurojust), COM/2013/0535 final.</w:t>
      </w:r>
    </w:p>
  </w:footnote>
  <w:footnote w:id="193">
    <w:p w:rsidR="001B65FF" w:rsidRDefault="003E4EF4">
      <w:pPr>
        <w:pStyle w:val="FootnoteText"/>
        <w:spacing w:after="0"/>
      </w:pPr>
      <w:r>
        <w:rPr>
          <w:rStyle w:val="FootnoteReference"/>
        </w:rPr>
        <w:footnoteRef/>
      </w:r>
      <w:r>
        <w:t xml:space="preserve"> </w:t>
      </w:r>
      <w:r>
        <w:tab/>
      </w:r>
      <w:hyperlink r:id="rId114" w:history="1">
        <w:r>
          <w:rPr>
            <w:rStyle w:val="Hyperlink"/>
          </w:rPr>
          <w:t>Council conclusions</w:t>
        </w:r>
      </w:hyperlink>
      <w:r>
        <w:t xml:space="preserve"> of 9 June 2016 on the European Judicial Cybercrime N</w:t>
      </w:r>
      <w:r>
        <w:t>etwork, 10025/16.</w:t>
      </w:r>
    </w:p>
  </w:footnote>
  <w:footnote w:id="194">
    <w:p w:rsidR="001B65FF" w:rsidRDefault="003E4EF4">
      <w:pPr>
        <w:pStyle w:val="FootnoteText"/>
        <w:spacing w:after="0"/>
      </w:pPr>
      <w:r>
        <w:rPr>
          <w:rStyle w:val="FootnoteReference"/>
        </w:rPr>
        <w:footnoteRef/>
      </w:r>
      <w:r>
        <w:t xml:space="preserve"> </w:t>
      </w:r>
      <w:r>
        <w:tab/>
      </w:r>
      <w:hyperlink r:id="rId115" w:history="1">
        <w:r>
          <w:rPr>
            <w:rStyle w:val="Hyperlink"/>
          </w:rPr>
          <w:t>Regulation (EU) 2016/794</w:t>
        </w:r>
      </w:hyperlink>
      <w:r>
        <w:t xml:space="preserve"> of the European Parliament and of the Council of 11 May 2016 on the European Union Agency for Law Enforcement Cooperation (Europol) and replacing and repealing Council Decisions 2009/371/JHA, 2009/934/JHA, 2009/935/JHA, 2009/936/JHA and 2009/968/JHA.</w:t>
      </w:r>
    </w:p>
  </w:footnote>
  <w:footnote w:id="195">
    <w:p w:rsidR="001B65FF" w:rsidRDefault="003E4EF4">
      <w:pPr>
        <w:pStyle w:val="FootnoteText"/>
        <w:spacing w:after="0"/>
        <w:rPr>
          <w:lang w:val="en"/>
        </w:rPr>
      </w:pPr>
      <w:r>
        <w:rPr>
          <w:rStyle w:val="FootnoteReference"/>
        </w:rPr>
        <w:footnoteRef/>
      </w:r>
      <w:r>
        <w:t xml:space="preserve">   </w:t>
      </w:r>
      <w:r>
        <w:t xml:space="preserve"> </w:t>
      </w:r>
      <w:hyperlink r:id="rId116" w:history="1">
        <w:r>
          <w:rPr>
            <w:rStyle w:val="Hyperlink"/>
          </w:rPr>
          <w:t>Council Framework Decision 2002/465/JHA</w:t>
        </w:r>
      </w:hyperlink>
      <w:r>
        <w:t xml:space="preserve"> of 13 June 2002 on joint investigation teams.</w:t>
      </w:r>
    </w:p>
  </w:footnote>
  <w:footnote w:id="196">
    <w:p w:rsidR="001B65FF" w:rsidRDefault="003E4EF4">
      <w:pPr>
        <w:pStyle w:val="FootnoteText"/>
        <w:spacing w:after="0"/>
      </w:pPr>
      <w:r>
        <w:rPr>
          <w:rStyle w:val="FootnoteReference"/>
        </w:rPr>
        <w:footnoteRef/>
      </w:r>
      <w:r>
        <w:t xml:space="preserve"> </w:t>
      </w:r>
      <w:r>
        <w:tab/>
        <w:t>COM(2017)555.</w:t>
      </w:r>
    </w:p>
  </w:footnote>
  <w:footnote w:id="197">
    <w:p w:rsidR="001B65FF" w:rsidRDefault="003E4EF4">
      <w:pPr>
        <w:pStyle w:val="FootnoteText"/>
        <w:spacing w:after="0"/>
      </w:pPr>
      <w:r>
        <w:rPr>
          <w:rStyle w:val="FootnoteReference"/>
        </w:rPr>
        <w:footnoteRef/>
      </w:r>
      <w:r>
        <w:t xml:space="preserve"> </w:t>
      </w:r>
      <w:r>
        <w:tab/>
        <w:t xml:space="preserve">See </w:t>
      </w:r>
      <w:hyperlink r:id="rId117" w:history="1">
        <w:r>
          <w:rPr>
            <w:rStyle w:val="Hyperlink"/>
          </w:rPr>
          <w:t>here</w:t>
        </w:r>
      </w:hyperlink>
      <w:r>
        <w:t xml:space="preserve"> for more information.</w:t>
      </w:r>
    </w:p>
  </w:footnote>
  <w:footnote w:id="198">
    <w:p w:rsidR="001B65FF" w:rsidRDefault="003E4EF4">
      <w:pPr>
        <w:pStyle w:val="FootnoteText"/>
        <w:spacing w:after="0"/>
      </w:pPr>
      <w:r>
        <w:rPr>
          <w:rStyle w:val="FootnoteReference"/>
        </w:rPr>
        <w:footnoteRef/>
      </w:r>
      <w:r>
        <w:t xml:space="preserve"> </w:t>
      </w:r>
      <w:r>
        <w:tab/>
      </w:r>
      <w:hyperlink r:id="rId118" w:tgtFrame="_blank" w:history="1">
        <w:r>
          <w:rPr>
            <w:rStyle w:val="Hyperlink"/>
            <w:bCs/>
          </w:rPr>
          <w:t>Regulation (EU) 2016/679 </w:t>
        </w:r>
      </w:hyperlink>
      <w:r>
        <w:t>of the European Parliament and of the Cou</w:t>
      </w:r>
      <w:r>
        <w:t>ncil of 27 April 2016 on the protection of natural persons with regard to the processing of personal data and on the free movement of such data, and repealing Directive 95/46/EC.</w:t>
      </w:r>
    </w:p>
  </w:footnote>
  <w:footnote w:id="199">
    <w:p w:rsidR="001B65FF" w:rsidRDefault="003E4EF4">
      <w:pPr>
        <w:pStyle w:val="FootnoteText"/>
        <w:spacing w:after="0"/>
      </w:pPr>
      <w:r>
        <w:rPr>
          <w:rStyle w:val="FootnoteReference"/>
        </w:rPr>
        <w:footnoteRef/>
      </w:r>
      <w:r>
        <w:t xml:space="preserve"> </w:t>
      </w:r>
      <w:r>
        <w:tab/>
      </w:r>
      <w:hyperlink r:id="rId119" w:tgtFrame="_blank" w:history="1">
        <w:r>
          <w:rPr>
            <w:rStyle w:val="Hyperlink"/>
            <w:bCs/>
          </w:rPr>
          <w:t>Directive (EU) 2016/680 </w:t>
        </w:r>
      </w:hyperlink>
      <w:r>
        <w:t>of the European Parliament and of the Council of 27 April 2016 on the protection of natural persons with regard to the processing of personal data by competent authori</w:t>
      </w:r>
      <w:r>
        <w:t>ties for the purposes of the prevention, investigation, detection or prosecution of criminal offences or the execution of criminal penalties, and on the free movement of such data, and repealing Council Framework Decision 2008/977/JHA.</w:t>
      </w:r>
    </w:p>
  </w:footnote>
  <w:footnote w:id="200">
    <w:p w:rsidR="001B65FF" w:rsidRDefault="003E4EF4">
      <w:pPr>
        <w:pStyle w:val="FootnoteText"/>
        <w:spacing w:after="0"/>
      </w:pPr>
      <w:r>
        <w:rPr>
          <w:rStyle w:val="FootnoteReference"/>
        </w:rPr>
        <w:footnoteRef/>
      </w:r>
      <w:r>
        <w:t xml:space="preserve"> </w:t>
      </w:r>
      <w:r>
        <w:tab/>
      </w:r>
      <w:hyperlink r:id="rId120" w:history="1">
        <w:r>
          <w:rPr>
            <w:rStyle w:val="Hyperlink"/>
            <w:bCs/>
          </w:rPr>
          <w:t>Directive 2009/136/EC</w:t>
        </w:r>
      </w:hyperlink>
      <w:r>
        <w:rPr>
          <w:bCs/>
        </w:rPr>
        <w:t xml:space="preserve"> of the European Parliament and of the Council of 25 November 2009 amending Directive 2002/22/EC on universal service and users’ rights relating to electronic communi</w:t>
      </w:r>
      <w:r>
        <w:rPr>
          <w:bCs/>
        </w:rPr>
        <w:t>cations networks and services, Directive 2002/58/EC concerning the processing of personal data and the protection of privacy in the electronic communications sector and Regulation (EC) No 2006/2004 on cooperation between national authorities responsible fo</w:t>
      </w:r>
      <w:r>
        <w:rPr>
          <w:bCs/>
        </w:rPr>
        <w:t>r the enforcement of consumer protection laws.</w:t>
      </w:r>
    </w:p>
  </w:footnote>
  <w:footnote w:id="201">
    <w:p w:rsidR="001B65FF" w:rsidRDefault="003E4EF4">
      <w:pPr>
        <w:pStyle w:val="FootnoteText"/>
        <w:spacing w:after="0"/>
        <w:ind w:left="360" w:hanging="360"/>
      </w:pPr>
      <w:r>
        <w:rPr>
          <w:rStyle w:val="FootnoteReference"/>
        </w:rPr>
        <w:footnoteRef/>
      </w:r>
      <w:r>
        <w:t xml:space="preserve"> </w:t>
      </w:r>
      <w:r>
        <w:tab/>
      </w:r>
      <w:hyperlink r:id="rId121" w:history="1">
        <w:r>
          <w:rPr>
            <w:rStyle w:val="Hyperlink"/>
          </w:rPr>
          <w:t>Proposal for a Regulation</w:t>
        </w:r>
      </w:hyperlink>
      <w:r>
        <w:t xml:space="preserve"> concerning the respect for private life and the protection of personal data in electronic</w:t>
      </w:r>
      <w:r>
        <w:t xml:space="preserve"> communications and repealing Directive 2002/58/EC (Regulation on Privacy and Electronic Communications) COM(2017) 10 final.</w:t>
      </w:r>
    </w:p>
  </w:footnote>
  <w:footnote w:id="202">
    <w:p w:rsidR="001B65FF" w:rsidRDefault="003E4EF4">
      <w:pPr>
        <w:pStyle w:val="FootnoteText"/>
        <w:spacing w:after="0"/>
      </w:pPr>
      <w:r>
        <w:rPr>
          <w:rStyle w:val="FootnoteReference"/>
        </w:rPr>
        <w:footnoteRef/>
      </w:r>
      <w:r>
        <w:t xml:space="preserve"> </w:t>
      </w:r>
      <w:r>
        <w:tab/>
      </w:r>
      <w:hyperlink r:id="rId122" w:history="1">
        <w:r>
          <w:rPr>
            <w:rStyle w:val="Hyperlink"/>
          </w:rPr>
          <w:t>Proposal for a Regulation</w:t>
        </w:r>
      </w:hyperlink>
      <w:r>
        <w:t xml:space="preserve"> of the European Parliament and </w:t>
      </w:r>
      <w:r>
        <w:t>the Council on a framework for the free flow of non-personal data in the European Union, COM(2017) 495 final.</w:t>
      </w:r>
    </w:p>
  </w:footnote>
  <w:footnote w:id="203">
    <w:p w:rsidR="001B65FF" w:rsidRDefault="003E4EF4">
      <w:pPr>
        <w:pStyle w:val="FootnoteText"/>
        <w:spacing w:after="0"/>
      </w:pPr>
      <w:r>
        <w:rPr>
          <w:rStyle w:val="FootnoteReference"/>
        </w:rPr>
        <w:footnoteRef/>
      </w:r>
      <w:r>
        <w:t xml:space="preserve"> </w:t>
      </w:r>
      <w:r>
        <w:tab/>
      </w:r>
      <w:hyperlink r:id="rId123" w:history="1">
        <w:r>
          <w:rPr>
            <w:rStyle w:val="Hyperlink"/>
          </w:rPr>
          <w:t>Proposal for a Directive</w:t>
        </w:r>
      </w:hyperlink>
      <w:r>
        <w:t xml:space="preserve"> of the European Parliament and of the Council establishing the European Electronic Communications Code (Recast), COM(2016) 590.</w:t>
      </w:r>
    </w:p>
  </w:footnote>
  <w:footnote w:id="204">
    <w:p w:rsidR="001B65FF" w:rsidRDefault="003E4EF4">
      <w:pPr>
        <w:pStyle w:val="FootnoteText"/>
        <w:spacing w:after="0"/>
      </w:pPr>
      <w:r>
        <w:rPr>
          <w:rStyle w:val="FootnoteReference"/>
        </w:rPr>
        <w:footnoteRef/>
      </w:r>
      <w:r>
        <w:t xml:space="preserve"> </w:t>
      </w:r>
      <w:r>
        <w:tab/>
      </w:r>
      <w:hyperlink r:id="rId124" w:history="1">
        <w:r>
          <w:rPr>
            <w:rStyle w:val="Hyperlink"/>
          </w:rPr>
          <w:t>Directive 2000/31/EC</w:t>
        </w:r>
      </w:hyperlink>
      <w:r>
        <w:t xml:space="preserve"> of the European P</w:t>
      </w:r>
      <w:r>
        <w:t>arliament and of the Council of 8 June 2000 on certain legal aspects of information society services, in particular electronic commerce, in the Internal Market</w:t>
      </w:r>
      <w:r>
        <w:rPr>
          <w:bCs/>
        </w:rPr>
        <w:t>.</w:t>
      </w:r>
    </w:p>
  </w:footnote>
  <w:footnote w:id="205">
    <w:p w:rsidR="001B65FF" w:rsidRDefault="003E4EF4">
      <w:pPr>
        <w:pStyle w:val="FootnoteText"/>
        <w:spacing w:after="0"/>
      </w:pPr>
      <w:r>
        <w:rPr>
          <w:rStyle w:val="FootnoteReference"/>
        </w:rPr>
        <w:footnoteRef/>
      </w:r>
      <w:r>
        <w:t xml:space="preserve"> </w:t>
      </w:r>
      <w:r>
        <w:tab/>
      </w:r>
      <w:hyperlink r:id="rId125" w:history="1">
        <w:r>
          <w:rPr>
            <w:rStyle w:val="Hyperlink"/>
          </w:rPr>
          <w:t>Proposa</w:t>
        </w:r>
        <w:r>
          <w:rPr>
            <w:rStyle w:val="Hyperlink"/>
          </w:rPr>
          <w:t>l for a Directive</w:t>
        </w:r>
      </w:hyperlink>
      <w:r>
        <w:t xml:space="preserve"> of the European Parliament and of the Council to empower the competition authorities of the Member States to be more effective enforcers and to ensure the proper functioning of the internal market, COM(2017) 142 final.</w:t>
      </w:r>
    </w:p>
  </w:footnote>
  <w:footnote w:id="206">
    <w:p w:rsidR="001B65FF" w:rsidRDefault="003E4EF4">
      <w:pPr>
        <w:pStyle w:val="FootnoteText"/>
        <w:spacing w:after="0"/>
      </w:pPr>
      <w:r>
        <w:rPr>
          <w:rStyle w:val="FootnoteReference"/>
        </w:rPr>
        <w:footnoteRef/>
      </w:r>
      <w:r>
        <w:t xml:space="preserve"> </w:t>
      </w:r>
      <w:r>
        <w:tab/>
        <w:t>Council Regulati</w:t>
      </w:r>
      <w:r>
        <w:t>on (EC) No 1206/2001 of 28 May 2001 on cooperation between the courts of the Member States in the taking of evidence in civil or commercial matters, OJ L 174, 27.06.2001, pp. 1-24.</w:t>
      </w:r>
    </w:p>
  </w:footnote>
  <w:footnote w:id="207">
    <w:p w:rsidR="001B65FF" w:rsidRDefault="003E4EF4">
      <w:pPr>
        <w:pStyle w:val="FootnoteText"/>
        <w:spacing w:after="0"/>
      </w:pPr>
      <w:r>
        <w:rPr>
          <w:rStyle w:val="FootnoteReference"/>
        </w:rPr>
        <w:footnoteRef/>
      </w:r>
      <w:r>
        <w:t xml:space="preserve"> </w:t>
      </w:r>
      <w:r>
        <w:tab/>
      </w:r>
      <w:hyperlink r:id="rId126" w:history="1">
        <w:r>
          <w:rPr>
            <w:rStyle w:val="Hyperlink"/>
          </w:rPr>
          <w:t>Council of Europe Convention on Cybercrime</w:t>
        </w:r>
      </w:hyperlink>
      <w:r>
        <w:t xml:space="preserve"> (CETS No 185).  </w:t>
      </w:r>
    </w:p>
  </w:footnote>
  <w:footnote w:id="208">
    <w:p w:rsidR="001B65FF" w:rsidRDefault="003E4EF4">
      <w:pPr>
        <w:pStyle w:val="FootnoteText"/>
        <w:spacing w:after="0"/>
        <w:ind w:left="360" w:hanging="360"/>
      </w:pPr>
      <w:r>
        <w:rPr>
          <w:rStyle w:val="FootnoteReference"/>
        </w:rPr>
        <w:footnoteRef/>
      </w:r>
      <w:r>
        <w:t xml:space="preserve"> </w:t>
      </w:r>
      <w:r>
        <w:tab/>
      </w:r>
      <w:hyperlink r:id="rId127" w:history="1">
        <w:r>
          <w:rPr>
            <w:rStyle w:val="Hyperlink"/>
          </w:rPr>
          <w:t>Council Decision 2009/820/CFSP</w:t>
        </w:r>
      </w:hyperlink>
      <w:r>
        <w:t xml:space="preserve"> of 23 October 2009 on the conclusion on behalf of the Europ</w:t>
      </w:r>
      <w:r>
        <w:t>ean Union of the Agreement on extradition between the European Union and the United States of America and the Agreement on mutual legal assistance between the European Union and the United States of America.</w:t>
      </w:r>
    </w:p>
  </w:footnote>
  <w:footnote w:id="209">
    <w:p w:rsidR="001B65FF" w:rsidRDefault="003E4EF4">
      <w:pPr>
        <w:pStyle w:val="FootnoteText"/>
        <w:spacing w:after="0"/>
        <w:ind w:left="360" w:hanging="360"/>
      </w:pPr>
      <w:r>
        <w:rPr>
          <w:rStyle w:val="FootnoteReference"/>
        </w:rPr>
        <w:footnoteRef/>
      </w:r>
      <w:r>
        <w:t xml:space="preserve"> </w:t>
      </w:r>
      <w:r>
        <w:tab/>
        <w:t>More information on the EU-US Umbrella Agreem</w:t>
      </w:r>
      <w:r>
        <w:t xml:space="preserve">ent is available </w:t>
      </w:r>
      <w:hyperlink r:id="rId128" w:history="1">
        <w:r>
          <w:rPr>
            <w:rStyle w:val="Hyperlink"/>
          </w:rPr>
          <w:t>here</w:t>
        </w:r>
      </w:hyperlink>
      <w:r>
        <w:t>.</w:t>
      </w:r>
    </w:p>
  </w:footnote>
  <w:footnote w:id="210">
    <w:p w:rsidR="001B65FF" w:rsidRDefault="003E4EF4">
      <w:pPr>
        <w:pStyle w:val="FootnoteText"/>
        <w:spacing w:after="0"/>
      </w:pPr>
      <w:r>
        <w:rPr>
          <w:rStyle w:val="FootnoteReference"/>
        </w:rPr>
        <w:footnoteRef/>
      </w:r>
      <w:r>
        <w:t xml:space="preserve"> </w:t>
      </w:r>
      <w:r>
        <w:tab/>
        <w:t xml:space="preserve">More information on the EU-US Privacy Shield is available </w:t>
      </w:r>
      <w:hyperlink r:id="rId129" w:history="1">
        <w:r>
          <w:rPr>
            <w:rStyle w:val="Hyperlink"/>
          </w:rPr>
          <w:t>here</w:t>
        </w:r>
      </w:hyperlink>
      <w:r>
        <w:t>.</w:t>
      </w:r>
    </w:p>
  </w:footnote>
  <w:footnote w:id="211">
    <w:p w:rsidR="001B65FF" w:rsidRDefault="003E4EF4">
      <w:pPr>
        <w:pStyle w:val="FootnoteText"/>
        <w:spacing w:after="0"/>
        <w:ind w:left="360" w:hanging="360"/>
      </w:pPr>
      <w:r>
        <w:rPr>
          <w:rStyle w:val="FootnoteReference"/>
        </w:rPr>
        <w:footnoteRef/>
      </w:r>
      <w:r>
        <w:t xml:space="preserve"> </w:t>
      </w:r>
      <w:r>
        <w:tab/>
        <w:t>See for instance the Treaty between the Kingdom of the Netherlands and the United States of America on mutual assistance in criminal matters of June 1983.</w:t>
      </w:r>
    </w:p>
  </w:footnote>
  <w:footnote w:id="212">
    <w:p w:rsidR="001B65FF" w:rsidRDefault="003E4EF4">
      <w:pPr>
        <w:pStyle w:val="FootnoteText"/>
        <w:spacing w:after="0"/>
      </w:pPr>
      <w:r>
        <w:rPr>
          <w:rStyle w:val="FootnoteReference"/>
        </w:rPr>
        <w:footnoteRef/>
      </w:r>
      <w:r>
        <w:t xml:space="preserve"> </w:t>
      </w:r>
      <w:r>
        <w:tab/>
        <w:t xml:space="preserve">Daskal, Jennifer, </w:t>
      </w:r>
      <w:hyperlink r:id="rId130" w:history="1">
        <w:r>
          <w:rPr>
            <w:rStyle w:val="Hyperlink"/>
          </w:rPr>
          <w:t>A New UK-US Data Sharing Agreement: A Tremendous Opportunity, If Done Right</w:t>
        </w:r>
      </w:hyperlink>
      <w:r>
        <w:t xml:space="preserve">, February 2016; </w:t>
      </w:r>
    </w:p>
    <w:p w:rsidR="001B65FF" w:rsidRDefault="003E4EF4">
      <w:pPr>
        <w:pStyle w:val="FootnoteText"/>
        <w:spacing w:after="0"/>
        <w:ind w:firstLine="0"/>
      </w:pPr>
      <w:r>
        <w:rPr>
          <w:rFonts w:ascii="NexusSansWebPro" w:hAnsi="NexusSansWebPro"/>
          <w:color w:val="505050"/>
          <w:shd w:val="clear" w:color="auto" w:fill="FFFFFF"/>
        </w:rPr>
        <w:t xml:space="preserve">Lin, Tiffany and Fidler, Mailyn, </w:t>
      </w:r>
      <w:hyperlink r:id="rId131" w:history="1">
        <w:r>
          <w:rPr>
            <w:rStyle w:val="Hyperlink"/>
          </w:rPr>
          <w:t>Cross-Border Data Access Reform: A Primer on the Proposed U.S.-U.K. Agreement</w:t>
        </w:r>
      </w:hyperlink>
      <w:r>
        <w:rPr>
          <w:rFonts w:ascii="NexusSansWebPro" w:hAnsi="NexusSansWebPro"/>
          <w:color w:val="505050"/>
          <w:shd w:val="clear" w:color="auto" w:fill="FFFFFF"/>
        </w:rPr>
        <w:t>, Berkman Klein Center Research Publication No. 2017-7, Harvard University, September 2017.</w:t>
      </w:r>
      <w:r>
        <w:t xml:space="preserve"> </w:t>
      </w:r>
    </w:p>
  </w:footnote>
  <w:footnote w:id="213">
    <w:p w:rsidR="001B65FF" w:rsidRDefault="003E4EF4">
      <w:pPr>
        <w:pStyle w:val="FootnoteText"/>
        <w:spacing w:after="0"/>
      </w:pPr>
      <w:r>
        <w:rPr>
          <w:rStyle w:val="FootnoteReference"/>
        </w:rPr>
        <w:footnoteRef/>
      </w:r>
      <w:r>
        <w:t xml:space="preserve"> </w:t>
      </w:r>
      <w:r>
        <w:tab/>
      </w:r>
      <w:hyperlink r:id="rId132" w:history="1">
        <w:r>
          <w:rPr>
            <w:rStyle w:val="Hyperlink"/>
          </w:rPr>
          <w:t>Electronic Communications Privacy Act of 1986</w:t>
        </w:r>
      </w:hyperlink>
      <w:r>
        <w:t>; see Annex 6 for more information.</w:t>
      </w:r>
    </w:p>
  </w:footnote>
  <w:footnote w:id="214">
    <w:p w:rsidR="001B65FF" w:rsidRDefault="003E4EF4">
      <w:pPr>
        <w:pStyle w:val="FootnoteText"/>
        <w:spacing w:after="0"/>
      </w:pPr>
      <w:r>
        <w:rPr>
          <w:rStyle w:val="FootnoteReference"/>
        </w:rPr>
        <w:footnoteRef/>
      </w:r>
      <w:r>
        <w:t xml:space="preserve"> </w:t>
      </w:r>
      <w:r>
        <w:tab/>
        <w:t xml:space="preserve">U.S. Department of Justice, </w:t>
      </w:r>
      <w:hyperlink r:id="rId133" w:anchor="document/p1" w:history="1">
        <w:r>
          <w:rPr>
            <w:rStyle w:val="Hyperlink"/>
          </w:rPr>
          <w:t>Legislation to Permit the Secure and Privacy-Protective Exchange of Electronic Data for the Purposes of Combating Serious Crime Including Terrorism</w:t>
        </w:r>
      </w:hyperlink>
      <w:r>
        <w:t>, July 15, 2016.</w:t>
      </w:r>
    </w:p>
  </w:footnote>
  <w:footnote w:id="215">
    <w:p w:rsidR="001B65FF" w:rsidRDefault="003E4EF4">
      <w:pPr>
        <w:pStyle w:val="FootnoteText"/>
        <w:spacing w:after="0"/>
      </w:pPr>
      <w:r>
        <w:rPr>
          <w:rStyle w:val="FootnoteReference"/>
        </w:rPr>
        <w:footnoteRef/>
      </w:r>
      <w:r>
        <w:t xml:space="preserve"> </w:t>
      </w:r>
      <w:r>
        <w:tab/>
        <w:t>On 23 March 2018 the US Congress adopted the Clarifying Lawful Overseas Use of Data (CLOU</w:t>
      </w:r>
      <w:r>
        <w:t xml:space="preserve">D) Act, right before the adoption of the EU legislative proposals that this impact assessment accompanies. The CLOUD Act is available </w:t>
      </w:r>
      <w:hyperlink r:id="rId134" w:history="1">
        <w:r>
          <w:rPr>
            <w:rStyle w:val="Hyperlink"/>
          </w:rPr>
          <w:t>here</w:t>
        </w:r>
      </w:hyperlink>
      <w:r>
        <w:t>.</w:t>
      </w:r>
    </w:p>
  </w:footnote>
  <w:footnote w:id="216">
    <w:p w:rsidR="001B65FF" w:rsidRDefault="003E4EF4">
      <w:pPr>
        <w:pStyle w:val="FootnoteText"/>
        <w:spacing w:after="0"/>
      </w:pPr>
      <w:r>
        <w:rPr>
          <w:rStyle w:val="FootnoteReference"/>
        </w:rPr>
        <w:footnoteRef/>
      </w:r>
      <w:r>
        <w:t xml:space="preserve"> </w:t>
      </w:r>
      <w:r>
        <w:tab/>
        <w:t xml:space="preserve">S.1671 - </w:t>
      </w:r>
      <w:hyperlink r:id="rId135" w:history="1">
        <w:r>
          <w:rPr>
            <w:rStyle w:val="Hyperlink"/>
          </w:rPr>
          <w:t>International Communications Privacy Act</w:t>
        </w:r>
      </w:hyperlink>
      <w:r>
        <w:t>.</w:t>
      </w:r>
    </w:p>
  </w:footnote>
  <w:footnote w:id="217">
    <w:p w:rsidR="001B65FF" w:rsidRDefault="003E4EF4">
      <w:pPr>
        <w:pStyle w:val="FootnoteText"/>
        <w:spacing w:after="0"/>
      </w:pPr>
      <w:r>
        <w:rPr>
          <w:rStyle w:val="FootnoteReference"/>
        </w:rPr>
        <w:footnoteRef/>
      </w:r>
      <w:r>
        <w:t xml:space="preserve"> </w:t>
      </w:r>
      <w:r>
        <w:tab/>
      </w:r>
      <w:hyperlink r:id="rId136" w:history="1">
        <w:r>
          <w:rPr>
            <w:rStyle w:val="Hyperlink"/>
          </w:rPr>
          <w:t>Communication</w:t>
        </w:r>
      </w:hyperlink>
      <w:r>
        <w:t xml:space="preserve"> from the Commission to the European Parliament, the Council, the European Economic and Social Committee and the Committee of the Regions: The European Agenda on Security, COM(2015) 185 final</w:t>
      </w:r>
      <w:r>
        <w:rPr>
          <w:rStyle w:val="Hyperlink"/>
        </w:rPr>
        <w:t>.</w:t>
      </w:r>
    </w:p>
  </w:footnote>
  <w:footnote w:id="218">
    <w:p w:rsidR="001B65FF" w:rsidRDefault="003E4EF4">
      <w:pPr>
        <w:pStyle w:val="FootnoteText"/>
        <w:spacing w:after="0"/>
      </w:pPr>
      <w:r>
        <w:rPr>
          <w:rStyle w:val="FootnoteReference"/>
        </w:rPr>
        <w:footnoteRef/>
      </w:r>
      <w:r>
        <w:t xml:space="preserve"> </w:t>
      </w:r>
      <w:r>
        <w:tab/>
      </w:r>
      <w:hyperlink r:id="rId137" w:history="1">
        <w:r>
          <w:rPr>
            <w:rStyle w:val="Hyperlink"/>
          </w:rPr>
          <w:t>Joint communication</w:t>
        </w:r>
      </w:hyperlink>
      <w:r>
        <w:t xml:space="preserve"> to the European Parliament, the Council, the European Economic and Social Committee and the Committee of the Regions - Cybersecurity Strategy of the European Union: An ope</w:t>
      </w:r>
      <w:r>
        <w:t>n, Safe and Secure Cyberspace (JOIN(2013) 1 final of 7.2.2013).</w:t>
      </w:r>
    </w:p>
  </w:footnote>
  <w:footnote w:id="219">
    <w:p w:rsidR="001B65FF" w:rsidRDefault="003E4EF4">
      <w:pPr>
        <w:pStyle w:val="FootnoteText"/>
        <w:spacing w:after="0"/>
      </w:pPr>
      <w:r>
        <w:rPr>
          <w:rStyle w:val="FootnoteReference"/>
        </w:rPr>
        <w:footnoteRef/>
      </w:r>
      <w:r>
        <w:t xml:space="preserve"> </w:t>
      </w:r>
      <w:r>
        <w:tab/>
        <w:t xml:space="preserve">More information is available </w:t>
      </w:r>
      <w:hyperlink r:id="rId138" w:history="1">
        <w:r>
          <w:rPr>
            <w:rStyle w:val="Hyperlink"/>
          </w:rPr>
          <w:t>here</w:t>
        </w:r>
      </w:hyperlink>
      <w:r>
        <w:t xml:space="preserve">. </w:t>
      </w:r>
    </w:p>
  </w:footnote>
  <w:footnote w:id="220">
    <w:p w:rsidR="001B65FF" w:rsidRDefault="003E4EF4">
      <w:pPr>
        <w:pStyle w:val="FootnoteText"/>
        <w:spacing w:after="0"/>
      </w:pPr>
      <w:r>
        <w:rPr>
          <w:rStyle w:val="FootnoteReference"/>
        </w:rPr>
        <w:footnoteRef/>
      </w:r>
      <w:r>
        <w:t xml:space="preserve"> </w:t>
      </w:r>
      <w:r>
        <w:tab/>
        <w:t xml:space="preserve">The importance of WHOIS data </w:t>
      </w:r>
      <w:r>
        <w:rPr>
          <w:bCs/>
        </w:rPr>
        <w:t xml:space="preserve">was also echoed in the Council Conclusions of 20 November 2017 on the Joint Communication on Resilience, Deterrence and Defence: Building strong cybersecurity for the EU, </w:t>
      </w:r>
      <w:hyperlink r:id="rId139" w:history="1">
        <w:r>
          <w:rPr>
            <w:rStyle w:val="Hyperlink"/>
            <w:bCs/>
          </w:rPr>
          <w:t>14435/17</w:t>
        </w:r>
      </w:hyperlink>
      <w:r>
        <w:rPr>
          <w:bCs/>
        </w:rPr>
        <w:t xml:space="preserve">. </w:t>
      </w:r>
      <w:r>
        <w:t>Specifically, the Council "stresses the importance of ensuring a coordinated EU position to efficiently shape the European and global internet governance decisions within the multi-stakeholder community, such as ensuring swiftly accessible and accurate WHO</w:t>
      </w:r>
      <w:r>
        <w:t>IS databases of IP-addresses and domain names, so that law enforcement capabilities and public interests are safeguarded."</w:t>
      </w:r>
    </w:p>
  </w:footnote>
  <w:footnote w:id="221">
    <w:p w:rsidR="001B65FF" w:rsidRDefault="003E4EF4">
      <w:pPr>
        <w:pStyle w:val="FootnoteText"/>
        <w:spacing w:after="0"/>
      </w:pPr>
      <w:r>
        <w:rPr>
          <w:rStyle w:val="FootnoteReference"/>
        </w:rPr>
        <w:footnoteRef/>
      </w:r>
      <w:r>
        <w:t xml:space="preserve"> </w:t>
      </w:r>
      <w:r>
        <w:tab/>
      </w:r>
      <w:hyperlink r:id="rId140" w:history="1">
        <w:r>
          <w:rPr>
            <w:rStyle w:val="Hyperlink"/>
          </w:rPr>
          <w:t>Communication</w:t>
        </w:r>
      </w:hyperlink>
      <w:r>
        <w:t xml:space="preserve"> from the Commission to the Euro</w:t>
      </w:r>
      <w:r>
        <w:t>pean Parliament, the Council, the European Economic and Social Committee and the Committee of the Regions - A Digital Single Market Strategy for Europe - COM(2015) 192 final</w:t>
      </w:r>
      <w:r>
        <w:rPr>
          <w:rStyle w:val="Hyperlink"/>
        </w:rPr>
        <w:t>.</w:t>
      </w:r>
    </w:p>
  </w:footnote>
  <w:footnote w:id="222">
    <w:p w:rsidR="001B65FF" w:rsidRDefault="003E4EF4">
      <w:pPr>
        <w:pStyle w:val="FootnoteText"/>
        <w:spacing w:after="0"/>
      </w:pPr>
      <w:r>
        <w:rPr>
          <w:rStyle w:val="FootnoteReference"/>
        </w:rPr>
        <w:footnoteRef/>
      </w:r>
      <w:r>
        <w:t xml:space="preserve"> </w:t>
      </w:r>
      <w:r>
        <w:tab/>
        <w:t>Communication from the Commission to the European Parliament, the European Cou</w:t>
      </w:r>
      <w:r>
        <w:t xml:space="preserve">ncil and the Council, </w:t>
      </w:r>
      <w:hyperlink r:id="rId141" w:history="1">
        <w:r>
          <w:rPr>
            <w:rStyle w:val="Hyperlink"/>
          </w:rPr>
          <w:t>Eleventh progress report t</w:t>
        </w:r>
        <w:r>
          <w:rPr>
            <w:rStyle w:val="Hyperlink"/>
          </w:rPr>
          <w:t>owards an effective and genuine Security Union</w:t>
        </w:r>
      </w:hyperlink>
      <w:r>
        <w:t>, COM(2017) 608 final, 18 October 2017.</w:t>
      </w:r>
    </w:p>
  </w:footnote>
  <w:footnote w:id="223">
    <w:p w:rsidR="001B65FF" w:rsidRDefault="003E4EF4">
      <w:pPr>
        <w:pStyle w:val="FootnoteText"/>
        <w:spacing w:after="0"/>
      </w:pPr>
      <w:r>
        <w:rPr>
          <w:rStyle w:val="FootnoteReference"/>
        </w:rPr>
        <w:footnoteRef/>
      </w:r>
      <w:r>
        <w:t xml:space="preserve"> </w:t>
      </w:r>
      <w:r>
        <w:tab/>
      </w:r>
      <w:r>
        <w:rPr>
          <w:rFonts w:ascii="NexusSansWebPro" w:hAnsi="NexusSansWebPro"/>
          <w:color w:val="505050"/>
          <w:shd w:val="clear" w:color="auto" w:fill="FFFFFF"/>
        </w:rPr>
        <w:t xml:space="preserve">Lin, Tiffany and Fidler, Mailyn, </w:t>
      </w:r>
      <w:hyperlink r:id="rId142" w:history="1">
        <w:r>
          <w:rPr>
            <w:rStyle w:val="Hyperlink"/>
          </w:rPr>
          <w:t xml:space="preserve">Cross-Border Data Access Reform: A Primer on the Proposed </w:t>
        </w:r>
        <w:r>
          <w:rPr>
            <w:rStyle w:val="Hyperlink"/>
          </w:rPr>
          <w:t>U.S.-U.K. Agreement</w:t>
        </w:r>
      </w:hyperlink>
      <w:r>
        <w:rPr>
          <w:rFonts w:ascii="NexusSansWebPro" w:hAnsi="NexusSansWebPro"/>
          <w:color w:val="505050"/>
          <w:shd w:val="clear" w:color="auto" w:fill="FFFFFF"/>
        </w:rPr>
        <w:t>, Berkman Klein Center Research Publication No. 2017-7, Harvard University, September 2017.</w:t>
      </w:r>
    </w:p>
  </w:footnote>
  <w:footnote w:id="224">
    <w:p w:rsidR="001B65FF" w:rsidRDefault="003E4EF4">
      <w:pPr>
        <w:pStyle w:val="FootnoteText"/>
        <w:spacing w:after="0"/>
      </w:pPr>
      <w:r>
        <w:rPr>
          <w:rStyle w:val="FootnoteReference"/>
        </w:rPr>
        <w:footnoteRef/>
      </w:r>
      <w:r>
        <w:t xml:space="preserve"> </w:t>
      </w:r>
      <w:r>
        <w:tab/>
      </w:r>
      <w:r>
        <w:rPr>
          <w:i/>
        </w:rPr>
        <w:t>Ibid</w:t>
      </w:r>
      <w:r>
        <w:t>.</w:t>
      </w:r>
    </w:p>
  </w:footnote>
  <w:footnote w:id="225">
    <w:p w:rsidR="001B65FF" w:rsidRDefault="003E4EF4">
      <w:pPr>
        <w:pStyle w:val="FootnoteText"/>
        <w:spacing w:after="0"/>
      </w:pPr>
      <w:r>
        <w:rPr>
          <w:rStyle w:val="FootnoteReference"/>
        </w:rPr>
        <w:footnoteRef/>
      </w:r>
      <w:r>
        <w:t xml:space="preserve"> </w:t>
      </w:r>
      <w:r>
        <w:tab/>
        <w:t>See in particular:</w:t>
      </w:r>
    </w:p>
    <w:p w:rsidR="001B65FF" w:rsidRDefault="003E4EF4">
      <w:pPr>
        <w:pStyle w:val="FootnoteText"/>
        <w:numPr>
          <w:ilvl w:val="0"/>
          <w:numId w:val="45"/>
        </w:numPr>
        <w:spacing w:after="0"/>
      </w:pPr>
      <w:r>
        <w:t xml:space="preserve">Council of Europe Budapest Convention on Cybercrime Convention Committee (T-CY), </w:t>
      </w:r>
      <w:hyperlink r:id="rId143" w:history="1">
        <w:r>
          <w:rPr>
            <w:rStyle w:val="Hyperlink"/>
          </w:rPr>
          <w:t>T-CY assessment report: The mutual legal assistance provisions of the Budapest Convention on Cybercrime</w:t>
        </w:r>
      </w:hyperlink>
      <w:r>
        <w:t xml:space="preserve">, December 2014; </w:t>
      </w:r>
    </w:p>
    <w:p w:rsidR="001B65FF" w:rsidRDefault="003E4EF4">
      <w:pPr>
        <w:pStyle w:val="FootnoteText"/>
        <w:numPr>
          <w:ilvl w:val="0"/>
          <w:numId w:val="45"/>
        </w:numPr>
        <w:spacing w:after="0"/>
      </w:pPr>
      <w:hyperlink r:id="rId144" w:history="1">
        <w:r>
          <w:rPr>
            <w:rStyle w:val="Hyperlink"/>
          </w:rPr>
          <w:t>Discussion paper on tackling cybercrime, Informa</w:t>
        </w:r>
        <w:r>
          <w:rPr>
            <w:rStyle w:val="Hyperlink"/>
          </w:rPr>
          <w:t>l Meeting of the Justice and Home Affairs Ministers</w:t>
        </w:r>
      </w:hyperlink>
      <w:r>
        <w:t>, Amsterdam 25-26 January 2016.</w:t>
      </w:r>
    </w:p>
  </w:footnote>
  <w:footnote w:id="226">
    <w:p w:rsidR="001B65FF" w:rsidRDefault="003E4EF4">
      <w:pPr>
        <w:pStyle w:val="FootnoteText"/>
      </w:pPr>
      <w:r>
        <w:rPr>
          <w:rStyle w:val="FootnoteReference"/>
        </w:rPr>
        <w:footnoteRef/>
      </w:r>
      <w:r>
        <w:t xml:space="preserve"> </w:t>
      </w:r>
      <w:r>
        <w:tab/>
        <w:t xml:space="preserve">U.S. Department of Justice, </w:t>
      </w:r>
      <w:hyperlink r:id="rId145" w:history="1">
        <w:r>
          <w:rPr>
            <w:rStyle w:val="Hyperlink"/>
          </w:rPr>
          <w:t>FY 2015 Budget Facts Sheet</w:t>
        </w:r>
      </w:hyperlink>
      <w:r>
        <w:t>, 2015.</w:t>
      </w:r>
    </w:p>
  </w:footnote>
  <w:footnote w:id="227">
    <w:p w:rsidR="001B65FF" w:rsidRDefault="003E4EF4">
      <w:pPr>
        <w:pStyle w:val="FootnoteText"/>
      </w:pPr>
      <w:r>
        <w:rPr>
          <w:rStyle w:val="FootnoteReference"/>
        </w:rPr>
        <w:footnoteRef/>
      </w:r>
      <w:r>
        <w:t xml:space="preserve"> </w:t>
      </w:r>
      <w:r>
        <w:tab/>
        <w:t>Se</w:t>
      </w:r>
      <w:r>
        <w:t>e Box 1 in Annex 9 on the Microsoft case.</w:t>
      </w:r>
    </w:p>
  </w:footnote>
  <w:footnote w:id="228">
    <w:p w:rsidR="001B65FF" w:rsidRDefault="003E4EF4">
      <w:pPr>
        <w:pStyle w:val="FootnoteText"/>
        <w:spacing w:after="0"/>
      </w:pPr>
      <w:r>
        <w:rPr>
          <w:rStyle w:val="FootnoteReference"/>
        </w:rPr>
        <w:footnoteRef/>
      </w:r>
      <w:r>
        <w:t xml:space="preserve"> </w:t>
      </w:r>
      <w:r>
        <w:tab/>
        <w:t xml:space="preserve">The </w:t>
      </w:r>
      <w:r>
        <w:rPr>
          <w:color w:val="000000"/>
        </w:rPr>
        <w:t>standards to accept content requests are the same for domestic as for international requests.</w:t>
      </w:r>
    </w:p>
  </w:footnote>
  <w:footnote w:id="229">
    <w:p w:rsidR="001B65FF" w:rsidRDefault="003E4EF4">
      <w:pPr>
        <w:pStyle w:val="FootnoteText"/>
        <w:spacing w:after="0"/>
      </w:pPr>
      <w:r>
        <w:rPr>
          <w:rStyle w:val="FootnoteReference"/>
        </w:rPr>
        <w:footnoteRef/>
      </w:r>
      <w:r>
        <w:t xml:space="preserve"> </w:t>
      </w:r>
      <w:r>
        <w:tab/>
        <w:t>The authorities of the requesting Member State do not see the U.S. search warrant.</w:t>
      </w:r>
    </w:p>
  </w:footnote>
  <w:footnote w:id="230">
    <w:p w:rsidR="001B65FF" w:rsidRDefault="003E4EF4">
      <w:pPr>
        <w:pStyle w:val="FootnoteText"/>
        <w:spacing w:after="0"/>
      </w:pPr>
      <w:r>
        <w:rPr>
          <w:rStyle w:val="FootnoteReference"/>
        </w:rPr>
        <w:footnoteRef/>
      </w:r>
      <w:r>
        <w:t xml:space="preserve"> </w:t>
      </w:r>
      <w:r>
        <w:tab/>
      </w:r>
      <w:r>
        <w:rPr>
          <w:rFonts w:ascii="NexusSansWebPro" w:hAnsi="NexusSansWebPro"/>
          <w:color w:val="505050"/>
          <w:shd w:val="clear" w:color="auto" w:fill="FFFFFF"/>
        </w:rPr>
        <w:t>Lin, Tiffany and Fidler,</w:t>
      </w:r>
      <w:r>
        <w:rPr>
          <w:rFonts w:ascii="NexusSansWebPro" w:hAnsi="NexusSansWebPro"/>
          <w:color w:val="505050"/>
          <w:shd w:val="clear" w:color="auto" w:fill="FFFFFF"/>
        </w:rPr>
        <w:t xml:space="preserve"> Mailyn, </w:t>
      </w:r>
      <w:hyperlink r:id="rId146" w:history="1">
        <w:r>
          <w:rPr>
            <w:rStyle w:val="Hyperlink"/>
          </w:rPr>
          <w:t>Cross-Border Data Access Reform: A Primer on the Proposed U.S.-U.K. Agreement</w:t>
        </w:r>
      </w:hyperlink>
      <w:r>
        <w:rPr>
          <w:rFonts w:ascii="NexusSansWebPro" w:hAnsi="NexusSansWebPro"/>
          <w:color w:val="505050"/>
          <w:shd w:val="clear" w:color="auto" w:fill="FFFFFF"/>
        </w:rPr>
        <w:t>, Berkman Klein Center Research Publication No. 2017-7, Harvard University, September 2017.</w:t>
      </w:r>
    </w:p>
  </w:footnote>
  <w:footnote w:id="231">
    <w:p w:rsidR="001B65FF" w:rsidRDefault="003E4EF4">
      <w:pPr>
        <w:pStyle w:val="FootnoteText"/>
        <w:spacing w:after="0"/>
      </w:pPr>
      <w:r>
        <w:rPr>
          <w:rStyle w:val="FootnoteReference"/>
        </w:rPr>
        <w:footnoteRef/>
      </w:r>
      <w:r>
        <w:t xml:space="preserve"> </w:t>
      </w:r>
      <w:r>
        <w:tab/>
      </w:r>
      <w:hyperlink r:id="rId147" w:history="1">
        <w:r>
          <w:rPr>
            <w:rStyle w:val="Hyperlink"/>
          </w:rPr>
          <w:t>Electronic Communications Privacy Act of 1986</w:t>
        </w:r>
      </w:hyperlink>
      <w:r>
        <w:t>, An Act to amend title 18, United States Code, with respect to the interception of certain communications, other forms of su</w:t>
      </w:r>
      <w:r>
        <w:t xml:space="preserve">rveillance, and for other purposes. </w:t>
      </w:r>
    </w:p>
  </w:footnote>
  <w:footnote w:id="232">
    <w:p w:rsidR="001B65FF" w:rsidRDefault="003E4EF4">
      <w:pPr>
        <w:pStyle w:val="FootnoteText"/>
        <w:spacing w:after="0"/>
        <w:rPr>
          <w:lang w:val="fr-BE"/>
        </w:rPr>
      </w:pPr>
      <w:r>
        <w:rPr>
          <w:rStyle w:val="FootnoteReference"/>
        </w:rPr>
        <w:footnoteRef/>
      </w:r>
      <w:r>
        <w:rPr>
          <w:lang w:val="fr-BE"/>
        </w:rPr>
        <w:t xml:space="preserve"> </w:t>
      </w:r>
      <w:r>
        <w:rPr>
          <w:lang w:val="fr-BE"/>
        </w:rPr>
        <w:tab/>
      </w:r>
      <w:r>
        <w:rPr>
          <w:i/>
          <w:lang w:val="fr-BE"/>
        </w:rPr>
        <w:t>Ibid</w:t>
      </w:r>
      <w:r>
        <w:rPr>
          <w:lang w:val="fr-BE"/>
        </w:rPr>
        <w:t>, 18 U.S.C. §§ 2701 et seq.</w:t>
      </w:r>
    </w:p>
  </w:footnote>
  <w:footnote w:id="233">
    <w:p w:rsidR="001B65FF" w:rsidRDefault="003E4EF4">
      <w:pPr>
        <w:pStyle w:val="FootnoteText"/>
        <w:spacing w:after="0"/>
      </w:pPr>
      <w:r>
        <w:rPr>
          <w:rStyle w:val="FootnoteReference"/>
        </w:rPr>
        <w:footnoteRef/>
      </w:r>
      <w:r>
        <w:t xml:space="preserve"> </w:t>
      </w:r>
      <w:r>
        <w:tab/>
      </w:r>
      <w:hyperlink r:id="rId148" w:history="1">
        <w:r>
          <w:rPr>
            <w:rStyle w:val="Hyperlink"/>
          </w:rPr>
          <w:t>18 U.S.C. §§ 2702(c)(6)</w:t>
        </w:r>
      </w:hyperlink>
      <w:r>
        <w:t xml:space="preserve">, </w:t>
      </w:r>
      <w:hyperlink r:id="rId149" w:history="1">
        <w:r>
          <w:rPr>
            <w:rStyle w:val="Hyperlink"/>
          </w:rPr>
          <w:t>2711(4)</w:t>
        </w:r>
      </w:hyperlink>
      <w:r>
        <w:t>. See also David Kris</w:t>
      </w:r>
      <w:r>
        <w:t xml:space="preserve">, </w:t>
      </w:r>
      <w:hyperlink r:id="rId150" w:history="1">
        <w:r>
          <w:rPr>
            <w:rStyle w:val="Hyperlink"/>
          </w:rPr>
          <w:t>Preliminary Thoughts on Cross-Border Data Access</w:t>
        </w:r>
      </w:hyperlink>
      <w:r>
        <w:t>, Lawfare, September 28, 2015.</w:t>
      </w:r>
    </w:p>
  </w:footnote>
  <w:footnote w:id="234">
    <w:p w:rsidR="001B65FF" w:rsidRDefault="003E4EF4">
      <w:pPr>
        <w:pStyle w:val="FootnoteText"/>
        <w:spacing w:after="0"/>
      </w:pPr>
      <w:r>
        <w:rPr>
          <w:rStyle w:val="FootnoteReference"/>
        </w:rPr>
        <w:footnoteRef/>
      </w:r>
      <w:r>
        <w:t xml:space="preserve"> </w:t>
      </w:r>
      <w:r>
        <w:tab/>
      </w:r>
      <w:hyperlink r:id="rId151" w:history="1">
        <w:r>
          <w:rPr>
            <w:rStyle w:val="Hyperlink"/>
          </w:rPr>
          <w:t xml:space="preserve">18 U.S.C. § 2702(b)(8). </w:t>
        </w:r>
      </w:hyperlink>
      <w:r>
        <w:t xml:space="preserve"> </w:t>
      </w:r>
    </w:p>
  </w:footnote>
  <w:footnote w:id="235">
    <w:p w:rsidR="001B65FF" w:rsidRDefault="003E4EF4">
      <w:pPr>
        <w:pStyle w:val="FootnoteText"/>
        <w:spacing w:after="0"/>
      </w:pPr>
      <w:r>
        <w:rPr>
          <w:rStyle w:val="FootnoteReference"/>
        </w:rPr>
        <w:footnoteRef/>
      </w:r>
      <w:r>
        <w:t xml:space="preserve"> </w:t>
      </w:r>
      <w:r>
        <w:tab/>
        <w:t xml:space="preserve">Dina Bass, </w:t>
      </w:r>
      <w:hyperlink r:id="rId152" w:history="1">
        <w:r>
          <w:rPr>
            <w:rStyle w:val="Hyperlink"/>
          </w:rPr>
          <w:t>Microsoft Got 14 Data Requests on Paris Suspects, Smith Says</w:t>
        </w:r>
      </w:hyperlink>
      <w:r>
        <w:t>,” Bloomberg, March 1, 2016</w:t>
      </w:r>
      <w:r>
        <w:t>.</w:t>
      </w:r>
    </w:p>
  </w:footnote>
  <w:footnote w:id="236">
    <w:p w:rsidR="001B65FF" w:rsidRDefault="003E4EF4">
      <w:pPr>
        <w:pStyle w:val="FootnoteText"/>
        <w:spacing w:after="0"/>
      </w:pPr>
      <w:r>
        <w:rPr>
          <w:rStyle w:val="FootnoteReference"/>
        </w:rPr>
        <w:footnoteRef/>
      </w:r>
      <w:r>
        <w:t xml:space="preserve"> </w:t>
      </w:r>
      <w:r>
        <w:tab/>
        <w:t>In general, public authorities in the requesting Member State are often unaware of the state of play of a request, after they send it through the MLAT procedure.</w:t>
      </w:r>
    </w:p>
  </w:footnote>
  <w:footnote w:id="237">
    <w:p w:rsidR="001B65FF" w:rsidRDefault="003E4EF4">
      <w:pPr>
        <w:pStyle w:val="FootnoteText"/>
        <w:spacing w:after="0"/>
        <w:ind w:left="360" w:hanging="360"/>
      </w:pPr>
      <w:r>
        <w:rPr>
          <w:rStyle w:val="FootnoteReference"/>
        </w:rPr>
        <w:footnoteRef/>
      </w:r>
      <w:r>
        <w:t xml:space="preserve"> </w:t>
      </w:r>
      <w:r>
        <w:tab/>
        <w:t>Under U.S. legislation (ECPA), authorities are obliged to notify, and service provider</w:t>
      </w:r>
      <w:r>
        <w:t>s are allowed to notify, unless a court order imposes a temporary block on notification.</w:t>
      </w:r>
    </w:p>
  </w:footnote>
  <w:footnote w:id="238">
    <w:p w:rsidR="001B65FF" w:rsidRDefault="003E4EF4">
      <w:pPr>
        <w:pStyle w:val="FootnoteText"/>
        <w:spacing w:after="0"/>
        <w:ind w:left="360" w:hanging="360"/>
      </w:pPr>
      <w:r>
        <w:rPr>
          <w:rStyle w:val="FootnoteReference"/>
        </w:rPr>
        <w:footnoteRef/>
      </w:r>
      <w:r>
        <w:t xml:space="preserve"> </w:t>
      </w:r>
      <w:r>
        <w:tab/>
        <w:t xml:space="preserve">See Article 23 of </w:t>
      </w:r>
      <w:hyperlink r:id="rId153" w:history="1">
        <w:r>
          <w:rPr>
            <w:rStyle w:val="Hyperlink"/>
          </w:rPr>
          <w:t>Regulation (EU) 2016/679</w:t>
        </w:r>
      </w:hyperlink>
      <w:r>
        <w:t xml:space="preserve"> of the European Parliament and of t</w:t>
      </w:r>
      <w:r>
        <w:t xml:space="preserve">he Council of 27 April 2016 on the protection of natural persons with regard to the processing of personal data and on the free movement of such data, and repealing Directive 95/46/EC (General Data Protection Regulation); and Article 13(3) of </w:t>
      </w:r>
      <w:hyperlink r:id="rId154" w:history="1">
        <w:r>
          <w:rPr>
            <w:rStyle w:val="Hyperlink"/>
          </w:rPr>
          <w:t>Directive (EU) 2016/680</w:t>
        </w:r>
      </w:hyperlink>
      <w:r>
        <w:t xml:space="preserve"> of the European Parliament and of the Council of 27 April 2016 on the protection of natural persons with regard to the processing of persona</w:t>
      </w:r>
      <w:r>
        <w:t>l data by competent authorities for the purposes of the prevention, investigation, detection or prosecution of criminal offences or the execution of criminal penalties, and on the free movement of such data, and repealing Council Framework Decision 2008/97</w:t>
      </w:r>
      <w:r>
        <w:t>7/JHA.</w:t>
      </w:r>
    </w:p>
  </w:footnote>
  <w:footnote w:id="239">
    <w:p w:rsidR="001B65FF" w:rsidRDefault="003E4EF4">
      <w:pPr>
        <w:pStyle w:val="FootnoteText"/>
        <w:spacing w:after="0"/>
      </w:pPr>
      <w:r>
        <w:rPr>
          <w:rStyle w:val="FootnoteReference"/>
        </w:rPr>
        <w:footnoteRef/>
      </w:r>
      <w:r>
        <w:t xml:space="preserve"> </w:t>
      </w:r>
      <w:r>
        <w:tab/>
        <w:t>GENVAL Final Report on the Seventh round of mutual evaluations on "The practical implementation and operation of the European policies on prevention and combating cybercrime" ("GENVAL Report"), ST 9986/17, p. 50.</w:t>
      </w:r>
    </w:p>
  </w:footnote>
  <w:footnote w:id="240">
    <w:p w:rsidR="001B65FF" w:rsidRDefault="003E4EF4">
      <w:pPr>
        <w:pStyle w:val="FootnoteText"/>
        <w:spacing w:after="0"/>
      </w:pPr>
      <w:r>
        <w:rPr>
          <w:rStyle w:val="FootnoteReference"/>
        </w:rPr>
        <w:footnoteRef/>
      </w:r>
      <w:r>
        <w:rPr>
          <w:rStyle w:val="FootnoteReference"/>
        </w:rPr>
        <w:tab/>
      </w:r>
      <w:r>
        <w:t>Council of Europe Budapest Conv</w:t>
      </w:r>
      <w:r>
        <w:t xml:space="preserve">ention on Cybercrime Convention Committee (T-CY), </w:t>
      </w:r>
      <w:hyperlink r:id="rId155" w:history="1">
        <w:r>
          <w:rPr>
            <w:rStyle w:val="Hyperlink"/>
          </w:rPr>
          <w:t>Criminal justice access to data in the cloud: Cooperation with “foreign” service providers</w:t>
        </w:r>
      </w:hyperlink>
      <w:r>
        <w:t xml:space="preserve">, T-CY (2016)2, provisional document of 3 May 2016. </w:t>
      </w:r>
    </w:p>
  </w:footnote>
  <w:footnote w:id="241">
    <w:p w:rsidR="001B65FF" w:rsidRDefault="003E4EF4">
      <w:pPr>
        <w:spacing w:after="0"/>
        <w:ind w:left="360" w:hanging="360"/>
        <w:jc w:val="both"/>
      </w:pPr>
      <w:r>
        <w:rPr>
          <w:rStyle w:val="FootnoteReference"/>
        </w:rPr>
        <w:footnoteRef/>
      </w:r>
      <w:r>
        <w:rPr>
          <w:rFonts w:cs="Verdana"/>
          <w:sz w:val="20"/>
        </w:rPr>
        <w:t xml:space="preserve"> </w:t>
      </w:r>
      <w:r>
        <w:rPr>
          <w:rFonts w:cs="Verdana"/>
          <w:sz w:val="20"/>
        </w:rPr>
        <w:tab/>
        <w:t>T</w:t>
      </w:r>
      <w:r>
        <w:rPr>
          <w:rFonts w:ascii="Times New Roman" w:hAnsi="Times New Roman" w:cs="Times New Roman"/>
          <w:sz w:val="20"/>
        </w:rPr>
        <w:t>ransparency r</w:t>
      </w:r>
      <w:r>
        <w:rPr>
          <w:rFonts w:ascii="Times New Roman" w:hAnsi="Times New Roman" w:cs="Times New Roman"/>
          <w:sz w:val="20"/>
        </w:rPr>
        <w:t xml:space="preserve">eports of </w:t>
      </w:r>
      <w:hyperlink r:id="rId156" w:history="1">
        <w:r>
          <w:rPr>
            <w:rStyle w:val="Hyperlink"/>
            <w:rFonts w:ascii="Times New Roman" w:hAnsi="Times New Roman" w:cs="Times New Roman"/>
            <w:sz w:val="20"/>
          </w:rPr>
          <w:t>Apple</w:t>
        </w:r>
      </w:hyperlink>
      <w:r>
        <w:rPr>
          <w:rFonts w:ascii="Times New Roman" w:hAnsi="Times New Roman" w:cs="Times New Roman"/>
          <w:sz w:val="20"/>
        </w:rPr>
        <w:t xml:space="preserve">, </w:t>
      </w:r>
      <w:hyperlink r:id="rId157" w:history="1">
        <w:r>
          <w:rPr>
            <w:rStyle w:val="Hyperlink"/>
            <w:rFonts w:ascii="Times New Roman" w:hAnsi="Times New Roman" w:cs="Times New Roman"/>
            <w:sz w:val="20"/>
          </w:rPr>
          <w:t>Facebook</w:t>
        </w:r>
      </w:hyperlink>
      <w:r>
        <w:rPr>
          <w:rFonts w:ascii="Times New Roman" w:hAnsi="Times New Roman" w:cs="Times New Roman"/>
          <w:sz w:val="20"/>
        </w:rPr>
        <w:t xml:space="preserve">, </w:t>
      </w:r>
      <w:hyperlink r:id="rId158" w:history="1">
        <w:r>
          <w:rPr>
            <w:rStyle w:val="Hyperlink"/>
            <w:rFonts w:ascii="Times New Roman" w:hAnsi="Times New Roman" w:cs="Times New Roman"/>
            <w:sz w:val="20"/>
          </w:rPr>
          <w:t>Google</w:t>
        </w:r>
      </w:hyperlink>
      <w:r>
        <w:rPr>
          <w:rFonts w:ascii="Times New Roman" w:hAnsi="Times New Roman" w:cs="Times New Roman"/>
          <w:sz w:val="20"/>
        </w:rPr>
        <w:t xml:space="preserve"> and </w:t>
      </w:r>
      <w:hyperlink r:id="rId159" w:history="1">
        <w:r>
          <w:rPr>
            <w:rStyle w:val="Hyperlink"/>
            <w:rFonts w:ascii="Times New Roman" w:hAnsi="Times New Roman" w:cs="Times New Roman"/>
            <w:sz w:val="20"/>
          </w:rPr>
          <w:t>Microsoft</w:t>
        </w:r>
      </w:hyperlink>
      <w:r>
        <w:rPr>
          <w:rFonts w:ascii="Times New Roman" w:hAnsi="Times New Roman" w:cs="Times New Roman"/>
          <w:sz w:val="20"/>
        </w:rPr>
        <w:t>.</w:t>
      </w:r>
    </w:p>
  </w:footnote>
  <w:footnote w:id="242">
    <w:p w:rsidR="001B65FF" w:rsidRDefault="003E4EF4">
      <w:pPr>
        <w:pStyle w:val="FootnoteText"/>
        <w:spacing w:after="0"/>
        <w:ind w:left="360" w:hanging="360"/>
      </w:pPr>
      <w:r>
        <w:rPr>
          <w:rStyle w:val="FootnoteReference"/>
        </w:rPr>
        <w:footnoteRef/>
      </w:r>
      <w:r>
        <w:t xml:space="preserve"> </w:t>
      </w:r>
      <w:r>
        <w:tab/>
      </w:r>
      <w:hyperlink r:id="rId160" w:history="1">
        <w:r>
          <w:rPr>
            <w:rStyle w:val="Hyperlink"/>
          </w:rPr>
          <w:t>Joint EU-US statement</w:t>
        </w:r>
      </w:hyperlink>
      <w:r>
        <w:t xml:space="preserve"> following the EU-US Justice and Home Affairs Ministerial meeting of 5 December 2016, Doc. 722/16.</w:t>
      </w:r>
    </w:p>
  </w:footnote>
  <w:footnote w:id="243">
    <w:p w:rsidR="001B65FF" w:rsidRDefault="003E4EF4">
      <w:pPr>
        <w:pStyle w:val="FootnoteText"/>
        <w:spacing w:after="0"/>
        <w:ind w:left="360" w:hanging="360"/>
      </w:pPr>
      <w:r>
        <w:rPr>
          <w:rStyle w:val="FootnoteReference"/>
        </w:rPr>
        <w:footnoteRef/>
      </w:r>
      <w:r>
        <w:t xml:space="preserve"> </w:t>
      </w:r>
      <w:r>
        <w:tab/>
        <w:t xml:space="preserve">The Commission launched a call for proposals with a budget of EUR 1million total for improving cooperation both between judicial authorities of EU Member </w:t>
      </w:r>
      <w:r>
        <w:t xml:space="preserve">States and the US and between EU authorities and US-based service providers on 4 May 2017 under the Partnership Instrument Annual Action Programme 2016 Phase II - International Digital Cooperation - Component D – Cross Border Access to Electronic Evidence </w:t>
      </w:r>
      <w:r>
        <w:t xml:space="preserve">(EuropeAid/155907/DH/ACT/Multi). More information is available </w:t>
      </w:r>
      <w:hyperlink r:id="rId161" w:history="1">
        <w:r>
          <w:rPr>
            <w:rStyle w:val="Hyperlink"/>
          </w:rPr>
          <w:t>here</w:t>
        </w:r>
      </w:hyperlink>
      <w:r>
        <w:t>.</w:t>
      </w:r>
    </w:p>
  </w:footnote>
  <w:footnote w:id="244">
    <w:p w:rsidR="001B65FF" w:rsidRDefault="003E4EF4">
      <w:pPr>
        <w:pStyle w:val="FootnoteText"/>
        <w:spacing w:after="0"/>
      </w:pPr>
      <w:r>
        <w:rPr>
          <w:rStyle w:val="FootnoteReference"/>
        </w:rPr>
        <w:footnoteRef/>
      </w:r>
      <w:r>
        <w:t xml:space="preserve"> </w:t>
      </w:r>
      <w:r>
        <w:tab/>
        <w:t xml:space="preserve">See for example, the guidelines produced by the UK liaison magistrate to the US, Dan Suter, </w:t>
      </w:r>
      <w:hyperlink r:id="rId162" w:history="1">
        <w:r>
          <w:rPr>
            <w:rStyle w:val="Hyperlink"/>
          </w:rPr>
          <w:t>Guide to Obtaining Communication Service Provider Evidence from the United States</w:t>
        </w:r>
      </w:hyperlink>
      <w:r>
        <w:t>, 2015.</w:t>
      </w:r>
    </w:p>
  </w:footnote>
  <w:footnote w:id="245">
    <w:p w:rsidR="001B65FF" w:rsidRDefault="003E4EF4">
      <w:pPr>
        <w:pStyle w:val="FootnoteText"/>
        <w:spacing w:after="0"/>
      </w:pPr>
      <w:r>
        <w:rPr>
          <w:rStyle w:val="FootnoteReference"/>
        </w:rPr>
        <w:footnoteRef/>
      </w:r>
      <w:r>
        <w:t xml:space="preserve"> </w:t>
      </w:r>
      <w:r>
        <w:tab/>
      </w:r>
      <w:hyperlink r:id="rId163" w:history="1">
        <w:r>
          <w:rPr>
            <w:rStyle w:val="Hyperlink"/>
          </w:rPr>
          <w:t>Directive 2014/41/EU</w:t>
        </w:r>
      </w:hyperlink>
      <w:r>
        <w:t xml:space="preserve"> of the European Parliament and of the Council of 3 April 2014 regarding the European Investigation Order in criminal matters, OJ L 130, p.1.</w:t>
      </w:r>
    </w:p>
  </w:footnote>
  <w:footnote w:id="246">
    <w:p w:rsidR="001B65FF" w:rsidRDefault="003E4EF4">
      <w:pPr>
        <w:pStyle w:val="FootnoteText"/>
        <w:spacing w:after="0"/>
      </w:pPr>
      <w:r>
        <w:rPr>
          <w:rStyle w:val="FootnoteReference"/>
        </w:rPr>
        <w:footnoteRef/>
      </w:r>
      <w:r>
        <w:t xml:space="preserve"> </w:t>
      </w:r>
      <w:r>
        <w:tab/>
        <w:t xml:space="preserve">Notably the </w:t>
      </w:r>
      <w:hyperlink r:id="rId164" w:history="1">
        <w:r>
          <w:rPr>
            <w:rStyle w:val="Hyperlink"/>
            <w:bCs/>
          </w:rPr>
          <w:t>Council Act of 29 May 2000</w:t>
        </w:r>
      </w:hyperlink>
      <w:r>
        <w:rPr>
          <w:bCs/>
        </w:rPr>
        <w:t xml:space="preserve"> establishing in accordance with Article 34 of the Treaty on European Union the Convention on Mutual Assistance in Criminal Matters between the Member States of the European Union </w:t>
      </w:r>
      <w:r>
        <w:t xml:space="preserve">and its protocol, the </w:t>
      </w:r>
      <w:hyperlink r:id="rId165" w:history="1">
        <w:r>
          <w:rPr>
            <w:rStyle w:val="Hyperlink"/>
          </w:rPr>
          <w:t>Council of Europe European Convention on Mutual Assistance in Criminal Matters</w:t>
        </w:r>
      </w:hyperlink>
      <w:r>
        <w:t xml:space="preserve"> of 20 April 1959 and its two additional protocols, bilateral agreements and provisions of the Schengen Agree</w:t>
      </w:r>
      <w:r>
        <w:t>ment.</w:t>
      </w:r>
    </w:p>
  </w:footnote>
  <w:footnote w:id="247">
    <w:p w:rsidR="001B65FF" w:rsidRDefault="003E4EF4">
      <w:pPr>
        <w:pStyle w:val="FootnoteText"/>
        <w:rPr>
          <w:lang w:val="en-US"/>
        </w:rPr>
      </w:pPr>
      <w:r>
        <w:rPr>
          <w:rStyle w:val="FootnoteReference"/>
        </w:rPr>
        <w:footnoteRef/>
      </w:r>
      <w:r>
        <w:t xml:space="preserve"> </w:t>
      </w:r>
      <w:r>
        <w:tab/>
        <w:t>This report is required by Article 37 of the EIO Directive.</w:t>
      </w:r>
    </w:p>
  </w:footnote>
  <w:footnote w:id="248">
    <w:p w:rsidR="001B65FF" w:rsidRDefault="003E4EF4">
      <w:pPr>
        <w:pStyle w:val="FootnoteText"/>
        <w:spacing w:after="0"/>
      </w:pPr>
      <w:r>
        <w:rPr>
          <w:rStyle w:val="FootnoteReference"/>
        </w:rPr>
        <w:footnoteRef/>
      </w:r>
      <w:r>
        <w:t xml:space="preserve"> </w:t>
      </w:r>
      <w:r>
        <w:tab/>
        <w:t xml:space="preserve">More information about e-CODEX is available in </w:t>
      </w:r>
      <w:hyperlink r:id="rId166" w:history="1">
        <w:r>
          <w:rPr>
            <w:rStyle w:val="Hyperlink"/>
          </w:rPr>
          <w:t>its website</w:t>
        </w:r>
      </w:hyperlink>
      <w:r>
        <w:t>.</w:t>
      </w:r>
    </w:p>
  </w:footnote>
  <w:footnote w:id="249">
    <w:p w:rsidR="001B65FF" w:rsidRDefault="003E4EF4">
      <w:pPr>
        <w:pStyle w:val="FootnoteText"/>
      </w:pPr>
      <w:r>
        <w:rPr>
          <w:rStyle w:val="FootnoteReference"/>
        </w:rPr>
        <w:footnoteRef/>
      </w:r>
      <w:r>
        <w:t xml:space="preserve"> </w:t>
      </w:r>
      <w:r>
        <w:tab/>
      </w:r>
      <w:hyperlink r:id="rId167" w:history="1">
        <w:r>
          <w:rPr>
            <w:rStyle w:val="Hyperlink"/>
          </w:rPr>
          <w:t>Inception Impact Assessment – Cross-border e-</w:t>
        </w:r>
        <w:r>
          <w:rPr>
            <w:rStyle w:val="Hyperlink"/>
          </w:rPr>
          <w:t>Justice in Europe (e-CODEX)</w:t>
        </w:r>
      </w:hyperlink>
      <w:r>
        <w:t>, European Commission, 17 July 2017.</w:t>
      </w:r>
    </w:p>
  </w:footnote>
  <w:footnote w:id="250">
    <w:p w:rsidR="001B65FF" w:rsidRDefault="003E4EF4">
      <w:pPr>
        <w:pStyle w:val="FootnoteText"/>
      </w:pPr>
      <w:r>
        <w:rPr>
          <w:rStyle w:val="FootnoteReference"/>
        </w:rPr>
        <w:footnoteRef/>
      </w:r>
      <w:r>
        <w:t xml:space="preserve"> </w:t>
      </w:r>
      <w:r>
        <w:tab/>
      </w:r>
      <w:r>
        <w:rPr>
          <w:rStyle w:val="Hyperlink"/>
          <w:color w:val="auto"/>
          <w:u w:val="none"/>
        </w:rPr>
        <w:t>A statutory code of practice under the Regulation of Investigatory Powers Act 2000 (RIPA).</w:t>
      </w:r>
      <w:r>
        <w:rPr>
          <w:rFonts w:ascii="Arial" w:hAnsi="Arial" w:cs="Arial"/>
        </w:rPr>
        <w:t xml:space="preserve"> </w:t>
      </w:r>
    </w:p>
  </w:footnote>
  <w:footnote w:id="251">
    <w:p w:rsidR="001B65FF" w:rsidRDefault="003E4EF4">
      <w:pPr>
        <w:pStyle w:val="FootnoteText"/>
        <w:spacing w:after="0"/>
        <w:ind w:left="360" w:hanging="360"/>
      </w:pPr>
      <w:r>
        <w:rPr>
          <w:rStyle w:val="FootnoteReference"/>
        </w:rPr>
        <w:footnoteRef/>
      </w:r>
      <w:r>
        <w:t xml:space="preserve"> </w:t>
      </w:r>
      <w:r>
        <w:tab/>
        <w:t>The Commission launched a call for proposals with a budget of EUR 1million total for improving</w:t>
      </w:r>
      <w:r>
        <w:t xml:space="preserve"> cooperation both between judicial authorities of EU Member States and the US and between EU authorities and US-based service providers on 4 May 2017 under the Partnership Instrument Annual Action Programme 2016 Phase II - International Digital Cooperation</w:t>
      </w:r>
      <w:r>
        <w:t xml:space="preserve"> - Component D – Cross Border Access to Electronic Evidence (EuropeAid/155907/DH/ACT/Multi). More information is available </w:t>
      </w:r>
      <w:hyperlink r:id="rId168" w:history="1">
        <w:r>
          <w:rPr>
            <w:rStyle w:val="Hyperlink"/>
          </w:rPr>
          <w:t>here</w:t>
        </w:r>
      </w:hyperlink>
      <w:r>
        <w:t>.</w:t>
      </w:r>
    </w:p>
  </w:footnote>
  <w:footnote w:id="252">
    <w:p w:rsidR="001B65FF" w:rsidRDefault="003E4EF4">
      <w:pPr>
        <w:pStyle w:val="FootnoteText"/>
        <w:spacing w:after="0"/>
        <w:ind w:left="360" w:hanging="360"/>
      </w:pPr>
      <w:r>
        <w:rPr>
          <w:rStyle w:val="FootnoteReference"/>
        </w:rPr>
        <w:footnoteRef/>
      </w:r>
      <w:r>
        <w:t xml:space="preserve"> </w:t>
      </w:r>
      <w:r>
        <w:tab/>
        <w:t xml:space="preserve">See T-CY Cloud Evidence Group, </w:t>
      </w:r>
      <w:hyperlink r:id="rId169" w:history="1">
        <w:r>
          <w:rPr>
            <w:rStyle w:val="Hyperlink"/>
          </w:rPr>
          <w:t>Criminal justice access to electronic evidence in the cloud: Recommendations for consideration by the T-CY</w:t>
        </w:r>
      </w:hyperlink>
      <w:r>
        <w:t xml:space="preserve">, T-CY (2016)5 provisional, 16 September 2016 and the </w:t>
      </w:r>
      <w:hyperlink r:id="rId170" w:history="1">
        <w:r>
          <w:rPr>
            <w:rStyle w:val="Hyperlink"/>
          </w:rPr>
          <w:t>Abridged meeting report of the 14</w:t>
        </w:r>
        <w:r>
          <w:rPr>
            <w:rStyle w:val="Hyperlink"/>
          </w:rPr>
          <w:t>-15 November 2016 Council of Europe T-CY 16th plenary meeting</w:t>
        </w:r>
      </w:hyperlink>
      <w:r>
        <w:t>, T-CY (2016)32 of 15 November 2016.</w:t>
      </w:r>
    </w:p>
  </w:footnote>
  <w:footnote w:id="253">
    <w:p w:rsidR="001B65FF" w:rsidRDefault="003E4EF4">
      <w:pPr>
        <w:pStyle w:val="FootnoteText"/>
        <w:spacing w:after="0"/>
      </w:pPr>
      <w:r>
        <w:rPr>
          <w:rStyle w:val="FootnoteReference"/>
        </w:rPr>
        <w:footnoteRef/>
      </w:r>
      <w:r>
        <w:t xml:space="preserve"> </w:t>
      </w:r>
      <w:r>
        <w:tab/>
        <w:t xml:space="preserve">See e.g.: the </w:t>
      </w:r>
      <w:hyperlink r:id="rId171" w:history="1">
        <w:r>
          <w:rPr>
            <w:rStyle w:val="Hyperlink"/>
          </w:rPr>
          <w:t>Search.org ISP List database</w:t>
        </w:r>
      </w:hyperlink>
      <w:r>
        <w:t>, which provides contact information and instructions n</w:t>
      </w:r>
      <w:r>
        <w:t>eeded to serve judicial process (US domestic) on a number of US-based or headquartered service providers.</w:t>
      </w:r>
    </w:p>
  </w:footnote>
  <w:footnote w:id="254">
    <w:p w:rsidR="001B65FF" w:rsidRDefault="003E4EF4">
      <w:pPr>
        <w:pStyle w:val="FootnoteText"/>
        <w:spacing w:after="0"/>
        <w:ind w:left="360" w:hanging="360"/>
      </w:pPr>
      <w:r>
        <w:rPr>
          <w:rStyle w:val="FootnoteReference"/>
        </w:rPr>
        <w:footnoteRef/>
      </w:r>
      <w:r>
        <w:t xml:space="preserve"> </w:t>
      </w:r>
      <w:r>
        <w:tab/>
      </w:r>
      <w:r>
        <w:t>This interactive platform would allow law enforcement authorities to collect publicly available information, to identify the relevant service providers for additional information, and to find the appropriate channel for making the request. More information</w:t>
      </w:r>
      <w:r>
        <w:t xml:space="preserve"> is available </w:t>
      </w:r>
      <w:hyperlink r:id="rId172" w:history="1">
        <w:r>
          <w:rPr>
            <w:rStyle w:val="Hyperlink"/>
          </w:rPr>
          <w:t>here</w:t>
        </w:r>
      </w:hyperlink>
      <w:r>
        <w:t>.</w:t>
      </w:r>
    </w:p>
  </w:footnote>
  <w:footnote w:id="255">
    <w:p w:rsidR="001B65FF" w:rsidRDefault="003E4EF4">
      <w:pPr>
        <w:pStyle w:val="FootnoteText"/>
        <w:spacing w:after="0"/>
      </w:pPr>
      <w:r>
        <w:rPr>
          <w:rStyle w:val="FootnoteReference"/>
        </w:rPr>
        <w:footnoteRef/>
      </w:r>
      <w:r>
        <w:t xml:space="preserve"> </w:t>
      </w:r>
      <w:r>
        <w:tab/>
        <w:t>The EU Internet forum is an initiative of the European Commission that brings together EU Interior Minis</w:t>
      </w:r>
      <w:r>
        <w:t>ters, high-level representatives of major internet companies, Europol, the EU Counter Terrorism Coordinator and the European Parliament. Its goal is to reach a joint, voluntary approach based on a public-private partnership to detect and address harmful ma</w:t>
      </w:r>
      <w:r>
        <w:t xml:space="preserve">terial online. More information is available </w:t>
      </w:r>
      <w:hyperlink r:id="rId173" w:history="1">
        <w:r>
          <w:rPr>
            <w:rStyle w:val="Hyperlink"/>
          </w:rPr>
          <w:t>here</w:t>
        </w:r>
      </w:hyperlink>
      <w:r>
        <w:t xml:space="preserve"> and </w:t>
      </w:r>
      <w:hyperlink r:id="rId174" w:history="1">
        <w:r>
          <w:rPr>
            <w:rStyle w:val="Hyperlink"/>
          </w:rPr>
          <w:t>here</w:t>
        </w:r>
      </w:hyperlink>
      <w:r>
        <w:t>.</w:t>
      </w:r>
    </w:p>
  </w:footnote>
  <w:footnote w:id="256">
    <w:p w:rsidR="001B65FF" w:rsidRDefault="003E4EF4">
      <w:pPr>
        <w:pStyle w:val="FootnoteText"/>
        <w:spacing w:after="0"/>
        <w:ind w:left="360" w:hanging="360"/>
      </w:pPr>
      <w:r>
        <w:rPr>
          <w:rStyle w:val="FootnoteReference"/>
        </w:rPr>
        <w:footnoteRef/>
      </w:r>
      <w:r>
        <w:t xml:space="preserve"> </w:t>
      </w:r>
      <w:r>
        <w:tab/>
      </w:r>
      <w:hyperlink r:id="rId175" w:history="1">
        <w:r>
          <w:rPr>
            <w:rStyle w:val="Hyperlink"/>
          </w:rPr>
          <w:t>Joint communication</w:t>
        </w:r>
      </w:hyperlink>
      <w:r>
        <w:t xml:space="preserve"> to the European Parliament, the Council, the European Economic and Social Committee and the Committee of the Regions - Cybersecurity Strategy of the European Union: An open, Safe and Secure Cyberspace </w:t>
      </w:r>
      <w:r>
        <w:t>(JOIN(2013) 1 final of 7.2.2013).</w:t>
      </w:r>
    </w:p>
  </w:footnote>
  <w:footnote w:id="257">
    <w:p w:rsidR="001B65FF" w:rsidRDefault="003E4EF4">
      <w:pPr>
        <w:pStyle w:val="FootnoteText"/>
        <w:spacing w:after="0"/>
        <w:ind w:left="360" w:hanging="360"/>
      </w:pPr>
      <w:r>
        <w:rPr>
          <w:rStyle w:val="FootnoteReference"/>
        </w:rPr>
        <w:footnoteRef/>
      </w:r>
      <w:r>
        <w:t xml:space="preserve"> </w:t>
      </w:r>
      <w:r>
        <w:tab/>
      </w:r>
      <w:hyperlink r:id="rId176" w:history="1">
        <w:r>
          <w:rPr>
            <w:rStyle w:val="Hyperlink"/>
          </w:rPr>
          <w:t>(DRAFT) Terms of Reference for the Preparation of a Draft 2nd Additional Protocol to the Budapest Conv</w:t>
        </w:r>
        <w:r>
          <w:rPr>
            <w:rStyle w:val="Hyperlink"/>
          </w:rPr>
          <w:t>ention on Cybercrime</w:t>
        </w:r>
      </w:hyperlink>
      <w:r>
        <w:t>, T-CY (2017)3, version 1 June 2017.</w:t>
      </w:r>
    </w:p>
  </w:footnote>
  <w:footnote w:id="258">
    <w:p w:rsidR="001B65FF" w:rsidRDefault="003E4EF4">
      <w:pPr>
        <w:pStyle w:val="FootnoteText"/>
        <w:spacing w:after="0"/>
      </w:pPr>
      <w:r>
        <w:rPr>
          <w:rStyle w:val="FootnoteReference"/>
        </w:rPr>
        <w:footnoteRef/>
      </w:r>
      <w:r>
        <w:t xml:space="preserve"> </w:t>
      </w:r>
      <w:r>
        <w:tab/>
      </w:r>
      <w:hyperlink r:id="rId177" w:history="1">
        <w:r>
          <w:rPr>
            <w:rStyle w:val="Hyperlink"/>
          </w:rPr>
          <w:t>Consolidated version of the Treaty on the Functioning of the European Union – Part five, External Action by the</w:t>
        </w:r>
        <w:r>
          <w:rPr>
            <w:rStyle w:val="Hyperlink"/>
          </w:rPr>
          <w:t xml:space="preserve"> Union – Title IV: Restrictive Measures – Article 218</w:t>
        </w:r>
      </w:hyperlink>
      <w:r>
        <w:t xml:space="preserve"> (ex Article 300 TEC).</w:t>
      </w:r>
    </w:p>
  </w:footnote>
  <w:footnote w:id="259">
    <w:p w:rsidR="001B65FF" w:rsidRDefault="003E4EF4">
      <w:pPr>
        <w:pStyle w:val="FootnoteText"/>
      </w:pPr>
      <w:r>
        <w:rPr>
          <w:rStyle w:val="FootnoteReference"/>
        </w:rPr>
        <w:footnoteRef/>
      </w:r>
      <w:r>
        <w:t xml:space="preserve"> </w:t>
      </w:r>
      <w:r>
        <w:tab/>
        <w:t xml:space="preserve">The President’s Review Group on Intelligence and Communications Technologies already highlighted in 2013the possible convenience of creating an online submission form for MLATs </w:t>
      </w:r>
      <w:r>
        <w:t xml:space="preserve">to streamline the process, </w:t>
      </w:r>
      <w:hyperlink r:id="rId178" w:history="1">
        <w:r>
          <w:rPr>
            <w:rStyle w:val="Hyperlink"/>
          </w:rPr>
          <w:t>Liberty and Security in a Changing World: Report and Recommendations of the President’s Review Group on Intelligence and Communications Technologies</w:t>
        </w:r>
      </w:hyperlink>
      <w:r>
        <w:t>, December 12, 2013.</w:t>
      </w:r>
    </w:p>
  </w:footnote>
  <w:footnote w:id="260">
    <w:p w:rsidR="001B65FF" w:rsidRDefault="003E4EF4">
      <w:pPr>
        <w:pStyle w:val="FootnoteText"/>
        <w:spacing w:after="0"/>
      </w:pPr>
      <w:r>
        <w:rPr>
          <w:rStyle w:val="FootnoteReference"/>
        </w:rPr>
        <w:footnoteRef/>
      </w:r>
      <w:r>
        <w:t xml:space="preserve"> </w:t>
      </w:r>
      <w:r>
        <w:tab/>
        <w:t xml:space="preserve">The </w:t>
      </w:r>
      <w:hyperlink r:id="rId179" w:history="1">
        <w:r>
          <w:rPr>
            <w:rStyle w:val="Hyperlink"/>
          </w:rPr>
          <w:t>International Communications Privacy Act</w:t>
        </w:r>
      </w:hyperlink>
      <w:r>
        <w:t>, recently proposed in the US Senate as previously discussed, uses similar arguments against data localisation. In particular, Sec.5 specifies that:</w:t>
      </w:r>
      <w:r>
        <w:t xml:space="preserve"> "The data localization requirements imposed by foreign governments on data providers are (A) incompatible with the borderless nature of the Internet; (B) an impediment to online innovation; and (C) unnecessary to meet the needs of law enforcement".</w:t>
      </w:r>
    </w:p>
  </w:footnote>
  <w:footnote w:id="261">
    <w:p w:rsidR="001B65FF" w:rsidRDefault="003E4EF4">
      <w:pPr>
        <w:pStyle w:val="FootnoteText"/>
        <w:spacing w:after="0"/>
      </w:pPr>
      <w:r>
        <w:rPr>
          <w:rStyle w:val="FootnoteReference"/>
        </w:rPr>
        <w:footnoteRef/>
      </w:r>
      <w:r>
        <w:t xml:space="preserve"> </w:t>
      </w:r>
      <w:r>
        <w:tab/>
        <w:t>See</w:t>
      </w:r>
      <w:r>
        <w:t xml:space="preserve"> Article 32 of </w:t>
      </w:r>
      <w:hyperlink r:id="rId180" w:history="1">
        <w:r>
          <w:rPr>
            <w:rStyle w:val="Hyperlink"/>
          </w:rPr>
          <w:t>Regulation (EU) 2016/679</w:t>
        </w:r>
      </w:hyperlink>
      <w:r>
        <w:t xml:space="preserve"> of the European Parliament and of the Council of 27 April 2016 on the protection of natural persons with regard to the processing </w:t>
      </w:r>
      <w:r>
        <w:t>of personal data and on the free movement of such data, and repealing Directive 95/46/EC (General Data Protection Regulation).</w:t>
      </w:r>
    </w:p>
  </w:footnote>
  <w:footnote w:id="262">
    <w:p w:rsidR="001B65FF" w:rsidRDefault="003E4EF4">
      <w:pPr>
        <w:pStyle w:val="FootnoteText"/>
        <w:spacing w:after="0"/>
      </w:pPr>
      <w:r>
        <w:rPr>
          <w:rStyle w:val="FootnoteReference"/>
        </w:rPr>
        <w:footnoteRef/>
      </w:r>
      <w:r>
        <w:t xml:space="preserve"> </w:t>
      </w:r>
      <w:r>
        <w:tab/>
        <w:t xml:space="preserve">Communication from the Commission to the European Parliament, the European Council and the Council, </w:t>
      </w:r>
      <w:hyperlink r:id="rId181" w:history="1">
        <w:r>
          <w:rPr>
            <w:rStyle w:val="Hyperlink"/>
          </w:rPr>
          <w:t>Eleventh progress report towards an effective and genuine Security Union</w:t>
        </w:r>
      </w:hyperlink>
      <w:r>
        <w:t xml:space="preserve">, </w:t>
      </w:r>
      <w:r>
        <w:t>COM(2017) 608 final, 18 October 2017.</w:t>
      </w:r>
    </w:p>
  </w:footnote>
  <w:footnote w:id="263">
    <w:p w:rsidR="001B65FF" w:rsidRDefault="003E4EF4">
      <w:pPr>
        <w:pStyle w:val="FootnoteText"/>
        <w:spacing w:after="0"/>
      </w:pPr>
      <w:r>
        <w:rPr>
          <w:rStyle w:val="FootnoteReference"/>
        </w:rPr>
        <w:footnoteRef/>
      </w:r>
      <w:r>
        <w:t xml:space="preserve"> </w:t>
      </w:r>
      <w:r>
        <w:tab/>
        <w:t xml:space="preserve">Europol and ENISA Joint Statement, </w:t>
      </w:r>
      <w:hyperlink r:id="rId182" w:history="1">
        <w:r>
          <w:rPr>
            <w:rStyle w:val="Hyperlink"/>
          </w:rPr>
          <w:t>On lawful cr</w:t>
        </w:r>
        <w:r>
          <w:rPr>
            <w:rStyle w:val="Hyperlink"/>
          </w:rPr>
          <w:t>iminal investigation that respects 21st Century data protection</w:t>
        </w:r>
      </w:hyperlink>
      <w:r>
        <w:t xml:space="preserve">, 20 May 2016. </w:t>
      </w:r>
    </w:p>
  </w:footnote>
  <w:footnote w:id="264">
    <w:p w:rsidR="001B65FF" w:rsidRDefault="003E4EF4">
      <w:pPr>
        <w:pStyle w:val="FootnoteText"/>
        <w:rPr>
          <w:lang w:val="en-US"/>
        </w:rPr>
      </w:pPr>
      <w:r>
        <w:rPr>
          <w:rStyle w:val="FootnoteReference"/>
        </w:rPr>
        <w:footnoteRef/>
      </w:r>
      <w:r>
        <w:t xml:space="preserve"> </w:t>
      </w:r>
      <w:r>
        <w:rPr>
          <w:lang w:val="en-US"/>
        </w:rPr>
        <w:tab/>
      </w:r>
      <w:r>
        <w:t>This option was presented by Germany during the expert process and discussed with the other Member States (see Annex 2).</w:t>
      </w:r>
    </w:p>
  </w:footnote>
  <w:footnote w:id="265">
    <w:p w:rsidR="001B65FF" w:rsidRDefault="003E4EF4">
      <w:pPr>
        <w:pStyle w:val="FootnoteText"/>
      </w:pPr>
      <w:r>
        <w:rPr>
          <w:rStyle w:val="FootnoteReference"/>
        </w:rPr>
        <w:footnoteRef/>
      </w:r>
      <w:r>
        <w:t xml:space="preserve"> </w:t>
      </w:r>
      <w:r>
        <w:tab/>
      </w:r>
      <w:hyperlink r:id="rId183" w:tgtFrame="_blank" w:history="1">
        <w:r>
          <w:rPr>
            <w:rStyle w:val="Hyperlink"/>
            <w:bCs/>
          </w:rPr>
          <w:t>Directive (EU) 2016/680 </w:t>
        </w:r>
      </w:hyperlink>
      <w:r>
        <w:t>of the European Parliament and of the Council of 27 April 2016 on the protection of natural per</w:t>
      </w:r>
      <w:r>
        <w:t>sons with regard to the processing of personal data by competent authorities for the purposes of the prevention, investigation, detection or prosecution of criminal offences or the execution of criminal penalties, and on the free movement of such data, and</w:t>
      </w:r>
      <w:r>
        <w:t xml:space="preserve"> repealing Council Framework Decision 2008/977/JHA.</w:t>
      </w:r>
    </w:p>
  </w:footnote>
  <w:footnote w:id="266">
    <w:p w:rsidR="001B65FF" w:rsidRDefault="003E4EF4">
      <w:pPr>
        <w:pStyle w:val="FootnoteText"/>
        <w:spacing w:after="0"/>
      </w:pPr>
      <w:r>
        <w:rPr>
          <w:rStyle w:val="FootnoteReference"/>
        </w:rPr>
        <w:footnoteRef/>
      </w:r>
      <w:r>
        <w:t xml:space="preserve"> </w:t>
      </w:r>
      <w:r>
        <w:tab/>
        <w:t xml:space="preserve">See for example a case with Google, Orin Kerr, </w:t>
      </w:r>
      <w:hyperlink r:id="rId184" w:history="1">
        <w:r>
          <w:rPr>
            <w:rStyle w:val="Hyperlink"/>
          </w:rPr>
          <w:t>Google must turn over foreign-stored emails pursuant to a warrant, court rules</w:t>
        </w:r>
      </w:hyperlink>
      <w:r>
        <w:t>, The Washington Post, 3 February 2017.</w:t>
      </w:r>
    </w:p>
  </w:footnote>
  <w:footnote w:id="267">
    <w:p w:rsidR="001B65FF" w:rsidRDefault="003E4EF4">
      <w:pPr>
        <w:pStyle w:val="FootnoteText"/>
        <w:spacing w:after="0"/>
      </w:pPr>
      <w:r>
        <w:rPr>
          <w:rStyle w:val="FootnoteReference"/>
        </w:rPr>
        <w:footnoteRef/>
      </w:r>
      <w:r>
        <w:t xml:space="preserve"> </w:t>
      </w:r>
      <w:r>
        <w:tab/>
        <w:t xml:space="preserve">S.1671 - </w:t>
      </w:r>
      <w:hyperlink r:id="rId185" w:history="1">
        <w:r>
          <w:rPr>
            <w:rStyle w:val="Hyperlink"/>
          </w:rPr>
          <w:t>International Communications Privacy Act</w:t>
        </w:r>
      </w:hyperlink>
      <w:r>
        <w:t>, previously also introduced in the U.S. Congress.</w:t>
      </w:r>
    </w:p>
  </w:footnote>
  <w:footnote w:id="268">
    <w:p w:rsidR="001B65FF" w:rsidRDefault="003E4EF4">
      <w:pPr>
        <w:pStyle w:val="FootnoteText"/>
        <w:spacing w:after="0"/>
      </w:pPr>
      <w:r>
        <w:rPr>
          <w:rStyle w:val="FootnoteReference"/>
        </w:rPr>
        <w:footnoteRef/>
      </w:r>
      <w:r>
        <w:t xml:space="preserve"> </w:t>
      </w:r>
      <w:r>
        <w:tab/>
        <w:t xml:space="preserve">Orrin Hatch, </w:t>
      </w:r>
      <w:hyperlink r:id="rId186" w:history="1">
        <w:r>
          <w:rPr>
            <w:rStyle w:val="Hyperlink"/>
          </w:rPr>
          <w:t>Tech Leaders Praise Hatch/Coons International Communications Privacy Act</w:t>
        </w:r>
      </w:hyperlink>
      <w:r>
        <w:t>, 1 August 2017.</w:t>
      </w:r>
    </w:p>
  </w:footnote>
  <w:footnote w:id="269">
    <w:p w:rsidR="001B65FF" w:rsidRDefault="003E4EF4">
      <w:pPr>
        <w:pStyle w:val="FootnoteText"/>
        <w:spacing w:after="0"/>
        <w:rPr>
          <w:rFonts w:ascii="NexusSansWebPro" w:hAnsi="NexusSansWebPro"/>
          <w:shd w:val="clear" w:color="auto" w:fill="FFFFFF"/>
        </w:rPr>
      </w:pPr>
      <w:r>
        <w:rPr>
          <w:rStyle w:val="FootnoteReference"/>
        </w:rPr>
        <w:footnoteRef/>
      </w:r>
      <w:r>
        <w:t xml:space="preserve"> </w:t>
      </w:r>
      <w:r>
        <w:tab/>
      </w:r>
      <w:r>
        <w:rPr>
          <w:rFonts w:ascii="NexusSansWebPro" w:hAnsi="NexusSansWebPro"/>
          <w:shd w:val="clear" w:color="auto" w:fill="FFFFFF"/>
        </w:rPr>
        <w:t xml:space="preserve">Lin, Tiffany and Fidler, Mailyn, </w:t>
      </w:r>
      <w:hyperlink r:id="rId187" w:history="1">
        <w:r>
          <w:rPr>
            <w:rStyle w:val="Hyperlink"/>
          </w:rPr>
          <w:t xml:space="preserve">Cross-Border Data </w:t>
        </w:r>
        <w:r>
          <w:rPr>
            <w:rStyle w:val="Hyperlink"/>
          </w:rPr>
          <w:t>Access Reform: A Primer on the Proposed U.S.-U.K. Agreement</w:t>
        </w:r>
      </w:hyperlink>
      <w:r>
        <w:rPr>
          <w:rFonts w:ascii="NexusSansWebPro" w:hAnsi="NexusSansWebPro"/>
          <w:color w:val="505050"/>
          <w:shd w:val="clear" w:color="auto" w:fill="FFFFFF"/>
        </w:rPr>
        <w:t xml:space="preserve">, </w:t>
      </w:r>
      <w:r>
        <w:rPr>
          <w:rFonts w:ascii="NexusSansWebPro" w:hAnsi="NexusSansWebPro"/>
          <w:shd w:val="clear" w:color="auto" w:fill="FFFFFF"/>
        </w:rPr>
        <w:t>Berkman Klein Center Research Publication No. 2017-7, Harvard University, September 2017.</w:t>
      </w:r>
    </w:p>
    <w:p w:rsidR="001B65FF" w:rsidRDefault="003E4EF4">
      <w:pPr>
        <w:pStyle w:val="FootnoteText"/>
        <w:spacing w:after="0"/>
      </w:pPr>
      <w:r>
        <w:rPr>
          <w:rFonts w:ascii="NexusSansWebPro" w:hAnsi="NexusSansWebPro"/>
          <w:shd w:val="clear" w:color="auto" w:fill="FFFFFF"/>
        </w:rPr>
        <w:tab/>
      </w:r>
      <w:r>
        <w:t>On 23 March 2018 the US Congress adopted the Clarifying Lawful Overseas Use of Data (CLOUD) Act, right b</w:t>
      </w:r>
      <w:r>
        <w:t xml:space="preserve">efore the adoption of the EU legislative proposals that this impact assessment accompanies. The CLOUD Act is available </w:t>
      </w:r>
      <w:hyperlink r:id="rId188" w:history="1">
        <w:r>
          <w:rPr>
            <w:rStyle w:val="Hyperlink"/>
          </w:rPr>
          <w:t>here</w:t>
        </w:r>
      </w:hyperlink>
      <w:r>
        <w:t>.</w:t>
      </w:r>
    </w:p>
  </w:footnote>
  <w:footnote w:id="270">
    <w:p w:rsidR="001B65FF" w:rsidRDefault="003E4EF4">
      <w:pPr>
        <w:pStyle w:val="FootnoteText"/>
        <w:spacing w:after="0"/>
      </w:pPr>
      <w:r>
        <w:rPr>
          <w:rStyle w:val="FootnoteReference"/>
        </w:rPr>
        <w:footnoteRef/>
      </w:r>
      <w:r>
        <w:t xml:space="preserve"> </w:t>
      </w:r>
      <w:r>
        <w:tab/>
        <w:t xml:space="preserve">U.S. Department of Justice, </w:t>
      </w:r>
      <w:hyperlink r:id="rId189" w:anchor="document/p1" w:history="1">
        <w:r>
          <w:rPr>
            <w:rStyle w:val="Hyperlink"/>
          </w:rPr>
          <w:t>Legislation to Permit the Secure and Privacy-Protective Exchange of Electronic Data for the Purposes of Combating Serious Crime Including T</w:t>
        </w:r>
        <w:r>
          <w:rPr>
            <w:rStyle w:val="Hyperlink"/>
          </w:rPr>
          <w:t>errorism</w:t>
        </w:r>
      </w:hyperlink>
      <w:r>
        <w:t>, July 15, 2016.</w:t>
      </w:r>
    </w:p>
  </w:footnote>
  <w:footnote w:id="271">
    <w:p w:rsidR="001B65FF" w:rsidRDefault="003E4EF4">
      <w:pPr>
        <w:pStyle w:val="FootnoteText"/>
        <w:spacing w:after="0"/>
      </w:pPr>
      <w:r>
        <w:rPr>
          <w:rStyle w:val="FootnoteReference"/>
        </w:rPr>
        <w:footnoteRef/>
      </w:r>
      <w:r>
        <w:t xml:space="preserve"> </w:t>
      </w:r>
      <w:r>
        <w:tab/>
        <w:t xml:space="preserve">Statement of Richard W. Downing, Acting Deputy Assistant Attorney General, Department of Justice, before the Committee of the Judiciary, U.S. House of Representatives, for a hearing entitled </w:t>
      </w:r>
      <w:hyperlink r:id="rId190" w:history="1">
        <w:r>
          <w:rPr>
            <w:rStyle w:val="Hyperlink"/>
          </w:rPr>
          <w:t>“Data Stored Abroad: Ensuring Lawful Access and Privacy Protection in the Digital Era”</w:t>
        </w:r>
      </w:hyperlink>
      <w:r>
        <w:t>, June 15, 2017. The proposal was submitted again in 2017 as the US Congress changed in the November 2016 election</w:t>
      </w:r>
      <w:r>
        <w:t>s.</w:t>
      </w:r>
    </w:p>
  </w:footnote>
  <w:footnote w:id="272">
    <w:p w:rsidR="001B65FF" w:rsidRDefault="003E4EF4">
      <w:pPr>
        <w:pStyle w:val="FootnoteText"/>
        <w:spacing w:after="0"/>
      </w:pPr>
      <w:r>
        <w:rPr>
          <w:rStyle w:val="FootnoteReference"/>
        </w:rPr>
        <w:footnoteRef/>
      </w:r>
      <w:r>
        <w:t xml:space="preserve"> </w:t>
      </w:r>
      <w:r>
        <w:tab/>
        <w:t>See for example:</w:t>
      </w:r>
    </w:p>
    <w:p w:rsidR="001B65FF" w:rsidRDefault="003E4EF4">
      <w:pPr>
        <w:pStyle w:val="FootnoteText"/>
        <w:numPr>
          <w:ilvl w:val="0"/>
          <w:numId w:val="34"/>
        </w:numPr>
        <w:spacing w:after="0"/>
      </w:pPr>
      <w:r>
        <w:t xml:space="preserve">Jennifer Daskal and Andrew K. Woods, </w:t>
      </w:r>
      <w:hyperlink r:id="rId191" w:history="1">
        <w:r>
          <w:rPr>
            <w:rStyle w:val="Hyperlink"/>
          </w:rPr>
          <w:t>Cross-Border Data Requests: A Proposed Framework</w:t>
        </w:r>
      </w:hyperlink>
      <w:r>
        <w:t>, Just Security, November 24, 2015;</w:t>
      </w:r>
    </w:p>
    <w:p w:rsidR="001B65FF" w:rsidRDefault="003E4EF4">
      <w:pPr>
        <w:pStyle w:val="FootnoteText"/>
        <w:numPr>
          <w:ilvl w:val="0"/>
          <w:numId w:val="34"/>
        </w:numPr>
        <w:spacing w:after="0"/>
      </w:pPr>
      <w:r>
        <w:t xml:space="preserve">Peter Swire and Justin D. Hemmings, </w:t>
      </w:r>
      <w:hyperlink r:id="rId192" w:history="1">
        <w:r>
          <w:rPr>
            <w:rStyle w:val="Hyperlink"/>
          </w:rPr>
          <w:t>Mutual Legal Assistance in an Era of Globalized Communications: The Analogy to the Visa Waiver Program</w:t>
        </w:r>
      </w:hyperlink>
      <w:r>
        <w:t>, NYU Annual Sur</w:t>
      </w:r>
      <w:r>
        <w:t>vey of American Law, vol. 71 (2017), pp.687-800;</w:t>
      </w:r>
    </w:p>
    <w:p w:rsidR="001B65FF" w:rsidRDefault="003E4EF4">
      <w:pPr>
        <w:pStyle w:val="FootnoteText"/>
        <w:numPr>
          <w:ilvl w:val="0"/>
          <w:numId w:val="34"/>
        </w:numPr>
        <w:spacing w:after="0"/>
      </w:pPr>
      <w:r>
        <w:t xml:space="preserve">Greg Nojeim, </w:t>
      </w:r>
      <w:hyperlink r:id="rId193" w:history="1">
        <w:r>
          <w:rPr>
            <w:rStyle w:val="Hyperlink"/>
          </w:rPr>
          <w:t>MLAT Reform: A Straw Man Proposal</w:t>
        </w:r>
      </w:hyperlink>
      <w:r>
        <w:t>, Center for Democracy &amp; Technology, Sept. 3, 2015.</w:t>
      </w:r>
    </w:p>
  </w:footnote>
  <w:footnote w:id="273">
    <w:p w:rsidR="001B65FF" w:rsidRDefault="003E4EF4">
      <w:pPr>
        <w:pStyle w:val="FootnoteText"/>
        <w:spacing w:after="0"/>
      </w:pPr>
      <w:r>
        <w:rPr>
          <w:rStyle w:val="FootnoteReference"/>
        </w:rPr>
        <w:footnoteRef/>
      </w:r>
      <w:r>
        <w:t xml:space="preserve"> </w:t>
      </w:r>
      <w:r>
        <w:tab/>
        <w:t>On 23 March 2018 the US Congress</w:t>
      </w:r>
      <w:r>
        <w:t xml:space="preserve"> adopted the Clarifying Lawful Overseas Use of Data (CLOUD) Act, right before the adoption of the EU legislative proposals that this impact assessment accompanies. The CLOUD Act is available </w:t>
      </w:r>
      <w:hyperlink r:id="rId194" w:history="1">
        <w:r>
          <w:rPr>
            <w:rStyle w:val="Hyperlink"/>
          </w:rPr>
          <w:t>here</w:t>
        </w:r>
      </w:hyperlink>
      <w:r>
        <w:t>.</w:t>
      </w:r>
    </w:p>
  </w:footnote>
  <w:footnote w:id="274">
    <w:p w:rsidR="001B65FF" w:rsidRDefault="003E4EF4">
      <w:pPr>
        <w:pStyle w:val="FootnoteText"/>
        <w:spacing w:after="0"/>
      </w:pPr>
      <w:r>
        <w:rPr>
          <w:rStyle w:val="FootnoteReference"/>
        </w:rPr>
        <w:footnoteRef/>
      </w:r>
      <w:r>
        <w:t xml:space="preserve"> </w:t>
      </w:r>
      <w:r>
        <w:tab/>
        <w:t xml:space="preserve">See Stephen Dockery, </w:t>
      </w:r>
      <w:hyperlink r:id="rId195" w:history="1">
        <w:r>
          <w:rPr>
            <w:rStyle w:val="Hyperlink"/>
          </w:rPr>
          <w:t>Data Localization Takes Off as Regulation Uncertainty Continues</w:t>
        </w:r>
      </w:hyperlink>
      <w:r>
        <w:t>, T</w:t>
      </w:r>
      <w:r>
        <w:t>he Wall Street Journal, 6 June 2016.</w:t>
      </w:r>
    </w:p>
  </w:footnote>
  <w:footnote w:id="275">
    <w:p w:rsidR="001B65FF" w:rsidRDefault="003E4EF4">
      <w:pPr>
        <w:pStyle w:val="FootnoteText"/>
        <w:spacing w:after="0"/>
      </w:pPr>
      <w:r>
        <w:rPr>
          <w:rStyle w:val="FootnoteReference"/>
        </w:rPr>
        <w:footnoteRef/>
      </w:r>
      <w:r>
        <w:t xml:space="preserve"> </w:t>
      </w:r>
      <w:r>
        <w:tab/>
        <w:t xml:space="preserve">See e.g., Jenny Gross and Alexis Flynn, </w:t>
      </w:r>
      <w:hyperlink r:id="rId196" w:history="1">
        <w:r>
          <w:rPr>
            <w:rStyle w:val="Hyperlink"/>
          </w:rPr>
          <w:t>U.K. Proposal Would Expand Government’s Power of Surveillan</w:t>
        </w:r>
        <w:r>
          <w:rPr>
            <w:rStyle w:val="Hyperlink"/>
          </w:rPr>
          <w:t>ce</w:t>
        </w:r>
      </w:hyperlink>
      <w:r>
        <w:t>, The Wall Street Journal, November 4, 2015;</w:t>
      </w:r>
    </w:p>
    <w:p w:rsidR="001B65FF" w:rsidRDefault="003E4EF4">
      <w:pPr>
        <w:pStyle w:val="FootnoteText"/>
        <w:ind w:firstLine="0"/>
      </w:pPr>
      <w:r>
        <w:t xml:space="preserve">Rachel Pick, </w:t>
      </w:r>
      <w:hyperlink r:id="rId197" w:history="1">
        <w:r>
          <w:rPr>
            <w:rStyle w:val="Hyperlink"/>
          </w:rPr>
          <w:t>A Look at France’s New Surveillance Laws in Wake of the P</w:t>
        </w:r>
        <w:r>
          <w:rPr>
            <w:rStyle w:val="Hyperlink"/>
          </w:rPr>
          <w:t>aris Attacks</w:t>
        </w:r>
      </w:hyperlink>
      <w:r>
        <w:t>, Vice – Motherboard, 15 November 2015.</w:t>
      </w:r>
    </w:p>
  </w:footnote>
  <w:footnote w:id="276">
    <w:p w:rsidR="001B65FF" w:rsidRDefault="003E4EF4">
      <w:pPr>
        <w:pStyle w:val="FootnoteText"/>
        <w:spacing w:after="0"/>
      </w:pPr>
      <w:r>
        <w:rPr>
          <w:rStyle w:val="FootnoteReference"/>
        </w:rPr>
        <w:footnoteRef/>
      </w:r>
      <w:r>
        <w:t xml:space="preserve"> </w:t>
      </w:r>
      <w:r>
        <w:tab/>
      </w:r>
      <w:r>
        <w:rPr>
          <w:rFonts w:ascii="NexusSansWebPro" w:hAnsi="NexusSansWebPro"/>
          <w:shd w:val="clear" w:color="auto" w:fill="FFFFFF"/>
        </w:rPr>
        <w:t>Lin, Tiffany and Fidler, Mailyn</w:t>
      </w:r>
      <w:r>
        <w:rPr>
          <w:rFonts w:ascii="NexusSansWebPro" w:hAnsi="NexusSansWebPro"/>
          <w:color w:val="505050"/>
          <w:shd w:val="clear" w:color="auto" w:fill="FFFFFF"/>
        </w:rPr>
        <w:t xml:space="preserve">, </w:t>
      </w:r>
      <w:hyperlink r:id="rId198" w:history="1">
        <w:r>
          <w:rPr>
            <w:rStyle w:val="Hyperlink"/>
          </w:rPr>
          <w:t>Cross-Border Data Access Reform: A Primer on the Proposed U.S.-U.K. Agreement</w:t>
        </w:r>
      </w:hyperlink>
      <w:r>
        <w:rPr>
          <w:rFonts w:ascii="NexusSansWebPro" w:hAnsi="NexusSansWebPro"/>
          <w:color w:val="505050"/>
          <w:shd w:val="clear" w:color="auto" w:fill="FFFFFF"/>
        </w:rPr>
        <w:t xml:space="preserve">, </w:t>
      </w:r>
      <w:r>
        <w:rPr>
          <w:rFonts w:ascii="NexusSansWebPro" w:hAnsi="NexusSansWebPro"/>
          <w:shd w:val="clear" w:color="auto" w:fill="FFFFFF"/>
        </w:rPr>
        <w:t>Berkman Klein</w:t>
      </w:r>
      <w:r>
        <w:rPr>
          <w:rFonts w:ascii="NexusSansWebPro" w:hAnsi="NexusSansWebPro"/>
          <w:shd w:val="clear" w:color="auto" w:fill="FFFFFF"/>
        </w:rPr>
        <w:t xml:space="preserve"> Center Research Publication No. 2017-7, Harvard University, September 2017.</w:t>
      </w:r>
    </w:p>
  </w:footnote>
  <w:footnote w:id="277">
    <w:p w:rsidR="001B65FF" w:rsidRDefault="003E4EF4">
      <w:pPr>
        <w:pStyle w:val="FootnoteText"/>
        <w:spacing w:after="0"/>
      </w:pPr>
      <w:r>
        <w:rPr>
          <w:rStyle w:val="FootnoteReference"/>
        </w:rPr>
        <w:footnoteRef/>
      </w:r>
      <w:r>
        <w:t xml:space="preserve"> </w:t>
      </w:r>
      <w:r>
        <w:tab/>
        <w:t xml:space="preserve">U.S. Department of Justice, </w:t>
      </w:r>
      <w:hyperlink r:id="rId199" w:anchor="document/p1" w:history="1">
        <w:r>
          <w:rPr>
            <w:rStyle w:val="Hyperlink"/>
          </w:rPr>
          <w:t>Legislation to Permit th</w:t>
        </w:r>
        <w:r>
          <w:rPr>
            <w:rStyle w:val="Hyperlink"/>
          </w:rPr>
          <w:t>e Secure and Privacy-Protective Exchange of Electronic Data for the Purposes of Combating Serious Crime Including Terrorism</w:t>
        </w:r>
      </w:hyperlink>
      <w:r>
        <w:t>, July 15, 2016.</w:t>
      </w:r>
    </w:p>
    <w:p w:rsidR="001B65FF" w:rsidRDefault="003E4EF4">
      <w:pPr>
        <w:pStyle w:val="FootnoteText"/>
        <w:spacing w:after="0"/>
      </w:pPr>
      <w:r>
        <w:tab/>
        <w:t>On 23 March 2018 the US Congress adopted the Clarifying Lawful Overseas Use of Data (CLOUD) Act, right before the a</w:t>
      </w:r>
      <w:r>
        <w:t xml:space="preserve">doption of the EU legislative proposals that this impact assessment accompanies. The CLOUD Act is available </w:t>
      </w:r>
      <w:hyperlink r:id="rId200" w:history="1">
        <w:r>
          <w:rPr>
            <w:rStyle w:val="Hyperlink"/>
          </w:rPr>
          <w:t>here</w:t>
        </w:r>
      </w:hyperlink>
      <w:r>
        <w:t>.</w:t>
      </w:r>
    </w:p>
  </w:footnote>
  <w:footnote w:id="278">
    <w:p w:rsidR="001B65FF" w:rsidRDefault="003E4EF4">
      <w:pPr>
        <w:pStyle w:val="FootnoteText"/>
        <w:rPr>
          <w:i/>
        </w:rPr>
      </w:pPr>
      <w:r>
        <w:rPr>
          <w:rStyle w:val="FootnoteReference"/>
        </w:rPr>
        <w:footnoteRef/>
      </w:r>
      <w:r>
        <w:t xml:space="preserve"> </w:t>
      </w:r>
      <w:r>
        <w:tab/>
      </w:r>
      <w:r>
        <w:rPr>
          <w:i/>
        </w:rPr>
        <w:t xml:space="preserve">Ibid., </w:t>
      </w:r>
      <w:r>
        <w:t>§4(a).</w:t>
      </w:r>
    </w:p>
  </w:footnote>
  <w:footnote w:id="279">
    <w:p w:rsidR="001B65FF" w:rsidRDefault="003E4EF4">
      <w:pPr>
        <w:pStyle w:val="FootnoteText"/>
      </w:pPr>
      <w:r>
        <w:rPr>
          <w:rStyle w:val="FootnoteReference"/>
        </w:rPr>
        <w:footnoteRef/>
      </w:r>
      <w:r>
        <w:t xml:space="preserve"> </w:t>
      </w:r>
      <w:r>
        <w:tab/>
      </w:r>
      <w:r>
        <w:rPr>
          <w:i/>
        </w:rPr>
        <w:t>Ibid</w:t>
      </w:r>
      <w:r>
        <w:t>., §§ 4(a)(1)(xii), (xiii</w:t>
      </w:r>
      <w:r>
        <w:t>).</w:t>
      </w:r>
    </w:p>
  </w:footnote>
  <w:footnote w:id="280">
    <w:p w:rsidR="001B65FF" w:rsidRDefault="003E4EF4">
      <w:pPr>
        <w:pStyle w:val="FootnoteText"/>
        <w:spacing w:after="0"/>
      </w:pPr>
      <w:r>
        <w:rPr>
          <w:rStyle w:val="FootnoteReference"/>
        </w:rPr>
        <w:footnoteRef/>
      </w:r>
      <w:r>
        <w:t xml:space="preserve"> </w:t>
      </w:r>
      <w:r>
        <w:tab/>
      </w:r>
      <w:r>
        <w:rPr>
          <w:rFonts w:ascii="Merriweather" w:hAnsi="Merriweather"/>
          <w:color w:val="000000"/>
        </w:rPr>
        <w:t>Access Now, Advocacy for Principled Action in Government, the American-Arab Anti-Discrimination Committee, the American Civil Liberties Union, Amnesty International, the Center for Democracy and Technology, the Center for Media and Democracy, the Constitut</w:t>
      </w:r>
      <w:r>
        <w:rPr>
          <w:rFonts w:ascii="Merriweather" w:hAnsi="Merriweather"/>
          <w:color w:val="000000"/>
        </w:rPr>
        <w:t>ional Alliance, the Council on American-Islamic Relations, Defending Rights &amp; Dissent, Demand Progress, Electronic Frontier Foundation, Fight for the Future, the Government Accountability Project, Government Information Watch, Human Rights Watch, the Natio</w:t>
      </w:r>
      <w:r>
        <w:rPr>
          <w:rFonts w:ascii="Merriweather" w:hAnsi="Merriweather"/>
          <w:color w:val="000000"/>
        </w:rPr>
        <w:t xml:space="preserve">nal Association of Criminal Defense Lawyers, National Security Counselors, New America’s Open Technology Institute, the Project on Government Oversight, and Restore the Fourth, </w:t>
      </w:r>
      <w:hyperlink r:id="rId201" w:history="1">
        <w:r>
          <w:rPr>
            <w:rStyle w:val="Hyperlink"/>
            <w:rFonts w:ascii="Merriweather" w:hAnsi="Merriweather"/>
          </w:rPr>
          <w:t>C</w:t>
        </w:r>
        <w:r>
          <w:rPr>
            <w:rStyle w:val="Hyperlink"/>
          </w:rPr>
          <w:t>oalition letter against DOJ’s XBD bill</w:t>
        </w:r>
      </w:hyperlink>
      <w:r>
        <w:t xml:space="preserve">, 9 September 2017. </w:t>
      </w:r>
    </w:p>
  </w:footnote>
  <w:footnote w:id="281">
    <w:p w:rsidR="001B65FF" w:rsidRDefault="003E4EF4">
      <w:pPr>
        <w:pStyle w:val="FootnoteText"/>
        <w:spacing w:after="0"/>
      </w:pPr>
      <w:r>
        <w:rPr>
          <w:rStyle w:val="FootnoteReference"/>
        </w:rPr>
        <w:footnoteRef/>
      </w:r>
      <w:r>
        <w:t xml:space="preserve"> </w:t>
      </w:r>
      <w:r>
        <w:tab/>
        <w:t xml:space="preserve">For more information on the arguments of the letter, see Adam Schwartz and Lee Tien, </w:t>
      </w:r>
      <w:hyperlink r:id="rId202" w:history="1">
        <w:r>
          <w:rPr>
            <w:rStyle w:val="Hyperlink"/>
          </w:rPr>
          <w:t>Protect the Privacy of Cross-Border Data: Stop the DOJ Bill</w:t>
        </w:r>
      </w:hyperlink>
      <w:r>
        <w:t xml:space="preserve">, EFF, 24 September 2017. </w:t>
      </w:r>
    </w:p>
  </w:footnote>
  <w:footnote w:id="282">
    <w:p w:rsidR="001B65FF" w:rsidRDefault="003E4EF4">
      <w:pPr>
        <w:pStyle w:val="FootnoteText"/>
        <w:spacing w:after="0"/>
      </w:pPr>
      <w:r>
        <w:rPr>
          <w:rStyle w:val="FootnoteReference"/>
        </w:rPr>
        <w:footnoteRef/>
      </w:r>
      <w:r>
        <w:t xml:space="preserve"> </w:t>
      </w:r>
      <w:r>
        <w:tab/>
        <w:t xml:space="preserve">See Chris Calabrese, </w:t>
      </w:r>
      <w:hyperlink r:id="rId203" w:history="1">
        <w:r>
          <w:rPr>
            <w:rStyle w:val="Hyperlink"/>
          </w:rPr>
          <w:t xml:space="preserve">Statement </w:t>
        </w:r>
        <w:r>
          <w:rPr>
            <w:rStyle w:val="Hyperlink"/>
          </w:rPr>
          <w:t>to the U.S. House Committee on the Judiciary, Hearing on Data Stored Abroad:Ensuring Lawful Access and Privacy Protection in the Digital Era</w:t>
        </w:r>
      </w:hyperlink>
      <w:r>
        <w:t>, June 15, 2017.</w:t>
      </w:r>
    </w:p>
  </w:footnote>
  <w:footnote w:id="283">
    <w:p w:rsidR="001B65FF" w:rsidRDefault="003E4EF4">
      <w:pPr>
        <w:pStyle w:val="FootnoteText"/>
        <w:spacing w:after="0"/>
      </w:pPr>
      <w:r>
        <w:rPr>
          <w:rStyle w:val="FootnoteReference"/>
        </w:rPr>
        <w:footnoteRef/>
      </w:r>
      <w:r>
        <w:t xml:space="preserve"> </w:t>
      </w:r>
      <w:r>
        <w:tab/>
        <w:t xml:space="preserve">See Jennifer Daskal. </w:t>
      </w:r>
      <w:hyperlink r:id="rId204" w:history="1">
        <w:r>
          <w:rPr>
            <w:rStyle w:val="Hyperlink"/>
          </w:rPr>
          <w:t>Statement to the Committee on the Judiciary Subcommittee on Crime and Terrorism United States Senate. Hearing on Law Enforcement Access to Data Stored Across Borders: Facilitating Cooperation and Protecting Rights</w:t>
        </w:r>
      </w:hyperlink>
      <w:r>
        <w:t>, May 24, 2017.</w:t>
      </w:r>
    </w:p>
  </w:footnote>
  <w:footnote w:id="284">
    <w:p w:rsidR="001B65FF" w:rsidRDefault="003E4EF4">
      <w:pPr>
        <w:pStyle w:val="FootnoteText"/>
        <w:spacing w:after="0"/>
      </w:pPr>
      <w:r>
        <w:rPr>
          <w:rStyle w:val="FootnoteReference"/>
        </w:rPr>
        <w:footnoteRef/>
      </w:r>
      <w:r>
        <w:t xml:space="preserve"> </w:t>
      </w:r>
      <w:r>
        <w:tab/>
        <w:t>U.</w:t>
      </w:r>
      <w:r>
        <w:t xml:space="preserve">S. Department of Justice, </w:t>
      </w:r>
      <w:hyperlink r:id="rId205" w:anchor="document/p1" w:history="1">
        <w:r>
          <w:rPr>
            <w:rStyle w:val="Hyperlink"/>
          </w:rPr>
          <w:t>Legislation to Permit the Secure and Privacy-Protective Exchange of Electronic Data for the Purposes of Co</w:t>
        </w:r>
        <w:r>
          <w:rPr>
            <w:rStyle w:val="Hyperlink"/>
          </w:rPr>
          <w:t>mbating Serious Crime Including Terrorism</w:t>
        </w:r>
      </w:hyperlink>
      <w:r>
        <w:t>, July 15, 2016, § 4(a)(3)(vii).</w:t>
      </w:r>
    </w:p>
  </w:footnote>
  <w:footnote w:id="285">
    <w:p w:rsidR="001B65FF" w:rsidRDefault="003E4EF4">
      <w:pPr>
        <w:pStyle w:val="FootnoteText"/>
        <w:spacing w:after="0"/>
      </w:pPr>
      <w:r>
        <w:rPr>
          <w:rStyle w:val="FootnoteReference"/>
        </w:rPr>
        <w:footnoteRef/>
      </w:r>
      <w:r>
        <w:t xml:space="preserve"> </w:t>
      </w:r>
      <w:r>
        <w:tab/>
        <w:t xml:space="preserve">Center for Democracy &amp; Technology, </w:t>
      </w:r>
      <w:hyperlink r:id="rId206" w:history="1">
        <w:r>
          <w:rPr>
            <w:rStyle w:val="Hyperlink"/>
          </w:rPr>
          <w:t xml:space="preserve">Cross-Border Law Enforcement Demands: Analysis of the US </w:t>
        </w:r>
        <w:r>
          <w:rPr>
            <w:rStyle w:val="Hyperlink"/>
          </w:rPr>
          <w:t>Department of Justice’s Proposed Bill</w:t>
        </w:r>
      </w:hyperlink>
      <w:r>
        <w:t xml:space="preserve">, Aug. 17, 2016. </w:t>
      </w:r>
    </w:p>
  </w:footnote>
  <w:footnote w:id="286">
    <w:p w:rsidR="001B65FF" w:rsidRDefault="003E4EF4">
      <w:pPr>
        <w:pStyle w:val="FootnoteText"/>
        <w:spacing w:after="0"/>
      </w:pPr>
      <w:r>
        <w:rPr>
          <w:rStyle w:val="FootnoteReference"/>
        </w:rPr>
        <w:footnoteRef/>
      </w:r>
      <w:r>
        <w:t xml:space="preserve"> </w:t>
      </w:r>
      <w:r>
        <w:tab/>
        <w:t>Jennifer Daskal and Andrew K. Woods, “</w:t>
      </w:r>
      <w:hyperlink r:id="rId207" w:history="1">
        <w:r>
          <w:rPr>
            <w:rStyle w:val="Hyperlink"/>
          </w:rPr>
          <w:t>Congress Should Embrace the DOJ’s Cross-Border Data Fix</w:t>
        </w:r>
      </w:hyperlink>
      <w:r>
        <w:t>,” Just S</w:t>
      </w:r>
      <w:r>
        <w:t>ecurity, August 1, 2016.</w:t>
      </w:r>
    </w:p>
  </w:footnote>
  <w:footnote w:id="287">
    <w:p w:rsidR="001B65FF" w:rsidRDefault="003E4EF4">
      <w:pPr>
        <w:pStyle w:val="FootnoteText"/>
        <w:contextualSpacing/>
      </w:pPr>
      <w:r>
        <w:rPr>
          <w:rStyle w:val="FootnoteReference"/>
        </w:rPr>
        <w:footnoteRef/>
      </w:r>
      <w:r>
        <w:t xml:space="preserve"> Targeted survey 2, Annex 2.1.</w:t>
      </w:r>
    </w:p>
  </w:footnote>
  <w:footnote w:id="288">
    <w:p w:rsidR="001B65FF" w:rsidRDefault="003E4EF4">
      <w:pPr>
        <w:pStyle w:val="FootnoteText"/>
        <w:contextualSpacing/>
      </w:pPr>
      <w:r>
        <w:rPr>
          <w:rStyle w:val="FootnoteReference"/>
        </w:rPr>
        <w:footnoteRef/>
      </w:r>
      <w:r>
        <w:t xml:space="preserve"> Targeted survey feedback: Median of the respondents' estimations, 4 could not estimate (n=76).</w:t>
      </w:r>
    </w:p>
  </w:footnote>
  <w:footnote w:id="289">
    <w:p w:rsidR="001B65FF" w:rsidRDefault="003E4EF4">
      <w:pPr>
        <w:pStyle w:val="FootnoteText"/>
        <w:contextualSpacing/>
      </w:pPr>
      <w:r>
        <w:rPr>
          <w:rStyle w:val="FootnoteReference"/>
        </w:rPr>
        <w:footnoteRef/>
      </w:r>
      <w:r>
        <w:t xml:space="preserve"> Targeted survey feedback: Median of the respondents' estimations, 6 could not estimate (n=76).</w:t>
      </w:r>
    </w:p>
  </w:footnote>
  <w:footnote w:id="290">
    <w:p w:rsidR="001B65FF" w:rsidRDefault="003E4EF4">
      <w:pPr>
        <w:pStyle w:val="FootnoteText"/>
        <w:spacing w:after="0"/>
        <w:rPr>
          <w:lang w:val="en-US"/>
        </w:rPr>
      </w:pPr>
      <w:r>
        <w:rPr>
          <w:rStyle w:val="FootnoteReference"/>
        </w:rPr>
        <w:footnoteRef/>
      </w:r>
      <w:r>
        <w:t xml:space="preserve"> </w:t>
      </w:r>
      <w:r>
        <w:rPr>
          <w:lang w:val="en-US"/>
        </w:rPr>
        <w:tab/>
      </w:r>
      <w:r>
        <w:rPr>
          <w:lang w:val="en-US"/>
        </w:rPr>
        <w:t xml:space="preserve">Requests to the five main service providers listed above. </w:t>
      </w:r>
    </w:p>
  </w:footnote>
  <w:footnote w:id="291">
    <w:p w:rsidR="001B65FF" w:rsidRDefault="003E4EF4">
      <w:pPr>
        <w:pStyle w:val="FootnoteText"/>
        <w:rPr>
          <w:lang w:val="en-US"/>
        </w:rPr>
      </w:pPr>
      <w:r>
        <w:rPr>
          <w:rStyle w:val="FootnoteReference"/>
        </w:rPr>
        <w:footnoteRef/>
      </w:r>
      <w:r>
        <w:t xml:space="preserve"> </w:t>
      </w:r>
      <w:r>
        <w:rPr>
          <w:lang w:val="en-US"/>
        </w:rPr>
        <w:tab/>
        <w:t xml:space="preserve">The list of country codes for Member States used in this document is available </w:t>
      </w:r>
      <w:hyperlink r:id="rId208" w:history="1">
        <w:r>
          <w:rPr>
            <w:rStyle w:val="Hyperlink"/>
            <w:lang w:val="en-US"/>
          </w:rPr>
          <w:t>here</w:t>
        </w:r>
      </w:hyperlink>
      <w:r>
        <w:rPr>
          <w:lang w:val="en-US"/>
        </w:rPr>
        <w:t>.</w:t>
      </w:r>
    </w:p>
  </w:footnote>
  <w:footnote w:id="292">
    <w:p w:rsidR="001B65FF" w:rsidRDefault="003E4EF4">
      <w:pPr>
        <w:pStyle w:val="FootnoteText"/>
      </w:pPr>
      <w:r>
        <w:rPr>
          <w:rStyle w:val="FootnoteReference"/>
        </w:rPr>
        <w:footnoteRef/>
      </w:r>
      <w:r>
        <w:t xml:space="preserve"> </w:t>
      </w:r>
      <w:r>
        <w:tab/>
      </w:r>
      <w:hyperlink r:id="rId209" w:history="1">
        <w:r>
          <w:rPr>
            <w:rStyle w:val="Hyperlink"/>
          </w:rPr>
          <w:t>Google</w:t>
        </w:r>
      </w:hyperlink>
      <w:r>
        <w:t xml:space="preserve">, </w:t>
      </w:r>
      <w:hyperlink r:id="rId210" w:history="1">
        <w:r>
          <w:rPr>
            <w:rStyle w:val="Hyperlink"/>
          </w:rPr>
          <w:t>Facebook</w:t>
        </w:r>
      </w:hyperlink>
      <w:r>
        <w:t xml:space="preserve">, </w:t>
      </w:r>
      <w:hyperlink r:id="rId211" w:history="1">
        <w:r>
          <w:rPr>
            <w:rStyle w:val="Hyperlink"/>
          </w:rPr>
          <w:t>Microsoft</w:t>
        </w:r>
      </w:hyperlink>
      <w:r>
        <w:t xml:space="preserve">, </w:t>
      </w:r>
      <w:hyperlink r:id="rId212" w:history="1">
        <w:r>
          <w:rPr>
            <w:rStyle w:val="Hyperlink"/>
          </w:rPr>
          <w:t>Twitter</w:t>
        </w:r>
      </w:hyperlink>
      <w:r>
        <w:t xml:space="preserve">, </w:t>
      </w:r>
      <w:hyperlink r:id="rId213" w:history="1">
        <w:r>
          <w:rPr>
            <w:rStyle w:val="Hyperlink"/>
          </w:rPr>
          <w:t>Apple</w:t>
        </w:r>
      </w:hyperlink>
      <w:r>
        <w:t>.</w:t>
      </w:r>
    </w:p>
  </w:footnote>
  <w:footnote w:id="293">
    <w:p w:rsidR="001B65FF" w:rsidRDefault="003E4EF4">
      <w:pPr>
        <w:pStyle w:val="FootnoteText"/>
        <w:spacing w:after="0"/>
      </w:pPr>
      <w:r>
        <w:rPr>
          <w:rStyle w:val="FootnoteReference"/>
        </w:rPr>
        <w:footnoteRef/>
      </w:r>
      <w:r>
        <w:t xml:space="preserve"> </w:t>
      </w:r>
      <w:r>
        <w:tab/>
        <w:t xml:space="preserve">See </w:t>
      </w:r>
      <w:hyperlink r:id="rId214" w:history="1">
        <w:r>
          <w:rPr>
            <w:rStyle w:val="Hyperlink"/>
          </w:rPr>
          <w:t>here</w:t>
        </w:r>
      </w:hyperlink>
      <w:r>
        <w:t xml:space="preserve"> for more information.</w:t>
      </w:r>
    </w:p>
  </w:footnote>
  <w:footnote w:id="294">
    <w:p w:rsidR="001B65FF" w:rsidRDefault="003E4EF4">
      <w:pPr>
        <w:pStyle w:val="FootnoteText"/>
        <w:spacing w:after="0"/>
      </w:pPr>
      <w:r>
        <w:rPr>
          <w:rStyle w:val="FootnoteReference"/>
        </w:rPr>
        <w:footnoteRef/>
      </w:r>
      <w:r>
        <w:t xml:space="preserve"> </w:t>
      </w:r>
      <w:r>
        <w:tab/>
        <w:t xml:space="preserve">For an overview </w:t>
      </w:r>
      <w:r>
        <w:t xml:space="preserve">of European ones, see </w:t>
      </w:r>
      <w:hyperlink r:id="rId215" w:history="1">
        <w:r>
          <w:rPr>
            <w:rStyle w:val="Hyperlink"/>
          </w:rPr>
          <w:t>here</w:t>
        </w:r>
      </w:hyperlink>
      <w:r>
        <w:t>.</w:t>
      </w:r>
    </w:p>
  </w:footnote>
  <w:footnote w:id="295">
    <w:p w:rsidR="001B65FF" w:rsidRDefault="003E4EF4">
      <w:pPr>
        <w:pStyle w:val="FootnoteText"/>
      </w:pPr>
      <w:r>
        <w:rPr>
          <w:rStyle w:val="FootnoteReference"/>
        </w:rPr>
        <w:footnoteRef/>
      </w:r>
      <w:r>
        <w:t xml:space="preserve"> </w:t>
      </w:r>
      <w:r>
        <w:tab/>
        <w:t xml:space="preserve">Council of European National Top-Level Domain Registries (CENTR), </w:t>
      </w:r>
      <w:hyperlink r:id="rId216" w:history="1">
        <w:r>
          <w:rPr>
            <w:rStyle w:val="Hyperlink"/>
          </w:rPr>
          <w:t>DomainWire – Global TLD Stat Report, Q1 2017</w:t>
        </w:r>
      </w:hyperlink>
      <w:r>
        <w:t xml:space="preserve">. </w:t>
      </w:r>
    </w:p>
  </w:footnote>
  <w:footnote w:id="296">
    <w:p w:rsidR="001B65FF" w:rsidRDefault="003E4EF4">
      <w:pPr>
        <w:pStyle w:val="FootnoteText"/>
        <w:spacing w:after="0"/>
      </w:pPr>
      <w:r>
        <w:rPr>
          <w:rStyle w:val="FootnoteReference"/>
        </w:rPr>
        <w:footnoteRef/>
      </w:r>
      <w:r>
        <w:t xml:space="preserve"> </w:t>
      </w:r>
      <w:r>
        <w:tab/>
        <w:t xml:space="preserve">Governmental Advisory Committee (GAC), </w:t>
      </w:r>
      <w:hyperlink r:id="rId217" w:history="1">
        <w:r>
          <w:rPr>
            <w:rStyle w:val="Hyperlink"/>
          </w:rPr>
          <w:t>Consensus Advice to the ICANN Board of 1 November 2017</w:t>
        </w:r>
      </w:hyperlink>
      <w:r>
        <w:t xml:space="preserve">, p11. </w:t>
      </w:r>
    </w:p>
  </w:footnote>
  <w:footnote w:id="297">
    <w:p w:rsidR="001B65FF" w:rsidRDefault="003E4EF4">
      <w:pPr>
        <w:pStyle w:val="FootnoteText"/>
        <w:spacing w:after="0"/>
      </w:pPr>
      <w:r>
        <w:rPr>
          <w:rStyle w:val="FootnoteReference"/>
        </w:rPr>
        <w:footnoteRef/>
      </w:r>
      <w:r>
        <w:t xml:space="preserve"> </w:t>
      </w:r>
      <w:r>
        <w:tab/>
      </w:r>
      <w:r>
        <w:rPr>
          <w:bCs/>
        </w:rPr>
        <w:t xml:space="preserve">Joint Communication to the European Parliament and the Council - Resilience, Deterrence and Defence: Building strong cybersecurity for the EU, </w:t>
      </w:r>
      <w:hyperlink r:id="rId218" w:history="1">
        <w:r>
          <w:rPr>
            <w:rStyle w:val="Hyperlink"/>
          </w:rPr>
          <w:t>JOIN(2017) 450 final</w:t>
        </w:r>
      </w:hyperlink>
      <w:r>
        <w:t>.</w:t>
      </w:r>
    </w:p>
  </w:footnote>
  <w:footnote w:id="298">
    <w:p w:rsidR="001B65FF" w:rsidRDefault="003E4EF4">
      <w:pPr>
        <w:pStyle w:val="FootnoteText"/>
      </w:pPr>
      <w:r>
        <w:rPr>
          <w:rStyle w:val="FootnoteReference"/>
        </w:rPr>
        <w:footnoteRef/>
      </w:r>
      <w:r>
        <w:t xml:space="preserve"> </w:t>
      </w:r>
      <w:r>
        <w:tab/>
      </w:r>
      <w:r>
        <w:t xml:space="preserve">See announcement </w:t>
      </w:r>
      <w:hyperlink r:id="rId219" w:history="1">
        <w:r>
          <w:rPr>
            <w:rStyle w:val="Hyperlink"/>
          </w:rPr>
          <w:t>here</w:t>
        </w:r>
      </w:hyperlink>
      <w:r>
        <w:t>.</w:t>
      </w:r>
    </w:p>
  </w:footnote>
  <w:footnote w:id="299">
    <w:p w:rsidR="001B65FF" w:rsidRDefault="003E4EF4">
      <w:pPr>
        <w:pStyle w:val="FootnoteText"/>
        <w:spacing w:after="0"/>
      </w:pPr>
      <w:r>
        <w:rPr>
          <w:rStyle w:val="FootnoteReference"/>
          <w:rFonts w:eastAsiaTheme="majorEastAsia"/>
        </w:rPr>
        <w:footnoteRef/>
      </w:r>
      <w:r>
        <w:t xml:space="preserve"> </w:t>
      </w:r>
      <w:r>
        <w:tab/>
        <w:t>It represents over 2300 ISPs across the EU and EFTA countries - including ISPs from Austria, Belgium, the Czech Republic, Finland</w:t>
      </w:r>
      <w:r>
        <w:t xml:space="preserve">, France, Germany, Ireland, Italy, Norway, Romania and the UK. See </w:t>
      </w:r>
      <w:hyperlink r:id="rId220" w:history="1">
        <w:r>
          <w:rPr>
            <w:rStyle w:val="Hyperlink"/>
          </w:rPr>
          <w:t>here</w:t>
        </w:r>
      </w:hyperlink>
      <w:r>
        <w:t xml:space="preserve"> for more information .</w:t>
      </w:r>
    </w:p>
  </w:footnote>
  <w:footnote w:id="300">
    <w:p w:rsidR="001B65FF" w:rsidRDefault="003E4EF4">
      <w:pPr>
        <w:pStyle w:val="FootnoteText"/>
        <w:rPr>
          <w:lang w:val="fr-BE"/>
        </w:rPr>
      </w:pPr>
      <w:r>
        <w:rPr>
          <w:rStyle w:val="FootnoteReference"/>
        </w:rPr>
        <w:footnoteRef/>
      </w:r>
      <w:r>
        <w:t xml:space="preserve"> </w:t>
      </w:r>
      <w:r>
        <w:rPr>
          <w:lang w:val="fr-BE"/>
        </w:rPr>
        <w:tab/>
        <w:t xml:space="preserve">Accessible </w:t>
      </w:r>
      <w:hyperlink r:id="rId221" w:history="1">
        <w:r>
          <w:rPr>
            <w:rStyle w:val="Hyperlink"/>
            <w:lang w:val="fr-BE"/>
          </w:rPr>
          <w:t>here</w:t>
        </w:r>
      </w:hyperlink>
      <w:r>
        <w:rPr>
          <w:lang w:val="fr-BE"/>
        </w:rPr>
        <w:t>.</w:t>
      </w:r>
    </w:p>
  </w:footnote>
  <w:footnote w:id="301">
    <w:p w:rsidR="001B65FF" w:rsidRDefault="003E4EF4">
      <w:pPr>
        <w:pStyle w:val="FootnoteText"/>
      </w:pPr>
      <w:r>
        <w:rPr>
          <w:rStyle w:val="FootnoteReference"/>
        </w:rPr>
        <w:footnoteRef/>
      </w:r>
      <w:r>
        <w:t xml:space="preserve"> </w:t>
      </w:r>
      <w:r>
        <w:tab/>
        <w:t xml:space="preserve">Accessible </w:t>
      </w:r>
      <w:hyperlink r:id="rId222" w:history="1">
        <w:r>
          <w:rPr>
            <w:rStyle w:val="Hyperlink"/>
          </w:rPr>
          <w:t>here</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4" w:rsidRPr="003E4EF4" w:rsidRDefault="003E4EF4" w:rsidP="003E4EF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p w:rsidR="001B65FF" w:rsidRDefault="001B65F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p w:rsidR="001B65FF" w:rsidRDefault="001B65F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p w:rsidR="001B65FF" w:rsidRDefault="001B65FF"/>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p w:rsidR="001B65FF" w:rsidRDefault="001B65F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p w:rsidR="001B65FF" w:rsidRDefault="001B65FF"/>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p w:rsidR="001B65FF" w:rsidRDefault="001B65FF"/>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4" w:rsidRPr="003E4EF4" w:rsidRDefault="003E4EF4" w:rsidP="003E4EF4">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4" w:rsidRPr="003E4EF4" w:rsidRDefault="003E4EF4" w:rsidP="003E4EF4">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p w:rsidR="001B65FF" w:rsidRDefault="001B65FF"/>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FF" w:rsidRDefault="001B65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CD8118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16C4B1D"/>
    <w:multiLevelType w:val="hybridMultilevel"/>
    <w:tmpl w:val="5AE69046"/>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nsid w:val="01990214"/>
    <w:multiLevelType w:val="hybridMultilevel"/>
    <w:tmpl w:val="C8B69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0525C5"/>
    <w:multiLevelType w:val="hybridMultilevel"/>
    <w:tmpl w:val="70E8E2AC"/>
    <w:lvl w:ilvl="0" w:tplc="04090001">
      <w:start w:val="1"/>
      <w:numFmt w:val="bullet"/>
      <w:lvlText w:val=""/>
      <w:lvlJc w:val="left"/>
      <w:pPr>
        <w:ind w:left="776" w:hanging="360"/>
      </w:pPr>
      <w:rPr>
        <w:rFonts w:ascii="Symbol" w:hAnsi="Symbol" w:hint="default"/>
        <w:color w:val="auto"/>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nsid w:val="03354A87"/>
    <w:multiLevelType w:val="hybridMultilevel"/>
    <w:tmpl w:val="5F76A7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119C2"/>
    <w:multiLevelType w:val="hybridMultilevel"/>
    <w:tmpl w:val="D772B0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C15A04"/>
    <w:multiLevelType w:val="hybridMultilevel"/>
    <w:tmpl w:val="B7327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7880C87"/>
    <w:multiLevelType w:val="hybridMultilevel"/>
    <w:tmpl w:val="4E02FABE"/>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nsid w:val="081A0346"/>
    <w:multiLevelType w:val="hybridMultilevel"/>
    <w:tmpl w:val="8F42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752FCF"/>
    <w:multiLevelType w:val="hybridMultilevel"/>
    <w:tmpl w:val="95F6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8AC603E"/>
    <w:multiLevelType w:val="hybridMultilevel"/>
    <w:tmpl w:val="918E80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8B23960"/>
    <w:multiLevelType w:val="hybridMultilevel"/>
    <w:tmpl w:val="6C12543E"/>
    <w:lvl w:ilvl="0" w:tplc="50DA4A2E">
      <w:start w:val="1"/>
      <w:numFmt w:val="bullet"/>
      <w:lvlText w:val=""/>
      <w:lvlJc w:val="left"/>
      <w:pPr>
        <w:ind w:left="720" w:hanging="360"/>
      </w:pPr>
      <w:rPr>
        <w:rFonts w:ascii="Symbol" w:hAnsi="Symbol" w:hint="default"/>
        <w:sz w:val="24"/>
      </w:rPr>
    </w:lvl>
    <w:lvl w:ilvl="1" w:tplc="AEF698AA">
      <w:start w:val="1"/>
      <w:numFmt w:val="bullet"/>
      <w:lvlText w:val="o"/>
      <w:lvlJc w:val="left"/>
      <w:pPr>
        <w:ind w:left="1440" w:hanging="360"/>
      </w:pPr>
      <w:rPr>
        <w:rFonts w:ascii="Courier New" w:hAnsi="Courier New" w:cs="Courier New"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966861"/>
    <w:multiLevelType w:val="hybridMultilevel"/>
    <w:tmpl w:val="45F88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A1215C2"/>
    <w:multiLevelType w:val="hybridMultilevel"/>
    <w:tmpl w:val="96EE8E42"/>
    <w:lvl w:ilvl="0" w:tplc="FD5A1C26">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F13E07"/>
    <w:multiLevelType w:val="hybridMultilevel"/>
    <w:tmpl w:val="BB46F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C0E3683"/>
    <w:multiLevelType w:val="hybridMultilevel"/>
    <w:tmpl w:val="95149F36"/>
    <w:lvl w:ilvl="0" w:tplc="527E049E">
      <w:start w:val="1"/>
      <w:numFmt w:val="decimal"/>
      <w:lvlText w:val="%1)"/>
      <w:lvlJc w:val="left"/>
      <w:pPr>
        <w:ind w:left="360" w:hanging="360"/>
      </w:pPr>
      <w:rPr>
        <w:b w:val="0"/>
      </w:rPr>
    </w:lvl>
    <w:lvl w:ilvl="1" w:tplc="08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CDE44E3"/>
    <w:multiLevelType w:val="hybridMultilevel"/>
    <w:tmpl w:val="EEACE29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0D0B0AB1"/>
    <w:multiLevelType w:val="hybridMultilevel"/>
    <w:tmpl w:val="9872F6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D716488"/>
    <w:multiLevelType w:val="hybridMultilevel"/>
    <w:tmpl w:val="3578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DEF475F"/>
    <w:multiLevelType w:val="hybridMultilevel"/>
    <w:tmpl w:val="87A2E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E4E7FDD"/>
    <w:multiLevelType w:val="hybridMultilevel"/>
    <w:tmpl w:val="11C04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E6F688F"/>
    <w:multiLevelType w:val="hybridMultilevel"/>
    <w:tmpl w:val="B9C2F6EC"/>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8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EA174D2"/>
    <w:multiLevelType w:val="hybridMultilevel"/>
    <w:tmpl w:val="D8AC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D53271"/>
    <w:multiLevelType w:val="hybridMultilevel"/>
    <w:tmpl w:val="843ED43A"/>
    <w:lvl w:ilvl="0" w:tplc="0409001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ED53374"/>
    <w:multiLevelType w:val="hybridMultilevel"/>
    <w:tmpl w:val="AAEEFF18"/>
    <w:lvl w:ilvl="0" w:tplc="04090003">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0F0613E3"/>
    <w:multiLevelType w:val="hybridMultilevel"/>
    <w:tmpl w:val="478EA52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0F5904E9"/>
    <w:multiLevelType w:val="hybridMultilevel"/>
    <w:tmpl w:val="2250AF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0FD51D59"/>
    <w:multiLevelType w:val="hybridMultilevel"/>
    <w:tmpl w:val="367A71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0FEB6CE9"/>
    <w:multiLevelType w:val="hybridMultilevel"/>
    <w:tmpl w:val="93A48B98"/>
    <w:lvl w:ilvl="0" w:tplc="04090001">
      <w:start w:val="1"/>
      <w:numFmt w:val="bullet"/>
      <w:lvlText w:val=""/>
      <w:lvlJc w:val="left"/>
      <w:pPr>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8F702202">
      <w:start w:val="1"/>
      <w:numFmt w:val="bullet"/>
      <w:lvlText w:val="o"/>
      <w:lvlJc w:val="left"/>
      <w:pPr>
        <w:ind w:left="2520" w:hanging="360"/>
      </w:pPr>
      <w:rPr>
        <w:rFonts w:ascii="Courier New" w:hAnsi="Courier New" w:cs="Courier New" w:hint="default"/>
        <w:sz w:val="24"/>
        <w:szCs w:val="24"/>
      </w:rPr>
    </w:lvl>
    <w:lvl w:ilvl="3" w:tplc="08090005">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09712AA"/>
    <w:multiLevelType w:val="hybridMultilevel"/>
    <w:tmpl w:val="477E2EF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10B63CEC"/>
    <w:multiLevelType w:val="hybridMultilevel"/>
    <w:tmpl w:val="F886D3B2"/>
    <w:lvl w:ilvl="0" w:tplc="DA6AC012">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10C86F78"/>
    <w:multiLevelType w:val="hybridMultilevel"/>
    <w:tmpl w:val="614C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11F014E"/>
    <w:multiLevelType w:val="hybridMultilevel"/>
    <w:tmpl w:val="80B89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1C2636D"/>
    <w:multiLevelType w:val="hybridMultilevel"/>
    <w:tmpl w:val="80B89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21D0692"/>
    <w:multiLevelType w:val="hybridMultilevel"/>
    <w:tmpl w:val="9E8CDC0C"/>
    <w:lvl w:ilvl="0" w:tplc="04090003">
      <w:start w:val="1"/>
      <w:numFmt w:val="bullet"/>
      <w:lvlText w:val="o"/>
      <w:lvlJc w:val="left"/>
      <w:pPr>
        <w:ind w:left="1875" w:hanging="360"/>
      </w:pPr>
      <w:rPr>
        <w:rFonts w:ascii="Courier New" w:hAnsi="Courier New" w:cs="Courier New"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35">
    <w:nsid w:val="122E23F0"/>
    <w:multiLevelType w:val="hybridMultilevel"/>
    <w:tmpl w:val="DED0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2712D61"/>
    <w:multiLevelType w:val="multilevel"/>
    <w:tmpl w:val="E2BAA640"/>
    <w:lvl w:ilvl="0">
      <w:start w:val="1"/>
      <w:numFmt w:val="decimal"/>
      <w:lvlText w:val="%1."/>
      <w:lvlJc w:val="left"/>
      <w:pPr>
        <w:tabs>
          <w:tab w:val="num" w:pos="480"/>
        </w:tabs>
        <w:ind w:left="480" w:hanging="480"/>
      </w:pPr>
    </w:lvl>
    <w:lvl w:ilvl="1">
      <w:start w:val="1"/>
      <w:numFmt w:val="decimal"/>
      <w:lvlText w:val="%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2946161"/>
    <w:multiLevelType w:val="hybridMultilevel"/>
    <w:tmpl w:val="3DA8CC0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8">
    <w:nsid w:val="12E057A1"/>
    <w:multiLevelType w:val="hybridMultilevel"/>
    <w:tmpl w:val="A87AD9FC"/>
    <w:lvl w:ilvl="0" w:tplc="04090011">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31C4FC8"/>
    <w:multiLevelType w:val="hybridMultilevel"/>
    <w:tmpl w:val="F80EDF6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36B28A9"/>
    <w:multiLevelType w:val="hybridMultilevel"/>
    <w:tmpl w:val="1A800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3AF5080"/>
    <w:multiLevelType w:val="hybridMultilevel"/>
    <w:tmpl w:val="78DAB0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3">
    <w:nsid w:val="16101DF0"/>
    <w:multiLevelType w:val="hybridMultilevel"/>
    <w:tmpl w:val="554EE4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6765AF4"/>
    <w:multiLevelType w:val="hybridMultilevel"/>
    <w:tmpl w:val="F4309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67D630E"/>
    <w:multiLevelType w:val="hybridMultilevel"/>
    <w:tmpl w:val="65722C32"/>
    <w:lvl w:ilvl="0" w:tplc="04090003">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67F3EF3"/>
    <w:multiLevelType w:val="hybridMultilevel"/>
    <w:tmpl w:val="69EA92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179E3650"/>
    <w:multiLevelType w:val="hybridMultilevel"/>
    <w:tmpl w:val="CA2A6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7BE04FE"/>
    <w:multiLevelType w:val="hybridMultilevel"/>
    <w:tmpl w:val="8C309C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7EA3031"/>
    <w:multiLevelType w:val="hybridMultilevel"/>
    <w:tmpl w:val="2278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88D05A9"/>
    <w:multiLevelType w:val="hybridMultilevel"/>
    <w:tmpl w:val="B2F299E6"/>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18B16F47"/>
    <w:multiLevelType w:val="hybridMultilevel"/>
    <w:tmpl w:val="9300CAE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1969763B"/>
    <w:multiLevelType w:val="hybridMultilevel"/>
    <w:tmpl w:val="1FAC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AD45E1F"/>
    <w:multiLevelType w:val="hybridMultilevel"/>
    <w:tmpl w:val="DD18747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B356FCB"/>
    <w:multiLevelType w:val="hybridMultilevel"/>
    <w:tmpl w:val="3A6232F2"/>
    <w:lvl w:ilvl="0" w:tplc="119E43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BA96445"/>
    <w:multiLevelType w:val="hybridMultilevel"/>
    <w:tmpl w:val="9B2EA7B2"/>
    <w:lvl w:ilvl="0" w:tplc="04090011">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C356534"/>
    <w:multiLevelType w:val="hybridMultilevel"/>
    <w:tmpl w:val="A6127C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1C4705CC"/>
    <w:multiLevelType w:val="hybridMultilevel"/>
    <w:tmpl w:val="1004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1C9D58DE"/>
    <w:multiLevelType w:val="hybridMultilevel"/>
    <w:tmpl w:val="2932B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1CD42C9B"/>
    <w:multiLevelType w:val="hybridMultilevel"/>
    <w:tmpl w:val="0534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CF52BED"/>
    <w:multiLevelType w:val="hybridMultilevel"/>
    <w:tmpl w:val="843ED43A"/>
    <w:lvl w:ilvl="0" w:tplc="0409001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1D4C2CE4"/>
    <w:multiLevelType w:val="hybridMultilevel"/>
    <w:tmpl w:val="37D8C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1DC96DE4"/>
    <w:multiLevelType w:val="hybridMultilevel"/>
    <w:tmpl w:val="3AC89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E6534BD"/>
    <w:multiLevelType w:val="hybridMultilevel"/>
    <w:tmpl w:val="DD06E2D0"/>
    <w:lvl w:ilvl="0" w:tplc="119E4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EDF7B16"/>
    <w:multiLevelType w:val="hybridMultilevel"/>
    <w:tmpl w:val="4C98E048"/>
    <w:lvl w:ilvl="0" w:tplc="08090017">
      <w:start w:val="1"/>
      <w:numFmt w:val="lowerLetter"/>
      <w:lvlText w:val="%1)"/>
      <w:lvlJc w:val="left"/>
      <w:pPr>
        <w:ind w:left="720" w:hanging="360"/>
      </w:pPr>
      <w:rPr>
        <w:rFonts w:hint="default"/>
        <w:b w:val="0"/>
      </w:rPr>
    </w:lvl>
    <w:lvl w:ilvl="1" w:tplc="43B02F88">
      <w:start w:val="1"/>
      <w:numFmt w:val="bullet"/>
      <w:lvlText w:val="o"/>
      <w:lvlJc w:val="left"/>
      <w:pPr>
        <w:ind w:left="1440" w:hanging="360"/>
      </w:pPr>
      <w:rPr>
        <w:rFonts w:ascii="Courier New" w:hAnsi="Courier New" w:cs="Courier New" w:hint="default"/>
        <w:color w:val="auto"/>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F734306"/>
    <w:multiLevelType w:val="multilevel"/>
    <w:tmpl w:val="EBB28E6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nsid w:val="200E68E7"/>
    <w:multiLevelType w:val="hybridMultilevel"/>
    <w:tmpl w:val="8292871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02F5EFA"/>
    <w:multiLevelType w:val="hybridMultilevel"/>
    <w:tmpl w:val="D458D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03A1979"/>
    <w:multiLevelType w:val="hybridMultilevel"/>
    <w:tmpl w:val="7780DCEA"/>
    <w:lvl w:ilvl="0" w:tplc="04090011">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18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207B4056"/>
    <w:multiLevelType w:val="hybridMultilevel"/>
    <w:tmpl w:val="D3D8A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1020ACF"/>
    <w:multiLevelType w:val="hybridMultilevel"/>
    <w:tmpl w:val="B8DEC2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nsid w:val="21184872"/>
    <w:multiLevelType w:val="hybridMultilevel"/>
    <w:tmpl w:val="0D223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2C10C26"/>
    <w:multiLevelType w:val="hybridMultilevel"/>
    <w:tmpl w:val="D1205380"/>
    <w:lvl w:ilvl="0" w:tplc="08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22CD39AA"/>
    <w:multiLevelType w:val="hybridMultilevel"/>
    <w:tmpl w:val="CE6A6CEE"/>
    <w:lvl w:ilvl="0" w:tplc="0409001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236210A6"/>
    <w:multiLevelType w:val="hybridMultilevel"/>
    <w:tmpl w:val="C4B28BC4"/>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75">
    <w:nsid w:val="23B50831"/>
    <w:multiLevelType w:val="hybridMultilevel"/>
    <w:tmpl w:val="A0FEADBA"/>
    <w:lvl w:ilvl="0" w:tplc="08090005">
      <w:start w:val="1"/>
      <w:numFmt w:val="bullet"/>
      <w:lvlText w:val=""/>
      <w:lvlJc w:val="left"/>
      <w:pPr>
        <w:ind w:left="1800" w:hanging="360"/>
      </w:pPr>
      <w:rPr>
        <w:rFonts w:ascii="Wingdings" w:hAnsi="Wingdings" w:hint="default"/>
        <w:sz w:val="24"/>
      </w:rPr>
    </w:lvl>
    <w:lvl w:ilvl="1" w:tplc="04090005">
      <w:start w:val="1"/>
      <w:numFmt w:val="bullet"/>
      <w:lvlText w:val=""/>
      <w:lvlJc w:val="left"/>
      <w:pPr>
        <w:ind w:left="2520" w:hanging="360"/>
      </w:pPr>
      <w:rPr>
        <w:rFonts w:ascii="Wingdings" w:hAnsi="Wingdings"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nsid w:val="23CA3D60"/>
    <w:multiLevelType w:val="hybridMultilevel"/>
    <w:tmpl w:val="A1642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24A46A66"/>
    <w:multiLevelType w:val="hybridMultilevel"/>
    <w:tmpl w:val="9DE28F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25155380"/>
    <w:multiLevelType w:val="hybridMultilevel"/>
    <w:tmpl w:val="566A9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5806A54"/>
    <w:multiLevelType w:val="hybridMultilevel"/>
    <w:tmpl w:val="DFAA3CC4"/>
    <w:lvl w:ilvl="0" w:tplc="E5D83D26">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259C1D7E"/>
    <w:multiLevelType w:val="hybridMultilevel"/>
    <w:tmpl w:val="628C2848"/>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269B49F7"/>
    <w:multiLevelType w:val="hybridMultilevel"/>
    <w:tmpl w:val="80B89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26E83F3A"/>
    <w:multiLevelType w:val="hybridMultilevel"/>
    <w:tmpl w:val="B5502D4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3">
    <w:nsid w:val="2701096E"/>
    <w:multiLevelType w:val="hybridMultilevel"/>
    <w:tmpl w:val="4C4A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70402DF"/>
    <w:multiLevelType w:val="hybridMultilevel"/>
    <w:tmpl w:val="11EA9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27910E3A"/>
    <w:multiLevelType w:val="hybridMultilevel"/>
    <w:tmpl w:val="F620E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7D2DDFA">
      <w:start w:val="1"/>
      <w:numFmt w:val="bullet"/>
      <w:lvlText w:val=""/>
      <w:lvlJc w:val="left"/>
      <w:pPr>
        <w:ind w:left="2160" w:hanging="360"/>
      </w:pPr>
      <w:rPr>
        <w:rFonts w:ascii="Symbol" w:hAnsi="Symbol" w:hint="default"/>
        <w:sz w:val="24"/>
        <w:szCs w:val="24"/>
      </w:rPr>
    </w:lvl>
    <w:lvl w:ilvl="3" w:tplc="08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7A4662C"/>
    <w:multiLevelType w:val="hybridMultilevel"/>
    <w:tmpl w:val="F3C2F9C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nsid w:val="28C07E82"/>
    <w:multiLevelType w:val="hybridMultilevel"/>
    <w:tmpl w:val="0AC6D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28C11C61"/>
    <w:multiLevelType w:val="hybridMultilevel"/>
    <w:tmpl w:val="D1205380"/>
    <w:lvl w:ilvl="0" w:tplc="08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2A1B7EFB"/>
    <w:multiLevelType w:val="hybridMultilevel"/>
    <w:tmpl w:val="5B1A83EA"/>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B78646F"/>
    <w:multiLevelType w:val="hybridMultilevel"/>
    <w:tmpl w:val="A20C0E8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2C3B1AB6"/>
    <w:multiLevelType w:val="hybridMultilevel"/>
    <w:tmpl w:val="0C1CF3F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2C74295F"/>
    <w:multiLevelType w:val="hybridMultilevel"/>
    <w:tmpl w:val="673A71E6"/>
    <w:lvl w:ilvl="0" w:tplc="3952858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nsid w:val="2D320F0E"/>
    <w:multiLevelType w:val="hybridMultilevel"/>
    <w:tmpl w:val="B1AEF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2D5B43F5"/>
    <w:multiLevelType w:val="hybridMultilevel"/>
    <w:tmpl w:val="B0320B60"/>
    <w:lvl w:ilvl="0" w:tplc="08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8F702202">
      <w:start w:val="1"/>
      <w:numFmt w:val="bullet"/>
      <w:lvlText w:val="o"/>
      <w:lvlJc w:val="left"/>
      <w:pPr>
        <w:ind w:left="2520" w:hanging="360"/>
      </w:pPr>
      <w:rPr>
        <w:rFonts w:ascii="Courier New" w:hAnsi="Courier New" w:cs="Courier New" w:hint="default"/>
        <w:sz w:val="24"/>
        <w:szCs w:val="24"/>
      </w:rPr>
    </w:lvl>
    <w:lvl w:ilvl="3" w:tplc="08090005">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2D997F4C"/>
    <w:multiLevelType w:val="hybridMultilevel"/>
    <w:tmpl w:val="9972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E2E5FDD"/>
    <w:multiLevelType w:val="hybridMultilevel"/>
    <w:tmpl w:val="1A800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EB62ABF"/>
    <w:multiLevelType w:val="hybridMultilevel"/>
    <w:tmpl w:val="8258058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3">
      <w:start w:val="1"/>
      <w:numFmt w:val="bullet"/>
      <w:lvlText w:val="o"/>
      <w:lvlJc w:val="left"/>
      <w:pPr>
        <w:ind w:left="1080" w:hanging="360"/>
      </w:pPr>
      <w:rPr>
        <w:rFonts w:ascii="Courier New" w:hAnsi="Courier New" w:cs="Courier New"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9">
    <w:nsid w:val="2F621187"/>
    <w:multiLevelType w:val="hybridMultilevel"/>
    <w:tmpl w:val="5CCC866C"/>
    <w:lvl w:ilvl="0" w:tplc="E5D83D26">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30CB1842"/>
    <w:multiLevelType w:val="hybridMultilevel"/>
    <w:tmpl w:val="C79A19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0F32477"/>
    <w:multiLevelType w:val="hybridMultilevel"/>
    <w:tmpl w:val="20D63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31CC2AA1"/>
    <w:multiLevelType w:val="hybridMultilevel"/>
    <w:tmpl w:val="2B5E2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2A6357D"/>
    <w:multiLevelType w:val="hybridMultilevel"/>
    <w:tmpl w:val="8A30B59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33BB55F1"/>
    <w:multiLevelType w:val="hybridMultilevel"/>
    <w:tmpl w:val="8624A256"/>
    <w:lvl w:ilvl="0" w:tplc="03C85F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3446110A"/>
    <w:multiLevelType w:val="hybridMultilevel"/>
    <w:tmpl w:val="9E465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54263B7"/>
    <w:multiLevelType w:val="hybridMultilevel"/>
    <w:tmpl w:val="4AAAD8BC"/>
    <w:lvl w:ilvl="0" w:tplc="2744CA5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5D02231"/>
    <w:multiLevelType w:val="multilevel"/>
    <w:tmpl w:val="08643ECC"/>
    <w:lvl w:ilvl="0">
      <w:start w:val="1"/>
      <w:numFmt w:val="decimal"/>
      <w:lvlText w:val="%1."/>
      <w:lvlJc w:val="left"/>
      <w:pPr>
        <w:tabs>
          <w:tab w:val="num" w:pos="480"/>
        </w:tabs>
        <w:ind w:left="480" w:hanging="480"/>
      </w:pPr>
      <w:rPr>
        <w:rFonts w:hint="default"/>
      </w:rPr>
    </w:lvl>
    <w:lvl w:ilvl="1">
      <w:start w:val="1"/>
      <w:numFmt w:val="decimal"/>
      <w:lvlText w:val="%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8">
    <w:nsid w:val="35F008A3"/>
    <w:multiLevelType w:val="hybridMultilevel"/>
    <w:tmpl w:val="7E46BBEA"/>
    <w:lvl w:ilvl="0" w:tplc="7B26C8F6">
      <w:start w:val="1"/>
      <w:numFmt w:val="decimal"/>
      <w:lvlText w:val="%1)"/>
      <w:lvlJc w:val="left"/>
      <w:pPr>
        <w:ind w:left="360" w:hanging="360"/>
      </w:pPr>
      <w:rPr>
        <w:b w:val="0"/>
      </w:rPr>
    </w:lvl>
    <w:lvl w:ilvl="1" w:tplc="08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369F3DC2"/>
    <w:multiLevelType w:val="hybridMultilevel"/>
    <w:tmpl w:val="0C160D0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36AF1423"/>
    <w:multiLevelType w:val="hybridMultilevel"/>
    <w:tmpl w:val="4A82E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7A1609C"/>
    <w:multiLevelType w:val="hybridMultilevel"/>
    <w:tmpl w:val="3890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37CB24D3"/>
    <w:multiLevelType w:val="hybridMultilevel"/>
    <w:tmpl w:val="D9AA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8C36259"/>
    <w:multiLevelType w:val="hybridMultilevel"/>
    <w:tmpl w:val="87AE82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3B056FD6"/>
    <w:multiLevelType w:val="hybridMultilevel"/>
    <w:tmpl w:val="98DEE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nsid w:val="3B1A239C"/>
    <w:multiLevelType w:val="hybridMultilevel"/>
    <w:tmpl w:val="968625C8"/>
    <w:lvl w:ilvl="0" w:tplc="04100001">
      <w:start w:val="1"/>
      <w:numFmt w:val="bullet"/>
      <w:lvlText w:val=""/>
      <w:lvlJc w:val="left"/>
      <w:pPr>
        <w:ind w:left="456" w:hanging="360"/>
      </w:pPr>
      <w:rPr>
        <w:rFonts w:ascii="Symbol" w:hAnsi="Symbol" w:hint="default"/>
      </w:rPr>
    </w:lvl>
    <w:lvl w:ilvl="1" w:tplc="04100003">
      <w:start w:val="1"/>
      <w:numFmt w:val="bullet"/>
      <w:lvlText w:val="o"/>
      <w:lvlJc w:val="left"/>
      <w:pPr>
        <w:ind w:left="1176" w:hanging="360"/>
      </w:pPr>
      <w:rPr>
        <w:rFonts w:ascii="Courier New" w:hAnsi="Courier New" w:cs="Courier New" w:hint="default"/>
      </w:rPr>
    </w:lvl>
    <w:lvl w:ilvl="2" w:tplc="04100005">
      <w:start w:val="1"/>
      <w:numFmt w:val="bullet"/>
      <w:lvlText w:val=""/>
      <w:lvlJc w:val="left"/>
      <w:pPr>
        <w:ind w:left="1896" w:hanging="360"/>
      </w:pPr>
      <w:rPr>
        <w:rFonts w:ascii="Wingdings" w:hAnsi="Wingdings" w:hint="default"/>
      </w:rPr>
    </w:lvl>
    <w:lvl w:ilvl="3" w:tplc="04100001">
      <w:start w:val="1"/>
      <w:numFmt w:val="bullet"/>
      <w:lvlText w:val=""/>
      <w:lvlJc w:val="left"/>
      <w:pPr>
        <w:ind w:left="2616" w:hanging="360"/>
      </w:pPr>
      <w:rPr>
        <w:rFonts w:ascii="Symbol" w:hAnsi="Symbol" w:hint="default"/>
      </w:rPr>
    </w:lvl>
    <w:lvl w:ilvl="4" w:tplc="04100003">
      <w:start w:val="1"/>
      <w:numFmt w:val="bullet"/>
      <w:lvlText w:val="o"/>
      <w:lvlJc w:val="left"/>
      <w:pPr>
        <w:ind w:left="3336" w:hanging="360"/>
      </w:pPr>
      <w:rPr>
        <w:rFonts w:ascii="Courier New" w:hAnsi="Courier New" w:cs="Courier New" w:hint="default"/>
      </w:rPr>
    </w:lvl>
    <w:lvl w:ilvl="5" w:tplc="04100005">
      <w:start w:val="1"/>
      <w:numFmt w:val="bullet"/>
      <w:lvlText w:val=""/>
      <w:lvlJc w:val="left"/>
      <w:pPr>
        <w:ind w:left="4056" w:hanging="360"/>
      </w:pPr>
      <w:rPr>
        <w:rFonts w:ascii="Wingdings" w:hAnsi="Wingdings" w:hint="default"/>
      </w:rPr>
    </w:lvl>
    <w:lvl w:ilvl="6" w:tplc="04100001">
      <w:start w:val="1"/>
      <w:numFmt w:val="bullet"/>
      <w:lvlText w:val=""/>
      <w:lvlJc w:val="left"/>
      <w:pPr>
        <w:ind w:left="4776" w:hanging="360"/>
      </w:pPr>
      <w:rPr>
        <w:rFonts w:ascii="Symbol" w:hAnsi="Symbol" w:hint="default"/>
      </w:rPr>
    </w:lvl>
    <w:lvl w:ilvl="7" w:tplc="04100003">
      <w:start w:val="1"/>
      <w:numFmt w:val="bullet"/>
      <w:lvlText w:val="o"/>
      <w:lvlJc w:val="left"/>
      <w:pPr>
        <w:ind w:left="5496" w:hanging="360"/>
      </w:pPr>
      <w:rPr>
        <w:rFonts w:ascii="Courier New" w:hAnsi="Courier New" w:cs="Courier New" w:hint="default"/>
      </w:rPr>
    </w:lvl>
    <w:lvl w:ilvl="8" w:tplc="04100005">
      <w:start w:val="1"/>
      <w:numFmt w:val="bullet"/>
      <w:lvlText w:val=""/>
      <w:lvlJc w:val="left"/>
      <w:pPr>
        <w:ind w:left="6216" w:hanging="360"/>
      </w:pPr>
      <w:rPr>
        <w:rFonts w:ascii="Wingdings" w:hAnsi="Wingdings" w:hint="default"/>
      </w:rPr>
    </w:lvl>
  </w:abstractNum>
  <w:abstractNum w:abstractNumId="116">
    <w:nsid w:val="3B2B206B"/>
    <w:multiLevelType w:val="hybridMultilevel"/>
    <w:tmpl w:val="D414A9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3B8060C4"/>
    <w:multiLevelType w:val="multilevel"/>
    <w:tmpl w:val="721897D0"/>
    <w:lvl w:ilvl="0">
      <w:start w:val="1"/>
      <w:numFmt w:val="decimal"/>
      <w:lvlText w:val="%1."/>
      <w:lvlJc w:val="left"/>
      <w:pPr>
        <w:tabs>
          <w:tab w:val="num" w:pos="480"/>
        </w:tabs>
        <w:ind w:left="480" w:hanging="480"/>
      </w:pPr>
      <w:rPr>
        <w:rFonts w:hint="default"/>
      </w:rPr>
    </w:lvl>
    <w:lvl w:ilvl="1">
      <w:start w:val="1"/>
      <w:numFmt w:val="decimal"/>
      <w:lvlText w:val="%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nsid w:val="3BFF7849"/>
    <w:multiLevelType w:val="hybridMultilevel"/>
    <w:tmpl w:val="D3B678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3C37412F"/>
    <w:multiLevelType w:val="hybridMultilevel"/>
    <w:tmpl w:val="E17CDADC"/>
    <w:lvl w:ilvl="0" w:tplc="04090003">
      <w:start w:val="1"/>
      <w:numFmt w:val="bullet"/>
      <w:lvlText w:val="o"/>
      <w:lvlJc w:val="left"/>
      <w:pPr>
        <w:ind w:left="1080" w:hanging="360"/>
      </w:pPr>
      <w:rPr>
        <w:rFonts w:ascii="Courier New" w:hAnsi="Courier New" w:cs="Courier New" w:hint="default"/>
        <w:sz w:val="24"/>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3C8205A0"/>
    <w:multiLevelType w:val="hybridMultilevel"/>
    <w:tmpl w:val="F8CEB9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3CB07319"/>
    <w:multiLevelType w:val="hybridMultilevel"/>
    <w:tmpl w:val="B186D4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3CB418A6"/>
    <w:multiLevelType w:val="hybridMultilevel"/>
    <w:tmpl w:val="A900FCE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24">
    <w:nsid w:val="3D1F1DF2"/>
    <w:multiLevelType w:val="hybridMultilevel"/>
    <w:tmpl w:val="EC46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3D2C7A91"/>
    <w:multiLevelType w:val="hybridMultilevel"/>
    <w:tmpl w:val="BD447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EA62136"/>
    <w:multiLevelType w:val="hybridMultilevel"/>
    <w:tmpl w:val="94E001E2"/>
    <w:lvl w:ilvl="0" w:tplc="08090001">
      <w:start w:val="1"/>
      <w:numFmt w:val="bullet"/>
      <w:lvlText w:val=""/>
      <w:lvlJc w:val="left"/>
      <w:pPr>
        <w:ind w:left="783" w:hanging="360"/>
      </w:pPr>
      <w:rPr>
        <w:rFonts w:ascii="Symbol" w:hAnsi="Symbol" w:hint="default"/>
      </w:rPr>
    </w:lvl>
    <w:lvl w:ilvl="1" w:tplc="75C0C5C4">
      <w:numFmt w:val="bullet"/>
      <w:lvlText w:val="–"/>
      <w:lvlJc w:val="left"/>
      <w:pPr>
        <w:ind w:left="1503" w:hanging="360"/>
      </w:pPr>
      <w:rPr>
        <w:rFonts w:ascii="Times New Roman" w:eastAsiaTheme="minorHAnsi" w:hAnsi="Times New Roman" w:cs="Times New Roman"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7">
    <w:nsid w:val="3EF91594"/>
    <w:multiLevelType w:val="hybridMultilevel"/>
    <w:tmpl w:val="45CC2614"/>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3F1A064A"/>
    <w:multiLevelType w:val="hybridMultilevel"/>
    <w:tmpl w:val="DCD0A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3F6826DB"/>
    <w:multiLevelType w:val="multilevel"/>
    <w:tmpl w:val="E2BAA640"/>
    <w:lvl w:ilvl="0">
      <w:start w:val="1"/>
      <w:numFmt w:val="decimal"/>
      <w:lvlText w:val="%1."/>
      <w:lvlJc w:val="left"/>
      <w:pPr>
        <w:tabs>
          <w:tab w:val="num" w:pos="480"/>
        </w:tabs>
        <w:ind w:left="480" w:hanging="480"/>
      </w:pPr>
    </w:lvl>
    <w:lvl w:ilvl="1">
      <w:start w:val="1"/>
      <w:numFmt w:val="decimal"/>
      <w:lvlText w:val="%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nsid w:val="40234F8E"/>
    <w:multiLevelType w:val="hybridMultilevel"/>
    <w:tmpl w:val="7EE46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17D0943"/>
    <w:multiLevelType w:val="multilevel"/>
    <w:tmpl w:val="8364F5A0"/>
    <w:lvl w:ilvl="0">
      <w:start w:val="1"/>
      <w:numFmt w:val="decimal"/>
      <w:lvlText w:val="%1."/>
      <w:lvlJc w:val="left"/>
      <w:pPr>
        <w:tabs>
          <w:tab w:val="num" w:pos="480"/>
        </w:tabs>
        <w:ind w:left="480" w:hanging="480"/>
      </w:pPr>
      <w:rPr>
        <w:rFonts w:hint="default"/>
      </w:rPr>
    </w:lvl>
    <w:lvl w:ilvl="1">
      <w:start w:val="1"/>
      <w:numFmt w:val="decimal"/>
      <w:lvlText w:val="%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2">
    <w:nsid w:val="42353885"/>
    <w:multiLevelType w:val="hybridMultilevel"/>
    <w:tmpl w:val="AF8614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30D0ED6"/>
    <w:multiLevelType w:val="hybridMultilevel"/>
    <w:tmpl w:val="F25E80D8"/>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4595A99"/>
    <w:multiLevelType w:val="hybridMultilevel"/>
    <w:tmpl w:val="CBAC2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45811A44"/>
    <w:multiLevelType w:val="hybridMultilevel"/>
    <w:tmpl w:val="9516FF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46671607"/>
    <w:multiLevelType w:val="hybridMultilevel"/>
    <w:tmpl w:val="9622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6C35B88"/>
    <w:multiLevelType w:val="hybridMultilevel"/>
    <w:tmpl w:val="3A8ED8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477353A6"/>
    <w:multiLevelType w:val="hybridMultilevel"/>
    <w:tmpl w:val="858266E4"/>
    <w:lvl w:ilvl="0" w:tplc="EECA6994">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478B6E24"/>
    <w:multiLevelType w:val="hybridMultilevel"/>
    <w:tmpl w:val="7610A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7CE74A3"/>
    <w:multiLevelType w:val="hybridMultilevel"/>
    <w:tmpl w:val="175C6DB0"/>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80817DD"/>
    <w:multiLevelType w:val="hybridMultilevel"/>
    <w:tmpl w:val="D8780C32"/>
    <w:lvl w:ilvl="0" w:tplc="0409001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48180FF5"/>
    <w:multiLevelType w:val="hybridMultilevel"/>
    <w:tmpl w:val="A364A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8906E44"/>
    <w:multiLevelType w:val="hybridMultilevel"/>
    <w:tmpl w:val="91EC903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48B9245E"/>
    <w:multiLevelType w:val="hybridMultilevel"/>
    <w:tmpl w:val="BFDE2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48D12BDF"/>
    <w:multiLevelType w:val="hybridMultilevel"/>
    <w:tmpl w:val="5022932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9A7428F"/>
    <w:multiLevelType w:val="hybridMultilevel"/>
    <w:tmpl w:val="80B89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4AE31D16"/>
    <w:multiLevelType w:val="hybridMultilevel"/>
    <w:tmpl w:val="F8B27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C1C109D"/>
    <w:multiLevelType w:val="hybridMultilevel"/>
    <w:tmpl w:val="97F2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4CA776A6"/>
    <w:multiLevelType w:val="hybridMultilevel"/>
    <w:tmpl w:val="A80EA4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nsid w:val="4D881E04"/>
    <w:multiLevelType w:val="hybridMultilevel"/>
    <w:tmpl w:val="92B01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FE831BD"/>
    <w:multiLevelType w:val="hybridMultilevel"/>
    <w:tmpl w:val="C14402B8"/>
    <w:lvl w:ilvl="0" w:tplc="08090005">
      <w:start w:val="1"/>
      <w:numFmt w:val="bullet"/>
      <w:lvlText w:val=""/>
      <w:lvlJc w:val="left"/>
      <w:pPr>
        <w:ind w:left="1800" w:hanging="360"/>
      </w:pPr>
      <w:rPr>
        <w:rFonts w:ascii="Wingdings" w:hAnsi="Wingdings" w:hint="default"/>
        <w:sz w:val="24"/>
      </w:rPr>
    </w:lvl>
    <w:lvl w:ilvl="1" w:tplc="08090001">
      <w:start w:val="1"/>
      <w:numFmt w:val="bullet"/>
      <w:lvlText w:val=""/>
      <w:lvlJc w:val="left"/>
      <w:pPr>
        <w:ind w:left="2520" w:hanging="360"/>
      </w:pPr>
      <w:rPr>
        <w:rFonts w:ascii="Symbol" w:hAnsi="Symbol"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nsid w:val="50BB6EB4"/>
    <w:multiLevelType w:val="hybridMultilevel"/>
    <w:tmpl w:val="A2D40C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51795628"/>
    <w:multiLevelType w:val="hybridMultilevel"/>
    <w:tmpl w:val="7464B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522C3592"/>
    <w:multiLevelType w:val="hybridMultilevel"/>
    <w:tmpl w:val="9B2EA7B2"/>
    <w:lvl w:ilvl="0" w:tplc="04090011">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52BE0137"/>
    <w:multiLevelType w:val="hybridMultilevel"/>
    <w:tmpl w:val="72A812FE"/>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6">
    <w:nsid w:val="536E6C73"/>
    <w:multiLevelType w:val="hybridMultilevel"/>
    <w:tmpl w:val="9CCCD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3E714F0"/>
    <w:multiLevelType w:val="hybridMultilevel"/>
    <w:tmpl w:val="E884A726"/>
    <w:lvl w:ilvl="0" w:tplc="0409001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53EF366D"/>
    <w:multiLevelType w:val="hybridMultilevel"/>
    <w:tmpl w:val="6F0221E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46278C5"/>
    <w:multiLevelType w:val="hybridMultilevel"/>
    <w:tmpl w:val="CC0EDF46"/>
    <w:lvl w:ilvl="0" w:tplc="08090005">
      <w:start w:val="1"/>
      <w:numFmt w:val="bullet"/>
      <w:lvlText w:val=""/>
      <w:lvlJc w:val="left"/>
      <w:pPr>
        <w:ind w:left="1710" w:hanging="360"/>
      </w:pPr>
      <w:rPr>
        <w:rFonts w:ascii="Wingdings" w:hAnsi="Wingdings"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160">
    <w:nsid w:val="54922DBE"/>
    <w:multiLevelType w:val="hybridMultilevel"/>
    <w:tmpl w:val="24763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556C684B"/>
    <w:multiLevelType w:val="hybridMultilevel"/>
    <w:tmpl w:val="3A0C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55B8337A"/>
    <w:multiLevelType w:val="hybridMultilevel"/>
    <w:tmpl w:val="2C2AB712"/>
    <w:lvl w:ilvl="0" w:tplc="0409001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nsid w:val="563A3C36"/>
    <w:multiLevelType w:val="hybridMultilevel"/>
    <w:tmpl w:val="385C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564F5BF6"/>
    <w:multiLevelType w:val="hybridMultilevel"/>
    <w:tmpl w:val="F544B8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56B3597B"/>
    <w:multiLevelType w:val="hybridMultilevel"/>
    <w:tmpl w:val="D7821678"/>
    <w:lvl w:ilvl="0" w:tplc="04090003">
      <w:start w:val="1"/>
      <w:numFmt w:val="bullet"/>
      <w:lvlText w:val="o"/>
      <w:lvlJc w:val="left"/>
      <w:pPr>
        <w:ind w:left="1080" w:hanging="360"/>
      </w:pPr>
      <w:rPr>
        <w:rFonts w:ascii="Courier New" w:hAnsi="Courier New" w:cs="Courier New" w:hint="default"/>
        <w:color w:val="auto"/>
      </w:rPr>
    </w:lvl>
    <w:lvl w:ilvl="1" w:tplc="8F702202">
      <w:start w:val="1"/>
      <w:numFmt w:val="bullet"/>
      <w:lvlText w:val="o"/>
      <w:lvlJc w:val="left"/>
      <w:pPr>
        <w:ind w:left="1800" w:hanging="360"/>
      </w:pPr>
      <w:rPr>
        <w:rFonts w:ascii="Courier New" w:hAnsi="Courier New" w:cs="Courier New" w:hint="default"/>
        <w:sz w:val="24"/>
        <w:szCs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56F06BB3"/>
    <w:multiLevelType w:val="hybridMultilevel"/>
    <w:tmpl w:val="9654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76D2CC0"/>
    <w:multiLevelType w:val="hybridMultilevel"/>
    <w:tmpl w:val="7676314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nsid w:val="58394441"/>
    <w:multiLevelType w:val="hybridMultilevel"/>
    <w:tmpl w:val="DB3AC6F4"/>
    <w:lvl w:ilvl="0" w:tplc="08090001">
      <w:start w:val="1"/>
      <w:numFmt w:val="bullet"/>
      <w:lvlText w:val=""/>
      <w:lvlJc w:val="left"/>
      <w:pPr>
        <w:ind w:left="720" w:hanging="360"/>
      </w:pPr>
      <w:rPr>
        <w:rFonts w:ascii="Symbol" w:hAnsi="Symbol" w:hint="default"/>
      </w:rPr>
    </w:lvl>
    <w:lvl w:ilvl="1" w:tplc="6490448E">
      <w:numFmt w:val="bullet"/>
      <w:lvlText w:val="-"/>
      <w:lvlJc w:val="left"/>
      <w:pPr>
        <w:ind w:left="1440" w:hanging="360"/>
      </w:pPr>
      <w:rPr>
        <w:rFonts w:ascii="Verdana" w:eastAsia="Calibri" w:hAnsi="Verdana"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5898014B"/>
    <w:multiLevelType w:val="hybridMultilevel"/>
    <w:tmpl w:val="173EFAE0"/>
    <w:lvl w:ilvl="0" w:tplc="08090001">
      <w:start w:val="1"/>
      <w:numFmt w:val="bullet"/>
      <w:lvlText w:val=""/>
      <w:lvlJc w:val="left"/>
      <w:pPr>
        <w:ind w:left="1775" w:hanging="360"/>
      </w:pPr>
      <w:rPr>
        <w:rFonts w:ascii="Symbol" w:hAnsi="Symbol" w:hint="default"/>
      </w:rPr>
    </w:lvl>
    <w:lvl w:ilvl="1" w:tplc="08090003" w:tentative="1">
      <w:start w:val="1"/>
      <w:numFmt w:val="bullet"/>
      <w:lvlText w:val="o"/>
      <w:lvlJc w:val="left"/>
      <w:pPr>
        <w:ind w:left="2495" w:hanging="360"/>
      </w:pPr>
      <w:rPr>
        <w:rFonts w:ascii="Courier New" w:hAnsi="Courier New" w:cs="Courier New" w:hint="default"/>
      </w:rPr>
    </w:lvl>
    <w:lvl w:ilvl="2" w:tplc="08090005" w:tentative="1">
      <w:start w:val="1"/>
      <w:numFmt w:val="bullet"/>
      <w:lvlText w:val=""/>
      <w:lvlJc w:val="left"/>
      <w:pPr>
        <w:ind w:left="3215" w:hanging="360"/>
      </w:pPr>
      <w:rPr>
        <w:rFonts w:ascii="Wingdings" w:hAnsi="Wingdings" w:hint="default"/>
      </w:rPr>
    </w:lvl>
    <w:lvl w:ilvl="3" w:tplc="08090001" w:tentative="1">
      <w:start w:val="1"/>
      <w:numFmt w:val="bullet"/>
      <w:lvlText w:val=""/>
      <w:lvlJc w:val="left"/>
      <w:pPr>
        <w:ind w:left="3935" w:hanging="360"/>
      </w:pPr>
      <w:rPr>
        <w:rFonts w:ascii="Symbol" w:hAnsi="Symbol" w:hint="default"/>
      </w:rPr>
    </w:lvl>
    <w:lvl w:ilvl="4" w:tplc="08090003" w:tentative="1">
      <w:start w:val="1"/>
      <w:numFmt w:val="bullet"/>
      <w:lvlText w:val="o"/>
      <w:lvlJc w:val="left"/>
      <w:pPr>
        <w:ind w:left="4655" w:hanging="360"/>
      </w:pPr>
      <w:rPr>
        <w:rFonts w:ascii="Courier New" w:hAnsi="Courier New" w:cs="Courier New" w:hint="default"/>
      </w:rPr>
    </w:lvl>
    <w:lvl w:ilvl="5" w:tplc="08090005" w:tentative="1">
      <w:start w:val="1"/>
      <w:numFmt w:val="bullet"/>
      <w:lvlText w:val=""/>
      <w:lvlJc w:val="left"/>
      <w:pPr>
        <w:ind w:left="5375" w:hanging="360"/>
      </w:pPr>
      <w:rPr>
        <w:rFonts w:ascii="Wingdings" w:hAnsi="Wingdings" w:hint="default"/>
      </w:rPr>
    </w:lvl>
    <w:lvl w:ilvl="6" w:tplc="08090001" w:tentative="1">
      <w:start w:val="1"/>
      <w:numFmt w:val="bullet"/>
      <w:lvlText w:val=""/>
      <w:lvlJc w:val="left"/>
      <w:pPr>
        <w:ind w:left="6095" w:hanging="360"/>
      </w:pPr>
      <w:rPr>
        <w:rFonts w:ascii="Symbol" w:hAnsi="Symbol" w:hint="default"/>
      </w:rPr>
    </w:lvl>
    <w:lvl w:ilvl="7" w:tplc="08090003" w:tentative="1">
      <w:start w:val="1"/>
      <w:numFmt w:val="bullet"/>
      <w:lvlText w:val="o"/>
      <w:lvlJc w:val="left"/>
      <w:pPr>
        <w:ind w:left="6815" w:hanging="360"/>
      </w:pPr>
      <w:rPr>
        <w:rFonts w:ascii="Courier New" w:hAnsi="Courier New" w:cs="Courier New" w:hint="default"/>
      </w:rPr>
    </w:lvl>
    <w:lvl w:ilvl="8" w:tplc="08090005" w:tentative="1">
      <w:start w:val="1"/>
      <w:numFmt w:val="bullet"/>
      <w:lvlText w:val=""/>
      <w:lvlJc w:val="left"/>
      <w:pPr>
        <w:ind w:left="7535" w:hanging="360"/>
      </w:pPr>
      <w:rPr>
        <w:rFonts w:ascii="Wingdings" w:hAnsi="Wingdings" w:hint="default"/>
      </w:rPr>
    </w:lvl>
  </w:abstractNum>
  <w:abstractNum w:abstractNumId="170">
    <w:nsid w:val="58A73943"/>
    <w:multiLevelType w:val="hybridMultilevel"/>
    <w:tmpl w:val="0C160D0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58E46EDF"/>
    <w:multiLevelType w:val="hybridMultilevel"/>
    <w:tmpl w:val="A252A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F702202">
      <w:start w:val="1"/>
      <w:numFmt w:val="bullet"/>
      <w:lvlText w:val="o"/>
      <w:lvlJc w:val="left"/>
      <w:pPr>
        <w:ind w:left="2160" w:hanging="360"/>
      </w:pPr>
      <w:rPr>
        <w:rFonts w:ascii="Courier New" w:hAnsi="Courier New" w:cs="Courier New" w:hint="default"/>
        <w:sz w:val="24"/>
        <w:szCs w:val="24"/>
      </w:rPr>
    </w:lvl>
    <w:lvl w:ilvl="3" w:tplc="08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8EB70F2"/>
    <w:multiLevelType w:val="hybridMultilevel"/>
    <w:tmpl w:val="92F8B42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8FC09E6"/>
    <w:multiLevelType w:val="hybridMultilevel"/>
    <w:tmpl w:val="18B09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59DB78F2"/>
    <w:multiLevelType w:val="hybridMultilevel"/>
    <w:tmpl w:val="D830508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A1D6381"/>
    <w:multiLevelType w:val="hybridMultilevel"/>
    <w:tmpl w:val="3BC8F506"/>
    <w:lvl w:ilvl="0" w:tplc="04090001">
      <w:start w:val="1"/>
      <w:numFmt w:val="bullet"/>
      <w:lvlText w:val=""/>
      <w:lvlJc w:val="left"/>
      <w:pPr>
        <w:ind w:left="1080" w:hanging="360"/>
      </w:pPr>
      <w:rPr>
        <w:rFonts w:ascii="Symbol" w:hAnsi="Symbol" w:hint="default"/>
        <w:color w:val="auto"/>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5A2743BF"/>
    <w:multiLevelType w:val="hybridMultilevel"/>
    <w:tmpl w:val="FB8A8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5A512310"/>
    <w:multiLevelType w:val="hybridMultilevel"/>
    <w:tmpl w:val="C6EC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B0352F1"/>
    <w:multiLevelType w:val="hybridMultilevel"/>
    <w:tmpl w:val="95149F36"/>
    <w:lvl w:ilvl="0" w:tplc="527E049E">
      <w:start w:val="1"/>
      <w:numFmt w:val="decimal"/>
      <w:lvlText w:val="%1)"/>
      <w:lvlJc w:val="left"/>
      <w:pPr>
        <w:ind w:left="360" w:hanging="360"/>
      </w:pPr>
      <w:rPr>
        <w:b w:val="0"/>
      </w:rPr>
    </w:lvl>
    <w:lvl w:ilvl="1" w:tplc="08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5B2D1C9D"/>
    <w:multiLevelType w:val="hybridMultilevel"/>
    <w:tmpl w:val="CE04E7B0"/>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80">
    <w:nsid w:val="5B407065"/>
    <w:multiLevelType w:val="hybridMultilevel"/>
    <w:tmpl w:val="5E44C23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nsid w:val="5BE34F14"/>
    <w:multiLevelType w:val="hybridMultilevel"/>
    <w:tmpl w:val="E7C4E84E"/>
    <w:lvl w:ilvl="0" w:tplc="430EDC0E">
      <w:start w:val="1"/>
      <w:numFmt w:val="decimal"/>
      <w:lvlText w:val="%1."/>
      <w:lvlJc w:val="left"/>
      <w:pPr>
        <w:ind w:left="720" w:hanging="360"/>
      </w:pPr>
      <w:rPr>
        <w:rFonts w:hint="default"/>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5BFD3918"/>
    <w:multiLevelType w:val="hybridMultilevel"/>
    <w:tmpl w:val="5F76A7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nsid w:val="5CF60EC7"/>
    <w:multiLevelType w:val="hybridMultilevel"/>
    <w:tmpl w:val="F47499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nsid w:val="5CF7466B"/>
    <w:multiLevelType w:val="hybridMultilevel"/>
    <w:tmpl w:val="4C98E048"/>
    <w:lvl w:ilvl="0" w:tplc="08090017">
      <w:start w:val="1"/>
      <w:numFmt w:val="lowerLetter"/>
      <w:lvlText w:val="%1)"/>
      <w:lvlJc w:val="left"/>
      <w:pPr>
        <w:ind w:left="720" w:hanging="360"/>
      </w:pPr>
      <w:rPr>
        <w:rFonts w:hint="default"/>
        <w:b w:val="0"/>
      </w:rPr>
    </w:lvl>
    <w:lvl w:ilvl="1" w:tplc="43B02F88">
      <w:start w:val="1"/>
      <w:numFmt w:val="bullet"/>
      <w:lvlText w:val="o"/>
      <w:lvlJc w:val="left"/>
      <w:pPr>
        <w:ind w:left="1440" w:hanging="360"/>
      </w:pPr>
      <w:rPr>
        <w:rFonts w:ascii="Courier New" w:hAnsi="Courier New" w:cs="Courier New" w:hint="default"/>
        <w:color w:val="auto"/>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D403CF5"/>
    <w:multiLevelType w:val="hybridMultilevel"/>
    <w:tmpl w:val="7F2ADCC4"/>
    <w:lvl w:ilvl="0" w:tplc="F8628D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E5A7D75"/>
    <w:multiLevelType w:val="hybridMultilevel"/>
    <w:tmpl w:val="D8780C32"/>
    <w:lvl w:ilvl="0" w:tplc="0409001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nsid w:val="5E716FD1"/>
    <w:multiLevelType w:val="hybridMultilevel"/>
    <w:tmpl w:val="CFCAF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nsid w:val="5E7867F6"/>
    <w:multiLevelType w:val="hybridMultilevel"/>
    <w:tmpl w:val="519AE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nsid w:val="5EE008E5"/>
    <w:multiLevelType w:val="hybridMultilevel"/>
    <w:tmpl w:val="E66E9EF4"/>
    <w:lvl w:ilvl="0" w:tplc="04090011">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nsid w:val="5F4651E9"/>
    <w:multiLevelType w:val="hybridMultilevel"/>
    <w:tmpl w:val="44D05E5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92">
    <w:nsid w:val="60585F28"/>
    <w:multiLevelType w:val="hybridMultilevel"/>
    <w:tmpl w:val="0C1CF3F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nsid w:val="60D21FCF"/>
    <w:multiLevelType w:val="hybridMultilevel"/>
    <w:tmpl w:val="E55A5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nsid w:val="622E471A"/>
    <w:multiLevelType w:val="hybridMultilevel"/>
    <w:tmpl w:val="93BE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36159A8"/>
    <w:multiLevelType w:val="hybridMultilevel"/>
    <w:tmpl w:val="6A8858C8"/>
    <w:lvl w:ilvl="0" w:tplc="E5D83D26">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nsid w:val="63672FCB"/>
    <w:multiLevelType w:val="hybridMultilevel"/>
    <w:tmpl w:val="BA62E22A"/>
    <w:lvl w:ilvl="0" w:tplc="1C2AC674">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7">
    <w:nsid w:val="6517607E"/>
    <w:multiLevelType w:val="hybridMultilevel"/>
    <w:tmpl w:val="B3BA6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659E2C6E"/>
    <w:multiLevelType w:val="multilevel"/>
    <w:tmpl w:val="8624B190"/>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nsid w:val="65C46E89"/>
    <w:multiLevelType w:val="hybridMultilevel"/>
    <w:tmpl w:val="80E426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nsid w:val="664A7171"/>
    <w:multiLevelType w:val="hybridMultilevel"/>
    <w:tmpl w:val="786679E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1">
    <w:nsid w:val="66F802E2"/>
    <w:multiLevelType w:val="hybridMultilevel"/>
    <w:tmpl w:val="8FBA4F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67056BC4"/>
    <w:multiLevelType w:val="hybridMultilevel"/>
    <w:tmpl w:val="271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nsid w:val="679E6E20"/>
    <w:multiLevelType w:val="hybridMultilevel"/>
    <w:tmpl w:val="935482B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681E2475"/>
    <w:multiLevelType w:val="hybridMultilevel"/>
    <w:tmpl w:val="A0C2BE66"/>
    <w:lvl w:ilvl="0" w:tplc="E5D83D2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86D614A"/>
    <w:multiLevelType w:val="hybridMultilevel"/>
    <w:tmpl w:val="80B89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nsid w:val="687C2F07"/>
    <w:multiLevelType w:val="hybridMultilevel"/>
    <w:tmpl w:val="0BA86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8E01585"/>
    <w:multiLevelType w:val="hybridMultilevel"/>
    <w:tmpl w:val="5F76A7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9065C58"/>
    <w:multiLevelType w:val="hybridMultilevel"/>
    <w:tmpl w:val="E9C81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92A4E48"/>
    <w:multiLevelType w:val="hybridMultilevel"/>
    <w:tmpl w:val="C0A4E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nsid w:val="6A3B34A6"/>
    <w:multiLevelType w:val="hybridMultilevel"/>
    <w:tmpl w:val="F056C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6B7125BA"/>
    <w:multiLevelType w:val="hybridMultilevel"/>
    <w:tmpl w:val="DC30BDD8"/>
    <w:lvl w:ilvl="0" w:tplc="04090003">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6BCB210E"/>
    <w:multiLevelType w:val="hybridMultilevel"/>
    <w:tmpl w:val="664E506C"/>
    <w:lvl w:ilvl="0" w:tplc="B1081CB2">
      <w:start w:val="3"/>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nsid w:val="6BE50FDC"/>
    <w:multiLevelType w:val="hybridMultilevel"/>
    <w:tmpl w:val="3F24B7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nsid w:val="6D0F2F8D"/>
    <w:multiLevelType w:val="hybridMultilevel"/>
    <w:tmpl w:val="1960C90A"/>
    <w:lvl w:ilvl="0" w:tplc="2098DE6C">
      <w:start w:val="1"/>
      <w:numFmt w:val="decimal"/>
      <w:lvlText w:val="%1)"/>
      <w:lvlJc w:val="left"/>
      <w:pPr>
        <w:ind w:left="360" w:hanging="360"/>
      </w:pPr>
      <w:rPr>
        <w:b w:val="0"/>
      </w:rPr>
    </w:lvl>
    <w:lvl w:ilvl="1" w:tplc="08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nsid w:val="6D4E1BA0"/>
    <w:multiLevelType w:val="hybridMultilevel"/>
    <w:tmpl w:val="F886D3B2"/>
    <w:lvl w:ilvl="0" w:tplc="DA6AC012">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nsid w:val="6D7F6191"/>
    <w:multiLevelType w:val="hybridMultilevel"/>
    <w:tmpl w:val="A992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E8816C8"/>
    <w:multiLevelType w:val="hybridMultilevel"/>
    <w:tmpl w:val="588456EE"/>
    <w:lvl w:ilvl="0" w:tplc="4B18599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nsid w:val="6F6F5105"/>
    <w:multiLevelType w:val="hybridMultilevel"/>
    <w:tmpl w:val="885EFD26"/>
    <w:lvl w:ilvl="0" w:tplc="53764878">
      <w:start w:val="1"/>
      <w:numFmt w:val="decimal"/>
      <w:lvlText w:val="%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FDC1B7E"/>
    <w:multiLevelType w:val="hybridMultilevel"/>
    <w:tmpl w:val="BEB2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FF42D75"/>
    <w:multiLevelType w:val="hybridMultilevel"/>
    <w:tmpl w:val="D43CA38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nsid w:val="70A64FD2"/>
    <w:multiLevelType w:val="hybridMultilevel"/>
    <w:tmpl w:val="F1A00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nsid w:val="712F73F4"/>
    <w:multiLevelType w:val="hybridMultilevel"/>
    <w:tmpl w:val="310C2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16A304F"/>
    <w:multiLevelType w:val="multilevel"/>
    <w:tmpl w:val="F780B282"/>
    <w:lvl w:ilvl="0">
      <w:start w:val="1"/>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nsid w:val="71853D33"/>
    <w:multiLevelType w:val="hybridMultilevel"/>
    <w:tmpl w:val="FD321A22"/>
    <w:lvl w:ilvl="0" w:tplc="08090001">
      <w:start w:val="1"/>
      <w:numFmt w:val="bullet"/>
      <w:lvlText w:val=""/>
      <w:lvlJc w:val="left"/>
      <w:pPr>
        <w:ind w:left="972" w:hanging="360"/>
      </w:pPr>
      <w:rPr>
        <w:rFonts w:ascii="Symbol" w:hAnsi="Symbol"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225">
    <w:nsid w:val="733A53AC"/>
    <w:multiLevelType w:val="hybridMultilevel"/>
    <w:tmpl w:val="80B89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nsid w:val="7502179A"/>
    <w:multiLevelType w:val="hybridMultilevel"/>
    <w:tmpl w:val="DF1A9918"/>
    <w:lvl w:ilvl="0" w:tplc="04090003">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758B24F2"/>
    <w:multiLevelType w:val="hybridMultilevel"/>
    <w:tmpl w:val="CF6E4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nsid w:val="76015B56"/>
    <w:multiLevelType w:val="hybridMultilevel"/>
    <w:tmpl w:val="91EC903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nsid w:val="76225726"/>
    <w:multiLevelType w:val="hybridMultilevel"/>
    <w:tmpl w:val="274C078A"/>
    <w:lvl w:ilvl="0" w:tplc="8F702202">
      <w:start w:val="1"/>
      <w:numFmt w:val="bullet"/>
      <w:lvlText w:val="o"/>
      <w:lvlJc w:val="left"/>
      <w:pPr>
        <w:ind w:left="1440" w:hanging="360"/>
      </w:pPr>
      <w:rPr>
        <w:rFonts w:ascii="Courier New" w:hAnsi="Courier New" w:cs="Courier New"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0">
    <w:nsid w:val="775D76A3"/>
    <w:multiLevelType w:val="hybridMultilevel"/>
    <w:tmpl w:val="CD66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82337A1"/>
    <w:multiLevelType w:val="hybridMultilevel"/>
    <w:tmpl w:val="E8ACC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89B2678"/>
    <w:multiLevelType w:val="hybridMultilevel"/>
    <w:tmpl w:val="E6480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nsid w:val="78DB3009"/>
    <w:multiLevelType w:val="hybridMultilevel"/>
    <w:tmpl w:val="E9F6FFBE"/>
    <w:lvl w:ilvl="0" w:tplc="04090011">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5">
      <w:start w:val="1"/>
      <w:numFmt w:val="bullet"/>
      <w:lvlText w:val=""/>
      <w:lvlJc w:val="left"/>
      <w:pPr>
        <w:ind w:left="2520" w:hanging="360"/>
      </w:pPr>
      <w:rPr>
        <w:rFonts w:ascii="Wingdings" w:hAnsi="Wingding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nsid w:val="79B202B1"/>
    <w:multiLevelType w:val="hybridMultilevel"/>
    <w:tmpl w:val="FCF4CC20"/>
    <w:lvl w:ilvl="0" w:tplc="8DB03CBC">
      <w:start w:val="1"/>
      <w:numFmt w:val="bullet"/>
      <w:lvlText w:val=""/>
      <w:lvlJc w:val="left"/>
      <w:pPr>
        <w:ind w:left="720" w:hanging="360"/>
      </w:pPr>
      <w:rPr>
        <w:rFonts w:ascii="Symbol" w:hAnsi="Symbol" w:hint="default"/>
        <w:sz w:val="24"/>
        <w:szCs w:val="24"/>
      </w:rPr>
    </w:lvl>
    <w:lvl w:ilvl="1" w:tplc="8F702202">
      <w:start w:val="1"/>
      <w:numFmt w:val="bullet"/>
      <w:lvlText w:val="o"/>
      <w:lvlJc w:val="left"/>
      <w:pPr>
        <w:ind w:left="1440" w:hanging="360"/>
      </w:pPr>
      <w:rPr>
        <w:rFonts w:ascii="Courier New" w:hAnsi="Courier New" w:cs="Courier New" w:hint="default"/>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7A043D8A"/>
    <w:multiLevelType w:val="multilevel"/>
    <w:tmpl w:val="E2BAA640"/>
    <w:lvl w:ilvl="0">
      <w:start w:val="1"/>
      <w:numFmt w:val="decimal"/>
      <w:lvlText w:val="%1."/>
      <w:lvlJc w:val="left"/>
      <w:pPr>
        <w:tabs>
          <w:tab w:val="num" w:pos="480"/>
        </w:tabs>
        <w:ind w:left="480" w:hanging="480"/>
      </w:pPr>
    </w:lvl>
    <w:lvl w:ilvl="1">
      <w:start w:val="1"/>
      <w:numFmt w:val="decimal"/>
      <w:lvlText w:val="%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6">
    <w:nsid w:val="7B4E38EB"/>
    <w:multiLevelType w:val="hybridMultilevel"/>
    <w:tmpl w:val="F8209E46"/>
    <w:lvl w:ilvl="0" w:tplc="80965B6C">
      <w:start w:val="1"/>
      <w:numFmt w:val="decimal"/>
      <w:lvlText w:val="%1)"/>
      <w:lvlJc w:val="left"/>
      <w:pPr>
        <w:ind w:left="360" w:hanging="360"/>
      </w:pPr>
      <w:rPr>
        <w:b w:val="0"/>
      </w:rPr>
    </w:lvl>
    <w:lvl w:ilvl="1" w:tplc="08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nsid w:val="7C360386"/>
    <w:multiLevelType w:val="hybridMultilevel"/>
    <w:tmpl w:val="817279BE"/>
    <w:lvl w:ilvl="0" w:tplc="04090001">
      <w:start w:val="1"/>
      <w:numFmt w:val="bullet"/>
      <w:lvlText w:val=""/>
      <w:lvlJc w:val="left"/>
      <w:pPr>
        <w:ind w:left="720" w:hanging="360"/>
      </w:pPr>
      <w:rPr>
        <w:rFonts w:ascii="Symbol" w:hAnsi="Symbol" w:hint="default"/>
      </w:rPr>
    </w:lvl>
    <w:lvl w:ilvl="1" w:tplc="119E430A">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0019"/>
    <w:multiLevelType w:val="hybridMultilevel"/>
    <w:tmpl w:val="CAF24B1C"/>
    <w:lvl w:ilvl="0" w:tplc="8D8A5548">
      <w:start w:val="1"/>
      <w:numFmt w:val="decimal"/>
      <w:lvlText w:val="%1)"/>
      <w:lvlJc w:val="left"/>
      <w:pPr>
        <w:ind w:left="360" w:hanging="360"/>
      </w:pPr>
      <w:rPr>
        <w:b w:val="0"/>
      </w:rPr>
    </w:lvl>
    <w:lvl w:ilvl="1" w:tplc="08090001">
      <w:start w:val="1"/>
      <w:numFmt w:val="bullet"/>
      <w:lvlText w:val=""/>
      <w:lvlJc w:val="left"/>
      <w:pPr>
        <w:ind w:left="1080" w:hanging="360"/>
      </w:pPr>
      <w:rPr>
        <w:rFonts w:ascii="Symbol" w:hAnsi="Symbol" w:hint="default"/>
      </w:rPr>
    </w:lvl>
    <w:lvl w:ilvl="2" w:tplc="04B01254">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nsid w:val="7D0C1BE7"/>
    <w:multiLevelType w:val="hybridMultilevel"/>
    <w:tmpl w:val="5C9C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D2F4418"/>
    <w:multiLevelType w:val="hybridMultilevel"/>
    <w:tmpl w:val="08A4E91A"/>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nsid w:val="7DAB54F6"/>
    <w:multiLevelType w:val="hybridMultilevel"/>
    <w:tmpl w:val="4CBC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DCE0C6F"/>
    <w:multiLevelType w:val="multilevel"/>
    <w:tmpl w:val="4148DE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3">
    <w:nsid w:val="7DD522D5"/>
    <w:multiLevelType w:val="hybridMultilevel"/>
    <w:tmpl w:val="CF50D9E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E05603A"/>
    <w:multiLevelType w:val="hybridMultilevel"/>
    <w:tmpl w:val="994A5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nsid w:val="7EEF630D"/>
    <w:multiLevelType w:val="hybridMultilevel"/>
    <w:tmpl w:val="A60C9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3"/>
  </w:num>
  <w:num w:numId="2">
    <w:abstractNumId w:val="191"/>
  </w:num>
  <w:num w:numId="3">
    <w:abstractNumId w:val="65"/>
  </w:num>
  <w:num w:numId="4">
    <w:abstractNumId w:val="235"/>
  </w:num>
  <w:num w:numId="5">
    <w:abstractNumId w:val="36"/>
  </w:num>
  <w:num w:numId="6">
    <w:abstractNumId w:val="168"/>
  </w:num>
  <w:num w:numId="7">
    <w:abstractNumId w:val="105"/>
  </w:num>
  <w:num w:numId="8">
    <w:abstractNumId w:val="138"/>
  </w:num>
  <w:num w:numId="9">
    <w:abstractNumId w:val="234"/>
  </w:num>
  <w:num w:numId="10">
    <w:abstractNumId w:val="172"/>
  </w:num>
  <w:num w:numId="11">
    <w:abstractNumId w:val="165"/>
  </w:num>
  <w:num w:numId="12">
    <w:abstractNumId w:val="167"/>
  </w:num>
  <w:num w:numId="13">
    <w:abstractNumId w:val="133"/>
  </w:num>
  <w:num w:numId="14">
    <w:abstractNumId w:val="3"/>
  </w:num>
  <w:num w:numId="15">
    <w:abstractNumId w:val="245"/>
  </w:num>
  <w:num w:numId="16">
    <w:abstractNumId w:val="111"/>
  </w:num>
  <w:num w:numId="17">
    <w:abstractNumId w:val="136"/>
  </w:num>
  <w:num w:numId="18">
    <w:abstractNumId w:val="147"/>
  </w:num>
  <w:num w:numId="19">
    <w:abstractNumId w:val="35"/>
  </w:num>
  <w:num w:numId="20">
    <w:abstractNumId w:val="41"/>
  </w:num>
  <w:num w:numId="21">
    <w:abstractNumId w:val="13"/>
  </w:num>
  <w:num w:numId="22">
    <w:abstractNumId w:val="48"/>
  </w:num>
  <w:num w:numId="23">
    <w:abstractNumId w:val="158"/>
  </w:num>
  <w:num w:numId="24">
    <w:abstractNumId w:val="149"/>
  </w:num>
  <w:num w:numId="25">
    <w:abstractNumId w:val="112"/>
  </w:num>
  <w:num w:numId="26">
    <w:abstractNumId w:val="7"/>
  </w:num>
  <w:num w:numId="27">
    <w:abstractNumId w:val="38"/>
  </w:num>
  <w:num w:numId="28">
    <w:abstractNumId w:val="71"/>
  </w:num>
  <w:num w:numId="29">
    <w:abstractNumId w:val="170"/>
  </w:num>
  <w:num w:numId="30">
    <w:abstractNumId w:val="175"/>
  </w:num>
  <w:num w:numId="31">
    <w:abstractNumId w:val="140"/>
  </w:num>
  <w:num w:numId="32">
    <w:abstractNumId w:val="77"/>
  </w:num>
  <w:num w:numId="33">
    <w:abstractNumId w:val="106"/>
  </w:num>
  <w:num w:numId="34">
    <w:abstractNumId w:val="230"/>
  </w:num>
  <w:num w:numId="35">
    <w:abstractNumId w:val="110"/>
  </w:num>
  <w:num w:numId="36">
    <w:abstractNumId w:val="22"/>
  </w:num>
  <w:num w:numId="37">
    <w:abstractNumId w:val="43"/>
  </w:num>
  <w:num w:numId="38">
    <w:abstractNumId w:val="34"/>
  </w:num>
  <w:num w:numId="39">
    <w:abstractNumId w:val="155"/>
  </w:num>
  <w:num w:numId="40">
    <w:abstractNumId w:val="200"/>
  </w:num>
  <w:num w:numId="41">
    <w:abstractNumId w:val="82"/>
  </w:num>
  <w:num w:numId="42">
    <w:abstractNumId w:val="124"/>
  </w:num>
  <w:num w:numId="43">
    <w:abstractNumId w:val="63"/>
  </w:num>
  <w:num w:numId="44">
    <w:abstractNumId w:val="115"/>
  </w:num>
  <w:num w:numId="45">
    <w:abstractNumId w:val="74"/>
  </w:num>
  <w:num w:numId="46">
    <w:abstractNumId w:val="185"/>
  </w:num>
  <w:num w:numId="47">
    <w:abstractNumId w:val="54"/>
  </w:num>
  <w:num w:numId="48">
    <w:abstractNumId w:val="121"/>
  </w:num>
  <w:num w:numId="49">
    <w:abstractNumId w:val="237"/>
  </w:num>
  <w:num w:numId="50">
    <w:abstractNumId w:val="5"/>
  </w:num>
  <w:num w:numId="51">
    <w:abstractNumId w:val="204"/>
  </w:num>
  <w:num w:numId="52">
    <w:abstractNumId w:val="194"/>
  </w:num>
  <w:num w:numId="53">
    <w:abstractNumId w:val="216"/>
  </w:num>
  <w:num w:numId="54">
    <w:abstractNumId w:val="8"/>
  </w:num>
  <w:num w:numId="55">
    <w:abstractNumId w:val="150"/>
  </w:num>
  <w:num w:numId="56">
    <w:abstractNumId w:val="30"/>
  </w:num>
  <w:num w:numId="57">
    <w:abstractNumId w:val="79"/>
  </w:num>
  <w:num w:numId="58">
    <w:abstractNumId w:val="70"/>
  </w:num>
  <w:num w:numId="59">
    <w:abstractNumId w:val="55"/>
  </w:num>
  <w:num w:numId="60">
    <w:abstractNumId w:val="23"/>
  </w:num>
  <w:num w:numId="61">
    <w:abstractNumId w:val="198"/>
  </w:num>
  <w:num w:numId="62">
    <w:abstractNumId w:val="141"/>
  </w:num>
  <w:num w:numId="63">
    <w:abstractNumId w:val="139"/>
  </w:num>
  <w:num w:numId="64">
    <w:abstractNumId w:val="232"/>
  </w:num>
  <w:num w:numId="65">
    <w:abstractNumId w:val="228"/>
  </w:num>
  <w:num w:numId="66">
    <w:abstractNumId w:val="164"/>
  </w:num>
  <w:num w:numId="67">
    <w:abstractNumId w:val="53"/>
  </w:num>
  <w:num w:numId="68">
    <w:abstractNumId w:val="236"/>
  </w:num>
  <w:num w:numId="69">
    <w:abstractNumId w:val="66"/>
  </w:num>
  <w:num w:numId="70">
    <w:abstractNumId w:val="206"/>
  </w:num>
  <w:num w:numId="71">
    <w:abstractNumId w:val="238"/>
  </w:num>
  <w:num w:numId="72">
    <w:abstractNumId w:val="120"/>
  </w:num>
  <w:num w:numId="73">
    <w:abstractNumId w:val="11"/>
  </w:num>
  <w:num w:numId="74">
    <w:abstractNumId w:val="184"/>
  </w:num>
  <w:num w:numId="75">
    <w:abstractNumId w:val="24"/>
  </w:num>
  <w:num w:numId="76">
    <w:abstractNumId w:val="211"/>
  </w:num>
  <w:num w:numId="77">
    <w:abstractNumId w:val="119"/>
  </w:num>
  <w:num w:numId="78">
    <w:abstractNumId w:val="45"/>
  </w:num>
  <w:num w:numId="79">
    <w:abstractNumId w:val="75"/>
  </w:num>
  <w:num w:numId="80">
    <w:abstractNumId w:val="226"/>
  </w:num>
  <w:num w:numId="81">
    <w:abstractNumId w:val="27"/>
  </w:num>
  <w:num w:numId="82">
    <w:abstractNumId w:val="142"/>
  </w:num>
  <w:num w:numId="83">
    <w:abstractNumId w:val="69"/>
  </w:num>
  <w:num w:numId="84">
    <w:abstractNumId w:val="52"/>
  </w:num>
  <w:num w:numId="85">
    <w:abstractNumId w:val="176"/>
  </w:num>
  <w:num w:numId="86">
    <w:abstractNumId w:val="214"/>
  </w:num>
  <w:num w:numId="87">
    <w:abstractNumId w:val="108"/>
  </w:num>
  <w:num w:numId="88">
    <w:abstractNumId w:val="162"/>
  </w:num>
  <w:num w:numId="89">
    <w:abstractNumId w:val="157"/>
  </w:num>
  <w:num w:numId="90">
    <w:abstractNumId w:val="73"/>
  </w:num>
  <w:num w:numId="91">
    <w:abstractNumId w:val="15"/>
  </w:num>
  <w:num w:numId="92">
    <w:abstractNumId w:val="222"/>
  </w:num>
  <w:num w:numId="93">
    <w:abstractNumId w:val="67"/>
  </w:num>
  <w:num w:numId="94">
    <w:abstractNumId w:val="135"/>
  </w:num>
  <w:num w:numId="95">
    <w:abstractNumId w:val="145"/>
  </w:num>
  <w:num w:numId="96">
    <w:abstractNumId w:val="59"/>
  </w:num>
  <w:num w:numId="97">
    <w:abstractNumId w:val="174"/>
  </w:num>
  <w:num w:numId="98">
    <w:abstractNumId w:val="189"/>
  </w:num>
  <w:num w:numId="99">
    <w:abstractNumId w:val="233"/>
  </w:num>
  <w:num w:numId="100">
    <w:abstractNumId w:val="68"/>
  </w:num>
  <w:num w:numId="101">
    <w:abstractNumId w:val="37"/>
  </w:num>
  <w:num w:numId="102">
    <w:abstractNumId w:val="125"/>
  </w:num>
  <w:num w:numId="103">
    <w:abstractNumId w:val="239"/>
  </w:num>
  <w:num w:numId="104">
    <w:abstractNumId w:val="243"/>
  </w:num>
  <w:num w:numId="105">
    <w:abstractNumId w:val="127"/>
  </w:num>
  <w:num w:numId="106">
    <w:abstractNumId w:val="130"/>
  </w:num>
  <w:num w:numId="107">
    <w:abstractNumId w:val="78"/>
  </w:num>
  <w:num w:numId="108">
    <w:abstractNumId w:val="26"/>
  </w:num>
  <w:num w:numId="109">
    <w:abstractNumId w:val="89"/>
  </w:num>
  <w:num w:numId="110">
    <w:abstractNumId w:val="190"/>
  </w:num>
  <w:num w:numId="111">
    <w:abstractNumId w:val="151"/>
  </w:num>
  <w:num w:numId="112">
    <w:abstractNumId w:val="224"/>
  </w:num>
  <w:num w:numId="113">
    <w:abstractNumId w:val="183"/>
  </w:num>
  <w:num w:numId="114">
    <w:abstractNumId w:val="29"/>
  </w:num>
  <w:num w:numId="115">
    <w:abstractNumId w:val="126"/>
  </w:num>
  <w:num w:numId="116">
    <w:abstractNumId w:val="223"/>
  </w:num>
  <w:num w:numId="117">
    <w:abstractNumId w:val="80"/>
  </w:num>
  <w:num w:numId="118">
    <w:abstractNumId w:val="10"/>
  </w:num>
  <w:num w:numId="119">
    <w:abstractNumId w:val="88"/>
  </w:num>
  <w:num w:numId="120">
    <w:abstractNumId w:val="103"/>
  </w:num>
  <w:num w:numId="121">
    <w:abstractNumId w:val="195"/>
  </w:num>
  <w:num w:numId="122">
    <w:abstractNumId w:val="99"/>
  </w:num>
  <w:num w:numId="123">
    <w:abstractNumId w:val="153"/>
  </w:num>
  <w:num w:numId="124">
    <w:abstractNumId w:val="166"/>
  </w:num>
  <w:num w:numId="125">
    <w:abstractNumId w:val="62"/>
  </w:num>
  <w:num w:numId="126">
    <w:abstractNumId w:val="241"/>
  </w:num>
  <w:num w:numId="127">
    <w:abstractNumId w:val="161"/>
  </w:num>
  <w:num w:numId="128">
    <w:abstractNumId w:val="210"/>
  </w:num>
  <w:num w:numId="129">
    <w:abstractNumId w:val="101"/>
  </w:num>
  <w:num w:numId="130">
    <w:abstractNumId w:val="209"/>
  </w:num>
  <w:num w:numId="131">
    <w:abstractNumId w:val="20"/>
  </w:num>
  <w:num w:numId="132">
    <w:abstractNumId w:val="221"/>
  </w:num>
  <w:num w:numId="133">
    <w:abstractNumId w:val="14"/>
  </w:num>
  <w:num w:numId="134">
    <w:abstractNumId w:val="6"/>
  </w:num>
  <w:num w:numId="135">
    <w:abstractNumId w:val="92"/>
  </w:num>
  <w:num w:numId="136">
    <w:abstractNumId w:val="131"/>
  </w:num>
  <w:num w:numId="137">
    <w:abstractNumId w:val="177"/>
  </w:num>
  <w:num w:numId="138">
    <w:abstractNumId w:val="156"/>
  </w:num>
  <w:num w:numId="139">
    <w:abstractNumId w:val="96"/>
  </w:num>
  <w:num w:numId="140">
    <w:abstractNumId w:val="83"/>
  </w:num>
  <w:num w:numId="141">
    <w:abstractNumId w:val="219"/>
  </w:num>
  <w:num w:numId="142">
    <w:abstractNumId w:val="144"/>
  </w:num>
  <w:num w:numId="143">
    <w:abstractNumId w:val="93"/>
  </w:num>
  <w:num w:numId="144">
    <w:abstractNumId w:val="196"/>
  </w:num>
  <w:num w:numId="145">
    <w:abstractNumId w:val="17"/>
  </w:num>
  <w:num w:numId="146">
    <w:abstractNumId w:val="178"/>
  </w:num>
  <w:num w:numId="147">
    <w:abstractNumId w:val="49"/>
  </w:num>
  <w:num w:numId="148">
    <w:abstractNumId w:val="231"/>
  </w:num>
  <w:num w:numId="149">
    <w:abstractNumId w:val="102"/>
  </w:num>
  <w:num w:numId="150">
    <w:abstractNumId w:val="100"/>
  </w:num>
  <w:num w:numId="151">
    <w:abstractNumId w:val="203"/>
  </w:num>
  <w:num w:numId="152">
    <w:abstractNumId w:val="21"/>
  </w:num>
  <w:num w:numId="153">
    <w:abstractNumId w:val="118"/>
  </w:num>
  <w:num w:numId="154">
    <w:abstractNumId w:val="40"/>
  </w:num>
  <w:num w:numId="155">
    <w:abstractNumId w:val="208"/>
  </w:num>
  <w:num w:numId="156">
    <w:abstractNumId w:val="56"/>
  </w:num>
  <w:num w:numId="157">
    <w:abstractNumId w:val="160"/>
  </w:num>
  <w:num w:numId="158">
    <w:abstractNumId w:val="4"/>
  </w:num>
  <w:num w:numId="159">
    <w:abstractNumId w:val="132"/>
  </w:num>
  <w:num w:numId="160">
    <w:abstractNumId w:val="207"/>
  </w:num>
  <w:num w:numId="161">
    <w:abstractNumId w:val="171"/>
  </w:num>
  <w:num w:numId="162">
    <w:abstractNumId w:val="28"/>
  </w:num>
  <w:num w:numId="163">
    <w:abstractNumId w:val="95"/>
  </w:num>
  <w:num w:numId="164">
    <w:abstractNumId w:val="85"/>
  </w:num>
  <w:num w:numId="165">
    <w:abstractNumId w:val="97"/>
  </w:num>
  <w:num w:numId="166">
    <w:abstractNumId w:val="76"/>
  </w:num>
  <w:num w:numId="167">
    <w:abstractNumId w:val="182"/>
  </w:num>
  <w:num w:numId="168">
    <w:abstractNumId w:val="137"/>
  </w:num>
  <w:num w:numId="169">
    <w:abstractNumId w:val="91"/>
  </w:num>
  <w:num w:numId="170">
    <w:abstractNumId w:val="192"/>
  </w:num>
  <w:num w:numId="171">
    <w:abstractNumId w:val="117"/>
  </w:num>
  <w:num w:numId="172">
    <w:abstractNumId w:val="18"/>
  </w:num>
  <w:num w:numId="173">
    <w:abstractNumId w:val="42"/>
  </w:num>
  <w:num w:numId="174">
    <w:abstractNumId w:val="193"/>
  </w:num>
  <w:num w:numId="175">
    <w:abstractNumId w:val="163"/>
  </w:num>
  <w:num w:numId="176">
    <w:abstractNumId w:val="227"/>
  </w:num>
  <w:num w:numId="177">
    <w:abstractNumId w:val="148"/>
  </w:num>
  <w:num w:numId="178">
    <w:abstractNumId w:val="240"/>
  </w:num>
  <w:num w:numId="179">
    <w:abstractNumId w:val="58"/>
  </w:num>
  <w:num w:numId="180">
    <w:abstractNumId w:val="129"/>
  </w:num>
  <w:num w:numId="181">
    <w:abstractNumId w:val="152"/>
  </w:num>
  <w:num w:numId="182">
    <w:abstractNumId w:val="60"/>
  </w:num>
  <w:num w:numId="183">
    <w:abstractNumId w:val="154"/>
  </w:num>
  <w:num w:numId="184">
    <w:abstractNumId w:val="186"/>
  </w:num>
  <w:num w:numId="185">
    <w:abstractNumId w:val="169"/>
  </w:num>
  <w:num w:numId="186">
    <w:abstractNumId w:val="109"/>
  </w:num>
  <w:num w:numId="187">
    <w:abstractNumId w:val="179"/>
  </w:num>
  <w:num w:numId="188">
    <w:abstractNumId w:val="72"/>
  </w:num>
  <w:num w:numId="189">
    <w:abstractNumId w:val="159"/>
  </w:num>
  <w:num w:numId="190">
    <w:abstractNumId w:val="218"/>
  </w:num>
  <w:num w:numId="191">
    <w:abstractNumId w:val="229"/>
  </w:num>
  <w:num w:numId="192">
    <w:abstractNumId w:val="143"/>
  </w:num>
  <w:num w:numId="193">
    <w:abstractNumId w:val="217"/>
  </w:num>
  <w:num w:numId="194">
    <w:abstractNumId w:val="50"/>
  </w:num>
  <w:num w:numId="195">
    <w:abstractNumId w:val="187"/>
  </w:num>
  <w:num w:numId="196">
    <w:abstractNumId w:val="244"/>
  </w:num>
  <w:num w:numId="197">
    <w:abstractNumId w:val="181"/>
  </w:num>
  <w:num w:numId="198">
    <w:abstractNumId w:val="188"/>
  </w:num>
  <w:num w:numId="199">
    <w:abstractNumId w:val="201"/>
  </w:num>
  <w:num w:numId="200">
    <w:abstractNumId w:val="107"/>
  </w:num>
  <w:num w:numId="201">
    <w:abstractNumId w:val="48"/>
  </w:num>
  <w:num w:numId="202">
    <w:abstractNumId w:val="242"/>
  </w:num>
  <w:num w:numId="203">
    <w:abstractNumId w:val="122"/>
  </w:num>
  <w:num w:numId="204">
    <w:abstractNumId w:val="39"/>
  </w:num>
  <w:num w:numId="205">
    <w:abstractNumId w:val="90"/>
  </w:num>
  <w:num w:numId="206">
    <w:abstractNumId w:val="199"/>
  </w:num>
  <w:num w:numId="207">
    <w:abstractNumId w:val="2"/>
  </w:num>
  <w:num w:numId="208">
    <w:abstractNumId w:val="51"/>
  </w:num>
  <w:num w:numId="209">
    <w:abstractNumId w:val="180"/>
  </w:num>
  <w:num w:numId="210">
    <w:abstractNumId w:val="113"/>
  </w:num>
  <w:num w:numId="211">
    <w:abstractNumId w:val="25"/>
  </w:num>
  <w:num w:numId="212">
    <w:abstractNumId w:val="46"/>
  </w:num>
  <w:num w:numId="213">
    <w:abstractNumId w:val="220"/>
  </w:num>
  <w:num w:numId="214">
    <w:abstractNumId w:val="116"/>
  </w:num>
  <w:num w:numId="215">
    <w:abstractNumId w:val="19"/>
  </w:num>
  <w:num w:numId="216">
    <w:abstractNumId w:val="12"/>
  </w:num>
  <w:num w:numId="217">
    <w:abstractNumId w:val="87"/>
  </w:num>
  <w:num w:numId="218">
    <w:abstractNumId w:val="57"/>
  </w:num>
  <w:num w:numId="219">
    <w:abstractNumId w:val="114"/>
  </w:num>
  <w:num w:numId="220">
    <w:abstractNumId w:val="128"/>
  </w:num>
  <w:num w:numId="221">
    <w:abstractNumId w:val="44"/>
  </w:num>
  <w:num w:numId="222">
    <w:abstractNumId w:val="31"/>
  </w:num>
  <w:num w:numId="223">
    <w:abstractNumId w:val="213"/>
  </w:num>
  <w:num w:numId="224">
    <w:abstractNumId w:val="212"/>
  </w:num>
  <w:num w:numId="225">
    <w:abstractNumId w:val="215"/>
  </w:num>
  <w:num w:numId="226">
    <w:abstractNumId w:val="84"/>
  </w:num>
  <w:num w:numId="227">
    <w:abstractNumId w:val="0"/>
  </w:num>
  <w:num w:numId="228">
    <w:abstractNumId w:val="197"/>
  </w:num>
  <w:num w:numId="229">
    <w:abstractNumId w:val="1"/>
  </w:num>
  <w:num w:numId="230">
    <w:abstractNumId w:val="32"/>
  </w:num>
  <w:num w:numId="231">
    <w:abstractNumId w:val="33"/>
  </w:num>
  <w:num w:numId="232">
    <w:abstractNumId w:val="146"/>
  </w:num>
  <w:num w:numId="233">
    <w:abstractNumId w:val="205"/>
  </w:num>
  <w:num w:numId="234">
    <w:abstractNumId w:val="225"/>
  </w:num>
  <w:num w:numId="235">
    <w:abstractNumId w:val="104"/>
  </w:num>
  <w:num w:numId="236">
    <w:abstractNumId w:val="47"/>
  </w:num>
  <w:num w:numId="237">
    <w:abstractNumId w:val="81"/>
  </w:num>
  <w:num w:numId="238">
    <w:abstractNumId w:val="202"/>
  </w:num>
  <w:num w:numId="239">
    <w:abstractNumId w:val="98"/>
  </w:num>
  <w:num w:numId="240">
    <w:abstractNumId w:val="9"/>
  </w:num>
  <w:num w:numId="241">
    <w:abstractNumId w:val="61"/>
  </w:num>
  <w:num w:numId="242">
    <w:abstractNumId w:val="94"/>
  </w:num>
  <w:num w:numId="243">
    <w:abstractNumId w:val="16"/>
  </w:num>
  <w:num w:numId="244">
    <w:abstractNumId w:val="173"/>
  </w:num>
  <w:num w:numId="245">
    <w:abstractNumId w:val="134"/>
  </w:num>
  <w:num w:numId="246">
    <w:abstractNumId w:val="86"/>
  </w:num>
  <w:num w:numId="247">
    <w:abstractNumId w:val="64"/>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25CBA50-F216-4569-AAEF-3239FECF27E0"/>
    <w:docVar w:name="LW_COVERPAGE_TYPE" w:val="1"/>
    <w:docVar w:name="LW_CROSSREFERENCE" w:val="{COM(2018) 225 final}_x000d__x000a_{COM(2018) 226 final}_x000a_{SWD(2018) 119 final}"/>
    <w:docVar w:name="LW_DocType" w:val="NORMAL"/>
    <w:docVar w:name="LW_EMISSION" w:val="17.4.2018"/>
    <w:docVar w:name="LW_EMISSION_ISODATE" w:val="2018-04-17"/>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8) 1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on European Production and Preservation Orders for electronic evidence in criminal matters _x000b_and_x000b_Proposal for a Directive of the European Parliament and of the Council laying down harmonised rules on the appointment of legal representatives for the purpose of gathering evidence in criminal proceedings"/>
  </w:docVars>
  <w:rsids>
    <w:rsidRoot w:val="001B65FF"/>
    <w:rsid w:val="001B65FF"/>
    <w:rsid w:val="003E4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TabelEcorys,CV table,Deloitte,Table Grid IDEA,Table EY"/>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pPr>
      <w:outlineLvl w:val="9"/>
    </w:pPr>
    <w:rPr>
      <w:lang w:bidi="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spacing w:after="240" w:line="240" w:lineRule="auto"/>
      <w:ind w:left="357" w:hanging="357"/>
      <w:jc w:val="both"/>
    </w:pPr>
    <w:rPr>
      <w:rFonts w:ascii="Times New Roman" w:eastAsia="Times New Roman" w:hAnsi="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link w:val="FootnotesymbolCarZchn"/>
    <w:uiPriority w:val="99"/>
    <w:qFormat/>
    <w:rPr>
      <w:vertAlign w:val="superscript"/>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spacing w:before="60" w:after="160" w:line="240" w:lineRule="exact"/>
      <w:jc w:val="both"/>
    </w:pPr>
    <w:rPr>
      <w:vertAlign w:val="superscript"/>
    </w:rPr>
  </w:style>
  <w:style w:type="table" w:customStyle="1" w:styleId="TableEY2">
    <w:name w:val="Table EY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pPr>
      <w:tabs>
        <w:tab w:val="left" w:pos="1320"/>
        <w:tab w:val="right" w:leader="dot" w:pos="8608"/>
      </w:tabs>
      <w:spacing w:after="100"/>
      <w:ind w:left="720"/>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locked/>
  </w:style>
  <w:style w:type="table" w:customStyle="1" w:styleId="TableEY1">
    <w:name w:val="Table EY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customStyle="1" w:styleId="Odwo0142anieprzypisu">
    <w:name w:val="Odwo&lt;0142&gt;anie przypisu"/>
    <w:aliases w:val="SUPER,BVI fnr Char1 Char"/>
    <w:basedOn w:val="Normal"/>
    <w:uiPriority w:val="99"/>
    <w:pPr>
      <w:spacing w:before="120" w:after="160" w:line="240" w:lineRule="exact"/>
      <w:jc w:val="both"/>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Boxtext">
    <w:name w:val="Box text"/>
    <w:basedOn w:val="Normal"/>
    <w:link w:val="BoxtextChar"/>
    <w:pPr>
      <w:spacing w:before="120" w:after="120"/>
      <w:contextualSpacing/>
      <w:jc w:val="both"/>
    </w:pPr>
    <w:rPr>
      <w:rFonts w:ascii="Verdana" w:eastAsia="Times New Roman" w:hAnsi="Verdana" w:cstheme="minorHAnsi"/>
      <w:color w:val="000000" w:themeColor="text1"/>
      <w:sz w:val="18"/>
      <w:szCs w:val="20"/>
    </w:rPr>
  </w:style>
  <w:style w:type="character" w:customStyle="1" w:styleId="BoxtextChar">
    <w:name w:val="Box text Char"/>
    <w:basedOn w:val="DefaultParagraphFont"/>
    <w:link w:val="Boxtext"/>
    <w:rPr>
      <w:rFonts w:ascii="Verdana" w:eastAsia="Times New Roman" w:hAnsi="Verdana" w:cstheme="minorHAnsi"/>
      <w:color w:val="000000" w:themeColor="text1"/>
      <w:sz w:val="18"/>
      <w:szCs w:val="20"/>
    </w:rPr>
  </w:style>
  <w:style w:type="paragraph" w:customStyle="1" w:styleId="Body">
    <w:name w:val="Body"/>
    <w:basedOn w:val="Normal"/>
    <w:link w:val="BodyChar"/>
    <w:pPr>
      <w:spacing w:before="120" w:after="120"/>
      <w:jc w:val="both"/>
    </w:pPr>
    <w:rPr>
      <w:rFonts w:ascii="Verdana" w:eastAsia="Times New Roman" w:hAnsi="Verdana" w:cs="Times New Roman"/>
      <w:sz w:val="20"/>
      <w:szCs w:val="20"/>
    </w:rPr>
  </w:style>
  <w:style w:type="character" w:customStyle="1" w:styleId="BodyChar">
    <w:name w:val="Body Char"/>
    <w:link w:val="Body"/>
    <w:rPr>
      <w:rFonts w:ascii="Verdana" w:eastAsia="Times New Roman" w:hAnsi="Verdana" w:cs="Times New Roman"/>
      <w:sz w:val="20"/>
      <w:szCs w:val="20"/>
    </w:rPr>
  </w:style>
  <w:style w:type="character" w:customStyle="1" w:styleId="BullettablesChar">
    <w:name w:val="Bullet tables Char"/>
    <w:basedOn w:val="DefaultParagraphFont"/>
    <w:link w:val="Bullettables"/>
    <w:locked/>
    <w:rPr>
      <w:rFonts w:ascii="Verdana" w:hAnsi="Verdana"/>
      <w:sz w:val="18"/>
      <w:lang w:val="fr-FR"/>
    </w:rPr>
  </w:style>
  <w:style w:type="paragraph" w:customStyle="1" w:styleId="Bullettables">
    <w:name w:val="Bullet tables"/>
    <w:basedOn w:val="Normal"/>
    <w:link w:val="BullettablesChar"/>
    <w:pPr>
      <w:tabs>
        <w:tab w:val="num" w:pos="360"/>
      </w:tabs>
      <w:spacing w:before="40" w:after="0" w:line="240" w:lineRule="auto"/>
      <w:ind w:left="360" w:hanging="360"/>
      <w:jc w:val="both"/>
    </w:pPr>
    <w:rPr>
      <w:rFonts w:ascii="Verdana" w:hAnsi="Verdana"/>
      <w:sz w:val="18"/>
      <w:lang w:val="fr-FR"/>
    </w:rPr>
  </w:style>
  <w:style w:type="table" w:customStyle="1" w:styleId="ListTable3-Accent51">
    <w:name w:val="List Table 3 - Accent 51"/>
    <w:basedOn w:val="TableNormal"/>
    <w:uiPriority w:val="48"/>
    <w:pPr>
      <w:spacing w:after="0" w:line="240" w:lineRule="auto"/>
    </w:pPr>
    <w:rPr>
      <w:lang w:val="it-IT"/>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longtext">
    <w:name w:val="long_text"/>
    <w:uiPriority w:val="99"/>
  </w:style>
  <w:style w:type="character" w:customStyle="1" w:styleId="Funotenanker">
    <w:name w:val="Fußnotenanker"/>
    <w:rPr>
      <w:vertAlign w:val="superscript"/>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customStyle="1" w:styleId="briefingtext">
    <w:name w:val="briefingtext"/>
    <w:basedOn w:val="Normal"/>
    <w:pPr>
      <w:spacing w:after="0" w:line="240" w:lineRule="auto"/>
    </w:pPr>
    <w:rPr>
      <w:rFonts w:ascii="Times New Roman" w:hAnsi="Times New Roman" w:cs="Times New Roman"/>
      <w:sz w:val="24"/>
      <w:szCs w:val="24"/>
      <w:lang w:eastAsia="en-GB"/>
    </w:rPr>
  </w:style>
  <w:style w:type="numbering" w:customStyle="1" w:styleId="WWNum10">
    <w:name w:val="WWNum10"/>
    <w:basedOn w:val="NoList"/>
    <w:pPr>
      <w:numPr>
        <w:numId w:val="61"/>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Revision">
    <w:name w:val="Revision"/>
    <w:hidden/>
    <w:uiPriority w:val="99"/>
    <w:semiHidden/>
    <w:pPr>
      <w:spacing w:after="0" w:line="240" w:lineRule="auto"/>
    </w:pPr>
  </w:style>
  <w:style w:type="paragraph" w:customStyle="1" w:styleId="Standard1">
    <w:name w:val="Standard1"/>
    <w:pPr>
      <w:suppressAutoHyphens/>
      <w:autoSpaceDN w:val="0"/>
      <w:spacing w:after="240" w:line="240" w:lineRule="auto"/>
      <w:jc w:val="both"/>
      <w:textAlignment w:val="baseline"/>
    </w:pPr>
    <w:rPr>
      <w:rFonts w:ascii="Times New Roman" w:eastAsia="Times New Roman" w:hAnsi="Times New Roman" w:cs="Times New Roman"/>
      <w:kern w:val="3"/>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lang w:val="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0">
    <w:name w:val="xl80"/>
    <w:basedOn w:val="Normal"/>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1">
    <w:name w:val="xl81"/>
    <w:basedOn w:val="Normal"/>
    <w:pPr>
      <w:shd w:val="clear" w:color="000000" w:fill="B7DEE8"/>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pPr>
      <w:pBdr>
        <w:top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3">
    <w:name w:val="xl83"/>
    <w:basedOn w:val="Normal"/>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84">
    <w:name w:val="xl84"/>
    <w:basedOn w:val="Normal"/>
    <w:pPr>
      <w:shd w:val="clear" w:color="000000" w:fill="B7DEE8"/>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85">
    <w:name w:val="xl85"/>
    <w:basedOn w:val="Normal"/>
    <w:pPr>
      <w:shd w:val="clear" w:color="000000" w:fill="B7DEE8"/>
      <w:spacing w:before="100" w:beforeAutospacing="1" w:after="100" w:afterAutospacing="1" w:line="240" w:lineRule="auto"/>
    </w:pPr>
    <w:rPr>
      <w:rFonts w:ascii="Cambria" w:eastAsia="Times New Roman" w:hAnsi="Cambria" w:cs="Times New Roman"/>
      <w:b/>
      <w:bCs/>
      <w:sz w:val="20"/>
      <w:szCs w:val="20"/>
      <w:lang w:eastAsia="en-GB"/>
    </w:rPr>
  </w:style>
  <w:style w:type="paragraph" w:customStyle="1" w:styleId="xl86">
    <w:name w:val="xl86"/>
    <w:basedOn w:val="Normal"/>
    <w:pPr>
      <w:shd w:val="clear" w:color="000000" w:fill="B7DEE8"/>
      <w:spacing w:before="100" w:beforeAutospacing="1" w:after="100" w:afterAutospacing="1" w:line="240" w:lineRule="auto"/>
      <w:textAlignment w:val="top"/>
    </w:pPr>
    <w:rPr>
      <w:rFonts w:ascii="Cambria" w:eastAsia="Times New Roman" w:hAnsi="Cambria" w:cs="Times New Roman"/>
      <w:b/>
      <w:bCs/>
      <w:color w:val="000000"/>
      <w:sz w:val="20"/>
      <w:szCs w:val="20"/>
      <w:lang w:eastAsia="en-GB"/>
    </w:rPr>
  </w:style>
  <w:style w:type="paragraph" w:customStyle="1" w:styleId="xl87">
    <w:name w:val="xl87"/>
    <w:basedOn w:val="Normal"/>
    <w:pPr>
      <w:pBdr>
        <w:top w:val="single" w:sz="4" w:space="0" w:color="D3D3D3"/>
        <w:left w:val="single" w:sz="4" w:space="0" w:color="D3D3D3"/>
        <w:bottom w:val="single" w:sz="4" w:space="0" w:color="D3D3D3"/>
        <w:right w:val="single" w:sz="4" w:space="0" w:color="D3D3D3"/>
      </w:pBdr>
      <w:shd w:val="clear" w:color="000000" w:fill="B7DEE8"/>
      <w:spacing w:before="100" w:beforeAutospacing="1" w:after="100" w:afterAutospacing="1" w:line="240" w:lineRule="auto"/>
      <w:textAlignment w:val="top"/>
    </w:pPr>
    <w:rPr>
      <w:rFonts w:ascii="Cambria" w:eastAsia="Times New Roman" w:hAnsi="Cambria" w:cs="Times New Roman"/>
      <w:b/>
      <w:bCs/>
      <w:color w:val="000000"/>
      <w:sz w:val="20"/>
      <w:szCs w:val="20"/>
      <w:lang w:eastAsia="en-GB"/>
    </w:rPr>
  </w:style>
  <w:style w:type="paragraph" w:customStyle="1" w:styleId="xl88">
    <w:name w:val="xl88"/>
    <w:basedOn w:val="Normal"/>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9">
    <w:name w:val="xl89"/>
    <w:basedOn w:val="Normal"/>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90">
    <w:name w:val="xl90"/>
    <w:basedOn w:val="Normal"/>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91">
    <w:name w:val="xl91"/>
    <w:basedOn w:val="Normal"/>
    <w:pP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2">
    <w:name w:val="xl92"/>
    <w:basedOn w:val="Normal"/>
    <w:pP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3">
    <w:name w:val="xl93"/>
    <w:basedOn w:val="Normal"/>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4">
    <w:name w:val="xl94"/>
    <w:basedOn w:val="Normal"/>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5">
    <w:name w:val="xl95"/>
    <w:basedOn w:val="Normal"/>
    <w:pP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6">
    <w:name w:val="xl96"/>
    <w:basedOn w:val="Normal"/>
    <w:pPr>
      <w:shd w:val="clear" w:color="000000" w:fill="EBF1DE"/>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7">
    <w:name w:val="xl97"/>
    <w:basedOn w:val="Normal"/>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98">
    <w:name w:val="xl98"/>
    <w:basedOn w:val="Normal"/>
    <w:pPr>
      <w:pBdr>
        <w:left w:val="single" w:sz="4" w:space="0" w:color="auto"/>
        <w:bottom w:val="single" w:sz="4" w:space="0" w:color="auto"/>
      </w:pBdr>
      <w:shd w:val="clear" w:color="000000" w:fill="B7DEE8"/>
      <w:spacing w:before="100" w:beforeAutospacing="1" w:after="100" w:afterAutospacing="1" w:line="240" w:lineRule="auto"/>
      <w:jc w:val="center"/>
    </w:pPr>
    <w:rPr>
      <w:rFonts w:ascii="Calibri" w:eastAsia="Times New Roman" w:hAnsi="Calibri" w:cs="Times New Roman"/>
      <w:b/>
      <w:bCs/>
      <w:sz w:val="24"/>
      <w:szCs w:val="24"/>
      <w:lang w:eastAsia="en-GB"/>
    </w:rPr>
  </w:style>
  <w:style w:type="paragraph" w:customStyle="1" w:styleId="xl99">
    <w:name w:val="xl99"/>
    <w:basedOn w:val="Normal"/>
    <w:pPr>
      <w:pBdr>
        <w:bottom w:val="single" w:sz="4" w:space="0" w:color="auto"/>
      </w:pBdr>
      <w:shd w:val="clear" w:color="000000" w:fill="B7DEE8"/>
      <w:spacing w:before="100" w:beforeAutospacing="1" w:after="100" w:afterAutospacing="1" w:line="240" w:lineRule="auto"/>
      <w:jc w:val="center"/>
    </w:pPr>
    <w:rPr>
      <w:rFonts w:ascii="Calibri" w:eastAsia="Times New Roman" w:hAnsi="Calibri" w:cs="Times New Roman"/>
      <w:b/>
      <w:bCs/>
      <w:sz w:val="24"/>
      <w:szCs w:val="24"/>
      <w:lang w:eastAsia="en-GB"/>
    </w:rPr>
  </w:style>
  <w:style w:type="paragraph" w:customStyle="1" w:styleId="xl100">
    <w:name w:val="xl100"/>
    <w:basedOn w:val="Normal"/>
    <w:pPr>
      <w:pBdr>
        <w:bottom w:val="single" w:sz="4" w:space="0" w:color="auto"/>
        <w:right w:val="single" w:sz="4" w:space="0" w:color="auto"/>
      </w:pBdr>
      <w:shd w:val="clear" w:color="000000" w:fill="B7DEE8"/>
      <w:spacing w:before="100" w:beforeAutospacing="1" w:after="100" w:afterAutospacing="1" w:line="240" w:lineRule="auto"/>
      <w:jc w:val="center"/>
    </w:pPr>
    <w:rPr>
      <w:rFonts w:ascii="Calibri" w:eastAsia="Times New Roman" w:hAnsi="Calibri" w:cs="Times New Roman"/>
      <w:b/>
      <w:bCs/>
      <w:sz w:val="24"/>
      <w:szCs w:val="24"/>
      <w:lang w:eastAsia="en-GB"/>
    </w:rPr>
  </w:style>
  <w:style w:type="paragraph" w:customStyle="1" w:styleId="xl101">
    <w:name w:val="xl101"/>
    <w:basedOn w:val="Normal"/>
    <w:pPr>
      <w:pBdr>
        <w:left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b/>
      <w:bCs/>
      <w:color w:val="7F7F7F" w:themeColor="text1" w:themeTint="80"/>
    </w:rPr>
  </w:style>
  <w:style w:type="paragraph" w:customStyle="1" w:styleId="LegalNumPar">
    <w:name w:val="LegalNumPar"/>
    <w:basedOn w:val="Normal"/>
    <w:pPr>
      <w:numPr>
        <w:numId w:val="143"/>
      </w:numPr>
      <w:spacing w:line="240" w:lineRule="auto"/>
    </w:pPr>
  </w:style>
  <w:style w:type="paragraph" w:styleId="TOC4">
    <w:name w:val="toc 4"/>
    <w:basedOn w:val="Normal"/>
    <w:next w:val="Normal"/>
    <w:autoRedefine/>
    <w:uiPriority w:val="39"/>
    <w:unhideWhenUsed/>
    <w:pPr>
      <w:spacing w:after="100"/>
      <w:ind w:left="660"/>
    </w:pPr>
    <w:rPr>
      <w:lang w:eastAsia="en-GB"/>
    </w:rPr>
  </w:style>
  <w:style w:type="paragraph" w:styleId="TOC5">
    <w:name w:val="toc 5"/>
    <w:basedOn w:val="Normal"/>
    <w:next w:val="Normal"/>
    <w:autoRedefine/>
    <w:uiPriority w:val="39"/>
    <w:unhideWhenUsed/>
    <w:pPr>
      <w:spacing w:after="100"/>
      <w:ind w:left="880"/>
    </w:pPr>
    <w:rPr>
      <w:lang w:eastAsia="en-GB"/>
    </w:rPr>
  </w:style>
  <w:style w:type="paragraph" w:styleId="TOC6">
    <w:name w:val="toc 6"/>
    <w:basedOn w:val="Normal"/>
    <w:next w:val="Normal"/>
    <w:autoRedefine/>
    <w:uiPriority w:val="39"/>
    <w:unhideWhenUsed/>
    <w:pPr>
      <w:spacing w:after="100"/>
      <w:ind w:left="1100"/>
    </w:pPr>
    <w:rPr>
      <w:lang w:eastAsia="en-GB"/>
    </w:rPr>
  </w:style>
  <w:style w:type="paragraph" w:styleId="TOC7">
    <w:name w:val="toc 7"/>
    <w:basedOn w:val="Normal"/>
    <w:next w:val="Normal"/>
    <w:autoRedefine/>
    <w:uiPriority w:val="39"/>
    <w:unhideWhenUsed/>
    <w:pPr>
      <w:spacing w:after="100"/>
      <w:ind w:left="1320"/>
    </w:pPr>
    <w:rPr>
      <w:lang w:eastAsia="en-GB"/>
    </w:rPr>
  </w:style>
  <w:style w:type="paragraph" w:styleId="TOC8">
    <w:name w:val="toc 8"/>
    <w:basedOn w:val="Normal"/>
    <w:next w:val="Normal"/>
    <w:autoRedefine/>
    <w:uiPriority w:val="39"/>
    <w:unhideWhenUsed/>
    <w:pPr>
      <w:spacing w:after="100"/>
      <w:ind w:left="1540"/>
    </w:pPr>
    <w:rPr>
      <w:lang w:eastAsia="en-GB"/>
    </w:rPr>
  </w:style>
  <w:style w:type="paragraph" w:styleId="TOC9">
    <w:name w:val="toc 9"/>
    <w:basedOn w:val="Normal"/>
    <w:next w:val="Normal"/>
    <w:autoRedefine/>
    <w:uiPriority w:val="39"/>
    <w:unhideWhenUsed/>
    <w:pPr>
      <w:spacing w:after="100"/>
      <w:ind w:left="1760"/>
    </w:pPr>
    <w:rPr>
      <w:lang w:eastAsia="en-GB"/>
    </w:rPr>
  </w:style>
  <w:style w:type="table" w:customStyle="1" w:styleId="CV111">
    <w:name w:val="CV1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Emphasis">
    <w:name w:val="Emphasis"/>
    <w:uiPriority w:val="20"/>
    <w:qFormat/>
    <w:rPr>
      <w:b/>
      <w:bCs/>
      <w:i/>
      <w:iCs/>
      <w:spacing w:val="10"/>
      <w:bdr w:val="none" w:sz="0" w:space="0" w:color="auto"/>
      <w:shd w:val="clear" w:color="auto" w:fill="auto"/>
    </w:rPr>
  </w:style>
  <w:style w:type="paragraph" w:styleId="NoSpacing">
    <w:name w:val="No Spacing"/>
    <w:basedOn w:val="Normal"/>
    <w:uiPriority w:val="1"/>
    <w:qFormat/>
    <w:pPr>
      <w:spacing w:after="0" w:line="240" w:lineRule="auto"/>
    </w:pPr>
  </w:style>
  <w:style w:type="paragraph" w:styleId="Quote">
    <w:name w:val="Quote"/>
    <w:basedOn w:val="Normal"/>
    <w:next w:val="Normal"/>
    <w:link w:val="QuoteChar"/>
    <w:uiPriority w:val="29"/>
    <w:qFormat/>
    <w:pPr>
      <w:spacing w:before="200" w:after="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character" w:customStyle="1" w:styleId="tgc">
    <w:name w:val="_tgc"/>
    <w:basedOn w:val="DefaultParagraphFont"/>
  </w:style>
  <w:style w:type="paragraph" w:customStyle="1" w:styleId="Briefinglist1">
    <w:name w:val="Briefing list 1"/>
    <w:basedOn w:val="Normal"/>
    <w:pPr>
      <w:numPr>
        <w:numId w:val="173"/>
      </w:numPr>
      <w:spacing w:after="120" w:line="240" w:lineRule="auto"/>
      <w:jc w:val="both"/>
    </w:pPr>
    <w:rPr>
      <w:rFonts w:ascii="Arial" w:eastAsiaTheme="minorHAnsi" w:hAnsi="Arial" w:cs="Arial"/>
      <w:lang w:eastAsia="en-GB"/>
    </w:rPr>
  </w:style>
  <w:style w:type="paragraph" w:customStyle="1" w:styleId="c01pointnumerotealtn">
    <w:name w:val="c01pointnumerotealtn"/>
    <w:basedOn w:val="Normal"/>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BodyText">
    <w:name w:val="Body Text"/>
    <w:basedOn w:val="Normal"/>
    <w:link w:val="BodyTextChar"/>
    <w:uiPriority w:val="99"/>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rPr>
  </w:style>
  <w:style w:type="paragraph" w:styleId="ListBullet3">
    <w:name w:val="List Bullet 3"/>
    <w:basedOn w:val="Normal"/>
    <w:uiPriority w:val="99"/>
    <w:unhideWhenUsed/>
    <w:pPr>
      <w:numPr>
        <w:numId w:val="22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TabelEcorys,CV table,Deloitte,Table Grid IDEA,Table EY"/>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pPr>
      <w:outlineLvl w:val="9"/>
    </w:pPr>
    <w:rPr>
      <w:lang w:bidi="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spacing w:after="240" w:line="240" w:lineRule="auto"/>
      <w:ind w:left="357" w:hanging="357"/>
      <w:jc w:val="both"/>
    </w:pPr>
    <w:rPr>
      <w:rFonts w:ascii="Times New Roman" w:eastAsia="Times New Roman" w:hAnsi="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link w:val="FootnotesymbolCarZchn"/>
    <w:uiPriority w:val="99"/>
    <w:qFormat/>
    <w:rPr>
      <w:vertAlign w:val="superscript"/>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spacing w:before="60" w:after="160" w:line="240" w:lineRule="exact"/>
      <w:jc w:val="both"/>
    </w:pPr>
    <w:rPr>
      <w:vertAlign w:val="superscript"/>
    </w:rPr>
  </w:style>
  <w:style w:type="table" w:customStyle="1" w:styleId="TableEY2">
    <w:name w:val="Table EY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pPr>
      <w:tabs>
        <w:tab w:val="left" w:pos="1320"/>
        <w:tab w:val="right" w:leader="dot" w:pos="8608"/>
      </w:tabs>
      <w:spacing w:after="100"/>
      <w:ind w:left="720"/>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locked/>
  </w:style>
  <w:style w:type="table" w:customStyle="1" w:styleId="TableEY1">
    <w:name w:val="Table EY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customStyle="1" w:styleId="Odwo0142anieprzypisu">
    <w:name w:val="Odwo&lt;0142&gt;anie przypisu"/>
    <w:aliases w:val="SUPER,BVI fnr Char1 Char"/>
    <w:basedOn w:val="Normal"/>
    <w:uiPriority w:val="99"/>
    <w:pPr>
      <w:spacing w:before="120" w:after="160" w:line="240" w:lineRule="exact"/>
      <w:jc w:val="both"/>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Boxtext">
    <w:name w:val="Box text"/>
    <w:basedOn w:val="Normal"/>
    <w:link w:val="BoxtextChar"/>
    <w:pPr>
      <w:spacing w:before="120" w:after="120"/>
      <w:contextualSpacing/>
      <w:jc w:val="both"/>
    </w:pPr>
    <w:rPr>
      <w:rFonts w:ascii="Verdana" w:eastAsia="Times New Roman" w:hAnsi="Verdana" w:cstheme="minorHAnsi"/>
      <w:color w:val="000000" w:themeColor="text1"/>
      <w:sz w:val="18"/>
      <w:szCs w:val="20"/>
    </w:rPr>
  </w:style>
  <w:style w:type="character" w:customStyle="1" w:styleId="BoxtextChar">
    <w:name w:val="Box text Char"/>
    <w:basedOn w:val="DefaultParagraphFont"/>
    <w:link w:val="Boxtext"/>
    <w:rPr>
      <w:rFonts w:ascii="Verdana" w:eastAsia="Times New Roman" w:hAnsi="Verdana" w:cstheme="minorHAnsi"/>
      <w:color w:val="000000" w:themeColor="text1"/>
      <w:sz w:val="18"/>
      <w:szCs w:val="20"/>
    </w:rPr>
  </w:style>
  <w:style w:type="paragraph" w:customStyle="1" w:styleId="Body">
    <w:name w:val="Body"/>
    <w:basedOn w:val="Normal"/>
    <w:link w:val="BodyChar"/>
    <w:pPr>
      <w:spacing w:before="120" w:after="120"/>
      <w:jc w:val="both"/>
    </w:pPr>
    <w:rPr>
      <w:rFonts w:ascii="Verdana" w:eastAsia="Times New Roman" w:hAnsi="Verdana" w:cs="Times New Roman"/>
      <w:sz w:val="20"/>
      <w:szCs w:val="20"/>
    </w:rPr>
  </w:style>
  <w:style w:type="character" w:customStyle="1" w:styleId="BodyChar">
    <w:name w:val="Body Char"/>
    <w:link w:val="Body"/>
    <w:rPr>
      <w:rFonts w:ascii="Verdana" w:eastAsia="Times New Roman" w:hAnsi="Verdana" w:cs="Times New Roman"/>
      <w:sz w:val="20"/>
      <w:szCs w:val="20"/>
    </w:rPr>
  </w:style>
  <w:style w:type="character" w:customStyle="1" w:styleId="BullettablesChar">
    <w:name w:val="Bullet tables Char"/>
    <w:basedOn w:val="DefaultParagraphFont"/>
    <w:link w:val="Bullettables"/>
    <w:locked/>
    <w:rPr>
      <w:rFonts w:ascii="Verdana" w:hAnsi="Verdana"/>
      <w:sz w:val="18"/>
      <w:lang w:val="fr-FR"/>
    </w:rPr>
  </w:style>
  <w:style w:type="paragraph" w:customStyle="1" w:styleId="Bullettables">
    <w:name w:val="Bullet tables"/>
    <w:basedOn w:val="Normal"/>
    <w:link w:val="BullettablesChar"/>
    <w:pPr>
      <w:tabs>
        <w:tab w:val="num" w:pos="360"/>
      </w:tabs>
      <w:spacing w:before="40" w:after="0" w:line="240" w:lineRule="auto"/>
      <w:ind w:left="360" w:hanging="360"/>
      <w:jc w:val="both"/>
    </w:pPr>
    <w:rPr>
      <w:rFonts w:ascii="Verdana" w:hAnsi="Verdana"/>
      <w:sz w:val="18"/>
      <w:lang w:val="fr-FR"/>
    </w:rPr>
  </w:style>
  <w:style w:type="table" w:customStyle="1" w:styleId="ListTable3-Accent51">
    <w:name w:val="List Table 3 - Accent 51"/>
    <w:basedOn w:val="TableNormal"/>
    <w:uiPriority w:val="48"/>
    <w:pPr>
      <w:spacing w:after="0" w:line="240" w:lineRule="auto"/>
    </w:pPr>
    <w:rPr>
      <w:lang w:val="it-IT"/>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longtext">
    <w:name w:val="long_text"/>
    <w:uiPriority w:val="99"/>
  </w:style>
  <w:style w:type="character" w:customStyle="1" w:styleId="Funotenanker">
    <w:name w:val="Fußnotenanker"/>
    <w:rPr>
      <w:vertAlign w:val="superscript"/>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customStyle="1" w:styleId="briefingtext">
    <w:name w:val="briefingtext"/>
    <w:basedOn w:val="Normal"/>
    <w:pPr>
      <w:spacing w:after="0" w:line="240" w:lineRule="auto"/>
    </w:pPr>
    <w:rPr>
      <w:rFonts w:ascii="Times New Roman" w:hAnsi="Times New Roman" w:cs="Times New Roman"/>
      <w:sz w:val="24"/>
      <w:szCs w:val="24"/>
      <w:lang w:eastAsia="en-GB"/>
    </w:rPr>
  </w:style>
  <w:style w:type="numbering" w:customStyle="1" w:styleId="WWNum10">
    <w:name w:val="WWNum10"/>
    <w:basedOn w:val="NoList"/>
    <w:pPr>
      <w:numPr>
        <w:numId w:val="61"/>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Revision">
    <w:name w:val="Revision"/>
    <w:hidden/>
    <w:uiPriority w:val="99"/>
    <w:semiHidden/>
    <w:pPr>
      <w:spacing w:after="0" w:line="240" w:lineRule="auto"/>
    </w:pPr>
  </w:style>
  <w:style w:type="paragraph" w:customStyle="1" w:styleId="Standard1">
    <w:name w:val="Standard1"/>
    <w:pPr>
      <w:suppressAutoHyphens/>
      <w:autoSpaceDN w:val="0"/>
      <w:spacing w:after="240" w:line="240" w:lineRule="auto"/>
      <w:jc w:val="both"/>
      <w:textAlignment w:val="baseline"/>
    </w:pPr>
    <w:rPr>
      <w:rFonts w:ascii="Times New Roman" w:eastAsia="Times New Roman" w:hAnsi="Times New Roman" w:cs="Times New Roman"/>
      <w:kern w:val="3"/>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lang w:val="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0">
    <w:name w:val="xl80"/>
    <w:basedOn w:val="Normal"/>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1">
    <w:name w:val="xl81"/>
    <w:basedOn w:val="Normal"/>
    <w:pPr>
      <w:shd w:val="clear" w:color="000000" w:fill="B7DEE8"/>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pPr>
      <w:pBdr>
        <w:top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83">
    <w:name w:val="xl83"/>
    <w:basedOn w:val="Normal"/>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84">
    <w:name w:val="xl84"/>
    <w:basedOn w:val="Normal"/>
    <w:pPr>
      <w:shd w:val="clear" w:color="000000" w:fill="B7DEE8"/>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85">
    <w:name w:val="xl85"/>
    <w:basedOn w:val="Normal"/>
    <w:pPr>
      <w:shd w:val="clear" w:color="000000" w:fill="B7DEE8"/>
      <w:spacing w:before="100" w:beforeAutospacing="1" w:after="100" w:afterAutospacing="1" w:line="240" w:lineRule="auto"/>
    </w:pPr>
    <w:rPr>
      <w:rFonts w:ascii="Cambria" w:eastAsia="Times New Roman" w:hAnsi="Cambria" w:cs="Times New Roman"/>
      <w:b/>
      <w:bCs/>
      <w:sz w:val="20"/>
      <w:szCs w:val="20"/>
      <w:lang w:eastAsia="en-GB"/>
    </w:rPr>
  </w:style>
  <w:style w:type="paragraph" w:customStyle="1" w:styleId="xl86">
    <w:name w:val="xl86"/>
    <w:basedOn w:val="Normal"/>
    <w:pPr>
      <w:shd w:val="clear" w:color="000000" w:fill="B7DEE8"/>
      <w:spacing w:before="100" w:beforeAutospacing="1" w:after="100" w:afterAutospacing="1" w:line="240" w:lineRule="auto"/>
      <w:textAlignment w:val="top"/>
    </w:pPr>
    <w:rPr>
      <w:rFonts w:ascii="Cambria" w:eastAsia="Times New Roman" w:hAnsi="Cambria" w:cs="Times New Roman"/>
      <w:b/>
      <w:bCs/>
      <w:color w:val="000000"/>
      <w:sz w:val="20"/>
      <w:szCs w:val="20"/>
      <w:lang w:eastAsia="en-GB"/>
    </w:rPr>
  </w:style>
  <w:style w:type="paragraph" w:customStyle="1" w:styleId="xl87">
    <w:name w:val="xl87"/>
    <w:basedOn w:val="Normal"/>
    <w:pPr>
      <w:pBdr>
        <w:top w:val="single" w:sz="4" w:space="0" w:color="D3D3D3"/>
        <w:left w:val="single" w:sz="4" w:space="0" w:color="D3D3D3"/>
        <w:bottom w:val="single" w:sz="4" w:space="0" w:color="D3D3D3"/>
        <w:right w:val="single" w:sz="4" w:space="0" w:color="D3D3D3"/>
      </w:pBdr>
      <w:shd w:val="clear" w:color="000000" w:fill="B7DEE8"/>
      <w:spacing w:before="100" w:beforeAutospacing="1" w:after="100" w:afterAutospacing="1" w:line="240" w:lineRule="auto"/>
      <w:textAlignment w:val="top"/>
    </w:pPr>
    <w:rPr>
      <w:rFonts w:ascii="Cambria" w:eastAsia="Times New Roman" w:hAnsi="Cambria" w:cs="Times New Roman"/>
      <w:b/>
      <w:bCs/>
      <w:color w:val="000000"/>
      <w:sz w:val="20"/>
      <w:szCs w:val="20"/>
      <w:lang w:eastAsia="en-GB"/>
    </w:rPr>
  </w:style>
  <w:style w:type="paragraph" w:customStyle="1" w:styleId="xl88">
    <w:name w:val="xl88"/>
    <w:basedOn w:val="Normal"/>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9">
    <w:name w:val="xl89"/>
    <w:basedOn w:val="Normal"/>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90">
    <w:name w:val="xl90"/>
    <w:basedOn w:val="Normal"/>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91">
    <w:name w:val="xl91"/>
    <w:basedOn w:val="Normal"/>
    <w:pP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2">
    <w:name w:val="xl92"/>
    <w:basedOn w:val="Normal"/>
    <w:pP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3">
    <w:name w:val="xl93"/>
    <w:basedOn w:val="Normal"/>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4">
    <w:name w:val="xl94"/>
    <w:basedOn w:val="Normal"/>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5">
    <w:name w:val="xl95"/>
    <w:basedOn w:val="Normal"/>
    <w:pP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6">
    <w:name w:val="xl96"/>
    <w:basedOn w:val="Normal"/>
    <w:pPr>
      <w:shd w:val="clear" w:color="000000" w:fill="EBF1DE"/>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97">
    <w:name w:val="xl97"/>
    <w:basedOn w:val="Normal"/>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98">
    <w:name w:val="xl98"/>
    <w:basedOn w:val="Normal"/>
    <w:pPr>
      <w:pBdr>
        <w:left w:val="single" w:sz="4" w:space="0" w:color="auto"/>
        <w:bottom w:val="single" w:sz="4" w:space="0" w:color="auto"/>
      </w:pBdr>
      <w:shd w:val="clear" w:color="000000" w:fill="B7DEE8"/>
      <w:spacing w:before="100" w:beforeAutospacing="1" w:after="100" w:afterAutospacing="1" w:line="240" w:lineRule="auto"/>
      <w:jc w:val="center"/>
    </w:pPr>
    <w:rPr>
      <w:rFonts w:ascii="Calibri" w:eastAsia="Times New Roman" w:hAnsi="Calibri" w:cs="Times New Roman"/>
      <w:b/>
      <w:bCs/>
      <w:sz w:val="24"/>
      <w:szCs w:val="24"/>
      <w:lang w:eastAsia="en-GB"/>
    </w:rPr>
  </w:style>
  <w:style w:type="paragraph" w:customStyle="1" w:styleId="xl99">
    <w:name w:val="xl99"/>
    <w:basedOn w:val="Normal"/>
    <w:pPr>
      <w:pBdr>
        <w:bottom w:val="single" w:sz="4" w:space="0" w:color="auto"/>
      </w:pBdr>
      <w:shd w:val="clear" w:color="000000" w:fill="B7DEE8"/>
      <w:spacing w:before="100" w:beforeAutospacing="1" w:after="100" w:afterAutospacing="1" w:line="240" w:lineRule="auto"/>
      <w:jc w:val="center"/>
    </w:pPr>
    <w:rPr>
      <w:rFonts w:ascii="Calibri" w:eastAsia="Times New Roman" w:hAnsi="Calibri" w:cs="Times New Roman"/>
      <w:b/>
      <w:bCs/>
      <w:sz w:val="24"/>
      <w:szCs w:val="24"/>
      <w:lang w:eastAsia="en-GB"/>
    </w:rPr>
  </w:style>
  <w:style w:type="paragraph" w:customStyle="1" w:styleId="xl100">
    <w:name w:val="xl100"/>
    <w:basedOn w:val="Normal"/>
    <w:pPr>
      <w:pBdr>
        <w:bottom w:val="single" w:sz="4" w:space="0" w:color="auto"/>
        <w:right w:val="single" w:sz="4" w:space="0" w:color="auto"/>
      </w:pBdr>
      <w:shd w:val="clear" w:color="000000" w:fill="B7DEE8"/>
      <w:spacing w:before="100" w:beforeAutospacing="1" w:after="100" w:afterAutospacing="1" w:line="240" w:lineRule="auto"/>
      <w:jc w:val="center"/>
    </w:pPr>
    <w:rPr>
      <w:rFonts w:ascii="Calibri" w:eastAsia="Times New Roman" w:hAnsi="Calibri" w:cs="Times New Roman"/>
      <w:b/>
      <w:bCs/>
      <w:sz w:val="24"/>
      <w:szCs w:val="24"/>
      <w:lang w:eastAsia="en-GB"/>
    </w:rPr>
  </w:style>
  <w:style w:type="paragraph" w:customStyle="1" w:styleId="xl101">
    <w:name w:val="xl101"/>
    <w:basedOn w:val="Normal"/>
    <w:pPr>
      <w:pBdr>
        <w:left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b/>
      <w:bCs/>
      <w:color w:val="7F7F7F" w:themeColor="text1" w:themeTint="80"/>
    </w:rPr>
  </w:style>
  <w:style w:type="paragraph" w:customStyle="1" w:styleId="LegalNumPar">
    <w:name w:val="LegalNumPar"/>
    <w:basedOn w:val="Normal"/>
    <w:pPr>
      <w:numPr>
        <w:numId w:val="143"/>
      </w:numPr>
      <w:spacing w:line="240" w:lineRule="auto"/>
    </w:pPr>
  </w:style>
  <w:style w:type="paragraph" w:styleId="TOC4">
    <w:name w:val="toc 4"/>
    <w:basedOn w:val="Normal"/>
    <w:next w:val="Normal"/>
    <w:autoRedefine/>
    <w:uiPriority w:val="39"/>
    <w:unhideWhenUsed/>
    <w:pPr>
      <w:spacing w:after="100"/>
      <w:ind w:left="660"/>
    </w:pPr>
    <w:rPr>
      <w:lang w:eastAsia="en-GB"/>
    </w:rPr>
  </w:style>
  <w:style w:type="paragraph" w:styleId="TOC5">
    <w:name w:val="toc 5"/>
    <w:basedOn w:val="Normal"/>
    <w:next w:val="Normal"/>
    <w:autoRedefine/>
    <w:uiPriority w:val="39"/>
    <w:unhideWhenUsed/>
    <w:pPr>
      <w:spacing w:after="100"/>
      <w:ind w:left="880"/>
    </w:pPr>
    <w:rPr>
      <w:lang w:eastAsia="en-GB"/>
    </w:rPr>
  </w:style>
  <w:style w:type="paragraph" w:styleId="TOC6">
    <w:name w:val="toc 6"/>
    <w:basedOn w:val="Normal"/>
    <w:next w:val="Normal"/>
    <w:autoRedefine/>
    <w:uiPriority w:val="39"/>
    <w:unhideWhenUsed/>
    <w:pPr>
      <w:spacing w:after="100"/>
      <w:ind w:left="1100"/>
    </w:pPr>
    <w:rPr>
      <w:lang w:eastAsia="en-GB"/>
    </w:rPr>
  </w:style>
  <w:style w:type="paragraph" w:styleId="TOC7">
    <w:name w:val="toc 7"/>
    <w:basedOn w:val="Normal"/>
    <w:next w:val="Normal"/>
    <w:autoRedefine/>
    <w:uiPriority w:val="39"/>
    <w:unhideWhenUsed/>
    <w:pPr>
      <w:spacing w:after="100"/>
      <w:ind w:left="1320"/>
    </w:pPr>
    <w:rPr>
      <w:lang w:eastAsia="en-GB"/>
    </w:rPr>
  </w:style>
  <w:style w:type="paragraph" w:styleId="TOC8">
    <w:name w:val="toc 8"/>
    <w:basedOn w:val="Normal"/>
    <w:next w:val="Normal"/>
    <w:autoRedefine/>
    <w:uiPriority w:val="39"/>
    <w:unhideWhenUsed/>
    <w:pPr>
      <w:spacing w:after="100"/>
      <w:ind w:left="1540"/>
    </w:pPr>
    <w:rPr>
      <w:lang w:eastAsia="en-GB"/>
    </w:rPr>
  </w:style>
  <w:style w:type="paragraph" w:styleId="TOC9">
    <w:name w:val="toc 9"/>
    <w:basedOn w:val="Normal"/>
    <w:next w:val="Normal"/>
    <w:autoRedefine/>
    <w:uiPriority w:val="39"/>
    <w:unhideWhenUsed/>
    <w:pPr>
      <w:spacing w:after="100"/>
      <w:ind w:left="1760"/>
    </w:pPr>
    <w:rPr>
      <w:lang w:eastAsia="en-GB"/>
    </w:rPr>
  </w:style>
  <w:style w:type="table" w:customStyle="1" w:styleId="CV111">
    <w:name w:val="CV1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Emphasis">
    <w:name w:val="Emphasis"/>
    <w:uiPriority w:val="20"/>
    <w:qFormat/>
    <w:rPr>
      <w:b/>
      <w:bCs/>
      <w:i/>
      <w:iCs/>
      <w:spacing w:val="10"/>
      <w:bdr w:val="none" w:sz="0" w:space="0" w:color="auto"/>
      <w:shd w:val="clear" w:color="auto" w:fill="auto"/>
    </w:rPr>
  </w:style>
  <w:style w:type="paragraph" w:styleId="NoSpacing">
    <w:name w:val="No Spacing"/>
    <w:basedOn w:val="Normal"/>
    <w:uiPriority w:val="1"/>
    <w:qFormat/>
    <w:pPr>
      <w:spacing w:after="0" w:line="240" w:lineRule="auto"/>
    </w:pPr>
  </w:style>
  <w:style w:type="paragraph" w:styleId="Quote">
    <w:name w:val="Quote"/>
    <w:basedOn w:val="Normal"/>
    <w:next w:val="Normal"/>
    <w:link w:val="QuoteChar"/>
    <w:uiPriority w:val="29"/>
    <w:qFormat/>
    <w:pPr>
      <w:spacing w:before="200" w:after="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character" w:customStyle="1" w:styleId="tgc">
    <w:name w:val="_tgc"/>
    <w:basedOn w:val="DefaultParagraphFont"/>
  </w:style>
  <w:style w:type="paragraph" w:customStyle="1" w:styleId="Briefinglist1">
    <w:name w:val="Briefing list 1"/>
    <w:basedOn w:val="Normal"/>
    <w:pPr>
      <w:numPr>
        <w:numId w:val="173"/>
      </w:numPr>
      <w:spacing w:after="120" w:line="240" w:lineRule="auto"/>
      <w:jc w:val="both"/>
    </w:pPr>
    <w:rPr>
      <w:rFonts w:ascii="Arial" w:eastAsiaTheme="minorHAnsi" w:hAnsi="Arial" w:cs="Arial"/>
      <w:lang w:eastAsia="en-GB"/>
    </w:rPr>
  </w:style>
  <w:style w:type="paragraph" w:customStyle="1" w:styleId="c01pointnumerotealtn">
    <w:name w:val="c01pointnumerotealtn"/>
    <w:basedOn w:val="Normal"/>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BodyText">
    <w:name w:val="Body Text"/>
    <w:basedOn w:val="Normal"/>
    <w:link w:val="BodyTextChar"/>
    <w:uiPriority w:val="99"/>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rPr>
  </w:style>
  <w:style w:type="paragraph" w:styleId="ListBullet3">
    <w:name w:val="List Bullet 3"/>
    <w:basedOn w:val="Normal"/>
    <w:uiPriority w:val="99"/>
    <w:unhideWhenUsed/>
    <w:pPr>
      <w:numPr>
        <w:numId w:val="22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378">
      <w:bodyDiv w:val="1"/>
      <w:marLeft w:val="0"/>
      <w:marRight w:val="0"/>
      <w:marTop w:val="0"/>
      <w:marBottom w:val="0"/>
      <w:divBdr>
        <w:top w:val="none" w:sz="0" w:space="0" w:color="auto"/>
        <w:left w:val="none" w:sz="0" w:space="0" w:color="auto"/>
        <w:bottom w:val="none" w:sz="0" w:space="0" w:color="auto"/>
        <w:right w:val="none" w:sz="0" w:space="0" w:color="auto"/>
      </w:divBdr>
    </w:div>
    <w:div w:id="17126467">
      <w:bodyDiv w:val="1"/>
      <w:marLeft w:val="0"/>
      <w:marRight w:val="0"/>
      <w:marTop w:val="0"/>
      <w:marBottom w:val="0"/>
      <w:divBdr>
        <w:top w:val="none" w:sz="0" w:space="0" w:color="auto"/>
        <w:left w:val="none" w:sz="0" w:space="0" w:color="auto"/>
        <w:bottom w:val="none" w:sz="0" w:space="0" w:color="auto"/>
        <w:right w:val="none" w:sz="0" w:space="0" w:color="auto"/>
      </w:divBdr>
    </w:div>
    <w:div w:id="26294369">
      <w:bodyDiv w:val="1"/>
      <w:marLeft w:val="0"/>
      <w:marRight w:val="0"/>
      <w:marTop w:val="0"/>
      <w:marBottom w:val="0"/>
      <w:divBdr>
        <w:top w:val="none" w:sz="0" w:space="0" w:color="auto"/>
        <w:left w:val="none" w:sz="0" w:space="0" w:color="auto"/>
        <w:bottom w:val="none" w:sz="0" w:space="0" w:color="auto"/>
        <w:right w:val="none" w:sz="0" w:space="0" w:color="auto"/>
      </w:divBdr>
    </w:div>
    <w:div w:id="38827755">
      <w:bodyDiv w:val="1"/>
      <w:marLeft w:val="0"/>
      <w:marRight w:val="0"/>
      <w:marTop w:val="0"/>
      <w:marBottom w:val="0"/>
      <w:divBdr>
        <w:top w:val="none" w:sz="0" w:space="0" w:color="auto"/>
        <w:left w:val="none" w:sz="0" w:space="0" w:color="auto"/>
        <w:bottom w:val="none" w:sz="0" w:space="0" w:color="auto"/>
        <w:right w:val="none" w:sz="0" w:space="0" w:color="auto"/>
      </w:divBdr>
    </w:div>
    <w:div w:id="49304343">
      <w:bodyDiv w:val="1"/>
      <w:marLeft w:val="0"/>
      <w:marRight w:val="0"/>
      <w:marTop w:val="0"/>
      <w:marBottom w:val="0"/>
      <w:divBdr>
        <w:top w:val="none" w:sz="0" w:space="0" w:color="auto"/>
        <w:left w:val="none" w:sz="0" w:space="0" w:color="auto"/>
        <w:bottom w:val="none" w:sz="0" w:space="0" w:color="auto"/>
        <w:right w:val="none" w:sz="0" w:space="0" w:color="auto"/>
      </w:divBdr>
    </w:div>
    <w:div w:id="54747634">
      <w:bodyDiv w:val="1"/>
      <w:marLeft w:val="0"/>
      <w:marRight w:val="0"/>
      <w:marTop w:val="0"/>
      <w:marBottom w:val="0"/>
      <w:divBdr>
        <w:top w:val="none" w:sz="0" w:space="0" w:color="auto"/>
        <w:left w:val="none" w:sz="0" w:space="0" w:color="auto"/>
        <w:bottom w:val="none" w:sz="0" w:space="0" w:color="auto"/>
        <w:right w:val="none" w:sz="0" w:space="0" w:color="auto"/>
      </w:divBdr>
    </w:div>
    <w:div w:id="63728465">
      <w:bodyDiv w:val="1"/>
      <w:marLeft w:val="0"/>
      <w:marRight w:val="0"/>
      <w:marTop w:val="0"/>
      <w:marBottom w:val="0"/>
      <w:divBdr>
        <w:top w:val="none" w:sz="0" w:space="0" w:color="auto"/>
        <w:left w:val="none" w:sz="0" w:space="0" w:color="auto"/>
        <w:bottom w:val="none" w:sz="0" w:space="0" w:color="auto"/>
        <w:right w:val="none" w:sz="0" w:space="0" w:color="auto"/>
      </w:divBdr>
    </w:div>
    <w:div w:id="95714436">
      <w:bodyDiv w:val="1"/>
      <w:marLeft w:val="0"/>
      <w:marRight w:val="0"/>
      <w:marTop w:val="0"/>
      <w:marBottom w:val="0"/>
      <w:divBdr>
        <w:top w:val="none" w:sz="0" w:space="0" w:color="auto"/>
        <w:left w:val="none" w:sz="0" w:space="0" w:color="auto"/>
        <w:bottom w:val="none" w:sz="0" w:space="0" w:color="auto"/>
        <w:right w:val="none" w:sz="0" w:space="0" w:color="auto"/>
      </w:divBdr>
    </w:div>
    <w:div w:id="125902739">
      <w:bodyDiv w:val="1"/>
      <w:marLeft w:val="0"/>
      <w:marRight w:val="0"/>
      <w:marTop w:val="0"/>
      <w:marBottom w:val="0"/>
      <w:divBdr>
        <w:top w:val="none" w:sz="0" w:space="0" w:color="auto"/>
        <w:left w:val="none" w:sz="0" w:space="0" w:color="auto"/>
        <w:bottom w:val="none" w:sz="0" w:space="0" w:color="auto"/>
        <w:right w:val="none" w:sz="0" w:space="0" w:color="auto"/>
      </w:divBdr>
    </w:div>
    <w:div w:id="161706505">
      <w:bodyDiv w:val="1"/>
      <w:marLeft w:val="0"/>
      <w:marRight w:val="0"/>
      <w:marTop w:val="0"/>
      <w:marBottom w:val="0"/>
      <w:divBdr>
        <w:top w:val="none" w:sz="0" w:space="0" w:color="auto"/>
        <w:left w:val="none" w:sz="0" w:space="0" w:color="auto"/>
        <w:bottom w:val="none" w:sz="0" w:space="0" w:color="auto"/>
        <w:right w:val="none" w:sz="0" w:space="0" w:color="auto"/>
      </w:divBdr>
    </w:div>
    <w:div w:id="176971631">
      <w:bodyDiv w:val="1"/>
      <w:marLeft w:val="0"/>
      <w:marRight w:val="0"/>
      <w:marTop w:val="0"/>
      <w:marBottom w:val="0"/>
      <w:divBdr>
        <w:top w:val="none" w:sz="0" w:space="0" w:color="auto"/>
        <w:left w:val="none" w:sz="0" w:space="0" w:color="auto"/>
        <w:bottom w:val="none" w:sz="0" w:space="0" w:color="auto"/>
        <w:right w:val="none" w:sz="0" w:space="0" w:color="auto"/>
      </w:divBdr>
    </w:div>
    <w:div w:id="178130019">
      <w:bodyDiv w:val="1"/>
      <w:marLeft w:val="0"/>
      <w:marRight w:val="0"/>
      <w:marTop w:val="0"/>
      <w:marBottom w:val="0"/>
      <w:divBdr>
        <w:top w:val="none" w:sz="0" w:space="0" w:color="auto"/>
        <w:left w:val="none" w:sz="0" w:space="0" w:color="auto"/>
        <w:bottom w:val="none" w:sz="0" w:space="0" w:color="auto"/>
        <w:right w:val="none" w:sz="0" w:space="0" w:color="auto"/>
      </w:divBdr>
    </w:div>
    <w:div w:id="197009599">
      <w:bodyDiv w:val="1"/>
      <w:marLeft w:val="0"/>
      <w:marRight w:val="0"/>
      <w:marTop w:val="0"/>
      <w:marBottom w:val="0"/>
      <w:divBdr>
        <w:top w:val="none" w:sz="0" w:space="0" w:color="auto"/>
        <w:left w:val="none" w:sz="0" w:space="0" w:color="auto"/>
        <w:bottom w:val="none" w:sz="0" w:space="0" w:color="auto"/>
        <w:right w:val="none" w:sz="0" w:space="0" w:color="auto"/>
      </w:divBdr>
    </w:div>
    <w:div w:id="198010118">
      <w:bodyDiv w:val="1"/>
      <w:marLeft w:val="0"/>
      <w:marRight w:val="0"/>
      <w:marTop w:val="0"/>
      <w:marBottom w:val="0"/>
      <w:divBdr>
        <w:top w:val="none" w:sz="0" w:space="0" w:color="auto"/>
        <w:left w:val="none" w:sz="0" w:space="0" w:color="auto"/>
        <w:bottom w:val="none" w:sz="0" w:space="0" w:color="auto"/>
        <w:right w:val="none" w:sz="0" w:space="0" w:color="auto"/>
      </w:divBdr>
    </w:div>
    <w:div w:id="201984718">
      <w:bodyDiv w:val="1"/>
      <w:marLeft w:val="0"/>
      <w:marRight w:val="0"/>
      <w:marTop w:val="0"/>
      <w:marBottom w:val="0"/>
      <w:divBdr>
        <w:top w:val="none" w:sz="0" w:space="0" w:color="auto"/>
        <w:left w:val="none" w:sz="0" w:space="0" w:color="auto"/>
        <w:bottom w:val="none" w:sz="0" w:space="0" w:color="auto"/>
        <w:right w:val="none" w:sz="0" w:space="0" w:color="auto"/>
      </w:divBdr>
    </w:div>
    <w:div w:id="218328525">
      <w:bodyDiv w:val="1"/>
      <w:marLeft w:val="0"/>
      <w:marRight w:val="0"/>
      <w:marTop w:val="0"/>
      <w:marBottom w:val="0"/>
      <w:divBdr>
        <w:top w:val="none" w:sz="0" w:space="0" w:color="auto"/>
        <w:left w:val="none" w:sz="0" w:space="0" w:color="auto"/>
        <w:bottom w:val="none" w:sz="0" w:space="0" w:color="auto"/>
        <w:right w:val="none" w:sz="0" w:space="0" w:color="auto"/>
      </w:divBdr>
    </w:div>
    <w:div w:id="223685722">
      <w:bodyDiv w:val="1"/>
      <w:marLeft w:val="0"/>
      <w:marRight w:val="0"/>
      <w:marTop w:val="0"/>
      <w:marBottom w:val="0"/>
      <w:divBdr>
        <w:top w:val="none" w:sz="0" w:space="0" w:color="auto"/>
        <w:left w:val="none" w:sz="0" w:space="0" w:color="auto"/>
        <w:bottom w:val="none" w:sz="0" w:space="0" w:color="auto"/>
        <w:right w:val="none" w:sz="0" w:space="0" w:color="auto"/>
      </w:divBdr>
    </w:div>
    <w:div w:id="227083666">
      <w:bodyDiv w:val="1"/>
      <w:marLeft w:val="0"/>
      <w:marRight w:val="0"/>
      <w:marTop w:val="0"/>
      <w:marBottom w:val="0"/>
      <w:divBdr>
        <w:top w:val="none" w:sz="0" w:space="0" w:color="auto"/>
        <w:left w:val="none" w:sz="0" w:space="0" w:color="auto"/>
        <w:bottom w:val="none" w:sz="0" w:space="0" w:color="auto"/>
        <w:right w:val="none" w:sz="0" w:space="0" w:color="auto"/>
      </w:divBdr>
    </w:div>
    <w:div w:id="233054723">
      <w:bodyDiv w:val="1"/>
      <w:marLeft w:val="0"/>
      <w:marRight w:val="0"/>
      <w:marTop w:val="0"/>
      <w:marBottom w:val="0"/>
      <w:divBdr>
        <w:top w:val="none" w:sz="0" w:space="0" w:color="auto"/>
        <w:left w:val="none" w:sz="0" w:space="0" w:color="auto"/>
        <w:bottom w:val="none" w:sz="0" w:space="0" w:color="auto"/>
        <w:right w:val="none" w:sz="0" w:space="0" w:color="auto"/>
      </w:divBdr>
    </w:div>
    <w:div w:id="246430062">
      <w:bodyDiv w:val="1"/>
      <w:marLeft w:val="0"/>
      <w:marRight w:val="0"/>
      <w:marTop w:val="0"/>
      <w:marBottom w:val="0"/>
      <w:divBdr>
        <w:top w:val="none" w:sz="0" w:space="0" w:color="auto"/>
        <w:left w:val="none" w:sz="0" w:space="0" w:color="auto"/>
        <w:bottom w:val="none" w:sz="0" w:space="0" w:color="auto"/>
        <w:right w:val="none" w:sz="0" w:space="0" w:color="auto"/>
      </w:divBdr>
    </w:div>
    <w:div w:id="275793574">
      <w:bodyDiv w:val="1"/>
      <w:marLeft w:val="0"/>
      <w:marRight w:val="0"/>
      <w:marTop w:val="0"/>
      <w:marBottom w:val="0"/>
      <w:divBdr>
        <w:top w:val="none" w:sz="0" w:space="0" w:color="auto"/>
        <w:left w:val="none" w:sz="0" w:space="0" w:color="auto"/>
        <w:bottom w:val="none" w:sz="0" w:space="0" w:color="auto"/>
        <w:right w:val="none" w:sz="0" w:space="0" w:color="auto"/>
      </w:divBdr>
    </w:div>
    <w:div w:id="285819521">
      <w:bodyDiv w:val="1"/>
      <w:marLeft w:val="0"/>
      <w:marRight w:val="0"/>
      <w:marTop w:val="0"/>
      <w:marBottom w:val="0"/>
      <w:divBdr>
        <w:top w:val="none" w:sz="0" w:space="0" w:color="auto"/>
        <w:left w:val="none" w:sz="0" w:space="0" w:color="auto"/>
        <w:bottom w:val="none" w:sz="0" w:space="0" w:color="auto"/>
        <w:right w:val="none" w:sz="0" w:space="0" w:color="auto"/>
      </w:divBdr>
      <w:divsChild>
        <w:div w:id="1197503777">
          <w:marLeft w:val="0"/>
          <w:marRight w:val="0"/>
          <w:marTop w:val="0"/>
          <w:marBottom w:val="0"/>
          <w:divBdr>
            <w:top w:val="none" w:sz="0" w:space="0" w:color="auto"/>
            <w:left w:val="none" w:sz="0" w:space="0" w:color="auto"/>
            <w:bottom w:val="none" w:sz="0" w:space="0" w:color="auto"/>
            <w:right w:val="none" w:sz="0" w:space="0" w:color="auto"/>
          </w:divBdr>
          <w:divsChild>
            <w:div w:id="1664503712">
              <w:marLeft w:val="0"/>
              <w:marRight w:val="0"/>
              <w:marTop w:val="0"/>
              <w:marBottom w:val="0"/>
              <w:divBdr>
                <w:top w:val="none" w:sz="0" w:space="0" w:color="auto"/>
                <w:left w:val="none" w:sz="0" w:space="0" w:color="auto"/>
                <w:bottom w:val="none" w:sz="0" w:space="0" w:color="auto"/>
                <w:right w:val="none" w:sz="0" w:space="0" w:color="auto"/>
              </w:divBdr>
              <w:divsChild>
                <w:div w:id="323898099">
                  <w:marLeft w:val="0"/>
                  <w:marRight w:val="0"/>
                  <w:marTop w:val="0"/>
                  <w:marBottom w:val="0"/>
                  <w:divBdr>
                    <w:top w:val="none" w:sz="0" w:space="0" w:color="auto"/>
                    <w:left w:val="none" w:sz="0" w:space="0" w:color="auto"/>
                    <w:bottom w:val="none" w:sz="0" w:space="0" w:color="auto"/>
                    <w:right w:val="none" w:sz="0" w:space="0" w:color="auto"/>
                  </w:divBdr>
                  <w:divsChild>
                    <w:div w:id="253903603">
                      <w:marLeft w:val="1"/>
                      <w:marRight w:val="1"/>
                      <w:marTop w:val="0"/>
                      <w:marBottom w:val="0"/>
                      <w:divBdr>
                        <w:top w:val="none" w:sz="0" w:space="0" w:color="auto"/>
                        <w:left w:val="none" w:sz="0" w:space="0" w:color="auto"/>
                        <w:bottom w:val="none" w:sz="0" w:space="0" w:color="auto"/>
                        <w:right w:val="none" w:sz="0" w:space="0" w:color="auto"/>
                      </w:divBdr>
                      <w:divsChild>
                        <w:div w:id="600071145">
                          <w:marLeft w:val="0"/>
                          <w:marRight w:val="0"/>
                          <w:marTop w:val="0"/>
                          <w:marBottom w:val="0"/>
                          <w:divBdr>
                            <w:top w:val="none" w:sz="0" w:space="0" w:color="auto"/>
                            <w:left w:val="none" w:sz="0" w:space="0" w:color="auto"/>
                            <w:bottom w:val="none" w:sz="0" w:space="0" w:color="auto"/>
                            <w:right w:val="none" w:sz="0" w:space="0" w:color="auto"/>
                          </w:divBdr>
                          <w:divsChild>
                            <w:div w:id="424418620">
                              <w:marLeft w:val="0"/>
                              <w:marRight w:val="0"/>
                              <w:marTop w:val="0"/>
                              <w:marBottom w:val="360"/>
                              <w:divBdr>
                                <w:top w:val="none" w:sz="0" w:space="0" w:color="auto"/>
                                <w:left w:val="none" w:sz="0" w:space="0" w:color="auto"/>
                                <w:bottom w:val="none" w:sz="0" w:space="0" w:color="auto"/>
                                <w:right w:val="none" w:sz="0" w:space="0" w:color="auto"/>
                              </w:divBdr>
                              <w:divsChild>
                                <w:div w:id="1942449447">
                                  <w:marLeft w:val="0"/>
                                  <w:marRight w:val="0"/>
                                  <w:marTop w:val="0"/>
                                  <w:marBottom w:val="0"/>
                                  <w:divBdr>
                                    <w:top w:val="none" w:sz="0" w:space="0" w:color="auto"/>
                                    <w:left w:val="none" w:sz="0" w:space="0" w:color="auto"/>
                                    <w:bottom w:val="none" w:sz="0" w:space="0" w:color="auto"/>
                                    <w:right w:val="none" w:sz="0" w:space="0" w:color="auto"/>
                                  </w:divBdr>
                                  <w:divsChild>
                                    <w:div w:id="1420830779">
                                      <w:marLeft w:val="0"/>
                                      <w:marRight w:val="0"/>
                                      <w:marTop w:val="0"/>
                                      <w:marBottom w:val="0"/>
                                      <w:divBdr>
                                        <w:top w:val="none" w:sz="0" w:space="0" w:color="auto"/>
                                        <w:left w:val="none" w:sz="0" w:space="0" w:color="auto"/>
                                        <w:bottom w:val="none" w:sz="0" w:space="0" w:color="auto"/>
                                        <w:right w:val="none" w:sz="0" w:space="0" w:color="auto"/>
                                      </w:divBdr>
                                      <w:divsChild>
                                        <w:div w:id="1916741567">
                                          <w:marLeft w:val="0"/>
                                          <w:marRight w:val="0"/>
                                          <w:marTop w:val="0"/>
                                          <w:marBottom w:val="0"/>
                                          <w:divBdr>
                                            <w:top w:val="none" w:sz="0" w:space="0" w:color="auto"/>
                                            <w:left w:val="none" w:sz="0" w:space="0" w:color="auto"/>
                                            <w:bottom w:val="none" w:sz="0" w:space="0" w:color="auto"/>
                                            <w:right w:val="none" w:sz="0" w:space="0" w:color="auto"/>
                                          </w:divBdr>
                                          <w:divsChild>
                                            <w:div w:id="1521621237">
                                              <w:marLeft w:val="0"/>
                                              <w:marRight w:val="0"/>
                                              <w:marTop w:val="0"/>
                                              <w:marBottom w:val="0"/>
                                              <w:divBdr>
                                                <w:top w:val="none" w:sz="0" w:space="0" w:color="auto"/>
                                                <w:left w:val="none" w:sz="0" w:space="0" w:color="auto"/>
                                                <w:bottom w:val="none" w:sz="0" w:space="0" w:color="auto"/>
                                                <w:right w:val="none" w:sz="0" w:space="0" w:color="auto"/>
                                              </w:divBdr>
                                              <w:divsChild>
                                                <w:div w:id="1807698628">
                                                  <w:marLeft w:val="0"/>
                                                  <w:marRight w:val="0"/>
                                                  <w:marTop w:val="0"/>
                                                  <w:marBottom w:val="0"/>
                                                  <w:divBdr>
                                                    <w:top w:val="none" w:sz="0" w:space="0" w:color="auto"/>
                                                    <w:left w:val="none" w:sz="0" w:space="0" w:color="auto"/>
                                                    <w:bottom w:val="none" w:sz="0" w:space="0" w:color="auto"/>
                                                    <w:right w:val="none" w:sz="0" w:space="0" w:color="auto"/>
                                                  </w:divBdr>
                                                  <w:divsChild>
                                                    <w:div w:id="53315629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sChild>
            </w:div>
          </w:divsChild>
        </w:div>
      </w:divsChild>
    </w:div>
    <w:div w:id="286856511">
      <w:bodyDiv w:val="1"/>
      <w:marLeft w:val="0"/>
      <w:marRight w:val="0"/>
      <w:marTop w:val="0"/>
      <w:marBottom w:val="0"/>
      <w:divBdr>
        <w:top w:val="none" w:sz="0" w:space="0" w:color="auto"/>
        <w:left w:val="none" w:sz="0" w:space="0" w:color="auto"/>
        <w:bottom w:val="none" w:sz="0" w:space="0" w:color="auto"/>
        <w:right w:val="none" w:sz="0" w:space="0" w:color="auto"/>
      </w:divBdr>
    </w:div>
    <w:div w:id="288434085">
      <w:bodyDiv w:val="1"/>
      <w:marLeft w:val="0"/>
      <w:marRight w:val="0"/>
      <w:marTop w:val="0"/>
      <w:marBottom w:val="0"/>
      <w:divBdr>
        <w:top w:val="none" w:sz="0" w:space="0" w:color="auto"/>
        <w:left w:val="none" w:sz="0" w:space="0" w:color="auto"/>
        <w:bottom w:val="none" w:sz="0" w:space="0" w:color="auto"/>
        <w:right w:val="none" w:sz="0" w:space="0" w:color="auto"/>
      </w:divBdr>
    </w:div>
    <w:div w:id="309791727">
      <w:bodyDiv w:val="1"/>
      <w:marLeft w:val="0"/>
      <w:marRight w:val="0"/>
      <w:marTop w:val="0"/>
      <w:marBottom w:val="0"/>
      <w:divBdr>
        <w:top w:val="none" w:sz="0" w:space="0" w:color="auto"/>
        <w:left w:val="none" w:sz="0" w:space="0" w:color="auto"/>
        <w:bottom w:val="none" w:sz="0" w:space="0" w:color="auto"/>
        <w:right w:val="none" w:sz="0" w:space="0" w:color="auto"/>
      </w:divBdr>
    </w:div>
    <w:div w:id="345207860">
      <w:bodyDiv w:val="1"/>
      <w:marLeft w:val="0"/>
      <w:marRight w:val="0"/>
      <w:marTop w:val="0"/>
      <w:marBottom w:val="0"/>
      <w:divBdr>
        <w:top w:val="none" w:sz="0" w:space="0" w:color="auto"/>
        <w:left w:val="none" w:sz="0" w:space="0" w:color="auto"/>
        <w:bottom w:val="none" w:sz="0" w:space="0" w:color="auto"/>
        <w:right w:val="none" w:sz="0" w:space="0" w:color="auto"/>
      </w:divBdr>
    </w:div>
    <w:div w:id="374350019">
      <w:bodyDiv w:val="1"/>
      <w:marLeft w:val="0"/>
      <w:marRight w:val="0"/>
      <w:marTop w:val="0"/>
      <w:marBottom w:val="0"/>
      <w:divBdr>
        <w:top w:val="none" w:sz="0" w:space="0" w:color="auto"/>
        <w:left w:val="none" w:sz="0" w:space="0" w:color="auto"/>
        <w:bottom w:val="none" w:sz="0" w:space="0" w:color="auto"/>
        <w:right w:val="none" w:sz="0" w:space="0" w:color="auto"/>
      </w:divBdr>
    </w:div>
    <w:div w:id="386075109">
      <w:bodyDiv w:val="1"/>
      <w:marLeft w:val="0"/>
      <w:marRight w:val="0"/>
      <w:marTop w:val="0"/>
      <w:marBottom w:val="0"/>
      <w:divBdr>
        <w:top w:val="none" w:sz="0" w:space="0" w:color="auto"/>
        <w:left w:val="none" w:sz="0" w:space="0" w:color="auto"/>
        <w:bottom w:val="none" w:sz="0" w:space="0" w:color="auto"/>
        <w:right w:val="none" w:sz="0" w:space="0" w:color="auto"/>
      </w:divBdr>
    </w:div>
    <w:div w:id="405492566">
      <w:bodyDiv w:val="1"/>
      <w:marLeft w:val="0"/>
      <w:marRight w:val="0"/>
      <w:marTop w:val="0"/>
      <w:marBottom w:val="0"/>
      <w:divBdr>
        <w:top w:val="none" w:sz="0" w:space="0" w:color="auto"/>
        <w:left w:val="none" w:sz="0" w:space="0" w:color="auto"/>
        <w:bottom w:val="none" w:sz="0" w:space="0" w:color="auto"/>
        <w:right w:val="none" w:sz="0" w:space="0" w:color="auto"/>
      </w:divBdr>
    </w:div>
    <w:div w:id="414209064">
      <w:bodyDiv w:val="1"/>
      <w:marLeft w:val="0"/>
      <w:marRight w:val="0"/>
      <w:marTop w:val="0"/>
      <w:marBottom w:val="0"/>
      <w:divBdr>
        <w:top w:val="none" w:sz="0" w:space="0" w:color="auto"/>
        <w:left w:val="none" w:sz="0" w:space="0" w:color="auto"/>
        <w:bottom w:val="none" w:sz="0" w:space="0" w:color="auto"/>
        <w:right w:val="none" w:sz="0" w:space="0" w:color="auto"/>
      </w:divBdr>
    </w:div>
    <w:div w:id="427190494">
      <w:bodyDiv w:val="1"/>
      <w:marLeft w:val="0"/>
      <w:marRight w:val="0"/>
      <w:marTop w:val="0"/>
      <w:marBottom w:val="0"/>
      <w:divBdr>
        <w:top w:val="none" w:sz="0" w:space="0" w:color="auto"/>
        <w:left w:val="none" w:sz="0" w:space="0" w:color="auto"/>
        <w:bottom w:val="none" w:sz="0" w:space="0" w:color="auto"/>
        <w:right w:val="none" w:sz="0" w:space="0" w:color="auto"/>
      </w:divBdr>
    </w:div>
    <w:div w:id="482550172">
      <w:bodyDiv w:val="1"/>
      <w:marLeft w:val="0"/>
      <w:marRight w:val="0"/>
      <w:marTop w:val="0"/>
      <w:marBottom w:val="0"/>
      <w:divBdr>
        <w:top w:val="none" w:sz="0" w:space="0" w:color="auto"/>
        <w:left w:val="none" w:sz="0" w:space="0" w:color="auto"/>
        <w:bottom w:val="none" w:sz="0" w:space="0" w:color="auto"/>
        <w:right w:val="none" w:sz="0" w:space="0" w:color="auto"/>
      </w:divBdr>
    </w:div>
    <w:div w:id="514198172">
      <w:bodyDiv w:val="1"/>
      <w:marLeft w:val="0"/>
      <w:marRight w:val="0"/>
      <w:marTop w:val="0"/>
      <w:marBottom w:val="0"/>
      <w:divBdr>
        <w:top w:val="none" w:sz="0" w:space="0" w:color="auto"/>
        <w:left w:val="none" w:sz="0" w:space="0" w:color="auto"/>
        <w:bottom w:val="none" w:sz="0" w:space="0" w:color="auto"/>
        <w:right w:val="none" w:sz="0" w:space="0" w:color="auto"/>
      </w:divBdr>
    </w:div>
    <w:div w:id="545340071">
      <w:bodyDiv w:val="1"/>
      <w:marLeft w:val="0"/>
      <w:marRight w:val="0"/>
      <w:marTop w:val="0"/>
      <w:marBottom w:val="0"/>
      <w:divBdr>
        <w:top w:val="none" w:sz="0" w:space="0" w:color="auto"/>
        <w:left w:val="none" w:sz="0" w:space="0" w:color="auto"/>
        <w:bottom w:val="none" w:sz="0" w:space="0" w:color="auto"/>
        <w:right w:val="none" w:sz="0" w:space="0" w:color="auto"/>
      </w:divBdr>
    </w:div>
    <w:div w:id="565994349">
      <w:bodyDiv w:val="1"/>
      <w:marLeft w:val="0"/>
      <w:marRight w:val="0"/>
      <w:marTop w:val="0"/>
      <w:marBottom w:val="0"/>
      <w:divBdr>
        <w:top w:val="none" w:sz="0" w:space="0" w:color="auto"/>
        <w:left w:val="none" w:sz="0" w:space="0" w:color="auto"/>
        <w:bottom w:val="none" w:sz="0" w:space="0" w:color="auto"/>
        <w:right w:val="none" w:sz="0" w:space="0" w:color="auto"/>
      </w:divBdr>
    </w:div>
    <w:div w:id="592204726">
      <w:bodyDiv w:val="1"/>
      <w:marLeft w:val="0"/>
      <w:marRight w:val="0"/>
      <w:marTop w:val="0"/>
      <w:marBottom w:val="0"/>
      <w:divBdr>
        <w:top w:val="none" w:sz="0" w:space="0" w:color="auto"/>
        <w:left w:val="none" w:sz="0" w:space="0" w:color="auto"/>
        <w:bottom w:val="none" w:sz="0" w:space="0" w:color="auto"/>
        <w:right w:val="none" w:sz="0" w:space="0" w:color="auto"/>
      </w:divBdr>
      <w:divsChild>
        <w:div w:id="51974376">
          <w:marLeft w:val="0"/>
          <w:marRight w:val="0"/>
          <w:marTop w:val="0"/>
          <w:marBottom w:val="0"/>
          <w:divBdr>
            <w:top w:val="none" w:sz="0" w:space="0" w:color="auto"/>
            <w:left w:val="none" w:sz="0" w:space="0" w:color="auto"/>
            <w:bottom w:val="none" w:sz="0" w:space="0" w:color="auto"/>
            <w:right w:val="none" w:sz="0" w:space="0" w:color="auto"/>
          </w:divBdr>
          <w:divsChild>
            <w:div w:id="2048141355">
              <w:marLeft w:val="0"/>
              <w:marRight w:val="0"/>
              <w:marTop w:val="0"/>
              <w:marBottom w:val="0"/>
              <w:divBdr>
                <w:top w:val="none" w:sz="0" w:space="0" w:color="auto"/>
                <w:left w:val="none" w:sz="0" w:space="0" w:color="auto"/>
                <w:bottom w:val="none" w:sz="0" w:space="0" w:color="auto"/>
                <w:right w:val="none" w:sz="0" w:space="0" w:color="auto"/>
              </w:divBdr>
              <w:divsChild>
                <w:div w:id="1456098656">
                  <w:marLeft w:val="0"/>
                  <w:marRight w:val="0"/>
                  <w:marTop w:val="0"/>
                  <w:marBottom w:val="0"/>
                  <w:divBdr>
                    <w:top w:val="none" w:sz="0" w:space="0" w:color="auto"/>
                    <w:left w:val="none" w:sz="0" w:space="0" w:color="auto"/>
                    <w:bottom w:val="none" w:sz="0" w:space="0" w:color="auto"/>
                    <w:right w:val="none" w:sz="0" w:space="0" w:color="auto"/>
                  </w:divBdr>
                  <w:divsChild>
                    <w:div w:id="2115319427">
                      <w:marLeft w:val="1"/>
                      <w:marRight w:val="1"/>
                      <w:marTop w:val="0"/>
                      <w:marBottom w:val="0"/>
                      <w:divBdr>
                        <w:top w:val="none" w:sz="0" w:space="0" w:color="auto"/>
                        <w:left w:val="none" w:sz="0" w:space="0" w:color="auto"/>
                        <w:bottom w:val="none" w:sz="0" w:space="0" w:color="auto"/>
                        <w:right w:val="none" w:sz="0" w:space="0" w:color="auto"/>
                      </w:divBdr>
                      <w:divsChild>
                        <w:div w:id="245120051">
                          <w:marLeft w:val="0"/>
                          <w:marRight w:val="0"/>
                          <w:marTop w:val="0"/>
                          <w:marBottom w:val="0"/>
                          <w:divBdr>
                            <w:top w:val="none" w:sz="0" w:space="0" w:color="auto"/>
                            <w:left w:val="none" w:sz="0" w:space="0" w:color="auto"/>
                            <w:bottom w:val="none" w:sz="0" w:space="0" w:color="auto"/>
                            <w:right w:val="none" w:sz="0" w:space="0" w:color="auto"/>
                          </w:divBdr>
                          <w:divsChild>
                            <w:div w:id="425001908">
                              <w:marLeft w:val="0"/>
                              <w:marRight w:val="0"/>
                              <w:marTop w:val="0"/>
                              <w:marBottom w:val="360"/>
                              <w:divBdr>
                                <w:top w:val="none" w:sz="0" w:space="0" w:color="auto"/>
                                <w:left w:val="none" w:sz="0" w:space="0" w:color="auto"/>
                                <w:bottom w:val="none" w:sz="0" w:space="0" w:color="auto"/>
                                <w:right w:val="none" w:sz="0" w:space="0" w:color="auto"/>
                              </w:divBdr>
                              <w:divsChild>
                                <w:div w:id="1613588558">
                                  <w:marLeft w:val="0"/>
                                  <w:marRight w:val="0"/>
                                  <w:marTop w:val="0"/>
                                  <w:marBottom w:val="0"/>
                                  <w:divBdr>
                                    <w:top w:val="none" w:sz="0" w:space="0" w:color="auto"/>
                                    <w:left w:val="none" w:sz="0" w:space="0" w:color="auto"/>
                                    <w:bottom w:val="none" w:sz="0" w:space="0" w:color="auto"/>
                                    <w:right w:val="none" w:sz="0" w:space="0" w:color="auto"/>
                                  </w:divBdr>
                                  <w:divsChild>
                                    <w:div w:id="1144353289">
                                      <w:marLeft w:val="0"/>
                                      <w:marRight w:val="0"/>
                                      <w:marTop w:val="0"/>
                                      <w:marBottom w:val="0"/>
                                      <w:divBdr>
                                        <w:top w:val="none" w:sz="0" w:space="0" w:color="auto"/>
                                        <w:left w:val="none" w:sz="0" w:space="0" w:color="auto"/>
                                        <w:bottom w:val="none" w:sz="0" w:space="0" w:color="auto"/>
                                        <w:right w:val="none" w:sz="0" w:space="0" w:color="auto"/>
                                      </w:divBdr>
                                      <w:divsChild>
                                        <w:div w:id="1335034585">
                                          <w:marLeft w:val="0"/>
                                          <w:marRight w:val="0"/>
                                          <w:marTop w:val="0"/>
                                          <w:marBottom w:val="0"/>
                                          <w:divBdr>
                                            <w:top w:val="none" w:sz="0" w:space="0" w:color="auto"/>
                                            <w:left w:val="none" w:sz="0" w:space="0" w:color="auto"/>
                                            <w:bottom w:val="none" w:sz="0" w:space="0" w:color="auto"/>
                                            <w:right w:val="none" w:sz="0" w:space="0" w:color="auto"/>
                                          </w:divBdr>
                                          <w:divsChild>
                                            <w:div w:id="170027768">
                                              <w:marLeft w:val="0"/>
                                              <w:marRight w:val="0"/>
                                              <w:marTop w:val="0"/>
                                              <w:marBottom w:val="0"/>
                                              <w:divBdr>
                                                <w:top w:val="none" w:sz="0" w:space="0" w:color="auto"/>
                                                <w:left w:val="none" w:sz="0" w:space="0" w:color="auto"/>
                                                <w:bottom w:val="none" w:sz="0" w:space="0" w:color="auto"/>
                                                <w:right w:val="none" w:sz="0" w:space="0" w:color="auto"/>
                                              </w:divBdr>
                                              <w:divsChild>
                                                <w:div w:id="2052456772">
                                                  <w:marLeft w:val="0"/>
                                                  <w:marRight w:val="0"/>
                                                  <w:marTop w:val="0"/>
                                                  <w:marBottom w:val="0"/>
                                                  <w:divBdr>
                                                    <w:top w:val="none" w:sz="0" w:space="0" w:color="auto"/>
                                                    <w:left w:val="none" w:sz="0" w:space="0" w:color="auto"/>
                                                    <w:bottom w:val="none" w:sz="0" w:space="0" w:color="auto"/>
                                                    <w:right w:val="none" w:sz="0" w:space="0" w:color="auto"/>
                                                  </w:divBdr>
                                                  <w:divsChild>
                                                    <w:div w:id="2021740783">
                                                      <w:marLeft w:val="0"/>
                                                      <w:marRight w:val="0"/>
                                                      <w:marTop w:val="0"/>
                                                      <w:marBottom w:val="0"/>
                                                      <w:divBdr>
                                                        <w:top w:val="none" w:sz="0" w:space="0" w:color="auto"/>
                                                        <w:left w:val="none" w:sz="0" w:space="0" w:color="auto"/>
                                                        <w:bottom w:val="none" w:sz="0" w:space="0" w:color="auto"/>
                                                        <w:right w:val="none" w:sz="0" w:space="0" w:color="auto"/>
                                                      </w:divBdr>
                                                      <w:divsChild>
                                                        <w:div w:id="19490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5551682">
      <w:bodyDiv w:val="1"/>
      <w:marLeft w:val="0"/>
      <w:marRight w:val="0"/>
      <w:marTop w:val="0"/>
      <w:marBottom w:val="0"/>
      <w:divBdr>
        <w:top w:val="none" w:sz="0" w:space="0" w:color="auto"/>
        <w:left w:val="none" w:sz="0" w:space="0" w:color="auto"/>
        <w:bottom w:val="none" w:sz="0" w:space="0" w:color="auto"/>
        <w:right w:val="none" w:sz="0" w:space="0" w:color="auto"/>
      </w:divBdr>
    </w:div>
    <w:div w:id="631248610">
      <w:bodyDiv w:val="1"/>
      <w:marLeft w:val="0"/>
      <w:marRight w:val="0"/>
      <w:marTop w:val="0"/>
      <w:marBottom w:val="0"/>
      <w:divBdr>
        <w:top w:val="none" w:sz="0" w:space="0" w:color="auto"/>
        <w:left w:val="none" w:sz="0" w:space="0" w:color="auto"/>
        <w:bottom w:val="none" w:sz="0" w:space="0" w:color="auto"/>
        <w:right w:val="none" w:sz="0" w:space="0" w:color="auto"/>
      </w:divBdr>
    </w:div>
    <w:div w:id="641079897">
      <w:bodyDiv w:val="1"/>
      <w:marLeft w:val="0"/>
      <w:marRight w:val="0"/>
      <w:marTop w:val="0"/>
      <w:marBottom w:val="0"/>
      <w:divBdr>
        <w:top w:val="none" w:sz="0" w:space="0" w:color="auto"/>
        <w:left w:val="none" w:sz="0" w:space="0" w:color="auto"/>
        <w:bottom w:val="none" w:sz="0" w:space="0" w:color="auto"/>
        <w:right w:val="none" w:sz="0" w:space="0" w:color="auto"/>
      </w:divBdr>
      <w:divsChild>
        <w:div w:id="149904028">
          <w:marLeft w:val="0"/>
          <w:marRight w:val="0"/>
          <w:marTop w:val="0"/>
          <w:marBottom w:val="0"/>
          <w:divBdr>
            <w:top w:val="none" w:sz="0" w:space="0" w:color="auto"/>
            <w:left w:val="none" w:sz="0" w:space="0" w:color="auto"/>
            <w:bottom w:val="none" w:sz="0" w:space="0" w:color="auto"/>
            <w:right w:val="none" w:sz="0" w:space="0" w:color="auto"/>
          </w:divBdr>
          <w:divsChild>
            <w:div w:id="1754740199">
              <w:marLeft w:val="0"/>
              <w:marRight w:val="0"/>
              <w:marTop w:val="0"/>
              <w:marBottom w:val="0"/>
              <w:divBdr>
                <w:top w:val="none" w:sz="0" w:space="0" w:color="auto"/>
                <w:left w:val="none" w:sz="0" w:space="0" w:color="auto"/>
                <w:bottom w:val="none" w:sz="0" w:space="0" w:color="auto"/>
                <w:right w:val="none" w:sz="0" w:space="0" w:color="auto"/>
              </w:divBdr>
              <w:divsChild>
                <w:div w:id="1261446373">
                  <w:marLeft w:val="0"/>
                  <w:marRight w:val="0"/>
                  <w:marTop w:val="0"/>
                  <w:marBottom w:val="0"/>
                  <w:divBdr>
                    <w:top w:val="none" w:sz="0" w:space="0" w:color="auto"/>
                    <w:left w:val="none" w:sz="0" w:space="0" w:color="auto"/>
                    <w:bottom w:val="none" w:sz="0" w:space="0" w:color="auto"/>
                    <w:right w:val="none" w:sz="0" w:space="0" w:color="auto"/>
                  </w:divBdr>
                  <w:divsChild>
                    <w:div w:id="1179395927">
                      <w:marLeft w:val="0"/>
                      <w:marRight w:val="0"/>
                      <w:marTop w:val="0"/>
                      <w:marBottom w:val="0"/>
                      <w:divBdr>
                        <w:top w:val="none" w:sz="0" w:space="0" w:color="auto"/>
                        <w:left w:val="none" w:sz="0" w:space="0" w:color="auto"/>
                        <w:bottom w:val="none" w:sz="0" w:space="0" w:color="auto"/>
                        <w:right w:val="none" w:sz="0" w:space="0" w:color="auto"/>
                      </w:divBdr>
                      <w:divsChild>
                        <w:div w:id="1269002757">
                          <w:marLeft w:val="0"/>
                          <w:marRight w:val="0"/>
                          <w:marTop w:val="0"/>
                          <w:marBottom w:val="0"/>
                          <w:divBdr>
                            <w:top w:val="none" w:sz="0" w:space="0" w:color="auto"/>
                            <w:left w:val="none" w:sz="0" w:space="0" w:color="auto"/>
                            <w:bottom w:val="none" w:sz="0" w:space="0" w:color="auto"/>
                            <w:right w:val="none" w:sz="0" w:space="0" w:color="auto"/>
                          </w:divBdr>
                          <w:divsChild>
                            <w:div w:id="1206671995">
                              <w:marLeft w:val="0"/>
                              <w:marRight w:val="0"/>
                              <w:marTop w:val="0"/>
                              <w:marBottom w:val="0"/>
                              <w:divBdr>
                                <w:top w:val="none" w:sz="0" w:space="0" w:color="auto"/>
                                <w:left w:val="none" w:sz="0" w:space="0" w:color="auto"/>
                                <w:bottom w:val="none" w:sz="0" w:space="0" w:color="auto"/>
                                <w:right w:val="none" w:sz="0" w:space="0" w:color="auto"/>
                              </w:divBdr>
                              <w:divsChild>
                                <w:div w:id="974329733">
                                  <w:marLeft w:val="0"/>
                                  <w:marRight w:val="0"/>
                                  <w:marTop w:val="0"/>
                                  <w:marBottom w:val="0"/>
                                  <w:divBdr>
                                    <w:top w:val="none" w:sz="0" w:space="0" w:color="auto"/>
                                    <w:left w:val="none" w:sz="0" w:space="0" w:color="auto"/>
                                    <w:bottom w:val="none" w:sz="0" w:space="0" w:color="auto"/>
                                    <w:right w:val="none" w:sz="0" w:space="0" w:color="auto"/>
                                  </w:divBdr>
                                  <w:divsChild>
                                    <w:div w:id="1014842444">
                                      <w:marLeft w:val="0"/>
                                      <w:marRight w:val="0"/>
                                      <w:marTop w:val="0"/>
                                      <w:marBottom w:val="0"/>
                                      <w:divBdr>
                                        <w:top w:val="none" w:sz="0" w:space="0" w:color="auto"/>
                                        <w:left w:val="none" w:sz="0" w:space="0" w:color="auto"/>
                                        <w:bottom w:val="none" w:sz="0" w:space="0" w:color="auto"/>
                                        <w:right w:val="none" w:sz="0" w:space="0" w:color="auto"/>
                                      </w:divBdr>
                                      <w:divsChild>
                                        <w:div w:id="14243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9579510">
      <w:bodyDiv w:val="1"/>
      <w:marLeft w:val="0"/>
      <w:marRight w:val="0"/>
      <w:marTop w:val="0"/>
      <w:marBottom w:val="0"/>
      <w:divBdr>
        <w:top w:val="none" w:sz="0" w:space="0" w:color="auto"/>
        <w:left w:val="none" w:sz="0" w:space="0" w:color="auto"/>
        <w:bottom w:val="none" w:sz="0" w:space="0" w:color="auto"/>
        <w:right w:val="none" w:sz="0" w:space="0" w:color="auto"/>
      </w:divBdr>
    </w:div>
    <w:div w:id="660734970">
      <w:bodyDiv w:val="1"/>
      <w:marLeft w:val="0"/>
      <w:marRight w:val="0"/>
      <w:marTop w:val="0"/>
      <w:marBottom w:val="0"/>
      <w:divBdr>
        <w:top w:val="none" w:sz="0" w:space="0" w:color="auto"/>
        <w:left w:val="none" w:sz="0" w:space="0" w:color="auto"/>
        <w:bottom w:val="none" w:sz="0" w:space="0" w:color="auto"/>
        <w:right w:val="none" w:sz="0" w:space="0" w:color="auto"/>
      </w:divBdr>
    </w:div>
    <w:div w:id="692077808">
      <w:bodyDiv w:val="1"/>
      <w:marLeft w:val="0"/>
      <w:marRight w:val="0"/>
      <w:marTop w:val="0"/>
      <w:marBottom w:val="0"/>
      <w:divBdr>
        <w:top w:val="none" w:sz="0" w:space="0" w:color="auto"/>
        <w:left w:val="none" w:sz="0" w:space="0" w:color="auto"/>
        <w:bottom w:val="none" w:sz="0" w:space="0" w:color="auto"/>
        <w:right w:val="none" w:sz="0" w:space="0" w:color="auto"/>
      </w:divBdr>
    </w:div>
    <w:div w:id="744495624">
      <w:bodyDiv w:val="1"/>
      <w:marLeft w:val="0"/>
      <w:marRight w:val="0"/>
      <w:marTop w:val="0"/>
      <w:marBottom w:val="0"/>
      <w:divBdr>
        <w:top w:val="none" w:sz="0" w:space="0" w:color="auto"/>
        <w:left w:val="none" w:sz="0" w:space="0" w:color="auto"/>
        <w:bottom w:val="none" w:sz="0" w:space="0" w:color="auto"/>
        <w:right w:val="none" w:sz="0" w:space="0" w:color="auto"/>
      </w:divBdr>
    </w:div>
    <w:div w:id="746804041">
      <w:bodyDiv w:val="1"/>
      <w:marLeft w:val="0"/>
      <w:marRight w:val="0"/>
      <w:marTop w:val="0"/>
      <w:marBottom w:val="0"/>
      <w:divBdr>
        <w:top w:val="none" w:sz="0" w:space="0" w:color="auto"/>
        <w:left w:val="none" w:sz="0" w:space="0" w:color="auto"/>
        <w:bottom w:val="none" w:sz="0" w:space="0" w:color="auto"/>
        <w:right w:val="none" w:sz="0" w:space="0" w:color="auto"/>
      </w:divBdr>
    </w:div>
    <w:div w:id="752354263">
      <w:bodyDiv w:val="1"/>
      <w:marLeft w:val="0"/>
      <w:marRight w:val="0"/>
      <w:marTop w:val="0"/>
      <w:marBottom w:val="0"/>
      <w:divBdr>
        <w:top w:val="none" w:sz="0" w:space="0" w:color="auto"/>
        <w:left w:val="none" w:sz="0" w:space="0" w:color="auto"/>
        <w:bottom w:val="none" w:sz="0" w:space="0" w:color="auto"/>
        <w:right w:val="none" w:sz="0" w:space="0" w:color="auto"/>
      </w:divBdr>
    </w:div>
    <w:div w:id="753017435">
      <w:bodyDiv w:val="1"/>
      <w:marLeft w:val="0"/>
      <w:marRight w:val="0"/>
      <w:marTop w:val="0"/>
      <w:marBottom w:val="0"/>
      <w:divBdr>
        <w:top w:val="none" w:sz="0" w:space="0" w:color="auto"/>
        <w:left w:val="none" w:sz="0" w:space="0" w:color="auto"/>
        <w:bottom w:val="none" w:sz="0" w:space="0" w:color="auto"/>
        <w:right w:val="none" w:sz="0" w:space="0" w:color="auto"/>
      </w:divBdr>
    </w:div>
    <w:div w:id="837424921">
      <w:bodyDiv w:val="1"/>
      <w:marLeft w:val="0"/>
      <w:marRight w:val="0"/>
      <w:marTop w:val="0"/>
      <w:marBottom w:val="0"/>
      <w:divBdr>
        <w:top w:val="none" w:sz="0" w:space="0" w:color="auto"/>
        <w:left w:val="none" w:sz="0" w:space="0" w:color="auto"/>
        <w:bottom w:val="none" w:sz="0" w:space="0" w:color="auto"/>
        <w:right w:val="none" w:sz="0" w:space="0" w:color="auto"/>
      </w:divBdr>
    </w:div>
    <w:div w:id="855928914">
      <w:bodyDiv w:val="1"/>
      <w:marLeft w:val="0"/>
      <w:marRight w:val="0"/>
      <w:marTop w:val="0"/>
      <w:marBottom w:val="0"/>
      <w:divBdr>
        <w:top w:val="none" w:sz="0" w:space="0" w:color="auto"/>
        <w:left w:val="none" w:sz="0" w:space="0" w:color="auto"/>
        <w:bottom w:val="none" w:sz="0" w:space="0" w:color="auto"/>
        <w:right w:val="none" w:sz="0" w:space="0" w:color="auto"/>
      </w:divBdr>
    </w:div>
    <w:div w:id="892276435">
      <w:bodyDiv w:val="1"/>
      <w:marLeft w:val="0"/>
      <w:marRight w:val="0"/>
      <w:marTop w:val="0"/>
      <w:marBottom w:val="0"/>
      <w:divBdr>
        <w:top w:val="none" w:sz="0" w:space="0" w:color="auto"/>
        <w:left w:val="none" w:sz="0" w:space="0" w:color="auto"/>
        <w:bottom w:val="none" w:sz="0" w:space="0" w:color="auto"/>
        <w:right w:val="none" w:sz="0" w:space="0" w:color="auto"/>
      </w:divBdr>
    </w:div>
    <w:div w:id="906692310">
      <w:bodyDiv w:val="1"/>
      <w:marLeft w:val="0"/>
      <w:marRight w:val="0"/>
      <w:marTop w:val="0"/>
      <w:marBottom w:val="0"/>
      <w:divBdr>
        <w:top w:val="none" w:sz="0" w:space="0" w:color="auto"/>
        <w:left w:val="none" w:sz="0" w:space="0" w:color="auto"/>
        <w:bottom w:val="none" w:sz="0" w:space="0" w:color="auto"/>
        <w:right w:val="none" w:sz="0" w:space="0" w:color="auto"/>
      </w:divBdr>
    </w:div>
    <w:div w:id="951783957">
      <w:bodyDiv w:val="1"/>
      <w:marLeft w:val="0"/>
      <w:marRight w:val="0"/>
      <w:marTop w:val="0"/>
      <w:marBottom w:val="0"/>
      <w:divBdr>
        <w:top w:val="none" w:sz="0" w:space="0" w:color="auto"/>
        <w:left w:val="none" w:sz="0" w:space="0" w:color="auto"/>
        <w:bottom w:val="none" w:sz="0" w:space="0" w:color="auto"/>
        <w:right w:val="none" w:sz="0" w:space="0" w:color="auto"/>
      </w:divBdr>
    </w:div>
    <w:div w:id="963193911">
      <w:bodyDiv w:val="1"/>
      <w:marLeft w:val="0"/>
      <w:marRight w:val="0"/>
      <w:marTop w:val="0"/>
      <w:marBottom w:val="0"/>
      <w:divBdr>
        <w:top w:val="none" w:sz="0" w:space="0" w:color="auto"/>
        <w:left w:val="none" w:sz="0" w:space="0" w:color="auto"/>
        <w:bottom w:val="none" w:sz="0" w:space="0" w:color="auto"/>
        <w:right w:val="none" w:sz="0" w:space="0" w:color="auto"/>
      </w:divBdr>
    </w:div>
    <w:div w:id="976033397">
      <w:bodyDiv w:val="1"/>
      <w:marLeft w:val="0"/>
      <w:marRight w:val="0"/>
      <w:marTop w:val="0"/>
      <w:marBottom w:val="0"/>
      <w:divBdr>
        <w:top w:val="none" w:sz="0" w:space="0" w:color="auto"/>
        <w:left w:val="none" w:sz="0" w:space="0" w:color="auto"/>
        <w:bottom w:val="none" w:sz="0" w:space="0" w:color="auto"/>
        <w:right w:val="none" w:sz="0" w:space="0" w:color="auto"/>
      </w:divBdr>
    </w:div>
    <w:div w:id="1036391671">
      <w:bodyDiv w:val="1"/>
      <w:marLeft w:val="0"/>
      <w:marRight w:val="0"/>
      <w:marTop w:val="0"/>
      <w:marBottom w:val="0"/>
      <w:divBdr>
        <w:top w:val="none" w:sz="0" w:space="0" w:color="auto"/>
        <w:left w:val="none" w:sz="0" w:space="0" w:color="auto"/>
        <w:bottom w:val="none" w:sz="0" w:space="0" w:color="auto"/>
        <w:right w:val="none" w:sz="0" w:space="0" w:color="auto"/>
      </w:divBdr>
    </w:div>
    <w:div w:id="1043334164">
      <w:bodyDiv w:val="1"/>
      <w:marLeft w:val="0"/>
      <w:marRight w:val="0"/>
      <w:marTop w:val="0"/>
      <w:marBottom w:val="0"/>
      <w:divBdr>
        <w:top w:val="none" w:sz="0" w:space="0" w:color="auto"/>
        <w:left w:val="none" w:sz="0" w:space="0" w:color="auto"/>
        <w:bottom w:val="none" w:sz="0" w:space="0" w:color="auto"/>
        <w:right w:val="none" w:sz="0" w:space="0" w:color="auto"/>
      </w:divBdr>
    </w:div>
    <w:div w:id="1071539983">
      <w:bodyDiv w:val="1"/>
      <w:marLeft w:val="0"/>
      <w:marRight w:val="0"/>
      <w:marTop w:val="0"/>
      <w:marBottom w:val="0"/>
      <w:divBdr>
        <w:top w:val="none" w:sz="0" w:space="0" w:color="auto"/>
        <w:left w:val="none" w:sz="0" w:space="0" w:color="auto"/>
        <w:bottom w:val="none" w:sz="0" w:space="0" w:color="auto"/>
        <w:right w:val="none" w:sz="0" w:space="0" w:color="auto"/>
      </w:divBdr>
    </w:div>
    <w:div w:id="1100370030">
      <w:bodyDiv w:val="1"/>
      <w:marLeft w:val="0"/>
      <w:marRight w:val="0"/>
      <w:marTop w:val="0"/>
      <w:marBottom w:val="0"/>
      <w:divBdr>
        <w:top w:val="none" w:sz="0" w:space="0" w:color="auto"/>
        <w:left w:val="none" w:sz="0" w:space="0" w:color="auto"/>
        <w:bottom w:val="none" w:sz="0" w:space="0" w:color="auto"/>
        <w:right w:val="none" w:sz="0" w:space="0" w:color="auto"/>
      </w:divBdr>
    </w:div>
    <w:div w:id="1109738629">
      <w:bodyDiv w:val="1"/>
      <w:marLeft w:val="0"/>
      <w:marRight w:val="0"/>
      <w:marTop w:val="0"/>
      <w:marBottom w:val="0"/>
      <w:divBdr>
        <w:top w:val="none" w:sz="0" w:space="0" w:color="auto"/>
        <w:left w:val="none" w:sz="0" w:space="0" w:color="auto"/>
        <w:bottom w:val="none" w:sz="0" w:space="0" w:color="auto"/>
        <w:right w:val="none" w:sz="0" w:space="0" w:color="auto"/>
      </w:divBdr>
    </w:div>
    <w:div w:id="1149319651">
      <w:bodyDiv w:val="1"/>
      <w:marLeft w:val="0"/>
      <w:marRight w:val="0"/>
      <w:marTop w:val="0"/>
      <w:marBottom w:val="0"/>
      <w:divBdr>
        <w:top w:val="none" w:sz="0" w:space="0" w:color="auto"/>
        <w:left w:val="none" w:sz="0" w:space="0" w:color="auto"/>
        <w:bottom w:val="none" w:sz="0" w:space="0" w:color="auto"/>
        <w:right w:val="none" w:sz="0" w:space="0" w:color="auto"/>
      </w:divBdr>
    </w:div>
    <w:div w:id="1150051309">
      <w:bodyDiv w:val="1"/>
      <w:marLeft w:val="0"/>
      <w:marRight w:val="0"/>
      <w:marTop w:val="0"/>
      <w:marBottom w:val="0"/>
      <w:divBdr>
        <w:top w:val="none" w:sz="0" w:space="0" w:color="auto"/>
        <w:left w:val="none" w:sz="0" w:space="0" w:color="auto"/>
        <w:bottom w:val="none" w:sz="0" w:space="0" w:color="auto"/>
        <w:right w:val="none" w:sz="0" w:space="0" w:color="auto"/>
      </w:divBdr>
    </w:div>
    <w:div w:id="1198156104">
      <w:bodyDiv w:val="1"/>
      <w:marLeft w:val="0"/>
      <w:marRight w:val="0"/>
      <w:marTop w:val="0"/>
      <w:marBottom w:val="0"/>
      <w:divBdr>
        <w:top w:val="none" w:sz="0" w:space="0" w:color="auto"/>
        <w:left w:val="none" w:sz="0" w:space="0" w:color="auto"/>
        <w:bottom w:val="none" w:sz="0" w:space="0" w:color="auto"/>
        <w:right w:val="none" w:sz="0" w:space="0" w:color="auto"/>
      </w:divBdr>
    </w:div>
    <w:div w:id="1248465927">
      <w:bodyDiv w:val="1"/>
      <w:marLeft w:val="0"/>
      <w:marRight w:val="0"/>
      <w:marTop w:val="0"/>
      <w:marBottom w:val="0"/>
      <w:divBdr>
        <w:top w:val="none" w:sz="0" w:space="0" w:color="auto"/>
        <w:left w:val="none" w:sz="0" w:space="0" w:color="auto"/>
        <w:bottom w:val="none" w:sz="0" w:space="0" w:color="auto"/>
        <w:right w:val="none" w:sz="0" w:space="0" w:color="auto"/>
      </w:divBdr>
    </w:div>
    <w:div w:id="1253510002">
      <w:bodyDiv w:val="1"/>
      <w:marLeft w:val="0"/>
      <w:marRight w:val="0"/>
      <w:marTop w:val="0"/>
      <w:marBottom w:val="0"/>
      <w:divBdr>
        <w:top w:val="none" w:sz="0" w:space="0" w:color="auto"/>
        <w:left w:val="none" w:sz="0" w:space="0" w:color="auto"/>
        <w:bottom w:val="none" w:sz="0" w:space="0" w:color="auto"/>
        <w:right w:val="none" w:sz="0" w:space="0" w:color="auto"/>
      </w:divBdr>
    </w:div>
    <w:div w:id="1265921842">
      <w:bodyDiv w:val="1"/>
      <w:marLeft w:val="0"/>
      <w:marRight w:val="0"/>
      <w:marTop w:val="0"/>
      <w:marBottom w:val="0"/>
      <w:divBdr>
        <w:top w:val="none" w:sz="0" w:space="0" w:color="auto"/>
        <w:left w:val="none" w:sz="0" w:space="0" w:color="auto"/>
        <w:bottom w:val="none" w:sz="0" w:space="0" w:color="auto"/>
        <w:right w:val="none" w:sz="0" w:space="0" w:color="auto"/>
      </w:divBdr>
      <w:divsChild>
        <w:div w:id="1809397806">
          <w:marLeft w:val="0"/>
          <w:marRight w:val="0"/>
          <w:marTop w:val="0"/>
          <w:marBottom w:val="0"/>
          <w:divBdr>
            <w:top w:val="none" w:sz="0" w:space="0" w:color="auto"/>
            <w:left w:val="none" w:sz="0" w:space="0" w:color="auto"/>
            <w:bottom w:val="none" w:sz="0" w:space="0" w:color="auto"/>
            <w:right w:val="none" w:sz="0" w:space="0" w:color="auto"/>
          </w:divBdr>
          <w:divsChild>
            <w:div w:id="71439724">
              <w:marLeft w:val="0"/>
              <w:marRight w:val="0"/>
              <w:marTop w:val="0"/>
              <w:marBottom w:val="0"/>
              <w:divBdr>
                <w:top w:val="none" w:sz="0" w:space="0" w:color="auto"/>
                <w:left w:val="none" w:sz="0" w:space="0" w:color="auto"/>
                <w:bottom w:val="none" w:sz="0" w:space="0" w:color="auto"/>
                <w:right w:val="none" w:sz="0" w:space="0" w:color="auto"/>
              </w:divBdr>
              <w:divsChild>
                <w:div w:id="991953116">
                  <w:marLeft w:val="0"/>
                  <w:marRight w:val="0"/>
                  <w:marTop w:val="0"/>
                  <w:marBottom w:val="0"/>
                  <w:divBdr>
                    <w:top w:val="none" w:sz="0" w:space="0" w:color="auto"/>
                    <w:left w:val="none" w:sz="0" w:space="0" w:color="auto"/>
                    <w:bottom w:val="none" w:sz="0" w:space="0" w:color="auto"/>
                    <w:right w:val="none" w:sz="0" w:space="0" w:color="auto"/>
                  </w:divBdr>
                  <w:divsChild>
                    <w:div w:id="12917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281730">
      <w:bodyDiv w:val="1"/>
      <w:marLeft w:val="0"/>
      <w:marRight w:val="0"/>
      <w:marTop w:val="0"/>
      <w:marBottom w:val="0"/>
      <w:divBdr>
        <w:top w:val="none" w:sz="0" w:space="0" w:color="auto"/>
        <w:left w:val="none" w:sz="0" w:space="0" w:color="auto"/>
        <w:bottom w:val="none" w:sz="0" w:space="0" w:color="auto"/>
        <w:right w:val="none" w:sz="0" w:space="0" w:color="auto"/>
      </w:divBdr>
    </w:div>
    <w:div w:id="1296257837">
      <w:bodyDiv w:val="1"/>
      <w:marLeft w:val="0"/>
      <w:marRight w:val="0"/>
      <w:marTop w:val="0"/>
      <w:marBottom w:val="0"/>
      <w:divBdr>
        <w:top w:val="none" w:sz="0" w:space="0" w:color="auto"/>
        <w:left w:val="none" w:sz="0" w:space="0" w:color="auto"/>
        <w:bottom w:val="none" w:sz="0" w:space="0" w:color="auto"/>
        <w:right w:val="none" w:sz="0" w:space="0" w:color="auto"/>
      </w:divBdr>
    </w:div>
    <w:div w:id="1326864251">
      <w:bodyDiv w:val="1"/>
      <w:marLeft w:val="0"/>
      <w:marRight w:val="0"/>
      <w:marTop w:val="0"/>
      <w:marBottom w:val="0"/>
      <w:divBdr>
        <w:top w:val="none" w:sz="0" w:space="0" w:color="auto"/>
        <w:left w:val="none" w:sz="0" w:space="0" w:color="auto"/>
        <w:bottom w:val="none" w:sz="0" w:space="0" w:color="auto"/>
        <w:right w:val="none" w:sz="0" w:space="0" w:color="auto"/>
      </w:divBdr>
    </w:div>
    <w:div w:id="1360427042">
      <w:bodyDiv w:val="1"/>
      <w:marLeft w:val="0"/>
      <w:marRight w:val="0"/>
      <w:marTop w:val="0"/>
      <w:marBottom w:val="0"/>
      <w:divBdr>
        <w:top w:val="none" w:sz="0" w:space="0" w:color="auto"/>
        <w:left w:val="none" w:sz="0" w:space="0" w:color="auto"/>
        <w:bottom w:val="none" w:sz="0" w:space="0" w:color="auto"/>
        <w:right w:val="none" w:sz="0" w:space="0" w:color="auto"/>
      </w:divBdr>
    </w:div>
    <w:div w:id="1380322069">
      <w:bodyDiv w:val="1"/>
      <w:marLeft w:val="0"/>
      <w:marRight w:val="0"/>
      <w:marTop w:val="0"/>
      <w:marBottom w:val="0"/>
      <w:divBdr>
        <w:top w:val="none" w:sz="0" w:space="0" w:color="auto"/>
        <w:left w:val="none" w:sz="0" w:space="0" w:color="auto"/>
        <w:bottom w:val="none" w:sz="0" w:space="0" w:color="auto"/>
        <w:right w:val="none" w:sz="0" w:space="0" w:color="auto"/>
      </w:divBdr>
    </w:div>
    <w:div w:id="1429349798">
      <w:bodyDiv w:val="1"/>
      <w:marLeft w:val="0"/>
      <w:marRight w:val="0"/>
      <w:marTop w:val="0"/>
      <w:marBottom w:val="0"/>
      <w:divBdr>
        <w:top w:val="none" w:sz="0" w:space="0" w:color="auto"/>
        <w:left w:val="none" w:sz="0" w:space="0" w:color="auto"/>
        <w:bottom w:val="none" w:sz="0" w:space="0" w:color="auto"/>
        <w:right w:val="none" w:sz="0" w:space="0" w:color="auto"/>
      </w:divBdr>
    </w:div>
    <w:div w:id="1430932524">
      <w:bodyDiv w:val="1"/>
      <w:marLeft w:val="0"/>
      <w:marRight w:val="0"/>
      <w:marTop w:val="0"/>
      <w:marBottom w:val="0"/>
      <w:divBdr>
        <w:top w:val="none" w:sz="0" w:space="0" w:color="auto"/>
        <w:left w:val="none" w:sz="0" w:space="0" w:color="auto"/>
        <w:bottom w:val="none" w:sz="0" w:space="0" w:color="auto"/>
        <w:right w:val="none" w:sz="0" w:space="0" w:color="auto"/>
      </w:divBdr>
    </w:div>
    <w:div w:id="1433742322">
      <w:bodyDiv w:val="1"/>
      <w:marLeft w:val="0"/>
      <w:marRight w:val="0"/>
      <w:marTop w:val="0"/>
      <w:marBottom w:val="0"/>
      <w:divBdr>
        <w:top w:val="none" w:sz="0" w:space="0" w:color="auto"/>
        <w:left w:val="none" w:sz="0" w:space="0" w:color="auto"/>
        <w:bottom w:val="none" w:sz="0" w:space="0" w:color="auto"/>
        <w:right w:val="none" w:sz="0" w:space="0" w:color="auto"/>
      </w:divBdr>
      <w:divsChild>
        <w:div w:id="1639189911">
          <w:marLeft w:val="0"/>
          <w:marRight w:val="0"/>
          <w:marTop w:val="0"/>
          <w:marBottom w:val="0"/>
          <w:divBdr>
            <w:top w:val="none" w:sz="0" w:space="0" w:color="auto"/>
            <w:left w:val="none" w:sz="0" w:space="0" w:color="auto"/>
            <w:bottom w:val="none" w:sz="0" w:space="0" w:color="auto"/>
            <w:right w:val="none" w:sz="0" w:space="0" w:color="auto"/>
          </w:divBdr>
          <w:divsChild>
            <w:div w:id="1365977627">
              <w:marLeft w:val="0"/>
              <w:marRight w:val="0"/>
              <w:marTop w:val="0"/>
              <w:marBottom w:val="0"/>
              <w:divBdr>
                <w:top w:val="none" w:sz="0" w:space="0" w:color="auto"/>
                <w:left w:val="none" w:sz="0" w:space="0" w:color="auto"/>
                <w:bottom w:val="none" w:sz="0" w:space="0" w:color="auto"/>
                <w:right w:val="none" w:sz="0" w:space="0" w:color="auto"/>
              </w:divBdr>
              <w:divsChild>
                <w:div w:id="1260799163">
                  <w:marLeft w:val="0"/>
                  <w:marRight w:val="0"/>
                  <w:marTop w:val="0"/>
                  <w:marBottom w:val="0"/>
                  <w:divBdr>
                    <w:top w:val="none" w:sz="0" w:space="0" w:color="auto"/>
                    <w:left w:val="none" w:sz="0" w:space="0" w:color="auto"/>
                    <w:bottom w:val="none" w:sz="0" w:space="0" w:color="auto"/>
                    <w:right w:val="none" w:sz="0" w:space="0" w:color="auto"/>
                  </w:divBdr>
                  <w:divsChild>
                    <w:div w:id="584726654">
                      <w:marLeft w:val="1"/>
                      <w:marRight w:val="1"/>
                      <w:marTop w:val="0"/>
                      <w:marBottom w:val="0"/>
                      <w:divBdr>
                        <w:top w:val="none" w:sz="0" w:space="0" w:color="auto"/>
                        <w:left w:val="none" w:sz="0" w:space="0" w:color="auto"/>
                        <w:bottom w:val="none" w:sz="0" w:space="0" w:color="auto"/>
                        <w:right w:val="none" w:sz="0" w:space="0" w:color="auto"/>
                      </w:divBdr>
                      <w:divsChild>
                        <w:div w:id="7874283">
                          <w:marLeft w:val="0"/>
                          <w:marRight w:val="0"/>
                          <w:marTop w:val="0"/>
                          <w:marBottom w:val="0"/>
                          <w:divBdr>
                            <w:top w:val="none" w:sz="0" w:space="0" w:color="auto"/>
                            <w:left w:val="none" w:sz="0" w:space="0" w:color="auto"/>
                            <w:bottom w:val="none" w:sz="0" w:space="0" w:color="auto"/>
                            <w:right w:val="none" w:sz="0" w:space="0" w:color="auto"/>
                          </w:divBdr>
                          <w:divsChild>
                            <w:div w:id="1346520582">
                              <w:marLeft w:val="0"/>
                              <w:marRight w:val="0"/>
                              <w:marTop w:val="0"/>
                              <w:marBottom w:val="360"/>
                              <w:divBdr>
                                <w:top w:val="none" w:sz="0" w:space="0" w:color="auto"/>
                                <w:left w:val="none" w:sz="0" w:space="0" w:color="auto"/>
                                <w:bottom w:val="none" w:sz="0" w:space="0" w:color="auto"/>
                                <w:right w:val="none" w:sz="0" w:space="0" w:color="auto"/>
                              </w:divBdr>
                              <w:divsChild>
                                <w:div w:id="1992564073">
                                  <w:marLeft w:val="0"/>
                                  <w:marRight w:val="0"/>
                                  <w:marTop w:val="0"/>
                                  <w:marBottom w:val="0"/>
                                  <w:divBdr>
                                    <w:top w:val="none" w:sz="0" w:space="0" w:color="auto"/>
                                    <w:left w:val="none" w:sz="0" w:space="0" w:color="auto"/>
                                    <w:bottom w:val="none" w:sz="0" w:space="0" w:color="auto"/>
                                    <w:right w:val="none" w:sz="0" w:space="0" w:color="auto"/>
                                  </w:divBdr>
                                  <w:divsChild>
                                    <w:div w:id="253517694">
                                      <w:marLeft w:val="0"/>
                                      <w:marRight w:val="0"/>
                                      <w:marTop w:val="0"/>
                                      <w:marBottom w:val="0"/>
                                      <w:divBdr>
                                        <w:top w:val="none" w:sz="0" w:space="0" w:color="auto"/>
                                        <w:left w:val="none" w:sz="0" w:space="0" w:color="auto"/>
                                        <w:bottom w:val="none" w:sz="0" w:space="0" w:color="auto"/>
                                        <w:right w:val="none" w:sz="0" w:space="0" w:color="auto"/>
                                      </w:divBdr>
                                      <w:divsChild>
                                        <w:div w:id="283774394">
                                          <w:marLeft w:val="0"/>
                                          <w:marRight w:val="0"/>
                                          <w:marTop w:val="0"/>
                                          <w:marBottom w:val="0"/>
                                          <w:divBdr>
                                            <w:top w:val="none" w:sz="0" w:space="0" w:color="auto"/>
                                            <w:left w:val="none" w:sz="0" w:space="0" w:color="auto"/>
                                            <w:bottom w:val="none" w:sz="0" w:space="0" w:color="auto"/>
                                            <w:right w:val="none" w:sz="0" w:space="0" w:color="auto"/>
                                          </w:divBdr>
                                        </w:div>
                                        <w:div w:id="8117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558354">
      <w:bodyDiv w:val="1"/>
      <w:marLeft w:val="0"/>
      <w:marRight w:val="0"/>
      <w:marTop w:val="0"/>
      <w:marBottom w:val="0"/>
      <w:divBdr>
        <w:top w:val="none" w:sz="0" w:space="0" w:color="auto"/>
        <w:left w:val="none" w:sz="0" w:space="0" w:color="auto"/>
        <w:bottom w:val="none" w:sz="0" w:space="0" w:color="auto"/>
        <w:right w:val="none" w:sz="0" w:space="0" w:color="auto"/>
      </w:divBdr>
    </w:div>
    <w:div w:id="1459564673">
      <w:bodyDiv w:val="1"/>
      <w:marLeft w:val="0"/>
      <w:marRight w:val="0"/>
      <w:marTop w:val="0"/>
      <w:marBottom w:val="0"/>
      <w:divBdr>
        <w:top w:val="none" w:sz="0" w:space="0" w:color="auto"/>
        <w:left w:val="none" w:sz="0" w:space="0" w:color="auto"/>
        <w:bottom w:val="none" w:sz="0" w:space="0" w:color="auto"/>
        <w:right w:val="none" w:sz="0" w:space="0" w:color="auto"/>
      </w:divBdr>
    </w:div>
    <w:div w:id="1481269582">
      <w:bodyDiv w:val="1"/>
      <w:marLeft w:val="0"/>
      <w:marRight w:val="0"/>
      <w:marTop w:val="0"/>
      <w:marBottom w:val="0"/>
      <w:divBdr>
        <w:top w:val="none" w:sz="0" w:space="0" w:color="auto"/>
        <w:left w:val="none" w:sz="0" w:space="0" w:color="auto"/>
        <w:bottom w:val="none" w:sz="0" w:space="0" w:color="auto"/>
        <w:right w:val="none" w:sz="0" w:space="0" w:color="auto"/>
      </w:divBdr>
    </w:div>
    <w:div w:id="1512602463">
      <w:bodyDiv w:val="1"/>
      <w:marLeft w:val="0"/>
      <w:marRight w:val="0"/>
      <w:marTop w:val="0"/>
      <w:marBottom w:val="0"/>
      <w:divBdr>
        <w:top w:val="none" w:sz="0" w:space="0" w:color="auto"/>
        <w:left w:val="none" w:sz="0" w:space="0" w:color="auto"/>
        <w:bottom w:val="none" w:sz="0" w:space="0" w:color="auto"/>
        <w:right w:val="none" w:sz="0" w:space="0" w:color="auto"/>
      </w:divBdr>
    </w:div>
    <w:div w:id="1522205936">
      <w:bodyDiv w:val="1"/>
      <w:marLeft w:val="0"/>
      <w:marRight w:val="0"/>
      <w:marTop w:val="0"/>
      <w:marBottom w:val="0"/>
      <w:divBdr>
        <w:top w:val="none" w:sz="0" w:space="0" w:color="auto"/>
        <w:left w:val="none" w:sz="0" w:space="0" w:color="auto"/>
        <w:bottom w:val="none" w:sz="0" w:space="0" w:color="auto"/>
        <w:right w:val="none" w:sz="0" w:space="0" w:color="auto"/>
      </w:divBdr>
    </w:div>
    <w:div w:id="1525316077">
      <w:bodyDiv w:val="1"/>
      <w:marLeft w:val="0"/>
      <w:marRight w:val="0"/>
      <w:marTop w:val="0"/>
      <w:marBottom w:val="0"/>
      <w:divBdr>
        <w:top w:val="none" w:sz="0" w:space="0" w:color="auto"/>
        <w:left w:val="none" w:sz="0" w:space="0" w:color="auto"/>
        <w:bottom w:val="none" w:sz="0" w:space="0" w:color="auto"/>
        <w:right w:val="none" w:sz="0" w:space="0" w:color="auto"/>
      </w:divBdr>
    </w:div>
    <w:div w:id="1546944260">
      <w:bodyDiv w:val="1"/>
      <w:marLeft w:val="0"/>
      <w:marRight w:val="0"/>
      <w:marTop w:val="0"/>
      <w:marBottom w:val="0"/>
      <w:divBdr>
        <w:top w:val="none" w:sz="0" w:space="0" w:color="auto"/>
        <w:left w:val="none" w:sz="0" w:space="0" w:color="auto"/>
        <w:bottom w:val="none" w:sz="0" w:space="0" w:color="auto"/>
        <w:right w:val="none" w:sz="0" w:space="0" w:color="auto"/>
      </w:divBdr>
    </w:div>
    <w:div w:id="1561088100">
      <w:bodyDiv w:val="1"/>
      <w:marLeft w:val="0"/>
      <w:marRight w:val="0"/>
      <w:marTop w:val="0"/>
      <w:marBottom w:val="0"/>
      <w:divBdr>
        <w:top w:val="none" w:sz="0" w:space="0" w:color="auto"/>
        <w:left w:val="none" w:sz="0" w:space="0" w:color="auto"/>
        <w:bottom w:val="none" w:sz="0" w:space="0" w:color="auto"/>
        <w:right w:val="none" w:sz="0" w:space="0" w:color="auto"/>
      </w:divBdr>
    </w:div>
    <w:div w:id="1590694976">
      <w:bodyDiv w:val="1"/>
      <w:marLeft w:val="0"/>
      <w:marRight w:val="0"/>
      <w:marTop w:val="0"/>
      <w:marBottom w:val="0"/>
      <w:divBdr>
        <w:top w:val="none" w:sz="0" w:space="0" w:color="auto"/>
        <w:left w:val="none" w:sz="0" w:space="0" w:color="auto"/>
        <w:bottom w:val="none" w:sz="0" w:space="0" w:color="auto"/>
        <w:right w:val="none" w:sz="0" w:space="0" w:color="auto"/>
      </w:divBdr>
    </w:div>
    <w:div w:id="1599216789">
      <w:bodyDiv w:val="1"/>
      <w:marLeft w:val="0"/>
      <w:marRight w:val="0"/>
      <w:marTop w:val="0"/>
      <w:marBottom w:val="0"/>
      <w:divBdr>
        <w:top w:val="none" w:sz="0" w:space="0" w:color="auto"/>
        <w:left w:val="none" w:sz="0" w:space="0" w:color="auto"/>
        <w:bottom w:val="none" w:sz="0" w:space="0" w:color="auto"/>
        <w:right w:val="none" w:sz="0" w:space="0" w:color="auto"/>
      </w:divBdr>
    </w:div>
    <w:div w:id="1608661944">
      <w:bodyDiv w:val="1"/>
      <w:marLeft w:val="0"/>
      <w:marRight w:val="0"/>
      <w:marTop w:val="0"/>
      <w:marBottom w:val="0"/>
      <w:divBdr>
        <w:top w:val="none" w:sz="0" w:space="0" w:color="auto"/>
        <w:left w:val="none" w:sz="0" w:space="0" w:color="auto"/>
        <w:bottom w:val="none" w:sz="0" w:space="0" w:color="auto"/>
        <w:right w:val="none" w:sz="0" w:space="0" w:color="auto"/>
      </w:divBdr>
    </w:div>
    <w:div w:id="1621112756">
      <w:bodyDiv w:val="1"/>
      <w:marLeft w:val="0"/>
      <w:marRight w:val="0"/>
      <w:marTop w:val="0"/>
      <w:marBottom w:val="0"/>
      <w:divBdr>
        <w:top w:val="none" w:sz="0" w:space="0" w:color="auto"/>
        <w:left w:val="none" w:sz="0" w:space="0" w:color="auto"/>
        <w:bottom w:val="none" w:sz="0" w:space="0" w:color="auto"/>
        <w:right w:val="none" w:sz="0" w:space="0" w:color="auto"/>
      </w:divBdr>
    </w:div>
    <w:div w:id="1626545000">
      <w:bodyDiv w:val="1"/>
      <w:marLeft w:val="0"/>
      <w:marRight w:val="0"/>
      <w:marTop w:val="0"/>
      <w:marBottom w:val="0"/>
      <w:divBdr>
        <w:top w:val="none" w:sz="0" w:space="0" w:color="auto"/>
        <w:left w:val="none" w:sz="0" w:space="0" w:color="auto"/>
        <w:bottom w:val="none" w:sz="0" w:space="0" w:color="auto"/>
        <w:right w:val="none" w:sz="0" w:space="0" w:color="auto"/>
      </w:divBdr>
    </w:div>
    <w:div w:id="1634751123">
      <w:bodyDiv w:val="1"/>
      <w:marLeft w:val="0"/>
      <w:marRight w:val="0"/>
      <w:marTop w:val="0"/>
      <w:marBottom w:val="0"/>
      <w:divBdr>
        <w:top w:val="none" w:sz="0" w:space="0" w:color="auto"/>
        <w:left w:val="none" w:sz="0" w:space="0" w:color="auto"/>
        <w:bottom w:val="none" w:sz="0" w:space="0" w:color="auto"/>
        <w:right w:val="none" w:sz="0" w:space="0" w:color="auto"/>
      </w:divBdr>
    </w:div>
    <w:div w:id="1636641095">
      <w:bodyDiv w:val="1"/>
      <w:marLeft w:val="0"/>
      <w:marRight w:val="0"/>
      <w:marTop w:val="0"/>
      <w:marBottom w:val="0"/>
      <w:divBdr>
        <w:top w:val="none" w:sz="0" w:space="0" w:color="auto"/>
        <w:left w:val="none" w:sz="0" w:space="0" w:color="auto"/>
        <w:bottom w:val="none" w:sz="0" w:space="0" w:color="auto"/>
        <w:right w:val="none" w:sz="0" w:space="0" w:color="auto"/>
      </w:divBdr>
    </w:div>
    <w:div w:id="1646473761">
      <w:bodyDiv w:val="1"/>
      <w:marLeft w:val="0"/>
      <w:marRight w:val="0"/>
      <w:marTop w:val="0"/>
      <w:marBottom w:val="0"/>
      <w:divBdr>
        <w:top w:val="none" w:sz="0" w:space="0" w:color="auto"/>
        <w:left w:val="none" w:sz="0" w:space="0" w:color="auto"/>
        <w:bottom w:val="none" w:sz="0" w:space="0" w:color="auto"/>
        <w:right w:val="none" w:sz="0" w:space="0" w:color="auto"/>
      </w:divBdr>
    </w:div>
    <w:div w:id="1652565273">
      <w:bodyDiv w:val="1"/>
      <w:marLeft w:val="0"/>
      <w:marRight w:val="0"/>
      <w:marTop w:val="0"/>
      <w:marBottom w:val="0"/>
      <w:divBdr>
        <w:top w:val="none" w:sz="0" w:space="0" w:color="auto"/>
        <w:left w:val="none" w:sz="0" w:space="0" w:color="auto"/>
        <w:bottom w:val="none" w:sz="0" w:space="0" w:color="auto"/>
        <w:right w:val="none" w:sz="0" w:space="0" w:color="auto"/>
      </w:divBdr>
    </w:div>
    <w:div w:id="1688943453">
      <w:bodyDiv w:val="1"/>
      <w:marLeft w:val="0"/>
      <w:marRight w:val="0"/>
      <w:marTop w:val="0"/>
      <w:marBottom w:val="0"/>
      <w:divBdr>
        <w:top w:val="none" w:sz="0" w:space="0" w:color="auto"/>
        <w:left w:val="none" w:sz="0" w:space="0" w:color="auto"/>
        <w:bottom w:val="none" w:sz="0" w:space="0" w:color="auto"/>
        <w:right w:val="none" w:sz="0" w:space="0" w:color="auto"/>
      </w:divBdr>
    </w:div>
    <w:div w:id="1690135814">
      <w:bodyDiv w:val="1"/>
      <w:marLeft w:val="0"/>
      <w:marRight w:val="0"/>
      <w:marTop w:val="0"/>
      <w:marBottom w:val="0"/>
      <w:divBdr>
        <w:top w:val="none" w:sz="0" w:space="0" w:color="auto"/>
        <w:left w:val="none" w:sz="0" w:space="0" w:color="auto"/>
        <w:bottom w:val="none" w:sz="0" w:space="0" w:color="auto"/>
        <w:right w:val="none" w:sz="0" w:space="0" w:color="auto"/>
      </w:divBdr>
    </w:div>
    <w:div w:id="1695618644">
      <w:bodyDiv w:val="1"/>
      <w:marLeft w:val="0"/>
      <w:marRight w:val="0"/>
      <w:marTop w:val="0"/>
      <w:marBottom w:val="0"/>
      <w:divBdr>
        <w:top w:val="none" w:sz="0" w:space="0" w:color="auto"/>
        <w:left w:val="none" w:sz="0" w:space="0" w:color="auto"/>
        <w:bottom w:val="none" w:sz="0" w:space="0" w:color="auto"/>
        <w:right w:val="none" w:sz="0" w:space="0" w:color="auto"/>
      </w:divBdr>
    </w:div>
    <w:div w:id="1702852674">
      <w:bodyDiv w:val="1"/>
      <w:marLeft w:val="0"/>
      <w:marRight w:val="0"/>
      <w:marTop w:val="0"/>
      <w:marBottom w:val="0"/>
      <w:divBdr>
        <w:top w:val="none" w:sz="0" w:space="0" w:color="auto"/>
        <w:left w:val="none" w:sz="0" w:space="0" w:color="auto"/>
        <w:bottom w:val="none" w:sz="0" w:space="0" w:color="auto"/>
        <w:right w:val="none" w:sz="0" w:space="0" w:color="auto"/>
      </w:divBdr>
    </w:div>
    <w:div w:id="1738211788">
      <w:bodyDiv w:val="1"/>
      <w:marLeft w:val="0"/>
      <w:marRight w:val="0"/>
      <w:marTop w:val="0"/>
      <w:marBottom w:val="0"/>
      <w:divBdr>
        <w:top w:val="none" w:sz="0" w:space="0" w:color="auto"/>
        <w:left w:val="none" w:sz="0" w:space="0" w:color="auto"/>
        <w:bottom w:val="none" w:sz="0" w:space="0" w:color="auto"/>
        <w:right w:val="none" w:sz="0" w:space="0" w:color="auto"/>
      </w:divBdr>
    </w:div>
    <w:div w:id="1742603419">
      <w:bodyDiv w:val="1"/>
      <w:marLeft w:val="0"/>
      <w:marRight w:val="0"/>
      <w:marTop w:val="0"/>
      <w:marBottom w:val="0"/>
      <w:divBdr>
        <w:top w:val="none" w:sz="0" w:space="0" w:color="auto"/>
        <w:left w:val="none" w:sz="0" w:space="0" w:color="auto"/>
        <w:bottom w:val="none" w:sz="0" w:space="0" w:color="auto"/>
        <w:right w:val="none" w:sz="0" w:space="0" w:color="auto"/>
      </w:divBdr>
    </w:div>
    <w:div w:id="1760447566">
      <w:bodyDiv w:val="1"/>
      <w:marLeft w:val="0"/>
      <w:marRight w:val="0"/>
      <w:marTop w:val="0"/>
      <w:marBottom w:val="0"/>
      <w:divBdr>
        <w:top w:val="none" w:sz="0" w:space="0" w:color="auto"/>
        <w:left w:val="none" w:sz="0" w:space="0" w:color="auto"/>
        <w:bottom w:val="none" w:sz="0" w:space="0" w:color="auto"/>
        <w:right w:val="none" w:sz="0" w:space="0" w:color="auto"/>
      </w:divBdr>
    </w:div>
    <w:div w:id="1769695238">
      <w:bodyDiv w:val="1"/>
      <w:marLeft w:val="0"/>
      <w:marRight w:val="0"/>
      <w:marTop w:val="0"/>
      <w:marBottom w:val="0"/>
      <w:divBdr>
        <w:top w:val="none" w:sz="0" w:space="0" w:color="auto"/>
        <w:left w:val="none" w:sz="0" w:space="0" w:color="auto"/>
        <w:bottom w:val="none" w:sz="0" w:space="0" w:color="auto"/>
        <w:right w:val="none" w:sz="0" w:space="0" w:color="auto"/>
      </w:divBdr>
    </w:div>
    <w:div w:id="1781104600">
      <w:bodyDiv w:val="1"/>
      <w:marLeft w:val="0"/>
      <w:marRight w:val="0"/>
      <w:marTop w:val="0"/>
      <w:marBottom w:val="0"/>
      <w:divBdr>
        <w:top w:val="none" w:sz="0" w:space="0" w:color="auto"/>
        <w:left w:val="none" w:sz="0" w:space="0" w:color="auto"/>
        <w:bottom w:val="none" w:sz="0" w:space="0" w:color="auto"/>
        <w:right w:val="none" w:sz="0" w:space="0" w:color="auto"/>
      </w:divBdr>
    </w:div>
    <w:div w:id="1782872634">
      <w:bodyDiv w:val="1"/>
      <w:marLeft w:val="0"/>
      <w:marRight w:val="0"/>
      <w:marTop w:val="0"/>
      <w:marBottom w:val="0"/>
      <w:divBdr>
        <w:top w:val="none" w:sz="0" w:space="0" w:color="auto"/>
        <w:left w:val="none" w:sz="0" w:space="0" w:color="auto"/>
        <w:bottom w:val="none" w:sz="0" w:space="0" w:color="auto"/>
        <w:right w:val="none" w:sz="0" w:space="0" w:color="auto"/>
      </w:divBdr>
    </w:div>
    <w:div w:id="1788693460">
      <w:bodyDiv w:val="1"/>
      <w:marLeft w:val="0"/>
      <w:marRight w:val="0"/>
      <w:marTop w:val="0"/>
      <w:marBottom w:val="0"/>
      <w:divBdr>
        <w:top w:val="none" w:sz="0" w:space="0" w:color="auto"/>
        <w:left w:val="none" w:sz="0" w:space="0" w:color="auto"/>
        <w:bottom w:val="none" w:sz="0" w:space="0" w:color="auto"/>
        <w:right w:val="none" w:sz="0" w:space="0" w:color="auto"/>
      </w:divBdr>
    </w:div>
    <w:div w:id="1789351571">
      <w:bodyDiv w:val="1"/>
      <w:marLeft w:val="0"/>
      <w:marRight w:val="0"/>
      <w:marTop w:val="0"/>
      <w:marBottom w:val="0"/>
      <w:divBdr>
        <w:top w:val="none" w:sz="0" w:space="0" w:color="auto"/>
        <w:left w:val="none" w:sz="0" w:space="0" w:color="auto"/>
        <w:bottom w:val="none" w:sz="0" w:space="0" w:color="auto"/>
        <w:right w:val="none" w:sz="0" w:space="0" w:color="auto"/>
      </w:divBdr>
    </w:div>
    <w:div w:id="1820998960">
      <w:bodyDiv w:val="1"/>
      <w:marLeft w:val="0"/>
      <w:marRight w:val="0"/>
      <w:marTop w:val="0"/>
      <w:marBottom w:val="0"/>
      <w:divBdr>
        <w:top w:val="none" w:sz="0" w:space="0" w:color="auto"/>
        <w:left w:val="none" w:sz="0" w:space="0" w:color="auto"/>
        <w:bottom w:val="none" w:sz="0" w:space="0" w:color="auto"/>
        <w:right w:val="none" w:sz="0" w:space="0" w:color="auto"/>
      </w:divBdr>
    </w:div>
    <w:div w:id="1824545360">
      <w:bodyDiv w:val="1"/>
      <w:marLeft w:val="0"/>
      <w:marRight w:val="0"/>
      <w:marTop w:val="0"/>
      <w:marBottom w:val="0"/>
      <w:divBdr>
        <w:top w:val="none" w:sz="0" w:space="0" w:color="auto"/>
        <w:left w:val="none" w:sz="0" w:space="0" w:color="auto"/>
        <w:bottom w:val="none" w:sz="0" w:space="0" w:color="auto"/>
        <w:right w:val="none" w:sz="0" w:space="0" w:color="auto"/>
      </w:divBdr>
    </w:div>
    <w:div w:id="1854345720">
      <w:bodyDiv w:val="1"/>
      <w:marLeft w:val="0"/>
      <w:marRight w:val="0"/>
      <w:marTop w:val="0"/>
      <w:marBottom w:val="0"/>
      <w:divBdr>
        <w:top w:val="none" w:sz="0" w:space="0" w:color="auto"/>
        <w:left w:val="none" w:sz="0" w:space="0" w:color="auto"/>
        <w:bottom w:val="none" w:sz="0" w:space="0" w:color="auto"/>
        <w:right w:val="none" w:sz="0" w:space="0" w:color="auto"/>
      </w:divBdr>
    </w:div>
    <w:div w:id="1909027041">
      <w:bodyDiv w:val="1"/>
      <w:marLeft w:val="0"/>
      <w:marRight w:val="0"/>
      <w:marTop w:val="0"/>
      <w:marBottom w:val="0"/>
      <w:divBdr>
        <w:top w:val="none" w:sz="0" w:space="0" w:color="auto"/>
        <w:left w:val="none" w:sz="0" w:space="0" w:color="auto"/>
        <w:bottom w:val="none" w:sz="0" w:space="0" w:color="auto"/>
        <w:right w:val="none" w:sz="0" w:space="0" w:color="auto"/>
      </w:divBdr>
    </w:div>
    <w:div w:id="1912157417">
      <w:bodyDiv w:val="1"/>
      <w:marLeft w:val="0"/>
      <w:marRight w:val="0"/>
      <w:marTop w:val="0"/>
      <w:marBottom w:val="0"/>
      <w:divBdr>
        <w:top w:val="none" w:sz="0" w:space="0" w:color="auto"/>
        <w:left w:val="none" w:sz="0" w:space="0" w:color="auto"/>
        <w:bottom w:val="none" w:sz="0" w:space="0" w:color="auto"/>
        <w:right w:val="none" w:sz="0" w:space="0" w:color="auto"/>
      </w:divBdr>
    </w:div>
    <w:div w:id="1980845328">
      <w:bodyDiv w:val="1"/>
      <w:marLeft w:val="0"/>
      <w:marRight w:val="0"/>
      <w:marTop w:val="0"/>
      <w:marBottom w:val="0"/>
      <w:divBdr>
        <w:top w:val="none" w:sz="0" w:space="0" w:color="auto"/>
        <w:left w:val="none" w:sz="0" w:space="0" w:color="auto"/>
        <w:bottom w:val="none" w:sz="0" w:space="0" w:color="auto"/>
        <w:right w:val="none" w:sz="0" w:space="0" w:color="auto"/>
      </w:divBdr>
    </w:div>
    <w:div w:id="1995180413">
      <w:bodyDiv w:val="1"/>
      <w:marLeft w:val="0"/>
      <w:marRight w:val="0"/>
      <w:marTop w:val="0"/>
      <w:marBottom w:val="0"/>
      <w:divBdr>
        <w:top w:val="none" w:sz="0" w:space="0" w:color="auto"/>
        <w:left w:val="none" w:sz="0" w:space="0" w:color="auto"/>
        <w:bottom w:val="none" w:sz="0" w:space="0" w:color="auto"/>
        <w:right w:val="none" w:sz="0" w:space="0" w:color="auto"/>
      </w:divBdr>
    </w:div>
    <w:div w:id="2004812605">
      <w:bodyDiv w:val="1"/>
      <w:marLeft w:val="0"/>
      <w:marRight w:val="0"/>
      <w:marTop w:val="0"/>
      <w:marBottom w:val="0"/>
      <w:divBdr>
        <w:top w:val="none" w:sz="0" w:space="0" w:color="auto"/>
        <w:left w:val="none" w:sz="0" w:space="0" w:color="auto"/>
        <w:bottom w:val="none" w:sz="0" w:space="0" w:color="auto"/>
        <w:right w:val="none" w:sz="0" w:space="0" w:color="auto"/>
      </w:divBdr>
    </w:div>
    <w:div w:id="2026588507">
      <w:bodyDiv w:val="1"/>
      <w:marLeft w:val="0"/>
      <w:marRight w:val="0"/>
      <w:marTop w:val="0"/>
      <w:marBottom w:val="0"/>
      <w:divBdr>
        <w:top w:val="none" w:sz="0" w:space="0" w:color="auto"/>
        <w:left w:val="none" w:sz="0" w:space="0" w:color="auto"/>
        <w:bottom w:val="none" w:sz="0" w:space="0" w:color="auto"/>
        <w:right w:val="none" w:sz="0" w:space="0" w:color="auto"/>
      </w:divBdr>
    </w:div>
    <w:div w:id="2037733603">
      <w:bodyDiv w:val="1"/>
      <w:marLeft w:val="0"/>
      <w:marRight w:val="0"/>
      <w:marTop w:val="0"/>
      <w:marBottom w:val="0"/>
      <w:divBdr>
        <w:top w:val="none" w:sz="0" w:space="0" w:color="auto"/>
        <w:left w:val="none" w:sz="0" w:space="0" w:color="auto"/>
        <w:bottom w:val="none" w:sz="0" w:space="0" w:color="auto"/>
        <w:right w:val="none" w:sz="0" w:space="0" w:color="auto"/>
      </w:divBdr>
    </w:div>
    <w:div w:id="2080784784">
      <w:bodyDiv w:val="1"/>
      <w:marLeft w:val="0"/>
      <w:marRight w:val="0"/>
      <w:marTop w:val="0"/>
      <w:marBottom w:val="0"/>
      <w:divBdr>
        <w:top w:val="none" w:sz="0" w:space="0" w:color="auto"/>
        <w:left w:val="none" w:sz="0" w:space="0" w:color="auto"/>
        <w:bottom w:val="none" w:sz="0" w:space="0" w:color="auto"/>
        <w:right w:val="none" w:sz="0" w:space="0" w:color="auto"/>
      </w:divBdr>
      <w:divsChild>
        <w:div w:id="1784114400">
          <w:marLeft w:val="0"/>
          <w:marRight w:val="0"/>
          <w:marTop w:val="0"/>
          <w:marBottom w:val="0"/>
          <w:divBdr>
            <w:top w:val="none" w:sz="0" w:space="0" w:color="auto"/>
            <w:left w:val="none" w:sz="0" w:space="0" w:color="auto"/>
            <w:bottom w:val="none" w:sz="0" w:space="0" w:color="auto"/>
            <w:right w:val="none" w:sz="0" w:space="0" w:color="auto"/>
          </w:divBdr>
          <w:divsChild>
            <w:div w:id="803349709">
              <w:marLeft w:val="0"/>
              <w:marRight w:val="0"/>
              <w:marTop w:val="0"/>
              <w:marBottom w:val="0"/>
              <w:divBdr>
                <w:top w:val="none" w:sz="0" w:space="0" w:color="auto"/>
                <w:left w:val="none" w:sz="0" w:space="0" w:color="auto"/>
                <w:bottom w:val="none" w:sz="0" w:space="0" w:color="auto"/>
                <w:right w:val="none" w:sz="0" w:space="0" w:color="auto"/>
              </w:divBdr>
              <w:divsChild>
                <w:div w:id="1197430097">
                  <w:marLeft w:val="0"/>
                  <w:marRight w:val="0"/>
                  <w:marTop w:val="0"/>
                  <w:marBottom w:val="0"/>
                  <w:divBdr>
                    <w:top w:val="none" w:sz="0" w:space="0" w:color="auto"/>
                    <w:left w:val="none" w:sz="0" w:space="0" w:color="auto"/>
                    <w:bottom w:val="none" w:sz="0" w:space="0" w:color="auto"/>
                    <w:right w:val="none" w:sz="0" w:space="0" w:color="auto"/>
                  </w:divBdr>
                  <w:divsChild>
                    <w:div w:id="2105955829">
                      <w:marLeft w:val="1"/>
                      <w:marRight w:val="1"/>
                      <w:marTop w:val="0"/>
                      <w:marBottom w:val="0"/>
                      <w:divBdr>
                        <w:top w:val="none" w:sz="0" w:space="0" w:color="auto"/>
                        <w:left w:val="none" w:sz="0" w:space="0" w:color="auto"/>
                        <w:bottom w:val="none" w:sz="0" w:space="0" w:color="auto"/>
                        <w:right w:val="none" w:sz="0" w:space="0" w:color="auto"/>
                      </w:divBdr>
                      <w:divsChild>
                        <w:div w:id="1085151884">
                          <w:marLeft w:val="0"/>
                          <w:marRight w:val="0"/>
                          <w:marTop w:val="0"/>
                          <w:marBottom w:val="0"/>
                          <w:divBdr>
                            <w:top w:val="none" w:sz="0" w:space="0" w:color="auto"/>
                            <w:left w:val="none" w:sz="0" w:space="0" w:color="auto"/>
                            <w:bottom w:val="none" w:sz="0" w:space="0" w:color="auto"/>
                            <w:right w:val="none" w:sz="0" w:space="0" w:color="auto"/>
                          </w:divBdr>
                          <w:divsChild>
                            <w:div w:id="119036879">
                              <w:marLeft w:val="0"/>
                              <w:marRight w:val="0"/>
                              <w:marTop w:val="0"/>
                              <w:marBottom w:val="360"/>
                              <w:divBdr>
                                <w:top w:val="none" w:sz="0" w:space="0" w:color="auto"/>
                                <w:left w:val="none" w:sz="0" w:space="0" w:color="auto"/>
                                <w:bottom w:val="none" w:sz="0" w:space="0" w:color="auto"/>
                                <w:right w:val="none" w:sz="0" w:space="0" w:color="auto"/>
                              </w:divBdr>
                              <w:divsChild>
                                <w:div w:id="257175238">
                                  <w:marLeft w:val="0"/>
                                  <w:marRight w:val="0"/>
                                  <w:marTop w:val="0"/>
                                  <w:marBottom w:val="0"/>
                                  <w:divBdr>
                                    <w:top w:val="none" w:sz="0" w:space="0" w:color="auto"/>
                                    <w:left w:val="none" w:sz="0" w:space="0" w:color="auto"/>
                                    <w:bottom w:val="none" w:sz="0" w:space="0" w:color="auto"/>
                                    <w:right w:val="none" w:sz="0" w:space="0" w:color="auto"/>
                                  </w:divBdr>
                                  <w:divsChild>
                                    <w:div w:id="555892254">
                                      <w:marLeft w:val="0"/>
                                      <w:marRight w:val="0"/>
                                      <w:marTop w:val="0"/>
                                      <w:marBottom w:val="0"/>
                                      <w:divBdr>
                                        <w:top w:val="none" w:sz="0" w:space="0" w:color="auto"/>
                                        <w:left w:val="none" w:sz="0" w:space="0" w:color="auto"/>
                                        <w:bottom w:val="none" w:sz="0" w:space="0" w:color="auto"/>
                                        <w:right w:val="none" w:sz="0" w:space="0" w:color="auto"/>
                                      </w:divBdr>
                                      <w:divsChild>
                                        <w:div w:id="55781079">
                                          <w:marLeft w:val="0"/>
                                          <w:marRight w:val="0"/>
                                          <w:marTop w:val="0"/>
                                          <w:marBottom w:val="0"/>
                                          <w:divBdr>
                                            <w:top w:val="none" w:sz="0" w:space="0" w:color="auto"/>
                                            <w:left w:val="none" w:sz="0" w:space="0" w:color="auto"/>
                                            <w:bottom w:val="none" w:sz="0" w:space="0" w:color="auto"/>
                                            <w:right w:val="none" w:sz="0" w:space="0" w:color="auto"/>
                                          </w:divBdr>
                                          <w:divsChild>
                                            <w:div w:id="1398556410">
                                              <w:marLeft w:val="0"/>
                                              <w:marRight w:val="0"/>
                                              <w:marTop w:val="0"/>
                                              <w:marBottom w:val="0"/>
                                              <w:divBdr>
                                                <w:top w:val="none" w:sz="0" w:space="0" w:color="auto"/>
                                                <w:left w:val="none" w:sz="0" w:space="0" w:color="auto"/>
                                                <w:bottom w:val="none" w:sz="0" w:space="0" w:color="auto"/>
                                                <w:right w:val="none" w:sz="0" w:space="0" w:color="auto"/>
                                              </w:divBdr>
                                              <w:divsChild>
                                                <w:div w:id="1314482496">
                                                  <w:marLeft w:val="0"/>
                                                  <w:marRight w:val="0"/>
                                                  <w:marTop w:val="0"/>
                                                  <w:marBottom w:val="0"/>
                                                  <w:divBdr>
                                                    <w:top w:val="none" w:sz="0" w:space="0" w:color="auto"/>
                                                    <w:left w:val="none" w:sz="0" w:space="0" w:color="auto"/>
                                                    <w:bottom w:val="none" w:sz="0" w:space="0" w:color="auto"/>
                                                    <w:right w:val="none" w:sz="0" w:space="0" w:color="auto"/>
                                                  </w:divBdr>
                                                  <w:divsChild>
                                                    <w:div w:id="423389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sChild>
            </w:div>
          </w:divsChild>
        </w:div>
      </w:divsChild>
    </w:div>
    <w:div w:id="2100060198">
      <w:bodyDiv w:val="1"/>
      <w:marLeft w:val="0"/>
      <w:marRight w:val="0"/>
      <w:marTop w:val="0"/>
      <w:marBottom w:val="0"/>
      <w:divBdr>
        <w:top w:val="none" w:sz="0" w:space="0" w:color="auto"/>
        <w:left w:val="none" w:sz="0" w:space="0" w:color="auto"/>
        <w:bottom w:val="none" w:sz="0" w:space="0" w:color="auto"/>
        <w:right w:val="none" w:sz="0" w:space="0" w:color="auto"/>
      </w:divBdr>
      <w:divsChild>
        <w:div w:id="24409143">
          <w:marLeft w:val="0"/>
          <w:marRight w:val="0"/>
          <w:marTop w:val="0"/>
          <w:marBottom w:val="0"/>
          <w:divBdr>
            <w:top w:val="none" w:sz="0" w:space="0" w:color="auto"/>
            <w:left w:val="none" w:sz="0" w:space="0" w:color="auto"/>
            <w:bottom w:val="none" w:sz="0" w:space="0" w:color="auto"/>
            <w:right w:val="none" w:sz="0" w:space="0" w:color="auto"/>
          </w:divBdr>
          <w:divsChild>
            <w:div w:id="1041514544">
              <w:marLeft w:val="0"/>
              <w:marRight w:val="0"/>
              <w:marTop w:val="0"/>
              <w:marBottom w:val="0"/>
              <w:divBdr>
                <w:top w:val="none" w:sz="0" w:space="0" w:color="auto"/>
                <w:left w:val="none" w:sz="0" w:space="0" w:color="auto"/>
                <w:bottom w:val="none" w:sz="0" w:space="0" w:color="auto"/>
                <w:right w:val="none" w:sz="0" w:space="0" w:color="auto"/>
              </w:divBdr>
              <w:divsChild>
                <w:div w:id="558367162">
                  <w:marLeft w:val="0"/>
                  <w:marRight w:val="0"/>
                  <w:marTop w:val="0"/>
                  <w:marBottom w:val="0"/>
                  <w:divBdr>
                    <w:top w:val="none" w:sz="0" w:space="0" w:color="auto"/>
                    <w:left w:val="none" w:sz="0" w:space="0" w:color="auto"/>
                    <w:bottom w:val="none" w:sz="0" w:space="0" w:color="auto"/>
                    <w:right w:val="none" w:sz="0" w:space="0" w:color="auto"/>
                  </w:divBdr>
                  <w:divsChild>
                    <w:div w:id="889152326">
                      <w:marLeft w:val="1"/>
                      <w:marRight w:val="1"/>
                      <w:marTop w:val="0"/>
                      <w:marBottom w:val="0"/>
                      <w:divBdr>
                        <w:top w:val="none" w:sz="0" w:space="0" w:color="auto"/>
                        <w:left w:val="none" w:sz="0" w:space="0" w:color="auto"/>
                        <w:bottom w:val="none" w:sz="0" w:space="0" w:color="auto"/>
                        <w:right w:val="none" w:sz="0" w:space="0" w:color="auto"/>
                      </w:divBdr>
                      <w:divsChild>
                        <w:div w:id="1860123774">
                          <w:marLeft w:val="0"/>
                          <w:marRight w:val="0"/>
                          <w:marTop w:val="0"/>
                          <w:marBottom w:val="0"/>
                          <w:divBdr>
                            <w:top w:val="none" w:sz="0" w:space="0" w:color="auto"/>
                            <w:left w:val="none" w:sz="0" w:space="0" w:color="auto"/>
                            <w:bottom w:val="none" w:sz="0" w:space="0" w:color="auto"/>
                            <w:right w:val="none" w:sz="0" w:space="0" w:color="auto"/>
                          </w:divBdr>
                          <w:divsChild>
                            <w:div w:id="885600873">
                              <w:marLeft w:val="0"/>
                              <w:marRight w:val="0"/>
                              <w:marTop w:val="0"/>
                              <w:marBottom w:val="0"/>
                              <w:divBdr>
                                <w:top w:val="none" w:sz="0" w:space="0" w:color="auto"/>
                                <w:left w:val="none" w:sz="0" w:space="0" w:color="auto"/>
                                <w:bottom w:val="none" w:sz="0" w:space="0" w:color="auto"/>
                                <w:right w:val="none" w:sz="0" w:space="0" w:color="auto"/>
                              </w:divBdr>
                              <w:divsChild>
                                <w:div w:id="1213928728">
                                  <w:marLeft w:val="0"/>
                                  <w:marRight w:val="0"/>
                                  <w:marTop w:val="0"/>
                                  <w:marBottom w:val="360"/>
                                  <w:divBdr>
                                    <w:top w:val="none" w:sz="0" w:space="0" w:color="auto"/>
                                    <w:left w:val="none" w:sz="0" w:space="0" w:color="auto"/>
                                    <w:bottom w:val="none" w:sz="0" w:space="0" w:color="auto"/>
                                    <w:right w:val="none" w:sz="0" w:space="0" w:color="auto"/>
                                  </w:divBdr>
                                  <w:divsChild>
                                    <w:div w:id="1220902606">
                                      <w:marLeft w:val="0"/>
                                      <w:marRight w:val="0"/>
                                      <w:marTop w:val="0"/>
                                      <w:marBottom w:val="0"/>
                                      <w:divBdr>
                                        <w:top w:val="none" w:sz="0" w:space="0" w:color="auto"/>
                                        <w:left w:val="none" w:sz="0" w:space="0" w:color="auto"/>
                                        <w:bottom w:val="none" w:sz="0" w:space="0" w:color="auto"/>
                                        <w:right w:val="none" w:sz="0" w:space="0" w:color="auto"/>
                                      </w:divBdr>
                                      <w:divsChild>
                                        <w:div w:id="24524402">
                                          <w:marLeft w:val="0"/>
                                          <w:marRight w:val="0"/>
                                          <w:marTop w:val="0"/>
                                          <w:marBottom w:val="0"/>
                                          <w:divBdr>
                                            <w:top w:val="none" w:sz="0" w:space="0" w:color="auto"/>
                                            <w:left w:val="none" w:sz="0" w:space="0" w:color="auto"/>
                                            <w:bottom w:val="none" w:sz="0" w:space="0" w:color="auto"/>
                                            <w:right w:val="none" w:sz="0" w:space="0" w:color="auto"/>
                                          </w:divBdr>
                                          <w:divsChild>
                                            <w:div w:id="102540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027429">
      <w:bodyDiv w:val="1"/>
      <w:marLeft w:val="0"/>
      <w:marRight w:val="0"/>
      <w:marTop w:val="0"/>
      <w:marBottom w:val="0"/>
      <w:divBdr>
        <w:top w:val="none" w:sz="0" w:space="0" w:color="auto"/>
        <w:left w:val="none" w:sz="0" w:space="0" w:color="auto"/>
        <w:bottom w:val="none" w:sz="0" w:space="0" w:color="auto"/>
        <w:right w:val="none" w:sz="0" w:space="0" w:color="auto"/>
      </w:divBdr>
      <w:divsChild>
        <w:div w:id="658730328">
          <w:marLeft w:val="0"/>
          <w:marRight w:val="0"/>
          <w:marTop w:val="0"/>
          <w:marBottom w:val="0"/>
          <w:divBdr>
            <w:top w:val="none" w:sz="0" w:space="0" w:color="auto"/>
            <w:left w:val="none" w:sz="0" w:space="0" w:color="auto"/>
            <w:bottom w:val="none" w:sz="0" w:space="0" w:color="auto"/>
            <w:right w:val="none" w:sz="0" w:space="0" w:color="auto"/>
          </w:divBdr>
          <w:divsChild>
            <w:div w:id="123279469">
              <w:marLeft w:val="0"/>
              <w:marRight w:val="0"/>
              <w:marTop w:val="0"/>
              <w:marBottom w:val="0"/>
              <w:divBdr>
                <w:top w:val="none" w:sz="0" w:space="0" w:color="auto"/>
                <w:left w:val="none" w:sz="0" w:space="0" w:color="auto"/>
                <w:bottom w:val="none" w:sz="0" w:space="0" w:color="auto"/>
                <w:right w:val="none" w:sz="0" w:space="0" w:color="auto"/>
              </w:divBdr>
              <w:divsChild>
                <w:div w:id="1670406151">
                  <w:marLeft w:val="0"/>
                  <w:marRight w:val="0"/>
                  <w:marTop w:val="0"/>
                  <w:marBottom w:val="0"/>
                  <w:divBdr>
                    <w:top w:val="none" w:sz="0" w:space="0" w:color="auto"/>
                    <w:left w:val="none" w:sz="0" w:space="0" w:color="auto"/>
                    <w:bottom w:val="none" w:sz="0" w:space="0" w:color="auto"/>
                    <w:right w:val="none" w:sz="0" w:space="0" w:color="auto"/>
                  </w:divBdr>
                  <w:divsChild>
                    <w:div w:id="487938707">
                      <w:marLeft w:val="1"/>
                      <w:marRight w:val="1"/>
                      <w:marTop w:val="0"/>
                      <w:marBottom w:val="0"/>
                      <w:divBdr>
                        <w:top w:val="none" w:sz="0" w:space="0" w:color="auto"/>
                        <w:left w:val="none" w:sz="0" w:space="0" w:color="auto"/>
                        <w:bottom w:val="none" w:sz="0" w:space="0" w:color="auto"/>
                        <w:right w:val="none" w:sz="0" w:space="0" w:color="auto"/>
                      </w:divBdr>
                      <w:divsChild>
                        <w:div w:id="389350828">
                          <w:marLeft w:val="0"/>
                          <w:marRight w:val="0"/>
                          <w:marTop w:val="0"/>
                          <w:marBottom w:val="0"/>
                          <w:divBdr>
                            <w:top w:val="none" w:sz="0" w:space="0" w:color="auto"/>
                            <w:left w:val="none" w:sz="0" w:space="0" w:color="auto"/>
                            <w:bottom w:val="none" w:sz="0" w:space="0" w:color="auto"/>
                            <w:right w:val="none" w:sz="0" w:space="0" w:color="auto"/>
                          </w:divBdr>
                          <w:divsChild>
                            <w:div w:id="928081494">
                              <w:marLeft w:val="0"/>
                              <w:marRight w:val="0"/>
                              <w:marTop w:val="0"/>
                              <w:marBottom w:val="360"/>
                              <w:divBdr>
                                <w:top w:val="none" w:sz="0" w:space="0" w:color="auto"/>
                                <w:left w:val="none" w:sz="0" w:space="0" w:color="auto"/>
                                <w:bottom w:val="none" w:sz="0" w:space="0" w:color="auto"/>
                                <w:right w:val="none" w:sz="0" w:space="0" w:color="auto"/>
                              </w:divBdr>
                              <w:divsChild>
                                <w:div w:id="93403618">
                                  <w:marLeft w:val="0"/>
                                  <w:marRight w:val="0"/>
                                  <w:marTop w:val="0"/>
                                  <w:marBottom w:val="0"/>
                                  <w:divBdr>
                                    <w:top w:val="none" w:sz="0" w:space="0" w:color="auto"/>
                                    <w:left w:val="none" w:sz="0" w:space="0" w:color="auto"/>
                                    <w:bottom w:val="none" w:sz="0" w:space="0" w:color="auto"/>
                                    <w:right w:val="none" w:sz="0" w:space="0" w:color="auto"/>
                                  </w:divBdr>
                                  <w:divsChild>
                                    <w:div w:id="762146594">
                                      <w:marLeft w:val="0"/>
                                      <w:marRight w:val="0"/>
                                      <w:marTop w:val="0"/>
                                      <w:marBottom w:val="0"/>
                                      <w:divBdr>
                                        <w:top w:val="none" w:sz="0" w:space="0" w:color="auto"/>
                                        <w:left w:val="none" w:sz="0" w:space="0" w:color="auto"/>
                                        <w:bottom w:val="none" w:sz="0" w:space="0" w:color="auto"/>
                                        <w:right w:val="none" w:sz="0" w:space="0" w:color="auto"/>
                                      </w:divBdr>
                                      <w:divsChild>
                                        <w:div w:id="1683974926">
                                          <w:marLeft w:val="0"/>
                                          <w:marRight w:val="0"/>
                                          <w:marTop w:val="0"/>
                                          <w:marBottom w:val="0"/>
                                          <w:divBdr>
                                            <w:top w:val="none" w:sz="0" w:space="0" w:color="auto"/>
                                            <w:left w:val="none" w:sz="0" w:space="0" w:color="auto"/>
                                            <w:bottom w:val="none" w:sz="0" w:space="0" w:color="auto"/>
                                            <w:right w:val="none" w:sz="0" w:space="0" w:color="auto"/>
                                          </w:divBdr>
                                          <w:divsChild>
                                            <w:div w:id="1782535080">
                                              <w:marLeft w:val="0"/>
                                              <w:marRight w:val="0"/>
                                              <w:marTop w:val="0"/>
                                              <w:marBottom w:val="0"/>
                                              <w:divBdr>
                                                <w:top w:val="none" w:sz="0" w:space="0" w:color="auto"/>
                                                <w:left w:val="none" w:sz="0" w:space="0" w:color="auto"/>
                                                <w:bottom w:val="none" w:sz="0" w:space="0" w:color="auto"/>
                                                <w:right w:val="none" w:sz="0" w:space="0" w:color="auto"/>
                                              </w:divBdr>
                                              <w:divsChild>
                                                <w:div w:id="1496527758">
                                                  <w:marLeft w:val="0"/>
                                                  <w:marRight w:val="0"/>
                                                  <w:marTop w:val="0"/>
                                                  <w:marBottom w:val="0"/>
                                                  <w:divBdr>
                                                    <w:top w:val="none" w:sz="0" w:space="0" w:color="auto"/>
                                                    <w:left w:val="none" w:sz="0" w:space="0" w:color="auto"/>
                                                    <w:bottom w:val="none" w:sz="0" w:space="0" w:color="auto"/>
                                                    <w:right w:val="none" w:sz="0" w:space="0" w:color="auto"/>
                                                  </w:divBdr>
                                                  <w:divsChild>
                                                    <w:div w:id="943263871">
                                                      <w:marLeft w:val="0"/>
                                                      <w:marRight w:val="0"/>
                                                      <w:marTop w:val="0"/>
                                                      <w:marBottom w:val="0"/>
                                                      <w:divBdr>
                                                        <w:top w:val="none" w:sz="0" w:space="0" w:color="auto"/>
                                                        <w:left w:val="none" w:sz="0" w:space="0" w:color="auto"/>
                                                        <w:bottom w:val="none" w:sz="0" w:space="0" w:color="auto"/>
                                                        <w:right w:val="none" w:sz="0" w:space="0" w:color="auto"/>
                                                      </w:divBdr>
                                                      <w:divsChild>
                                                        <w:div w:id="21120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6482496">
      <w:bodyDiv w:val="1"/>
      <w:marLeft w:val="0"/>
      <w:marRight w:val="0"/>
      <w:marTop w:val="0"/>
      <w:marBottom w:val="0"/>
      <w:divBdr>
        <w:top w:val="none" w:sz="0" w:space="0" w:color="auto"/>
        <w:left w:val="none" w:sz="0" w:space="0" w:color="auto"/>
        <w:bottom w:val="none" w:sz="0" w:space="0" w:color="auto"/>
        <w:right w:val="none" w:sz="0" w:space="0" w:color="auto"/>
      </w:divBdr>
    </w:div>
    <w:div w:id="214134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footer" Target="footer4.xml"/><Relationship Id="rId42" Type="http://schemas.openxmlformats.org/officeDocument/2006/relationships/footer" Target="footer11.xml"/><Relationship Id="rId63" Type="http://schemas.openxmlformats.org/officeDocument/2006/relationships/hyperlink" Target="http://data.consilium.europa.eu/doc/document/ST-15072-2016-REV-1/en/pdf" TargetMode="External"/><Relationship Id="rId84" Type="http://schemas.openxmlformats.org/officeDocument/2006/relationships/header" Target="header32.xml"/><Relationship Id="rId138" Type="http://schemas.openxmlformats.org/officeDocument/2006/relationships/footer" Target="footer49.xml"/><Relationship Id="rId159" Type="http://schemas.openxmlformats.org/officeDocument/2006/relationships/footer" Target="footer58.xml"/><Relationship Id="rId170" Type="http://schemas.openxmlformats.org/officeDocument/2006/relationships/header" Target="header65.xml"/><Relationship Id="rId191" Type="http://schemas.openxmlformats.org/officeDocument/2006/relationships/chart" Target="charts/chart13.xml"/><Relationship Id="rId205" Type="http://schemas.openxmlformats.org/officeDocument/2006/relationships/header" Target="header73.xml"/><Relationship Id="rId226" Type="http://schemas.openxmlformats.org/officeDocument/2006/relationships/footer" Target="footer82.xml"/><Relationship Id="rId107" Type="http://schemas.openxmlformats.org/officeDocument/2006/relationships/header" Target="header43.xml"/><Relationship Id="rId11" Type="http://schemas.openxmlformats.org/officeDocument/2006/relationships/endnotes" Target="endnotes.xml"/><Relationship Id="rId32" Type="http://schemas.openxmlformats.org/officeDocument/2006/relationships/chart" Target="charts/chart2.xml"/><Relationship Id="rId53" Type="http://schemas.openxmlformats.org/officeDocument/2006/relationships/footer" Target="footer16.xml"/><Relationship Id="rId74" Type="http://schemas.openxmlformats.org/officeDocument/2006/relationships/footer" Target="footer26.xml"/><Relationship Id="rId128" Type="http://schemas.openxmlformats.org/officeDocument/2006/relationships/image" Target="media/image12.emf"/><Relationship Id="rId149" Type="http://schemas.openxmlformats.org/officeDocument/2006/relationships/image" Target="media/image21.png"/><Relationship Id="rId5" Type="http://schemas.openxmlformats.org/officeDocument/2006/relationships/numbering" Target="numbering.xml"/><Relationship Id="rId95" Type="http://schemas.openxmlformats.org/officeDocument/2006/relationships/header" Target="header37.xml"/><Relationship Id="rId160" Type="http://schemas.openxmlformats.org/officeDocument/2006/relationships/footer" Target="footer59.xml"/><Relationship Id="rId181" Type="http://schemas.openxmlformats.org/officeDocument/2006/relationships/chart" Target="charts/chart3.xml"/><Relationship Id="rId216" Type="http://schemas.openxmlformats.org/officeDocument/2006/relationships/footer" Target="footer78.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header" Target="header12.xml"/><Relationship Id="rId48" Type="http://schemas.openxmlformats.org/officeDocument/2006/relationships/footer" Target="footer14.xml"/><Relationship Id="rId64" Type="http://schemas.openxmlformats.org/officeDocument/2006/relationships/hyperlink" Target="https://ec.europa.eu/home-affairs/what-we-do/policies/organized-crime-and-human-trafficking/e-evidence_en" TargetMode="External"/><Relationship Id="rId69" Type="http://schemas.openxmlformats.org/officeDocument/2006/relationships/header" Target="header24.xml"/><Relationship Id="rId113" Type="http://schemas.openxmlformats.org/officeDocument/2006/relationships/header" Target="header46.xml"/><Relationship Id="rId118" Type="http://schemas.openxmlformats.org/officeDocument/2006/relationships/footer" Target="footer48.xml"/><Relationship Id="rId134" Type="http://schemas.openxmlformats.org/officeDocument/2006/relationships/image" Target="media/image18.emf"/><Relationship Id="rId139" Type="http://schemas.openxmlformats.org/officeDocument/2006/relationships/footer" Target="footer50.xml"/><Relationship Id="rId80" Type="http://schemas.openxmlformats.org/officeDocument/2006/relationships/footer" Target="footer29.xml"/><Relationship Id="rId85" Type="http://schemas.openxmlformats.org/officeDocument/2006/relationships/footer" Target="footer31.xml"/><Relationship Id="rId150" Type="http://schemas.microsoft.com/office/2007/relationships/hdphoto" Target="media/hdphoto2.wdp"/><Relationship Id="rId155" Type="http://schemas.openxmlformats.org/officeDocument/2006/relationships/header" Target="header57.xml"/><Relationship Id="rId171" Type="http://schemas.openxmlformats.org/officeDocument/2006/relationships/footer" Target="footer64.xml"/><Relationship Id="rId176" Type="http://schemas.openxmlformats.org/officeDocument/2006/relationships/header" Target="header68.xml"/><Relationship Id="rId192" Type="http://schemas.openxmlformats.org/officeDocument/2006/relationships/chart" Target="charts/chart14.xml"/><Relationship Id="rId197" Type="http://schemas.openxmlformats.org/officeDocument/2006/relationships/header" Target="header70.xml"/><Relationship Id="rId206" Type="http://schemas.openxmlformats.org/officeDocument/2006/relationships/header" Target="header74.xml"/><Relationship Id="rId227" Type="http://schemas.openxmlformats.org/officeDocument/2006/relationships/footer" Target="footer83.xml"/><Relationship Id="rId201" Type="http://schemas.openxmlformats.org/officeDocument/2006/relationships/header" Target="header72.xml"/><Relationship Id="rId222" Type="http://schemas.openxmlformats.org/officeDocument/2006/relationships/header" Target="header81.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hyperlink" Target="https://whois.icann.org/en" TargetMode="External"/><Relationship Id="rId38" Type="http://schemas.openxmlformats.org/officeDocument/2006/relationships/image" Target="media/image4.jpg"/><Relationship Id="rId59" Type="http://schemas.openxmlformats.org/officeDocument/2006/relationships/footer" Target="footer19.xml"/><Relationship Id="rId103" Type="http://schemas.openxmlformats.org/officeDocument/2006/relationships/footer" Target="footer40.xml"/><Relationship Id="rId108" Type="http://schemas.openxmlformats.org/officeDocument/2006/relationships/header" Target="header44.xml"/><Relationship Id="rId124" Type="http://schemas.openxmlformats.org/officeDocument/2006/relationships/hyperlink" Target="https://rm.coe.int/-draft-terms-of-reference-for-the-preparation-of-a-draft-2nd-additiona/168071b794" TargetMode="External"/><Relationship Id="rId129" Type="http://schemas.openxmlformats.org/officeDocument/2006/relationships/image" Target="media/image13.emf"/><Relationship Id="rId54" Type="http://schemas.openxmlformats.org/officeDocument/2006/relationships/footer" Target="footer17.xml"/><Relationship Id="rId70" Type="http://schemas.openxmlformats.org/officeDocument/2006/relationships/footer" Target="footer24.xml"/><Relationship Id="rId75" Type="http://schemas.openxmlformats.org/officeDocument/2006/relationships/header" Target="header27.xml"/><Relationship Id="rId91" Type="http://schemas.openxmlformats.org/officeDocument/2006/relationships/footer" Target="footer34.xml"/><Relationship Id="rId96" Type="http://schemas.openxmlformats.org/officeDocument/2006/relationships/header" Target="header38.xml"/><Relationship Id="rId140" Type="http://schemas.openxmlformats.org/officeDocument/2006/relationships/header" Target="header51.xml"/><Relationship Id="rId145" Type="http://schemas.openxmlformats.org/officeDocument/2006/relationships/footer" Target="footer52.xml"/><Relationship Id="rId161" Type="http://schemas.openxmlformats.org/officeDocument/2006/relationships/header" Target="header60.xml"/><Relationship Id="rId166" Type="http://schemas.openxmlformats.org/officeDocument/2006/relationships/footer" Target="footer62.xml"/><Relationship Id="rId182" Type="http://schemas.openxmlformats.org/officeDocument/2006/relationships/chart" Target="charts/chart4.xml"/><Relationship Id="rId187" Type="http://schemas.openxmlformats.org/officeDocument/2006/relationships/chart" Target="charts/chart9.xml"/><Relationship Id="rId217"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77.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header" Target="header15.xml"/><Relationship Id="rId114" Type="http://schemas.openxmlformats.org/officeDocument/2006/relationships/header" Target="header47.xml"/><Relationship Id="rId119" Type="http://schemas.openxmlformats.org/officeDocument/2006/relationships/hyperlink" Target="https://rm.coe.int/-draft-terms-of-reference-for-the-preparation-of-a-draft-2nd-additiona/168071b794" TargetMode="External"/><Relationship Id="rId44" Type="http://schemas.openxmlformats.org/officeDocument/2006/relationships/footer" Target="footer12.xml"/><Relationship Id="rId60" Type="http://schemas.openxmlformats.org/officeDocument/2006/relationships/footer" Target="footer20.xml"/><Relationship Id="rId65" Type="http://schemas.openxmlformats.org/officeDocument/2006/relationships/header" Target="header22.xml"/><Relationship Id="rId81" Type="http://schemas.openxmlformats.org/officeDocument/2006/relationships/header" Target="header30.xml"/><Relationship Id="rId86" Type="http://schemas.openxmlformats.org/officeDocument/2006/relationships/footer" Target="footer32.xml"/><Relationship Id="rId130" Type="http://schemas.openxmlformats.org/officeDocument/2006/relationships/image" Target="media/image14.emf"/><Relationship Id="rId135" Type="http://schemas.openxmlformats.org/officeDocument/2006/relationships/image" Target="media/image19.emf"/><Relationship Id="rId151" Type="http://schemas.openxmlformats.org/officeDocument/2006/relationships/header" Target="header55.xml"/><Relationship Id="rId156" Type="http://schemas.openxmlformats.org/officeDocument/2006/relationships/footer" Target="footer57.xml"/><Relationship Id="rId177" Type="http://schemas.openxmlformats.org/officeDocument/2006/relationships/footer" Target="footer67.xml"/><Relationship Id="rId198" Type="http://schemas.openxmlformats.org/officeDocument/2006/relationships/header" Target="header71.xml"/><Relationship Id="rId172" Type="http://schemas.openxmlformats.org/officeDocument/2006/relationships/footer" Target="footer65.xml"/><Relationship Id="rId193" Type="http://schemas.openxmlformats.org/officeDocument/2006/relationships/chart" Target="charts/chart15.xml"/><Relationship Id="rId202" Type="http://schemas.openxmlformats.org/officeDocument/2006/relationships/footer" Target="footer72.xml"/><Relationship Id="rId207" Type="http://schemas.openxmlformats.org/officeDocument/2006/relationships/footer" Target="footer73.xml"/><Relationship Id="rId223" Type="http://schemas.openxmlformats.org/officeDocument/2006/relationships/footer" Target="footer81.xml"/><Relationship Id="rId228" Type="http://schemas.openxmlformats.org/officeDocument/2006/relationships/header" Target="header84.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0.xml"/><Relationship Id="rId109" Type="http://schemas.openxmlformats.org/officeDocument/2006/relationships/footer" Target="footer43.xml"/><Relationship Id="rId34" Type="http://schemas.openxmlformats.org/officeDocument/2006/relationships/image" Target="media/image2.png"/><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footer" Target="footer27.xml"/><Relationship Id="rId97" Type="http://schemas.openxmlformats.org/officeDocument/2006/relationships/footer" Target="footer37.xml"/><Relationship Id="rId104" Type="http://schemas.openxmlformats.org/officeDocument/2006/relationships/footer" Target="footer41.xml"/><Relationship Id="rId120" Type="http://schemas.openxmlformats.org/officeDocument/2006/relationships/image" Target="media/image5.jpg"/><Relationship Id="rId125" Type="http://schemas.openxmlformats.org/officeDocument/2006/relationships/image" Target="media/image9.emf"/><Relationship Id="rId141" Type="http://schemas.openxmlformats.org/officeDocument/2006/relationships/footer" Target="footer51.xml"/><Relationship Id="rId146" Type="http://schemas.openxmlformats.org/officeDocument/2006/relationships/footer" Target="footer53.xml"/><Relationship Id="rId167" Type="http://schemas.openxmlformats.org/officeDocument/2006/relationships/header" Target="header63.xml"/><Relationship Id="rId188" Type="http://schemas.openxmlformats.org/officeDocument/2006/relationships/chart" Target="charts/chart10.xml"/><Relationship Id="rId7" Type="http://schemas.microsoft.com/office/2007/relationships/stylesWithEffects" Target="stylesWithEffects.xml"/><Relationship Id="rId71" Type="http://schemas.openxmlformats.org/officeDocument/2006/relationships/header" Target="header25.xml"/><Relationship Id="rId92" Type="http://schemas.openxmlformats.org/officeDocument/2006/relationships/footer" Target="footer35.xml"/><Relationship Id="rId162" Type="http://schemas.openxmlformats.org/officeDocument/2006/relationships/footer" Target="footer60.xml"/><Relationship Id="rId183" Type="http://schemas.openxmlformats.org/officeDocument/2006/relationships/chart" Target="charts/chart5.xml"/><Relationship Id="rId213" Type="http://schemas.openxmlformats.org/officeDocument/2006/relationships/footer" Target="footer76.xml"/><Relationship Id="rId218" Type="http://schemas.openxmlformats.org/officeDocument/2006/relationships/header" Target="header79.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header" Target="header11.xml"/><Relationship Id="rId45" Type="http://schemas.openxmlformats.org/officeDocument/2006/relationships/header" Target="header13.xml"/><Relationship Id="rId66" Type="http://schemas.openxmlformats.org/officeDocument/2006/relationships/header" Target="header23.xml"/><Relationship Id="rId87" Type="http://schemas.openxmlformats.org/officeDocument/2006/relationships/header" Target="header33.xml"/><Relationship Id="rId110" Type="http://schemas.openxmlformats.org/officeDocument/2006/relationships/footer" Target="footer44.xml"/><Relationship Id="rId115" Type="http://schemas.openxmlformats.org/officeDocument/2006/relationships/footer" Target="footer46.xml"/><Relationship Id="rId131" Type="http://schemas.openxmlformats.org/officeDocument/2006/relationships/image" Target="media/image15.emf"/><Relationship Id="rId136" Type="http://schemas.openxmlformats.org/officeDocument/2006/relationships/header" Target="header49.xml"/><Relationship Id="rId157" Type="http://schemas.openxmlformats.org/officeDocument/2006/relationships/header" Target="header58.xml"/><Relationship Id="rId178" Type="http://schemas.openxmlformats.org/officeDocument/2006/relationships/footer" Target="footer68.xml"/><Relationship Id="rId61" Type="http://schemas.openxmlformats.org/officeDocument/2006/relationships/header" Target="header21.xml"/><Relationship Id="rId82" Type="http://schemas.openxmlformats.org/officeDocument/2006/relationships/footer" Target="footer30.xml"/><Relationship Id="rId152" Type="http://schemas.openxmlformats.org/officeDocument/2006/relationships/header" Target="header56.xml"/><Relationship Id="rId173" Type="http://schemas.openxmlformats.org/officeDocument/2006/relationships/header" Target="header66.xml"/><Relationship Id="rId194" Type="http://schemas.openxmlformats.org/officeDocument/2006/relationships/chart" Target="charts/chart16.xml"/><Relationship Id="rId199" Type="http://schemas.openxmlformats.org/officeDocument/2006/relationships/footer" Target="footer70.xml"/><Relationship Id="rId203" Type="http://schemas.openxmlformats.org/officeDocument/2006/relationships/chart" Target="charts/chart19.xml"/><Relationship Id="rId208" Type="http://schemas.openxmlformats.org/officeDocument/2006/relationships/footer" Target="footer74.xml"/><Relationship Id="rId229" Type="http://schemas.openxmlformats.org/officeDocument/2006/relationships/footer" Target="footer84.xml"/><Relationship Id="rId19" Type="http://schemas.openxmlformats.org/officeDocument/2006/relationships/header" Target="header4.xml"/><Relationship Id="rId224" Type="http://schemas.openxmlformats.org/officeDocument/2006/relationships/header" Target="header82.xml"/><Relationship Id="rId14" Type="http://schemas.openxmlformats.org/officeDocument/2006/relationships/header" Target="header2.xml"/><Relationship Id="rId30" Type="http://schemas.openxmlformats.org/officeDocument/2006/relationships/footer" Target="footer9.xml"/><Relationship Id="rId35" Type="http://schemas.microsoft.com/office/2007/relationships/hdphoto" Target="media/hdphoto1.wdp"/><Relationship Id="rId56" Type="http://schemas.openxmlformats.org/officeDocument/2006/relationships/footer" Target="footer18.xml"/><Relationship Id="rId77" Type="http://schemas.openxmlformats.org/officeDocument/2006/relationships/header" Target="header28.xml"/><Relationship Id="rId100" Type="http://schemas.openxmlformats.org/officeDocument/2006/relationships/footer" Target="footer39.xml"/><Relationship Id="rId105" Type="http://schemas.openxmlformats.org/officeDocument/2006/relationships/header" Target="header42.xml"/><Relationship Id="rId126" Type="http://schemas.openxmlformats.org/officeDocument/2006/relationships/image" Target="media/image10.emf"/><Relationship Id="rId147" Type="http://schemas.openxmlformats.org/officeDocument/2006/relationships/header" Target="header54.xml"/><Relationship Id="rId168" Type="http://schemas.openxmlformats.org/officeDocument/2006/relationships/footer" Target="footer63.xml"/><Relationship Id="rId8" Type="http://schemas.openxmlformats.org/officeDocument/2006/relationships/settings" Target="settings.xml"/><Relationship Id="rId51" Type="http://schemas.openxmlformats.org/officeDocument/2006/relationships/header" Target="header16.xml"/><Relationship Id="rId72" Type="http://schemas.openxmlformats.org/officeDocument/2006/relationships/header" Target="header26.xml"/><Relationship Id="rId93" Type="http://schemas.openxmlformats.org/officeDocument/2006/relationships/header" Target="header36.xml"/><Relationship Id="rId98" Type="http://schemas.openxmlformats.org/officeDocument/2006/relationships/footer" Target="footer38.xml"/><Relationship Id="rId121" Type="http://schemas.openxmlformats.org/officeDocument/2006/relationships/image" Target="media/image6.jpg"/><Relationship Id="rId142" Type="http://schemas.openxmlformats.org/officeDocument/2006/relationships/image" Target="media/image20.png"/><Relationship Id="rId163" Type="http://schemas.openxmlformats.org/officeDocument/2006/relationships/header" Target="header61.xml"/><Relationship Id="rId184" Type="http://schemas.openxmlformats.org/officeDocument/2006/relationships/chart" Target="charts/chart6.xml"/><Relationship Id="rId189" Type="http://schemas.openxmlformats.org/officeDocument/2006/relationships/chart" Target="charts/chart11.xml"/><Relationship Id="rId219" Type="http://schemas.openxmlformats.org/officeDocument/2006/relationships/header" Target="header80.xml"/><Relationship Id="rId3" Type="http://schemas.openxmlformats.org/officeDocument/2006/relationships/customXml" Target="../customXml/item3.xml"/><Relationship Id="rId214" Type="http://schemas.openxmlformats.org/officeDocument/2006/relationships/footer" Target="footer77.xml"/><Relationship Id="rId230" Type="http://schemas.openxmlformats.org/officeDocument/2006/relationships/fontTable" Target="fontTable.xml"/><Relationship Id="rId25" Type="http://schemas.openxmlformats.org/officeDocument/2006/relationships/header" Target="header7.xml"/><Relationship Id="rId46" Type="http://schemas.openxmlformats.org/officeDocument/2006/relationships/header" Target="header14.xml"/><Relationship Id="rId67" Type="http://schemas.openxmlformats.org/officeDocument/2006/relationships/footer" Target="footer22.xml"/><Relationship Id="rId116" Type="http://schemas.openxmlformats.org/officeDocument/2006/relationships/footer" Target="footer47.xml"/><Relationship Id="rId137" Type="http://schemas.openxmlformats.org/officeDocument/2006/relationships/header" Target="header50.xml"/><Relationship Id="rId158" Type="http://schemas.openxmlformats.org/officeDocument/2006/relationships/header" Target="header59.xml"/><Relationship Id="rId20" Type="http://schemas.openxmlformats.org/officeDocument/2006/relationships/header" Target="header5.xml"/><Relationship Id="rId41" Type="http://schemas.openxmlformats.org/officeDocument/2006/relationships/footer" Target="footer10.xml"/><Relationship Id="rId62" Type="http://schemas.openxmlformats.org/officeDocument/2006/relationships/footer" Target="footer21.xml"/><Relationship Id="rId83" Type="http://schemas.openxmlformats.org/officeDocument/2006/relationships/header" Target="header31.xml"/><Relationship Id="rId88" Type="http://schemas.openxmlformats.org/officeDocument/2006/relationships/footer" Target="footer33.xml"/><Relationship Id="rId111" Type="http://schemas.openxmlformats.org/officeDocument/2006/relationships/header" Target="header45.xml"/><Relationship Id="rId132" Type="http://schemas.openxmlformats.org/officeDocument/2006/relationships/image" Target="media/image16.emf"/><Relationship Id="rId153" Type="http://schemas.openxmlformats.org/officeDocument/2006/relationships/footer" Target="footer55.xml"/><Relationship Id="rId174" Type="http://schemas.openxmlformats.org/officeDocument/2006/relationships/footer" Target="footer66.xml"/><Relationship Id="rId179" Type="http://schemas.openxmlformats.org/officeDocument/2006/relationships/header" Target="header69.xml"/><Relationship Id="rId195" Type="http://schemas.openxmlformats.org/officeDocument/2006/relationships/chart" Target="charts/chart17.xml"/><Relationship Id="rId209" Type="http://schemas.openxmlformats.org/officeDocument/2006/relationships/header" Target="header75.xml"/><Relationship Id="rId190" Type="http://schemas.openxmlformats.org/officeDocument/2006/relationships/chart" Target="charts/chart12.xml"/><Relationship Id="rId204" Type="http://schemas.openxmlformats.org/officeDocument/2006/relationships/chart" Target="charts/chart20.xml"/><Relationship Id="rId220" Type="http://schemas.openxmlformats.org/officeDocument/2006/relationships/footer" Target="footer79.xml"/><Relationship Id="rId225" Type="http://schemas.openxmlformats.org/officeDocument/2006/relationships/header" Target="header83.xml"/><Relationship Id="rId15" Type="http://schemas.openxmlformats.org/officeDocument/2006/relationships/footer" Target="footer1.xml"/><Relationship Id="rId36" Type="http://schemas.openxmlformats.org/officeDocument/2006/relationships/hyperlink" Target="http://www.oecd.org/innovation/digital-economy-a-brighter-future-could-be-in-our-pocket.htm" TargetMode="External"/><Relationship Id="rId57" Type="http://schemas.openxmlformats.org/officeDocument/2006/relationships/header" Target="header19.xml"/><Relationship Id="rId106" Type="http://schemas.openxmlformats.org/officeDocument/2006/relationships/footer" Target="footer42.xml"/><Relationship Id="rId127" Type="http://schemas.openxmlformats.org/officeDocument/2006/relationships/image" Target="media/image11.emf"/><Relationship Id="rId10" Type="http://schemas.openxmlformats.org/officeDocument/2006/relationships/footnotes" Target="footnotes.xml"/><Relationship Id="rId31" Type="http://schemas.openxmlformats.org/officeDocument/2006/relationships/chart" Target="charts/chart1.xml"/><Relationship Id="rId52" Type="http://schemas.openxmlformats.org/officeDocument/2006/relationships/header" Target="header17.xml"/><Relationship Id="rId73" Type="http://schemas.openxmlformats.org/officeDocument/2006/relationships/footer" Target="footer25.xml"/><Relationship Id="rId78" Type="http://schemas.openxmlformats.org/officeDocument/2006/relationships/header" Target="header29.xml"/><Relationship Id="rId94" Type="http://schemas.openxmlformats.org/officeDocument/2006/relationships/footer" Target="footer36.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image" Target="media/image7.jpg"/><Relationship Id="rId143" Type="http://schemas.openxmlformats.org/officeDocument/2006/relationships/header" Target="header52.xml"/><Relationship Id="rId148" Type="http://schemas.openxmlformats.org/officeDocument/2006/relationships/footer" Target="footer54.xml"/><Relationship Id="rId164" Type="http://schemas.openxmlformats.org/officeDocument/2006/relationships/header" Target="header62.xml"/><Relationship Id="rId169" Type="http://schemas.openxmlformats.org/officeDocument/2006/relationships/header" Target="header64.xml"/><Relationship Id="rId185"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69.xml"/><Relationship Id="rId210" Type="http://schemas.openxmlformats.org/officeDocument/2006/relationships/footer" Target="footer75.xml"/><Relationship Id="rId215" Type="http://schemas.openxmlformats.org/officeDocument/2006/relationships/header" Target="header78.xml"/><Relationship Id="rId26" Type="http://schemas.openxmlformats.org/officeDocument/2006/relationships/header" Target="header8.xml"/><Relationship Id="rId231" Type="http://schemas.openxmlformats.org/officeDocument/2006/relationships/theme" Target="theme/theme1.xml"/><Relationship Id="rId47" Type="http://schemas.openxmlformats.org/officeDocument/2006/relationships/footer" Target="footer13.xml"/><Relationship Id="rId68" Type="http://schemas.openxmlformats.org/officeDocument/2006/relationships/footer" Target="footer23.xml"/><Relationship Id="rId89" Type="http://schemas.openxmlformats.org/officeDocument/2006/relationships/header" Target="header34.xml"/><Relationship Id="rId112" Type="http://schemas.openxmlformats.org/officeDocument/2006/relationships/footer" Target="footer45.xml"/><Relationship Id="rId133" Type="http://schemas.openxmlformats.org/officeDocument/2006/relationships/image" Target="media/image17.emf"/><Relationship Id="rId154" Type="http://schemas.openxmlformats.org/officeDocument/2006/relationships/footer" Target="footer56.xml"/><Relationship Id="rId175" Type="http://schemas.openxmlformats.org/officeDocument/2006/relationships/header" Target="header67.xml"/><Relationship Id="rId196" Type="http://schemas.openxmlformats.org/officeDocument/2006/relationships/chart" Target="charts/chart18.xml"/><Relationship Id="rId200" Type="http://schemas.openxmlformats.org/officeDocument/2006/relationships/footer" Target="footer71.xml"/><Relationship Id="rId16" Type="http://schemas.openxmlformats.org/officeDocument/2006/relationships/footer" Target="footer2.xml"/><Relationship Id="rId221" Type="http://schemas.openxmlformats.org/officeDocument/2006/relationships/footer" Target="footer80.xml"/><Relationship Id="rId37" Type="http://schemas.openxmlformats.org/officeDocument/2006/relationships/image" Target="media/image3.jpg"/><Relationship Id="rId58" Type="http://schemas.openxmlformats.org/officeDocument/2006/relationships/header" Target="header20.xml"/><Relationship Id="rId79" Type="http://schemas.openxmlformats.org/officeDocument/2006/relationships/footer" Target="footer28.xml"/><Relationship Id="rId102" Type="http://schemas.openxmlformats.org/officeDocument/2006/relationships/header" Target="header41.xml"/><Relationship Id="rId123" Type="http://schemas.openxmlformats.org/officeDocument/2006/relationships/image" Target="media/image8.jpg"/><Relationship Id="rId144" Type="http://schemas.openxmlformats.org/officeDocument/2006/relationships/header" Target="header53.xml"/><Relationship Id="rId90" Type="http://schemas.openxmlformats.org/officeDocument/2006/relationships/header" Target="header35.xml"/><Relationship Id="rId165" Type="http://schemas.openxmlformats.org/officeDocument/2006/relationships/footer" Target="footer61.xml"/><Relationship Id="rId186" Type="http://schemas.openxmlformats.org/officeDocument/2006/relationships/chart" Target="charts/chart8.xml"/><Relationship Id="rId211" Type="http://schemas.openxmlformats.org/officeDocument/2006/relationships/header" Target="header76.xml"/></Relationships>
</file>

<file path=word/_rels/footnotes.xml.rels><?xml version="1.0" encoding="UTF-8" standalone="yes"?>
<Relationships xmlns="http://schemas.openxmlformats.org/package/2006/relationships"><Relationship Id="rId117" Type="http://schemas.openxmlformats.org/officeDocument/2006/relationships/hyperlink" Target="http://ec.europa.eu/justice/data-protection/reform/index_en.htm" TargetMode="External"/><Relationship Id="rId21" Type="http://schemas.openxmlformats.org/officeDocument/2006/relationships/hyperlink" Target="http://curia.europa.eu/juris/liste.jsf?pro=&amp;lgrec=es&amp;nat=or&amp;oqp=&amp;dates=&amp;lg=&amp;language=en&amp;jur=C%2CT%2CF&amp;cit=none%252CC%252CCJ%252CR%252C2008E%252C%252C%252C%252C%252C%252C%252C%252C%252C%252Ctrue%252Cfalse%252Cfalse&amp;num=C-293%252F12&amp;td=%3BALL&amp;pcs=Oor&amp;avg=&amp;page=1&amp;mat=or&amp;jge=&amp;for=&amp;cid=1584037" TargetMode="External"/><Relationship Id="rId42" Type="http://schemas.openxmlformats.org/officeDocument/2006/relationships/hyperlink" Target="https://reformgs.tumblr.com/post/147464333157/rgs-statement-on-us-uk-data-protection-discussions" TargetMode="External"/><Relationship Id="rId63" Type="http://schemas.openxmlformats.org/officeDocument/2006/relationships/hyperlink" Target="http://europa.eu/rapid/press-release_MEMO-16-4183_en.htm" TargetMode="External"/><Relationship Id="rId84" Type="http://schemas.openxmlformats.org/officeDocument/2006/relationships/hyperlink" Target="http://ec.europa.eu/eurostat/web/products-eurostat-news/-/DDN-20170410-1" TargetMode="External"/><Relationship Id="rId138" Type="http://schemas.openxmlformats.org/officeDocument/2006/relationships/hyperlink" Target="http://europa.eu/rapid/press-release_IP-17-3193_en.htm" TargetMode="External"/><Relationship Id="rId159" Type="http://schemas.openxmlformats.org/officeDocument/2006/relationships/hyperlink" Target="https://www.microsoft.com/en-us/about/corporate-responsibility/reports-hub" TargetMode="External"/><Relationship Id="rId170" Type="http://schemas.openxmlformats.org/officeDocument/2006/relationships/hyperlink" Target="https://rm.coe.int/16806cd270" TargetMode="External"/><Relationship Id="rId191" Type="http://schemas.openxmlformats.org/officeDocument/2006/relationships/hyperlink" Target="https://www.justsecurity.org/27857/cross-border-data-requests-proposed-framework" TargetMode="External"/><Relationship Id="rId205" Type="http://schemas.openxmlformats.org/officeDocument/2006/relationships/hyperlink" Target="https://www.documentcloud.org/documents/2994379-2016-7-15-US-UK-Biden-With-Enclosures.html" TargetMode="External"/><Relationship Id="rId107" Type="http://schemas.openxmlformats.org/officeDocument/2006/relationships/hyperlink" Target="https://encrypted.google.com/url?sa=t&amp;rct=j&amp;q=&amp;esrc=s&amp;source=web&amp;cd=1&amp;cad=rja&amp;uact=8&amp;ved=0ahUKEwjg-oDCg4HVAhXLaxQKHdUACygQFggnMAA&amp;url=https%3A%2F%2Fec.europa.eu%2Fhome-affairs%2Fsites%2Fhomeaffairs%2Ffiles%2Fe-library%2Fdocuments%2Fpolicies%2Forganized-crime-and-human-trafficking%2Fcybercrime%2Fdocs%2Ffinal_report_identity_theft_11_december_2012_en.pdf&amp;usg=AFQjCNGfx7lrJL63oAwkMCCP5Es7I674kQ" TargetMode="External"/><Relationship Id="rId11" Type="http://schemas.openxmlformats.org/officeDocument/2006/relationships/hyperlink" Target="http://www.europarl.europa.eu/sides/getDoc.do?pubRef=-//EP//TEXT+TA+P8-TA-2017-0366+0+DOC+XML+V0//EN" TargetMode="External"/><Relationship Id="rId32" Type="http://schemas.openxmlformats.org/officeDocument/2006/relationships/hyperlink" Target="https://www.law.cornell.edu/uscode/text/18/2702" TargetMode="External"/><Relationship Id="rId53" Type="http://schemas.openxmlformats.org/officeDocument/2006/relationships/hyperlink" Target="http://curia.europa.eu/juris/document/document.jsf?docid=150642&amp;doclang=EN" TargetMode="External"/><Relationship Id="rId74" Type="http://schemas.openxmlformats.org/officeDocument/2006/relationships/hyperlink" Target="http://eur-lex.europa.eu/legal-content/en/TXT/?uri=celex:32002F0584" TargetMode="External"/><Relationship Id="rId128" Type="http://schemas.openxmlformats.org/officeDocument/2006/relationships/hyperlink" Target="http://ec.europa.eu/justice/newsroom/data-protection/news/160602_en.htm" TargetMode="External"/><Relationship Id="rId149" Type="http://schemas.openxmlformats.org/officeDocument/2006/relationships/hyperlink" Target="https://www.law.cornell.edu/uscode/text/18/2711" TargetMode="External"/><Relationship Id="rId5" Type="http://schemas.openxmlformats.org/officeDocument/2006/relationships/hyperlink" Target="http://eur-lex.europa.eu/legal-content/EN/HIS/?uri=COM:2015:185:FIN" TargetMode="External"/><Relationship Id="rId90" Type="http://schemas.openxmlformats.org/officeDocument/2006/relationships/hyperlink" Target="http://www.consilium.europa.eu/en/press/press-releases/2016/06/09-criminal-activities-cyberspace/" TargetMode="External"/><Relationship Id="rId95" Type="http://schemas.openxmlformats.org/officeDocument/2006/relationships/hyperlink" Target="https://ec.europa.eu/home-affairs/sites/homeaffairs/files/docs/pages/20170522_technical_document_electronic_evidence_en.pdf" TargetMode="External"/><Relationship Id="rId160" Type="http://schemas.openxmlformats.org/officeDocument/2006/relationships/hyperlink" Target="http://www.consilium.europa.eu/en/press/press-releases/2016/12/05-eu-us-ministerial-mtg-on-jha/" TargetMode="External"/><Relationship Id="rId165" Type="http://schemas.openxmlformats.org/officeDocument/2006/relationships/hyperlink" Target="https://www.coe.int/en/web/conventions/full-list/-/conventions/treaty/030" TargetMode="External"/><Relationship Id="rId181" Type="http://schemas.openxmlformats.org/officeDocument/2006/relationships/hyperlink" Target="https://ec.europa.eu/home-affairs/sites/homeaffairs/files/what-we-do/policies/european-agenda-security/20171018_eleventh_progress_report_towards_an_effective_and_genuine_security_union_en.pdf" TargetMode="External"/><Relationship Id="rId186" Type="http://schemas.openxmlformats.org/officeDocument/2006/relationships/hyperlink" Target="https://www.hatch.senate.gov/public/index.cfm/releases?ID=A93ADE33-6615-4C7B-9F2A-6B2ADE83A099" TargetMode="External"/><Relationship Id="rId216" Type="http://schemas.openxmlformats.org/officeDocument/2006/relationships/hyperlink" Target="https://centr.org/library/library/statistics-report/domainwire-global-tld-report-2017-1.html" TargetMode="External"/><Relationship Id="rId211" Type="http://schemas.openxmlformats.org/officeDocument/2006/relationships/hyperlink" Target="https://www.microsoft.com/en-us/about/corporate-responsibility/lerr" TargetMode="External"/><Relationship Id="rId22" Type="http://schemas.openxmlformats.org/officeDocument/2006/relationships/hyperlink" Target="http://curia.europa.eu/juris/liste.jsf?pro=&amp;lgrec=es&amp;nat=or&amp;oqp=&amp;dates=&amp;lg=&amp;language=en&amp;jur=C%2CT%2CF&amp;cit=none%252CC%252CCJ%252CR%252C2008E%252C%252C%252C%252C%252C%252C%252C%252C%252C%252Ctrue%252Cfalse%252Cfalse&amp;num=C-203%252F15&amp;td=%3BALL&amp;pcs=Oor&amp;avg=&amp;page=1&amp;mat=or&amp;jge=&amp;for=&amp;cid=2291656" TargetMode="External"/><Relationship Id="rId27" Type="http://schemas.openxmlformats.org/officeDocument/2006/relationships/hyperlink" Target="https://www.justsecurity.org/29203/british-searches-america-tremendous-opportunity/" TargetMode="External"/><Relationship Id="rId43" Type="http://schemas.openxmlformats.org/officeDocument/2006/relationships/hyperlink" Target="http://eur-lex.europa.eu/legal-content/EN/TXT/?uri=uriserv:OJ.L_.2016.119.01.0001.01.ENG&amp;toc=OJ:L:2016:119:TOC" TargetMode="External"/><Relationship Id="rId48" Type="http://schemas.openxmlformats.org/officeDocument/2006/relationships/hyperlink" Target="https://usa.kaspersky.com/about/press-releases/2014_kaspersky-lab-is-detecting-325000-new-malicious-files-every-day" TargetMode="External"/><Relationship Id="rId64" Type="http://schemas.openxmlformats.org/officeDocument/2006/relationships/hyperlink" Target="http://eur-lex.europa.eu/legal-content/EN/TXT/?uri=COM:2017:0142:FIN" TargetMode="External"/><Relationship Id="rId69" Type="http://schemas.openxmlformats.org/officeDocument/2006/relationships/hyperlink" Target="http://eur-lex.europa.eu/legal-content/EN/TXT/?uri=uriserv:OJ.L_.2016.119.01.0089.01.ENG&amp;toc=OJ:L:2016:119:TOC" TargetMode="External"/><Relationship Id="rId113" Type="http://schemas.openxmlformats.org/officeDocument/2006/relationships/hyperlink" Target="http://eur-lex.europa.eu/legal-content/EN/TXT/?uri=celex:52013PC0535" TargetMode="External"/><Relationship Id="rId118" Type="http://schemas.openxmlformats.org/officeDocument/2006/relationships/hyperlink" Target="http://eur-lex.europa.eu/legal-content/EN/TXT/?uri=uriserv:OJ.L_.2016.119.01.0001.01.ENG&amp;toc=OJ:L:2016:119:TOC" TargetMode="External"/><Relationship Id="rId134" Type="http://schemas.openxmlformats.org/officeDocument/2006/relationships/hyperlink" Target="http://docs.house.gov/billsthisweek/20180319/BILLS-115SAHR1625-RCP115-66.pdf" TargetMode="External"/><Relationship Id="rId139" Type="http://schemas.openxmlformats.org/officeDocument/2006/relationships/hyperlink" Target="(http:/www.consilium.europa.eu/media/31666/st14435en17.pdf" TargetMode="External"/><Relationship Id="rId80" Type="http://schemas.openxmlformats.org/officeDocument/2006/relationships/hyperlink" Target="http://eur-lex.europa.eu/legal-content/EN/TXT/?uri=celex:32012L0013" TargetMode="External"/><Relationship Id="rId85" Type="http://schemas.openxmlformats.org/officeDocument/2006/relationships/hyperlink" Target="http://www.unodc.org/documents/data-and-analysis/Studies/Illicit_%20financial_flows_2011_web.pdf" TargetMode="External"/><Relationship Id="rId150" Type="http://schemas.openxmlformats.org/officeDocument/2006/relationships/hyperlink" Target="https://www.lawfareblog.com/preliminary-thoughts-cross-border-data-requests" TargetMode="External"/><Relationship Id="rId155" Type="http://schemas.openxmlformats.org/officeDocument/2006/relationships/hyperlink" Target="https://rm.coe.int/168064b77d" TargetMode="External"/><Relationship Id="rId171" Type="http://schemas.openxmlformats.org/officeDocument/2006/relationships/hyperlink" Target="http://www.search.org/resources/isp-list/" TargetMode="External"/><Relationship Id="rId176" Type="http://schemas.openxmlformats.org/officeDocument/2006/relationships/hyperlink" Target="https://rm.coe.int/-draft-terms-of-reference-for-the-preparation-of-a-draft-2nd-additiona/168071b794" TargetMode="External"/><Relationship Id="rId192" Type="http://schemas.openxmlformats.org/officeDocument/2006/relationships/hyperlink" Target="https://annualsurveryofamericanlaw.files.wordpress.com/2017/04/71-4_swirehemmings.pdf" TargetMode="External"/><Relationship Id="rId197" Type="http://schemas.openxmlformats.org/officeDocument/2006/relationships/hyperlink" Target="https://motherboard.vice.com/en_us/article/qkj44v/a-look-at-frances-new-surveillance-laws-in-the-wake-of-the-paris-attacks" TargetMode="External"/><Relationship Id="rId206" Type="http://schemas.openxmlformats.org/officeDocument/2006/relationships/hyperlink" Target="https://cdt.org/files/2016/08/DOJ-Cross-Border-Bill-Insight-FINAL2.pdf" TargetMode="External"/><Relationship Id="rId201" Type="http://schemas.openxmlformats.org/officeDocument/2006/relationships/hyperlink" Target="https://www.eff.org/document/2017-09-20-coalition-letter-against-dojs-xbd-bill" TargetMode="External"/><Relationship Id="rId222" Type="http://schemas.openxmlformats.org/officeDocument/2006/relationships/hyperlink" Target="https://ec.europa.eu/info/law/better-regulation/initiatives/ares-2017-3896097_en" TargetMode="External"/><Relationship Id="rId12" Type="http://schemas.openxmlformats.org/officeDocument/2006/relationships/hyperlink" Target="http://eur-lex.europa.eu/legal-content/EN/TXT/?uri=celex:32009D0820" TargetMode="External"/><Relationship Id="rId17" Type="http://schemas.openxmlformats.org/officeDocument/2006/relationships/hyperlink" Target="http://www.apple.com/privacy/transparency-reports" TargetMode="External"/><Relationship Id="rId33" Type="http://schemas.openxmlformats.org/officeDocument/2006/relationships/hyperlink" Target="https://rm.coe.int/168064b77d" TargetMode="External"/><Relationship Id="rId38" Type="http://schemas.openxmlformats.org/officeDocument/2006/relationships/hyperlink" Target="http://www.wolterskluwer.be/files/communities/legalworld/rechtspraak/2016/Corr.%20Mechelen%2027%20oktober%202016%20(Skype).pdf" TargetMode="External"/><Relationship Id="rId59" Type="http://schemas.openxmlformats.org/officeDocument/2006/relationships/hyperlink" Target="http://law.justia.com/cases/federal/appellate-courts/ca2/14-2985/14-2985-2016-07-14.html" TargetMode="External"/><Relationship Id="rId103" Type="http://schemas.openxmlformats.org/officeDocument/2006/relationships/hyperlink" Target="https://ec.europa.eu/info/consultations/public-consultation-improving-cross-border-access-electronic-evidence-criminal-matters_en" TargetMode="External"/><Relationship Id="rId108" Type="http://schemas.openxmlformats.org/officeDocument/2006/relationships/hyperlink" Target="https://encrypted.google.com/url?sa=t&amp;rct=j&amp;q=&amp;esrc=s&amp;source=web&amp;cd=1&amp;cad=rja&amp;uact=8&amp;ved=0ahUKEwjg-oDCg4HVAhXLaxQKHdUACygQFggnMAA&amp;url=https%3A%2F%2Fec.europa.eu%2Fhome-affairs%2Fsites%2Fhomeaffairs%2Ffiles%2Fe-library%2Fdocuments%2Fpolicies%2Forganized-crime-and-human-trafficking%2Fcybercrime%2Fdocs%2Ffinal_report_identity_theft_11_december_2012_en.pdf&amp;usg=AFQjCNGfx7lrJL63oAwkMCCP5Es7I674kQ" TargetMode="External"/><Relationship Id="rId124" Type="http://schemas.openxmlformats.org/officeDocument/2006/relationships/hyperlink" Target="http://eur-lex.europa.eu/legal-content/EN/TXT/?uri=celex%3A32000L0031" TargetMode="External"/><Relationship Id="rId129" Type="http://schemas.openxmlformats.org/officeDocument/2006/relationships/hyperlink" Target="http://ec.europa.eu/justice/data-protection/international-transfers/eu-us-privacy-shield/index_en.htm" TargetMode="External"/><Relationship Id="rId54" Type="http://schemas.openxmlformats.org/officeDocument/2006/relationships/hyperlink" Target="http://curia.europa.eu/juris/liste.jsf?num=C-203/15" TargetMode="External"/><Relationship Id="rId70" Type="http://schemas.openxmlformats.org/officeDocument/2006/relationships/hyperlink" Target="http://eur-lex.europa.eu/legal-content/EN/TXT/?uri=uriserv:OJ.L_.2016.119.01.0089.01.ENG" TargetMode="External"/><Relationship Id="rId75" Type="http://schemas.openxmlformats.org/officeDocument/2006/relationships/hyperlink" Target="http://eur-lex.europa.eu/legal-content/EN/TXT/?uri=CELEX%3A32016R0794" TargetMode="External"/><Relationship Id="rId91" Type="http://schemas.openxmlformats.org/officeDocument/2006/relationships/hyperlink" Target="http://www.consilium.europa.eu/en/press/press-releases/2016/06/09-criminal-activities-cyberspace/" TargetMode="External"/><Relationship Id="rId96" Type="http://schemas.openxmlformats.org/officeDocument/2006/relationships/hyperlink" Target="http://ec.europa.eu/avservices/video/player.cfm?ref=I139501&amp;videolang=INT&amp;starttime=347&amp;devurl=http://ec.europa.eu/avservices/video/player/config.cfm" TargetMode="External"/><Relationship Id="rId140" Type="http://schemas.openxmlformats.org/officeDocument/2006/relationships/hyperlink" Target="http://eur-lex.europa.eu/legal-content/EN/TXT/?uri=CELEX:52015DC0192" TargetMode="External"/><Relationship Id="rId145" Type="http://schemas.openxmlformats.org/officeDocument/2006/relationships/hyperlink" Target="https://www.justice.gov/sites/default/files/jmd/legacy/2014/07/13/mut-legal-assist.pdf" TargetMode="External"/><Relationship Id="rId161" Type="http://schemas.openxmlformats.org/officeDocument/2006/relationships/hyperlink" Target="https://ec.europa.eu/europeaid/about-funding_en" TargetMode="External"/><Relationship Id="rId166" Type="http://schemas.openxmlformats.org/officeDocument/2006/relationships/hyperlink" Target="https://www.e-codex.eu/" TargetMode="External"/><Relationship Id="rId182" Type="http://schemas.openxmlformats.org/officeDocument/2006/relationships/hyperlink" Target="https://www.enisa.europa.eu/publications/enisa-position-papers-and-opinions/on-lawful-criminal-investigation-that-respects-21st-century-data-protection" TargetMode="External"/><Relationship Id="rId187" Type="http://schemas.openxmlformats.org/officeDocument/2006/relationships/hyperlink" Target="https://papers.ssrn.com/sol3/papers.cfm?abstract_id=3035563" TargetMode="External"/><Relationship Id="rId217" Type="http://schemas.openxmlformats.org/officeDocument/2006/relationships/hyperlink" Target="https://gac.icann.org/advice/communiques/public/gac-60-abu-dhabi-communique.pdf" TargetMode="External"/><Relationship Id="rId1" Type="http://schemas.openxmlformats.org/officeDocument/2006/relationships/hyperlink" Target="http://journals.sas.ac.uk/deeslr/article/viewFile/2310/2261" TargetMode="External"/><Relationship Id="rId6" Type="http://schemas.openxmlformats.org/officeDocument/2006/relationships/hyperlink" Target="http://eur-lex.europa.eu/legal-content/en/ALL/?uri=CELEX:52016DC0230" TargetMode="External"/><Relationship Id="rId212" Type="http://schemas.openxmlformats.org/officeDocument/2006/relationships/hyperlink" Target="https://transparency.twitter.com/en/information-requests.html" TargetMode="External"/><Relationship Id="rId23" Type="http://schemas.openxmlformats.org/officeDocument/2006/relationships/hyperlink" Target="https://www.e-codex.eu/sites/default/files/e-codex_mla_digital.pdf" TargetMode="External"/><Relationship Id="rId28" Type="http://schemas.openxmlformats.org/officeDocument/2006/relationships/hyperlink" Target="https://papers.ssrn.com/sol3/papers.cfm?abstract_id=2733350" TargetMode="External"/><Relationship Id="rId49" Type="http://schemas.openxmlformats.org/officeDocument/2006/relationships/hyperlink" Target="https://www.cisco.com/c/dam/en_us/about/ac79/docs/innov/IoT_IBSG_0411FINAL.pdf" TargetMode="External"/><Relationship Id="rId114" Type="http://schemas.openxmlformats.org/officeDocument/2006/relationships/hyperlink" Target="https://encrypted.google.com/url?sa=t&amp;rct=j&amp;q=&amp;esrc=s&amp;source=web&amp;cd=1&amp;ved=0ahUKEwjvqJ6By_TWAhUHOxoKHTARCLQQFggnMAA&amp;url=http%3A%2F%2Fwww.consilium.europa.eu%2Fen%2Fmeetings%2Fjha%2F2016%2F06%2Fnetwork--en_pdf%2F&amp;usg=AOvVaw0NQpwZwn9exKzhLoCJdHKN" TargetMode="External"/><Relationship Id="rId119" Type="http://schemas.openxmlformats.org/officeDocument/2006/relationships/hyperlink" Target="http://eur-lex.europa.eu/legal-content/EN/TXT/?uri=uriserv:OJ.L_.2016.119.01.0089.01.ENG&amp;toc=OJ:L:2016:119:TOC" TargetMode="External"/><Relationship Id="rId44" Type="http://schemas.openxmlformats.org/officeDocument/2006/relationships/hyperlink" Target="http://journals.sas.ac.uk/deeslr/article/viewFile/2310/2261" TargetMode="External"/><Relationship Id="rId60" Type="http://schemas.openxmlformats.org/officeDocument/2006/relationships/hyperlink" Target="https://www.stibbe.com/en/news/2017/february/skype-luxembourg-condemned-in-belgium-for-refusing-to-set-up-wiretap" TargetMode="External"/><Relationship Id="rId65" Type="http://schemas.openxmlformats.org/officeDocument/2006/relationships/hyperlink" Target="https://rm.coe.int/16806f943e" TargetMode="External"/><Relationship Id="rId81" Type="http://schemas.openxmlformats.org/officeDocument/2006/relationships/hyperlink" Target="http://curia.europa.eu/juris/liste.jsf?num=C-203/15" TargetMode="External"/><Relationship Id="rId86" Type="http://schemas.openxmlformats.org/officeDocument/2006/relationships/hyperlink" Target="http://www.unodc.org/documents/toc/factsheets/TOC12_fs_general_EN_HIRES.pdf" TargetMode="External"/><Relationship Id="rId130" Type="http://schemas.openxmlformats.org/officeDocument/2006/relationships/hyperlink" Target="https://www.justsecurity.org/29203/british-searches-america-tremendous-opportunity/" TargetMode="External"/><Relationship Id="rId135" Type="http://schemas.openxmlformats.org/officeDocument/2006/relationships/hyperlink" Target="https://www.congress.gov/bill/115th-congress/senate-bill/1671/text?q=%7B%22search%22%3A%5B%22International+Communications+Privacy+Act%22%5D%7D&amp;r=1" TargetMode="External"/><Relationship Id="rId151" Type="http://schemas.openxmlformats.org/officeDocument/2006/relationships/hyperlink" Target="https://www.law.cornell.edu/uscode/text/18/2702" TargetMode="External"/><Relationship Id="rId156" Type="http://schemas.openxmlformats.org/officeDocument/2006/relationships/hyperlink" Target="http://www.apple.com/privacy/transparency-reports" TargetMode="External"/><Relationship Id="rId177" Type="http://schemas.openxmlformats.org/officeDocument/2006/relationships/hyperlink" Target="http://eur-lex.europa.eu/legal-content/EN/TXT/?uri=CELEX%3A12008E218" TargetMode="External"/><Relationship Id="rId198" Type="http://schemas.openxmlformats.org/officeDocument/2006/relationships/hyperlink" Target="https://papers.ssrn.com/sol3/papers.cfm?abstract_id=3035563" TargetMode="External"/><Relationship Id="rId172" Type="http://schemas.openxmlformats.org/officeDocument/2006/relationships/hyperlink" Target="https://www.europol.europa.eu/newsroom/news/europol-launches-sirius-platform-to-facilitate-online-investigations" TargetMode="External"/><Relationship Id="rId193" Type="http://schemas.openxmlformats.org/officeDocument/2006/relationships/hyperlink" Target="https://cdt.org/insight/mlat-reform-a-straw-man-proposal/" TargetMode="External"/><Relationship Id="rId202" Type="http://schemas.openxmlformats.org/officeDocument/2006/relationships/hyperlink" Target="https://www.eff.org/deeplinks/2017/09/protect-privacy-cross-border-data-stop-doj-bill" TargetMode="External"/><Relationship Id="rId207" Type="http://schemas.openxmlformats.org/officeDocument/2006/relationships/hyperlink" Target="https://www.justsecurity.org/32213/congress-embrace-dojs-cross-border-data-fix/" TargetMode="External"/><Relationship Id="rId13" Type="http://schemas.openxmlformats.org/officeDocument/2006/relationships/hyperlink" Target="https://transparencyreport.google.com/" TargetMode="External"/><Relationship Id="rId18" Type="http://schemas.openxmlformats.org/officeDocument/2006/relationships/hyperlink" Target="https://data.europa.eu/euodp/data/dataset/S2085_83_2_432_ENG" TargetMode="External"/><Relationship Id="rId39" Type="http://schemas.openxmlformats.org/officeDocument/2006/relationships/hyperlink" Target="https://lirias.kuleuven.be/bitstream/123456789/492870/2/B-CCENTRE-Research-Report-Legal_FINAL.pdf" TargetMode="External"/><Relationship Id="rId109" Type="http://schemas.openxmlformats.org/officeDocument/2006/relationships/hyperlink" Target="https://encrypted.google.com/url?sa=t&amp;rct=j&amp;q=&amp;esrc=s&amp;source=web&amp;cd=1&amp;cad=rja&amp;uact=8&amp;ved=0ahUKEwjg-oDCg4HVAhXLaxQKHdUACygQFggnMAA&amp;url=https%3A%2F%2Fec.europa.eu%2Fhome-affairs%2Fsites%2Fhomeaffairs%2Ffiles%2Fe-library%2Fdocuments%2Fpolicies%2Forganized-crime-and-human-trafficking%2Fcybercrime%2Fdocs%2Ffinal_report_identity_theft_11_december_2012_en.pdf&amp;usg=AFQjCNGfx7lrJL63oAwkMCCP5Es7I674kQ" TargetMode="External"/><Relationship Id="rId34" Type="http://schemas.openxmlformats.org/officeDocument/2006/relationships/hyperlink" Target="https://www.washingtonpost.com/news/volokh-conspiracy/wp-content/uploads/sites/14/2017/02/Opinion.pdf" TargetMode="External"/><Relationship Id="rId50" Type="http://schemas.openxmlformats.org/officeDocument/2006/relationships/hyperlink" Target="data.consilium.europa.eu/doc/document/ST-14435-2017-INIT/EN/pdf" TargetMode="External"/><Relationship Id="rId55" Type="http://schemas.openxmlformats.org/officeDocument/2006/relationships/hyperlink" Target="http://eur-lex.europa.eu/procedure/EN/2016_288" TargetMode="External"/><Relationship Id="rId76" Type="http://schemas.openxmlformats.org/officeDocument/2006/relationships/hyperlink" Target="https://perma.cc/C4RA-NYL8" TargetMode="External"/><Relationship Id="rId97" Type="http://schemas.openxmlformats.org/officeDocument/2006/relationships/hyperlink" Target="https://ec.europa.eu/info/law/better-regulation/initiatives/ares-2017-3896097_en" TargetMode="External"/><Relationship Id="rId104" Type="http://schemas.openxmlformats.org/officeDocument/2006/relationships/hyperlink" Target="https://ec.europa.eu/info/consultations/public-consultation-improving-cross-border-access-electronic-evidence-criminal-matters_en" TargetMode="External"/><Relationship Id="rId120" Type="http://schemas.openxmlformats.org/officeDocument/2006/relationships/hyperlink" Target="http://eur-lex.europa.eu/legal-content/EN/TXT/?uri=celex%3A32009L0136" TargetMode="External"/><Relationship Id="rId125" Type="http://schemas.openxmlformats.org/officeDocument/2006/relationships/hyperlink" Target="http://eur-lex.europa.eu/legal-content/EN/TXT/?uri=CELEX:52017PC0142" TargetMode="External"/><Relationship Id="rId141" Type="http://schemas.openxmlformats.org/officeDocument/2006/relationships/hyperlink" Target="https://ec.europa.eu/home-affairs/sites/homeaffairs/files/what-we-do/policies/european-agenda-security/20171018_eleventh_progress_report_towards_an_effective_and_genuine_security_union_en.pdf" TargetMode="External"/><Relationship Id="rId146" Type="http://schemas.openxmlformats.org/officeDocument/2006/relationships/hyperlink" Target="https://papers.ssrn.com/sol3/papers.cfm?abstract_id=3035563" TargetMode="External"/><Relationship Id="rId167" Type="http://schemas.openxmlformats.org/officeDocument/2006/relationships/hyperlink" Target="https://www.google.be/url?sa=t&amp;rct=j&amp;q=&amp;esrc=s&amp;source=web&amp;cd=2&amp;cad=rja&amp;uact=8&amp;ved=0ahUKEwiu78Hoq4HXAhVKJVAKHRNCCWoQFggtMAE&amp;url=https%3A%2F%2Fec.europa.eu%2Finfo%2Flaw%2Fbetter-regulation%2Finitiative%2F36667%2Fattachment%2F090166e5b3cd4eb4_en&amp;usg=AOvVaw1jgBpo7KGLlsHeSvlR5BqT" TargetMode="External"/><Relationship Id="rId188" Type="http://schemas.openxmlformats.org/officeDocument/2006/relationships/hyperlink" Target="http://docs.house.gov/billsthisweek/20180319/BILLS-115SAHR1625-RCP115-66.pdf" TargetMode="External"/><Relationship Id="rId7" Type="http://schemas.openxmlformats.org/officeDocument/2006/relationships/hyperlink" Target="http://www.consilium.europa.eu/en/press/press-releases/2016/06/09-criminal-activities-cyberspace/" TargetMode="External"/><Relationship Id="rId71" Type="http://schemas.openxmlformats.org/officeDocument/2006/relationships/hyperlink" Target="http://eur-lex.europa.eu/legal-content/EN/TXT/?uri=COM:2017:0142:FIN" TargetMode="External"/><Relationship Id="rId92" Type="http://schemas.openxmlformats.org/officeDocument/2006/relationships/hyperlink" Target="http://eur-lex.europa.eu/legal-content/EN/TXT/?uri=CELEX:52016DC0710" TargetMode="External"/><Relationship Id="rId162" Type="http://schemas.openxmlformats.org/officeDocument/2006/relationships/hyperlink" Target="http://www.un.org/en/sc/ctc/docs/2015/CSP%20Guidance%202015.pdf" TargetMode="External"/><Relationship Id="rId183" Type="http://schemas.openxmlformats.org/officeDocument/2006/relationships/hyperlink" Target="http://eur-lex.europa.eu/legal-content/EN/TXT/?uri=uriserv:OJ.L_.2016.119.01.0089.01.ENG&amp;toc=OJ:L:2016:119:TOC" TargetMode="External"/><Relationship Id="rId213" Type="http://schemas.openxmlformats.org/officeDocument/2006/relationships/hyperlink" Target="https://www.apple.com/privacy/transparency-reports/" TargetMode="External"/><Relationship Id="rId218" Type="http://schemas.openxmlformats.org/officeDocument/2006/relationships/hyperlink" Target="http://eur-lex.europa.eu/legal-content/EN/TXT/?uri=JOIN:2017:450:FIN" TargetMode="External"/><Relationship Id="rId2" Type="http://schemas.openxmlformats.org/officeDocument/2006/relationships/hyperlink" Target="http://www.wolterskluwer.be/files/communities/legalworld/rechtspraak/2016/Corr.%20Mechelen%2027%20oktober%202016%20(Skype).pdf" TargetMode="External"/><Relationship Id="rId29" Type="http://schemas.openxmlformats.org/officeDocument/2006/relationships/hyperlink" Target="http://harvardnsj.org/2015/01/problematic-alternatives-mlat-reform-for-the-digital-age/" TargetMode="External"/><Relationship Id="rId24" Type="http://schemas.openxmlformats.org/officeDocument/2006/relationships/hyperlink" Target="http://eur-lex.europa.eu/legal-content/EN/AUTO/?uri=OJ:C:2000:197:TOC" TargetMode="External"/><Relationship Id="rId40" Type="http://schemas.openxmlformats.org/officeDocument/2006/relationships/hyperlink" Target="https://perma.cc/KJS2-SQ9C" TargetMode="External"/><Relationship Id="rId45" Type="http://schemas.openxmlformats.org/officeDocument/2006/relationships/hyperlink" Target="http://www.wolterskluwer.be/files/communities/legalworld/rechtspraak/2016/Corr.%20Mechelen%2027%20oktober%202016%20(Skype).pdf" TargetMode="External"/><Relationship Id="rId66" Type="http://schemas.openxmlformats.org/officeDocument/2006/relationships/hyperlink" Target="https://ec.europa.eu/digital-single-market/en/proposal-eprivacy-regulation" TargetMode="External"/><Relationship Id="rId87" Type="http://schemas.openxmlformats.org/officeDocument/2006/relationships/hyperlink" Target="http://www.unodc.org/documents/toc/factsheets/TOC12_fs_general_EN_HIRES.pdf" TargetMode="External"/><Relationship Id="rId110" Type="http://schemas.openxmlformats.org/officeDocument/2006/relationships/hyperlink" Target="http://eur-lex.europa.eu/legal-content/EN/TXT/?uri=celex%3A32014L0041" TargetMode="External"/><Relationship Id="rId115" Type="http://schemas.openxmlformats.org/officeDocument/2006/relationships/hyperlink" Target="http://eur-lex.europa.eu/legal-content/EN/TXT/?uri=CELEX%3A32016R0794" TargetMode="External"/><Relationship Id="rId131" Type="http://schemas.openxmlformats.org/officeDocument/2006/relationships/hyperlink" Target="https://papers.ssrn.com/sol3/papers.cfm?abstract_id=3035563" TargetMode="External"/><Relationship Id="rId136" Type="http://schemas.openxmlformats.org/officeDocument/2006/relationships/hyperlink" Target="http://eur-lex.europa.eu/legal-content/EN/HIS/?uri=COM:2015:185:FIN" TargetMode="External"/><Relationship Id="rId157" Type="http://schemas.openxmlformats.org/officeDocument/2006/relationships/hyperlink" Target="https://govtrequests.facebook.com/about" TargetMode="External"/><Relationship Id="rId178" Type="http://schemas.openxmlformats.org/officeDocument/2006/relationships/hyperlink" Target="https://perma.cc/C4RA-NYL8" TargetMode="External"/><Relationship Id="rId61" Type="http://schemas.openxmlformats.org/officeDocument/2006/relationships/hyperlink" Target="http://eur-lex.europa.eu/legal-content/LVN/AUTO/?uri=celex:52013JC0001" TargetMode="External"/><Relationship Id="rId82" Type="http://schemas.openxmlformats.org/officeDocument/2006/relationships/hyperlink" Target="http://ec.europa.eu/eurostat/web/microdata/structure-of-earnings-survey" TargetMode="External"/><Relationship Id="rId152" Type="http://schemas.openxmlformats.org/officeDocument/2006/relationships/hyperlink" Target="https://www.bloomberg.com/news/articles/2016-03-01/microsoft-got-14-data-requests-on-paris-terrorists-smith-says" TargetMode="External"/><Relationship Id="rId173" Type="http://schemas.openxmlformats.org/officeDocument/2006/relationships/hyperlink" Target="http://europa.eu/rapid/press-release_IP-15-6243_en.htm" TargetMode="External"/><Relationship Id="rId194" Type="http://schemas.openxmlformats.org/officeDocument/2006/relationships/hyperlink" Target="http://docs.house.gov/billsthisweek/20180319/BILLS-115SAHR1625-RCP115-66.pdf" TargetMode="External"/><Relationship Id="rId199" Type="http://schemas.openxmlformats.org/officeDocument/2006/relationships/hyperlink" Target="https://www.documentcloud.org/documents/2994379-2016-7-15-US-UK-Biden-With-Enclosures.html" TargetMode="External"/><Relationship Id="rId203" Type="http://schemas.openxmlformats.org/officeDocument/2006/relationships/hyperlink" Target="https://judiciary.house.gov/hearing/data-stored-abroad-ensuring-lawful-access-privacy-protection-digital-era/" TargetMode="External"/><Relationship Id="rId208" Type="http://schemas.openxmlformats.org/officeDocument/2006/relationships/hyperlink" Target="http://ec.europa.eu/eurostat/statistics-explained/index.php/Glossary:Country_codes" TargetMode="External"/><Relationship Id="rId19" Type="http://schemas.openxmlformats.org/officeDocument/2006/relationships/hyperlink" Target="https://ec.europa.eu/home-affairs/news/europeans%E2%80%99-attitudes-towards-cyber-security_en" TargetMode="External"/><Relationship Id="rId14" Type="http://schemas.openxmlformats.org/officeDocument/2006/relationships/hyperlink" Target="https://govtrequests.facebook.com/about" TargetMode="External"/><Relationship Id="rId30" Type="http://schemas.openxmlformats.org/officeDocument/2006/relationships/hyperlink" Target="https://globalnetworkinitiative.org/sites/default/files/GNI%20MLAT%20Report.pdf" TargetMode="External"/><Relationship Id="rId35" Type="http://schemas.openxmlformats.org/officeDocument/2006/relationships/hyperlink" Target="http://law.justia.com/cases/federal/appellate-courts/ca2/14-2985/14-2985-2016-07-14.html" TargetMode="External"/><Relationship Id="rId56" Type="http://schemas.openxmlformats.org/officeDocument/2006/relationships/hyperlink" Target="http://eur-lex.europa.eu/legal-content/en/ALL/?uri=CELEX%3A32002L0021" TargetMode="External"/><Relationship Id="rId77" Type="http://schemas.openxmlformats.org/officeDocument/2006/relationships/hyperlink" Target="http://eur-lex.europa.eu/legal-content/EN/TXT/?uri=uriserv:OJ.L_.2016.119.01.0089.01.ENG&amp;toc=OJ:L:2016:119:TOC" TargetMode="External"/><Relationship Id="rId100" Type="http://schemas.openxmlformats.org/officeDocument/2006/relationships/hyperlink" Target="https://ec.europa.eu/info/law/better-regulation/initiatives/ares-2017-3896097_en" TargetMode="External"/><Relationship Id="rId105" Type="http://schemas.openxmlformats.org/officeDocument/2006/relationships/hyperlink" Target="http://ec.europa.eu/eurostat/web/microdata/structure-of-earnings-survey" TargetMode="External"/><Relationship Id="rId126" Type="http://schemas.openxmlformats.org/officeDocument/2006/relationships/hyperlink" Target="http://www.coe.int/en/web/conventions/full-list/-/conventions/treaty/185" TargetMode="External"/><Relationship Id="rId147" Type="http://schemas.openxmlformats.org/officeDocument/2006/relationships/hyperlink" Target="https://www.gpo.gov/fdsys/pkg/STATUTE-100/pdf/STATUTE-100-Pg1848.pdf" TargetMode="External"/><Relationship Id="rId168" Type="http://schemas.openxmlformats.org/officeDocument/2006/relationships/hyperlink" Target="https://ec.europa.eu/europeaid/about-funding_en" TargetMode="External"/><Relationship Id="rId8" Type="http://schemas.openxmlformats.org/officeDocument/2006/relationships/hyperlink" Target="http://www.consilium.europa.eu/en/press/press-releases/2016/06/09-criminal-activities-cyberspace/" TargetMode="External"/><Relationship Id="rId51" Type="http://schemas.openxmlformats.org/officeDocument/2006/relationships/hyperlink" Target="http://www.coe.int/en/web/conventions/full-list/-/conventions/treaty/185" TargetMode="External"/><Relationship Id="rId72" Type="http://schemas.openxmlformats.org/officeDocument/2006/relationships/hyperlink" Target="http://eur-lex.europa.eu/legal-content/EN/TXT/?uri=celex:32012L0013" TargetMode="External"/><Relationship Id="rId93" Type="http://schemas.openxmlformats.org/officeDocument/2006/relationships/hyperlink" Target="http://data.consilium.europa.eu/doc/document/ST-15072-2016-REV-1/en/pdf" TargetMode="External"/><Relationship Id="rId98" Type="http://schemas.openxmlformats.org/officeDocument/2006/relationships/hyperlink" Target="http://ec.europa.eu/research/infocentre/article_en.cfm?id=/research/headlines/news/article_17_03_16_en.html?infocentre&amp;item=Infocentre&amp;artid=43496" TargetMode="External"/><Relationship Id="rId121" Type="http://schemas.openxmlformats.org/officeDocument/2006/relationships/hyperlink" Target="https://ec.europa.eu/digital-single-market/en/proposal-eprivacy-regulation" TargetMode="External"/><Relationship Id="rId142" Type="http://schemas.openxmlformats.org/officeDocument/2006/relationships/hyperlink" Target="https://papers.ssrn.com/sol3/papers.cfm?abstract_id=3035563" TargetMode="External"/><Relationship Id="rId163" Type="http://schemas.openxmlformats.org/officeDocument/2006/relationships/hyperlink" Target="http://eur-lex.europa.eu/legal-content/EN/TXT/?uri=celex%3A32014L0041" TargetMode="External"/><Relationship Id="rId184" Type="http://schemas.openxmlformats.org/officeDocument/2006/relationships/hyperlink" Target="https://www.washingtonpost.com/news/volokh-conspiracy/wp/2017/02/03/google-must-turn-over-foreign-stored-e-mails-pursuant-to-a-warrant-court-rules/?utm_term=.d04f1490e9d7" TargetMode="External"/><Relationship Id="rId189" Type="http://schemas.openxmlformats.org/officeDocument/2006/relationships/hyperlink" Target="https://www.documentcloud.org/documents/2994379-2016-7-15-US-UK-Biden-With-Enclosures.html" TargetMode="External"/><Relationship Id="rId219" Type="http://schemas.openxmlformats.org/officeDocument/2006/relationships/hyperlink" Target="https://www.icann.org/resources/pages/contractual-compliance-statement-2017-11-02-en" TargetMode="External"/><Relationship Id="rId3" Type="http://schemas.openxmlformats.org/officeDocument/2006/relationships/hyperlink" Target="http://law.justia.com/cases/federal/appellate-courts/ca2/14-2985/14-2985-2016-07-14.html" TargetMode="External"/><Relationship Id="rId214" Type="http://schemas.openxmlformats.org/officeDocument/2006/relationships/hyperlink" Target="https://www.icann.org/resources/pages/pp-services-2017-08-31-en" TargetMode="External"/><Relationship Id="rId25" Type="http://schemas.openxmlformats.org/officeDocument/2006/relationships/hyperlink" Target="https://www.coe.int/en/web/conventions/full-list/-/conventions/treaty/030" TargetMode="External"/><Relationship Id="rId46" Type="http://schemas.openxmlformats.org/officeDocument/2006/relationships/hyperlink" Target="https://perma.cc/KJS2-SQ9C" TargetMode="External"/><Relationship Id="rId67" Type="http://schemas.openxmlformats.org/officeDocument/2006/relationships/hyperlink" Target="http://eur-lex.europa.eu/legal-content/en/TXT/?uri=CELEX%3A32016R0679" TargetMode="External"/><Relationship Id="rId116" Type="http://schemas.openxmlformats.org/officeDocument/2006/relationships/hyperlink" Target="http://eur-lex.europa.eu/legal-content/EN/ALL/?uri=CELEX%3A32002F0465" TargetMode="External"/><Relationship Id="rId137" Type="http://schemas.openxmlformats.org/officeDocument/2006/relationships/hyperlink" Target="http://eur-lex.europa.eu/legal-content/LVN/AUTO/?uri=celex:52013JC0001" TargetMode="External"/><Relationship Id="rId158" Type="http://schemas.openxmlformats.org/officeDocument/2006/relationships/hyperlink" Target="https://transparencyreport.google.com/" TargetMode="External"/><Relationship Id="rId20" Type="http://schemas.openxmlformats.org/officeDocument/2006/relationships/hyperlink" Target="http://eur-lex.europa.eu/legal-content/EN/TXT/?uri=celex:32006L0024" TargetMode="External"/><Relationship Id="rId41" Type="http://schemas.openxmlformats.org/officeDocument/2006/relationships/hyperlink" Target="https://www.techdirt.com/articles/20160301/11324333773/brazil-arrestsfacebook-%20exec-because-company-refuses-to-%20reveal-info-whatsapp-users.shtml" TargetMode="External"/><Relationship Id="rId62" Type="http://schemas.openxmlformats.org/officeDocument/2006/relationships/hyperlink" Target="https://rm.coe.int/-draft-terms-of-reference-for-the-preparation-of-a-draft-2nd-additiona/168071b794" TargetMode="External"/><Relationship Id="rId83" Type="http://schemas.openxmlformats.org/officeDocument/2006/relationships/hyperlink" Target="http://ec.europa.eu/eurostat/documents/3859598/5902521/KS-RA-07-015-EN.PDF/dd5443f5-b886-40e4-920d-9df03590ff91?version=1.0" TargetMode="External"/><Relationship Id="rId88" Type="http://schemas.openxmlformats.org/officeDocument/2006/relationships/hyperlink" Target="http://www.eurojust.europa.eu/press/PressReleases/Pages/2016/2016-11-25.aspx" TargetMode="External"/><Relationship Id="rId111" Type="http://schemas.openxmlformats.org/officeDocument/2006/relationships/hyperlink" Target="http://eur-lex.europa.eu/legal-content/EN/AUTO/?uri=OJ:C:2000:197:TOC" TargetMode="External"/><Relationship Id="rId132" Type="http://schemas.openxmlformats.org/officeDocument/2006/relationships/hyperlink" Target="https://www.gpo.gov/fdsys/pkg/STATUTE-100/pdf/STATUTE-100-Pg1848.pdf" TargetMode="External"/><Relationship Id="rId153" Type="http://schemas.openxmlformats.org/officeDocument/2006/relationships/hyperlink" Target="http://eur-lex.europa.eu/legal-content/en/TXT/?uri=CELEX%3A32016R0679" TargetMode="External"/><Relationship Id="rId174" Type="http://schemas.openxmlformats.org/officeDocument/2006/relationships/hyperlink" Target="http://europa.eu/rapid/press-release_IP-17-544_en.htm" TargetMode="External"/><Relationship Id="rId179" Type="http://schemas.openxmlformats.org/officeDocument/2006/relationships/hyperlink" Target="https://www.congress.gov/115/bills/s1671/BILLS-115s1671is.pdf" TargetMode="External"/><Relationship Id="rId195" Type="http://schemas.openxmlformats.org/officeDocument/2006/relationships/hyperlink" Target="https://blogs.wsj.com/riskandcompliance/2016/06/06/data-localization-takes-off-as-regulation-uncertainty-continues/" TargetMode="External"/><Relationship Id="rId209" Type="http://schemas.openxmlformats.org/officeDocument/2006/relationships/hyperlink" Target="https://transparencyreport.google.com/" TargetMode="External"/><Relationship Id="rId190" Type="http://schemas.openxmlformats.org/officeDocument/2006/relationships/hyperlink" Target="https://judiciary.house.gov/wp-content/uploads/2017/06/Downing-Testimony.pdf" TargetMode="External"/><Relationship Id="rId204" Type="http://schemas.openxmlformats.org/officeDocument/2006/relationships/hyperlink" Target="https://www.judiciary.senate.gov/imo/media/doc/05-24-17%20Daskal%20Testimony.pdf" TargetMode="External"/><Relationship Id="rId220" Type="http://schemas.openxmlformats.org/officeDocument/2006/relationships/hyperlink" Target="http://www.euroispa.org/about/who-we-are/" TargetMode="External"/><Relationship Id="rId15" Type="http://schemas.openxmlformats.org/officeDocument/2006/relationships/hyperlink" Target="https://www.microsoft.com/en-us/about/corporate-responsibility/reports-hub" TargetMode="External"/><Relationship Id="rId36" Type="http://schemas.openxmlformats.org/officeDocument/2006/relationships/hyperlink" Target="https://www.internetjurisdiction.net/uploads/pdfs/Papers/Data-Jurisdiction-Program-Paper.pdf" TargetMode="External"/><Relationship Id="rId57" Type="http://schemas.openxmlformats.org/officeDocument/2006/relationships/hyperlink" Target="https://ec.europa.eu/europeaid/about-funding_en" TargetMode="External"/><Relationship Id="rId106" Type="http://schemas.openxmlformats.org/officeDocument/2006/relationships/hyperlink" Target="http://ec.europa.eu/eurostat/documents/3859598/5902521/KS-RA-07-015-EN.PDF/dd5443f5-b886-40e4-920d-9df03590ff91?version=1.0" TargetMode="External"/><Relationship Id="rId127" Type="http://schemas.openxmlformats.org/officeDocument/2006/relationships/hyperlink" Target="http://eur-lex.europa.eu/legal-content/EN/TXT/?uri=CELEX%3A32009D0820" TargetMode="External"/><Relationship Id="rId10" Type="http://schemas.openxmlformats.org/officeDocument/2006/relationships/hyperlink" Target="https://ec.europa.eu/commission/sites/beta-political/files/letter-of-intent-2017_en.pdf" TargetMode="External"/><Relationship Id="rId31" Type="http://schemas.openxmlformats.org/officeDocument/2006/relationships/hyperlink" Target="https://perma.cc/C4RA-NYL8" TargetMode="External"/><Relationship Id="rId52" Type="http://schemas.openxmlformats.org/officeDocument/2006/relationships/hyperlink" Target="https://ec.europa.eu/digital-single-market/en/proposal-eprivacy-regulation" TargetMode="External"/><Relationship Id="rId73" Type="http://schemas.openxmlformats.org/officeDocument/2006/relationships/hyperlink" Target="http://eur-lex.europa.eu/legal-content/EN/TXT/?uri=uriserv:OJ.L_.2016.119.01.0089.01.ENG&amp;toc=OJ:L:2016:119:TOC" TargetMode="External"/><Relationship Id="rId78" Type="http://schemas.openxmlformats.org/officeDocument/2006/relationships/hyperlink" Target="http://docs.house.gov/billsthisweek/20180319/BILLS-115SAHR1625-RCP115-66.pdf" TargetMode="External"/><Relationship Id="rId94" Type="http://schemas.openxmlformats.org/officeDocument/2006/relationships/hyperlink" Target="https://ec.europa.eu/home-affairs/sites/homeaffairs/files/docs/pages/20170522_non-paper_electronic_evidence_en.pdf" TargetMode="External"/><Relationship Id="rId99" Type="http://schemas.openxmlformats.org/officeDocument/2006/relationships/hyperlink" Target="https://ec.europa.eu/home-affairs/what-we-do/policies/organized-crime-and-human-trafficking/e-evidence_en" TargetMode="External"/><Relationship Id="rId101" Type="http://schemas.openxmlformats.org/officeDocument/2006/relationships/hyperlink" Target="https://ec.europa.eu/info/law/better-regulation/initiatives/ares-2017-3896097_en" TargetMode="External"/><Relationship Id="rId122" Type="http://schemas.openxmlformats.org/officeDocument/2006/relationships/hyperlink" Target="http://europa.eu/rapid/press-release_IP-17-3190_en.htm" TargetMode="External"/><Relationship Id="rId143" Type="http://schemas.openxmlformats.org/officeDocument/2006/relationships/hyperlink" Target="https://rm.coe.int/16802e726c" TargetMode="External"/><Relationship Id="rId148" Type="http://schemas.openxmlformats.org/officeDocument/2006/relationships/hyperlink" Target="https://www.law.cornell.edu/uscode/text/18/2702" TargetMode="External"/><Relationship Id="rId164" Type="http://schemas.openxmlformats.org/officeDocument/2006/relationships/hyperlink" Target="http://eur-lex.europa.eu/legal-content/EN/AUTO/?uri=OJ:C:2000:197:TOC" TargetMode="External"/><Relationship Id="rId169" Type="http://schemas.openxmlformats.org/officeDocument/2006/relationships/hyperlink" Target="https://rm.coe.int/16806a495e" TargetMode="External"/><Relationship Id="rId185" Type="http://schemas.openxmlformats.org/officeDocument/2006/relationships/hyperlink" Target="https://www.congress.gov/bill/115th-congress/senate-bill/1671/text?q=%7B%22search%22%3A%5B%22International+Communications+Privacy+Act%22%5D%7D&amp;r=1" TargetMode="External"/><Relationship Id="rId4" Type="http://schemas.openxmlformats.org/officeDocument/2006/relationships/hyperlink" Target="http://www.scotusblog.com/case-files/cases/united-states-v-microsoft-corp/" TargetMode="External"/><Relationship Id="rId9" Type="http://schemas.openxmlformats.org/officeDocument/2006/relationships/hyperlink" Target="http://data.consilium.europa.eu/doc/document/ST-12711-2017-INIT/en/pdf" TargetMode="External"/><Relationship Id="rId180" Type="http://schemas.openxmlformats.org/officeDocument/2006/relationships/hyperlink" Target="http://eur-lex.europa.eu/legal-content/en/TXT/?uri=CELEX%3A32016R0679" TargetMode="External"/><Relationship Id="rId210" Type="http://schemas.openxmlformats.org/officeDocument/2006/relationships/hyperlink" Target="https://govtrequests.facebook.com/" TargetMode="External"/><Relationship Id="rId215" Type="http://schemas.openxmlformats.org/officeDocument/2006/relationships/hyperlink" Target="https://www.whois365.com/en/listtld/europe" TargetMode="External"/><Relationship Id="rId26" Type="http://schemas.openxmlformats.org/officeDocument/2006/relationships/hyperlink" Target="https://rm.coe.int/16802e726c" TargetMode="External"/><Relationship Id="rId47" Type="http://schemas.openxmlformats.org/officeDocument/2006/relationships/hyperlink" Target="https://www.europol.europa.eu/activities-services/main-reports/internet-organised-crime-threat-assessment-iocta-2017" TargetMode="External"/><Relationship Id="rId68" Type="http://schemas.openxmlformats.org/officeDocument/2006/relationships/hyperlink" Target="http://eur-lex.europa.eu/legal-content/EN/TXT/?uri=celex:32012L0013" TargetMode="External"/><Relationship Id="rId89" Type="http://schemas.openxmlformats.org/officeDocument/2006/relationships/hyperlink" Target="http://europa.eu/rapid/press-release_IP-17-544_en.htm" TargetMode="External"/><Relationship Id="rId112" Type="http://schemas.openxmlformats.org/officeDocument/2006/relationships/hyperlink" Target="http://eur-lex.europa.eu/legal-content/EN/TXT/?uri=celex:32002D0187" TargetMode="External"/><Relationship Id="rId133" Type="http://schemas.openxmlformats.org/officeDocument/2006/relationships/hyperlink" Target="https://www.documentcloud.org/documents/2994379-2016-7-15-US-UK-Biden-With-Enclosures.html" TargetMode="External"/><Relationship Id="rId154" Type="http://schemas.openxmlformats.org/officeDocument/2006/relationships/hyperlink" Target="http://eur-lex.europa.eu/legal-content/EN/TXT/?uri=uriserv:OJ.L_.2016.119.01.0089.01.ENG" TargetMode="External"/><Relationship Id="rId175" Type="http://schemas.openxmlformats.org/officeDocument/2006/relationships/hyperlink" Target="http://eur-lex.europa.eu/legal-content/LVN/AUTO/?uri=celex:52013JC0001" TargetMode="External"/><Relationship Id="rId196" Type="http://schemas.openxmlformats.org/officeDocument/2006/relationships/hyperlink" Target="https://www.wsj.com/articles/u-k-announces-overhaul-to-laws-governing-surveillance-powers-1446649497" TargetMode="External"/><Relationship Id="rId200" Type="http://schemas.openxmlformats.org/officeDocument/2006/relationships/hyperlink" Target="http://docs.house.gov/billsthisweek/20180319/BILLS-115SAHR1625-RCP115-66.pdf" TargetMode="External"/><Relationship Id="rId16" Type="http://schemas.openxmlformats.org/officeDocument/2006/relationships/hyperlink" Target="https://transparency.twitter.com/en.html" TargetMode="External"/><Relationship Id="rId221" Type="http://schemas.openxmlformats.org/officeDocument/2006/relationships/hyperlink" Target="https://ec.europa.eu/info/law/better-regulation/initiatives/ares-2017-3896097_en" TargetMode="External"/><Relationship Id="rId37" Type="http://schemas.openxmlformats.org/officeDocument/2006/relationships/hyperlink" Target="http://journals.sas.ac.uk/deeslr/article/viewFile/2310/2261" TargetMode="External"/><Relationship Id="rId58" Type="http://schemas.openxmlformats.org/officeDocument/2006/relationships/hyperlink" Target="https://www.europol.europa.eu/newsroom/news/europol-launches-sirius-platform-to-facilitate-online-investigations" TargetMode="External"/><Relationship Id="rId79" Type="http://schemas.openxmlformats.org/officeDocument/2006/relationships/hyperlink" Target="http://eur-lex.europa.eu/legal-content/en/TXT/?uri=CELEX%3A32016R0679" TargetMode="External"/><Relationship Id="rId102" Type="http://schemas.openxmlformats.org/officeDocument/2006/relationships/hyperlink" Target="https://ec.europa.eu/home-affairs/what-we-do/policies/organized-crime-and-human-trafficking/e-evidence_en" TargetMode="External"/><Relationship Id="rId123" Type="http://schemas.openxmlformats.org/officeDocument/2006/relationships/hyperlink" Target="http://eur-lex.europa.eu/legal-content/EN/ALL/?uri=comnat:COM_2016_0590_FIN" TargetMode="External"/><Relationship Id="rId144" Type="http://schemas.openxmlformats.org/officeDocument/2006/relationships/hyperlink" Target="https://perma.cc/KJS2-SQ9C"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ntonio\Downloads\data-requests%20(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E-evidence\2.%20Problem%20definition\Size%20of%20the%20pb\Data%20transparency%20reports.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E-evidence\2.%20Problem%20definition\Size%20of%20the%20pb\Data%20transparency%20report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Antonio\Downloads\data-requests%20(2).xlsx" TargetMode="External"/><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Homes\102\SABAKJA\e-evidence\Results%20survey%20to%20LE_Nov-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35430901715802E-2"/>
          <c:y val="0.18961101016219126"/>
          <c:w val="0.88512214485585994"/>
          <c:h val="0.68385378860013268"/>
        </c:manualLayout>
      </c:layout>
      <c:barChart>
        <c:barDir val="col"/>
        <c:grouping val="clustered"/>
        <c:varyColors val="0"/>
        <c:ser>
          <c:idx val="2"/>
          <c:order val="0"/>
          <c:tx>
            <c:strRef>
              <c:f>'[data-requests (2).xlsx]Total'!$G$42</c:f>
              <c:strCache>
                <c:ptCount val="1"/>
                <c:pt idx="0">
                  <c:v>Submitted requests</c:v>
                </c:pt>
              </c:strCache>
            </c:strRef>
          </c:tx>
          <c:spPr>
            <a:solidFill>
              <a:schemeClr val="accent2"/>
            </a:solidFill>
          </c:spPr>
          <c:invertIfNegative val="0"/>
          <c:dLbls>
            <c:numFmt formatCode="#,##0.0" sourceLinked="0"/>
            <c:dLblPos val="outEnd"/>
            <c:showLegendKey val="0"/>
            <c:showVal val="1"/>
            <c:showCatName val="0"/>
            <c:showSerName val="0"/>
            <c:showPercent val="0"/>
            <c:showBubbleSize val="0"/>
            <c:showLeaderLines val="0"/>
          </c:dLbls>
          <c:cat>
            <c:strRef>
              <c:f>'[data-requests (2).xlsx]Total'!$F$43:$F$50</c:f>
              <c:strCache>
                <c:ptCount val="8"/>
                <c:pt idx="0">
                  <c:v>1H 2013</c:v>
                </c:pt>
                <c:pt idx="1">
                  <c:v>2H 2013</c:v>
                </c:pt>
                <c:pt idx="2">
                  <c:v>1H 2014</c:v>
                </c:pt>
                <c:pt idx="3">
                  <c:v>2H 2014</c:v>
                </c:pt>
                <c:pt idx="4">
                  <c:v>1H 2015</c:v>
                </c:pt>
                <c:pt idx="5">
                  <c:v>2H 2015</c:v>
                </c:pt>
                <c:pt idx="6">
                  <c:v>1H 2016</c:v>
                </c:pt>
                <c:pt idx="7">
                  <c:v>2H 2016</c:v>
                </c:pt>
              </c:strCache>
            </c:strRef>
          </c:cat>
          <c:val>
            <c:numRef>
              <c:f>'[data-requests (2).xlsx]Total'!$G$43:$G$50</c:f>
              <c:numCache>
                <c:formatCode>General</c:formatCode>
                <c:ptCount val="8"/>
                <c:pt idx="0">
                  <c:v>35295</c:v>
                </c:pt>
                <c:pt idx="1">
                  <c:v>36176</c:v>
                </c:pt>
                <c:pt idx="2">
                  <c:v>40194</c:v>
                </c:pt>
                <c:pt idx="3">
                  <c:v>39120</c:v>
                </c:pt>
                <c:pt idx="4">
                  <c:v>46762</c:v>
                </c:pt>
                <c:pt idx="5">
                  <c:v>54214</c:v>
                </c:pt>
                <c:pt idx="6">
                  <c:v>59858</c:v>
                </c:pt>
                <c:pt idx="7">
                  <c:v>60174</c:v>
                </c:pt>
              </c:numCache>
            </c:numRef>
          </c:val>
        </c:ser>
        <c:dLbls>
          <c:showLegendKey val="0"/>
          <c:showVal val="0"/>
          <c:showCatName val="0"/>
          <c:showSerName val="0"/>
          <c:showPercent val="0"/>
          <c:showBubbleSize val="0"/>
        </c:dLbls>
        <c:gapWidth val="150"/>
        <c:axId val="165825536"/>
        <c:axId val="185083392"/>
      </c:barChart>
      <c:catAx>
        <c:axId val="165825536"/>
        <c:scaling>
          <c:orientation val="minMax"/>
        </c:scaling>
        <c:delete val="0"/>
        <c:axPos val="b"/>
        <c:majorTickMark val="none"/>
        <c:minorTickMark val="none"/>
        <c:tickLblPos val="nextTo"/>
        <c:crossAx val="185083392"/>
        <c:crosses val="autoZero"/>
        <c:auto val="1"/>
        <c:lblAlgn val="ctr"/>
        <c:lblOffset val="100"/>
        <c:noMultiLvlLbl val="0"/>
      </c:catAx>
      <c:valAx>
        <c:axId val="185083392"/>
        <c:scaling>
          <c:orientation val="minMax"/>
          <c:max val="61000"/>
          <c:min val="0"/>
        </c:scaling>
        <c:delete val="0"/>
        <c:axPos val="l"/>
        <c:title>
          <c:tx>
            <c:rich>
              <a:bodyPr rot="0" vert="horz"/>
              <a:lstStyle/>
              <a:p>
                <a:pPr>
                  <a:defRPr/>
                </a:pPr>
                <a:r>
                  <a:rPr lang="en-US" b="0"/>
                  <a:t>Thousand requests</a:t>
                </a:r>
              </a:p>
            </c:rich>
          </c:tx>
          <c:layout>
            <c:manualLayout>
              <c:xMode val="edge"/>
              <c:yMode val="edge"/>
              <c:x val="1.9834710743801654E-2"/>
              <c:y val="4.1181438858604209E-2"/>
            </c:manualLayout>
          </c:layout>
          <c:overlay val="0"/>
        </c:title>
        <c:numFmt formatCode="General" sourceLinked="1"/>
        <c:majorTickMark val="none"/>
        <c:minorTickMark val="none"/>
        <c:tickLblPos val="nextTo"/>
        <c:crossAx val="165825536"/>
        <c:crosses val="autoZero"/>
        <c:crossBetween val="between"/>
        <c:majorUnit val="20000"/>
        <c:dispUnits>
          <c:builtInUnit val="thousands"/>
        </c:dispUnits>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6164657077051"/>
          <c:y val="0.15577005359521923"/>
          <c:w val="0.82245189243849726"/>
          <c:h val="0.66521306948321557"/>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Content!$HQ$84:$HQ$90</c:f>
              <c:strCache>
                <c:ptCount val="7"/>
                <c:pt idx="0">
                  <c:v>Hours</c:v>
                </c:pt>
                <c:pt idx="1">
                  <c:v>A day</c:v>
                </c:pt>
                <c:pt idx="2">
                  <c:v>2 days</c:v>
                </c:pt>
                <c:pt idx="3">
                  <c:v>3-5 days</c:v>
                </c:pt>
                <c:pt idx="4">
                  <c:v>6-10 days</c:v>
                </c:pt>
                <c:pt idx="5">
                  <c:v>11-30 days</c:v>
                </c:pt>
                <c:pt idx="6">
                  <c:v>More</c:v>
                </c:pt>
              </c:strCache>
            </c:strRef>
          </c:cat>
          <c:val>
            <c:numRef>
              <c:f>Content!$HR$84:$HR$90</c:f>
              <c:numCache>
                <c:formatCode>General</c:formatCode>
                <c:ptCount val="7"/>
                <c:pt idx="0">
                  <c:v>89</c:v>
                </c:pt>
                <c:pt idx="1">
                  <c:v>71</c:v>
                </c:pt>
                <c:pt idx="2">
                  <c:v>8</c:v>
                </c:pt>
                <c:pt idx="3">
                  <c:v>42</c:v>
                </c:pt>
                <c:pt idx="4">
                  <c:v>12</c:v>
                </c:pt>
                <c:pt idx="5">
                  <c:v>0</c:v>
                </c:pt>
                <c:pt idx="6">
                  <c:v>1</c:v>
                </c:pt>
              </c:numCache>
            </c:numRef>
          </c:val>
        </c:ser>
        <c:dLbls>
          <c:showLegendKey val="0"/>
          <c:showVal val="0"/>
          <c:showCatName val="0"/>
          <c:showSerName val="0"/>
          <c:showPercent val="0"/>
          <c:showBubbleSize val="0"/>
        </c:dLbls>
        <c:gapWidth val="75"/>
        <c:axId val="822332032"/>
        <c:axId val="822333824"/>
      </c:barChart>
      <c:catAx>
        <c:axId val="822332032"/>
        <c:scaling>
          <c:orientation val="minMax"/>
        </c:scaling>
        <c:delete val="0"/>
        <c:axPos val="b"/>
        <c:numFmt formatCode="General" sourceLinked="1"/>
        <c:majorTickMark val="none"/>
        <c:minorTickMark val="none"/>
        <c:tickLblPos val="nextTo"/>
        <c:crossAx val="822333824"/>
        <c:crosses val="autoZero"/>
        <c:auto val="1"/>
        <c:lblAlgn val="ctr"/>
        <c:lblOffset val="100"/>
        <c:noMultiLvlLbl val="0"/>
      </c:catAx>
      <c:valAx>
        <c:axId val="822333824"/>
        <c:scaling>
          <c:orientation val="minMax"/>
          <c:max val="150"/>
          <c:min val="0"/>
        </c:scaling>
        <c:delete val="0"/>
        <c:axPos val="l"/>
        <c:title>
          <c:tx>
            <c:rich>
              <a:bodyPr rot="0" vert="horz"/>
              <a:lstStyle/>
              <a:p>
                <a:pPr>
                  <a:defRPr/>
                </a:pPr>
                <a:r>
                  <a:rPr lang="en-GB" b="0"/>
                  <a:t>Answers</a:t>
                </a:r>
              </a:p>
            </c:rich>
          </c:tx>
          <c:layout>
            <c:manualLayout>
              <c:xMode val="edge"/>
              <c:yMode val="edge"/>
              <c:x val="6.1803910344837197E-2"/>
              <c:y val="8.5490448338435758E-4"/>
            </c:manualLayout>
          </c:layout>
          <c:overlay val="0"/>
        </c:title>
        <c:numFmt formatCode="General" sourceLinked="1"/>
        <c:majorTickMark val="none"/>
        <c:minorTickMark val="none"/>
        <c:tickLblPos val="nextTo"/>
        <c:crossAx val="822332032"/>
        <c:crosses val="autoZero"/>
        <c:crossBetween val="between"/>
        <c:majorUnit val="5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948867973707"/>
          <c:y val="0.13288232720909887"/>
          <c:w val="0.82245189243849726"/>
          <c:h val="0.54734601924759407"/>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Content!$BR$84:$BR$92</c:f>
              <c:strCache>
                <c:ptCount val="9"/>
                <c:pt idx="0">
                  <c:v>Hours</c:v>
                </c:pt>
                <c:pt idx="1">
                  <c:v>A day</c:v>
                </c:pt>
                <c:pt idx="2">
                  <c:v>2 days</c:v>
                </c:pt>
                <c:pt idx="3">
                  <c:v>3-5 days</c:v>
                </c:pt>
                <c:pt idx="4">
                  <c:v>6-10 days</c:v>
                </c:pt>
                <c:pt idx="5">
                  <c:v>11-30 days</c:v>
                </c:pt>
                <c:pt idx="6">
                  <c:v>1-6 months</c:v>
                </c:pt>
                <c:pt idx="7">
                  <c:v>More than 6 months</c:v>
                </c:pt>
                <c:pt idx="8">
                  <c:v>More than a year</c:v>
                </c:pt>
              </c:strCache>
            </c:strRef>
          </c:cat>
          <c:val>
            <c:numRef>
              <c:f>Content!$BS$84:$BS$92</c:f>
              <c:numCache>
                <c:formatCode>General</c:formatCode>
                <c:ptCount val="9"/>
                <c:pt idx="0">
                  <c:v>4</c:v>
                </c:pt>
                <c:pt idx="1">
                  <c:v>1</c:v>
                </c:pt>
                <c:pt idx="2">
                  <c:v>1</c:v>
                </c:pt>
                <c:pt idx="3">
                  <c:v>4</c:v>
                </c:pt>
                <c:pt idx="4">
                  <c:v>9</c:v>
                </c:pt>
                <c:pt idx="5">
                  <c:v>17</c:v>
                </c:pt>
                <c:pt idx="6">
                  <c:v>43</c:v>
                </c:pt>
                <c:pt idx="7">
                  <c:v>20</c:v>
                </c:pt>
                <c:pt idx="8">
                  <c:v>3</c:v>
                </c:pt>
              </c:numCache>
            </c:numRef>
          </c:val>
        </c:ser>
        <c:dLbls>
          <c:showLegendKey val="0"/>
          <c:showVal val="0"/>
          <c:showCatName val="0"/>
          <c:showSerName val="0"/>
          <c:showPercent val="0"/>
          <c:showBubbleSize val="0"/>
        </c:dLbls>
        <c:gapWidth val="75"/>
        <c:axId val="113287936"/>
        <c:axId val="113289472"/>
      </c:barChart>
      <c:catAx>
        <c:axId val="113287936"/>
        <c:scaling>
          <c:orientation val="minMax"/>
        </c:scaling>
        <c:delete val="0"/>
        <c:axPos val="b"/>
        <c:numFmt formatCode="General" sourceLinked="1"/>
        <c:majorTickMark val="none"/>
        <c:minorTickMark val="none"/>
        <c:tickLblPos val="nextTo"/>
        <c:crossAx val="113289472"/>
        <c:crosses val="autoZero"/>
        <c:auto val="1"/>
        <c:lblAlgn val="ctr"/>
        <c:lblOffset val="100"/>
        <c:noMultiLvlLbl val="0"/>
      </c:catAx>
      <c:valAx>
        <c:axId val="113289472"/>
        <c:scaling>
          <c:orientation val="minMax"/>
          <c:max val="50"/>
          <c:min val="0"/>
        </c:scaling>
        <c:delete val="0"/>
        <c:axPos val="l"/>
        <c:title>
          <c:tx>
            <c:rich>
              <a:bodyPr rot="0" vert="horz"/>
              <a:lstStyle/>
              <a:p>
                <a:pPr>
                  <a:defRPr/>
                </a:pPr>
                <a:r>
                  <a:rPr lang="en-GB" b="0"/>
                  <a:t>Answers</a:t>
                </a:r>
              </a:p>
            </c:rich>
          </c:tx>
          <c:layout>
            <c:manualLayout>
              <c:xMode val="edge"/>
              <c:yMode val="edge"/>
              <c:x val="3.3336046424806892E-2"/>
              <c:y val="8.5476815398075241E-4"/>
            </c:manualLayout>
          </c:layout>
          <c:overlay val="0"/>
        </c:title>
        <c:numFmt formatCode="General" sourceLinked="1"/>
        <c:majorTickMark val="none"/>
        <c:minorTickMark val="none"/>
        <c:tickLblPos val="nextTo"/>
        <c:crossAx val="113287936"/>
        <c:crosses val="autoZero"/>
        <c:crossBetween val="between"/>
        <c:majorUnit val="1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948867973707"/>
          <c:y val="0.10510454943132108"/>
          <c:w val="0.82245189243849726"/>
          <c:h val="0.57512379702537186"/>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Content!$DW$84:$DW$92</c:f>
              <c:strCache>
                <c:ptCount val="9"/>
                <c:pt idx="0">
                  <c:v>Hours</c:v>
                </c:pt>
                <c:pt idx="1">
                  <c:v>A day</c:v>
                </c:pt>
                <c:pt idx="2">
                  <c:v>2 days</c:v>
                </c:pt>
                <c:pt idx="3">
                  <c:v>3-5 days</c:v>
                </c:pt>
                <c:pt idx="4">
                  <c:v>6-10 days</c:v>
                </c:pt>
                <c:pt idx="5">
                  <c:v>11-30 days</c:v>
                </c:pt>
                <c:pt idx="6">
                  <c:v>1-6 months</c:v>
                </c:pt>
                <c:pt idx="7">
                  <c:v>More than 6 months</c:v>
                </c:pt>
                <c:pt idx="8">
                  <c:v>More than a year</c:v>
                </c:pt>
              </c:strCache>
            </c:strRef>
          </c:cat>
          <c:val>
            <c:numRef>
              <c:f>Content!$DX$84:$DX$92</c:f>
              <c:numCache>
                <c:formatCode>General</c:formatCode>
                <c:ptCount val="9"/>
                <c:pt idx="0">
                  <c:v>2</c:v>
                </c:pt>
                <c:pt idx="1">
                  <c:v>0</c:v>
                </c:pt>
                <c:pt idx="2">
                  <c:v>0</c:v>
                </c:pt>
                <c:pt idx="3">
                  <c:v>0</c:v>
                </c:pt>
                <c:pt idx="4">
                  <c:v>0</c:v>
                </c:pt>
                <c:pt idx="5">
                  <c:v>15</c:v>
                </c:pt>
                <c:pt idx="6">
                  <c:v>35</c:v>
                </c:pt>
                <c:pt idx="7">
                  <c:v>25</c:v>
                </c:pt>
                <c:pt idx="8">
                  <c:v>11</c:v>
                </c:pt>
              </c:numCache>
            </c:numRef>
          </c:val>
        </c:ser>
        <c:dLbls>
          <c:showLegendKey val="0"/>
          <c:showVal val="0"/>
          <c:showCatName val="0"/>
          <c:showSerName val="0"/>
          <c:showPercent val="0"/>
          <c:showBubbleSize val="0"/>
        </c:dLbls>
        <c:gapWidth val="75"/>
        <c:axId val="113445120"/>
        <c:axId val="113463296"/>
      </c:barChart>
      <c:catAx>
        <c:axId val="113445120"/>
        <c:scaling>
          <c:orientation val="minMax"/>
        </c:scaling>
        <c:delete val="0"/>
        <c:axPos val="b"/>
        <c:numFmt formatCode="General" sourceLinked="1"/>
        <c:majorTickMark val="none"/>
        <c:minorTickMark val="none"/>
        <c:tickLblPos val="nextTo"/>
        <c:crossAx val="113463296"/>
        <c:crosses val="autoZero"/>
        <c:auto val="1"/>
        <c:lblAlgn val="ctr"/>
        <c:lblOffset val="100"/>
        <c:noMultiLvlLbl val="0"/>
      </c:catAx>
      <c:valAx>
        <c:axId val="113463296"/>
        <c:scaling>
          <c:orientation val="minMax"/>
          <c:max val="50"/>
          <c:min val="0"/>
        </c:scaling>
        <c:delete val="0"/>
        <c:axPos val="l"/>
        <c:title>
          <c:tx>
            <c:rich>
              <a:bodyPr rot="0" vert="horz"/>
              <a:lstStyle/>
              <a:p>
                <a:pPr>
                  <a:defRPr/>
                </a:pPr>
                <a:r>
                  <a:rPr lang="en-GB" b="0"/>
                  <a:t>Answers</a:t>
                </a:r>
              </a:p>
            </c:rich>
          </c:tx>
          <c:layout>
            <c:manualLayout>
              <c:xMode val="edge"/>
              <c:yMode val="edge"/>
              <c:x val="3.2836921456916787E-2"/>
              <c:y val="8.5476815398075241E-4"/>
            </c:manualLayout>
          </c:layout>
          <c:overlay val="0"/>
        </c:title>
        <c:numFmt formatCode="General" sourceLinked="1"/>
        <c:majorTickMark val="none"/>
        <c:minorTickMark val="none"/>
        <c:tickLblPos val="nextTo"/>
        <c:crossAx val="113445120"/>
        <c:crosses val="autoZero"/>
        <c:crossBetween val="between"/>
        <c:majorUnit val="1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948867973707"/>
          <c:y val="0.13288232720909887"/>
          <c:w val="0.82245189243849726"/>
          <c:h val="0.54734601924759407"/>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Content!$GB$84:$GB$92</c:f>
              <c:strCache>
                <c:ptCount val="9"/>
                <c:pt idx="0">
                  <c:v>Hours</c:v>
                </c:pt>
                <c:pt idx="1">
                  <c:v>A day</c:v>
                </c:pt>
                <c:pt idx="2">
                  <c:v>2 days</c:v>
                </c:pt>
                <c:pt idx="3">
                  <c:v>3-5 days</c:v>
                </c:pt>
                <c:pt idx="4">
                  <c:v>6-10 days</c:v>
                </c:pt>
                <c:pt idx="5">
                  <c:v>11-30 days</c:v>
                </c:pt>
                <c:pt idx="6">
                  <c:v>1-6 months</c:v>
                </c:pt>
                <c:pt idx="7">
                  <c:v>More than 6 months</c:v>
                </c:pt>
                <c:pt idx="8">
                  <c:v>More than a year</c:v>
                </c:pt>
              </c:strCache>
            </c:strRef>
          </c:cat>
          <c:val>
            <c:numRef>
              <c:f>Content!$GC$84:$GC$92</c:f>
              <c:numCache>
                <c:formatCode>General</c:formatCode>
                <c:ptCount val="9"/>
                <c:pt idx="0">
                  <c:v>2</c:v>
                </c:pt>
                <c:pt idx="1">
                  <c:v>1</c:v>
                </c:pt>
                <c:pt idx="2">
                  <c:v>8</c:v>
                </c:pt>
                <c:pt idx="3">
                  <c:v>6</c:v>
                </c:pt>
                <c:pt idx="4">
                  <c:v>10</c:v>
                </c:pt>
                <c:pt idx="5">
                  <c:v>15</c:v>
                </c:pt>
                <c:pt idx="6">
                  <c:v>22</c:v>
                </c:pt>
                <c:pt idx="7">
                  <c:v>0</c:v>
                </c:pt>
                <c:pt idx="8">
                  <c:v>2</c:v>
                </c:pt>
              </c:numCache>
            </c:numRef>
          </c:val>
        </c:ser>
        <c:dLbls>
          <c:showLegendKey val="0"/>
          <c:showVal val="0"/>
          <c:showCatName val="0"/>
          <c:showSerName val="0"/>
          <c:showPercent val="0"/>
          <c:showBubbleSize val="0"/>
        </c:dLbls>
        <c:gapWidth val="75"/>
        <c:axId val="203379072"/>
        <c:axId val="203380608"/>
      </c:barChart>
      <c:catAx>
        <c:axId val="203379072"/>
        <c:scaling>
          <c:orientation val="minMax"/>
        </c:scaling>
        <c:delete val="0"/>
        <c:axPos val="b"/>
        <c:numFmt formatCode="General" sourceLinked="1"/>
        <c:majorTickMark val="none"/>
        <c:minorTickMark val="none"/>
        <c:tickLblPos val="nextTo"/>
        <c:crossAx val="203380608"/>
        <c:crosses val="autoZero"/>
        <c:auto val="1"/>
        <c:lblAlgn val="ctr"/>
        <c:lblOffset val="100"/>
        <c:noMultiLvlLbl val="0"/>
      </c:catAx>
      <c:valAx>
        <c:axId val="203380608"/>
        <c:scaling>
          <c:orientation val="minMax"/>
          <c:max val="50"/>
          <c:min val="0"/>
        </c:scaling>
        <c:delete val="0"/>
        <c:axPos val="l"/>
        <c:title>
          <c:tx>
            <c:rich>
              <a:bodyPr rot="0" vert="horz"/>
              <a:lstStyle/>
              <a:p>
                <a:pPr>
                  <a:defRPr/>
                </a:pPr>
                <a:r>
                  <a:rPr lang="en-GB" b="0"/>
                  <a:t>Answers</a:t>
                </a:r>
              </a:p>
            </c:rich>
          </c:tx>
          <c:layout>
            <c:manualLayout>
              <c:xMode val="edge"/>
              <c:yMode val="edge"/>
              <c:x val="3.3336046424806892E-2"/>
              <c:y val="8.5476815398075241E-4"/>
            </c:manualLayout>
          </c:layout>
          <c:overlay val="0"/>
        </c:title>
        <c:numFmt formatCode="General" sourceLinked="1"/>
        <c:majorTickMark val="none"/>
        <c:minorTickMark val="none"/>
        <c:tickLblPos val="nextTo"/>
        <c:crossAx val="203379072"/>
        <c:crosses val="autoZero"/>
        <c:crossBetween val="between"/>
        <c:majorUnit val="1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948867973707"/>
          <c:y val="0.10510454943132108"/>
          <c:w val="0.82245189243849726"/>
          <c:h val="0.57512379702537186"/>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Content!$IG$84:$IG$92</c:f>
              <c:strCache>
                <c:ptCount val="9"/>
                <c:pt idx="0">
                  <c:v>Hours</c:v>
                </c:pt>
                <c:pt idx="1">
                  <c:v>A day</c:v>
                </c:pt>
                <c:pt idx="2">
                  <c:v>2 days</c:v>
                </c:pt>
                <c:pt idx="3">
                  <c:v>3-5 days</c:v>
                </c:pt>
                <c:pt idx="4">
                  <c:v>6-10 days</c:v>
                </c:pt>
                <c:pt idx="5">
                  <c:v>11-30 days</c:v>
                </c:pt>
                <c:pt idx="6">
                  <c:v>1-6 months</c:v>
                </c:pt>
                <c:pt idx="7">
                  <c:v>More than 6 months</c:v>
                </c:pt>
                <c:pt idx="8">
                  <c:v>More than a year</c:v>
                </c:pt>
              </c:strCache>
            </c:strRef>
          </c:cat>
          <c:val>
            <c:numRef>
              <c:f>Content!$IH$84:$IH$92</c:f>
              <c:numCache>
                <c:formatCode>General</c:formatCode>
                <c:ptCount val="9"/>
                <c:pt idx="0">
                  <c:v>2</c:v>
                </c:pt>
                <c:pt idx="1">
                  <c:v>0</c:v>
                </c:pt>
                <c:pt idx="2">
                  <c:v>2</c:v>
                </c:pt>
                <c:pt idx="3">
                  <c:v>3</c:v>
                </c:pt>
                <c:pt idx="4">
                  <c:v>6</c:v>
                </c:pt>
                <c:pt idx="5">
                  <c:v>11</c:v>
                </c:pt>
                <c:pt idx="6">
                  <c:v>15</c:v>
                </c:pt>
                <c:pt idx="7">
                  <c:v>5</c:v>
                </c:pt>
                <c:pt idx="8">
                  <c:v>2</c:v>
                </c:pt>
              </c:numCache>
            </c:numRef>
          </c:val>
        </c:ser>
        <c:dLbls>
          <c:showLegendKey val="0"/>
          <c:showVal val="0"/>
          <c:showCatName val="0"/>
          <c:showSerName val="0"/>
          <c:showPercent val="0"/>
          <c:showBubbleSize val="0"/>
        </c:dLbls>
        <c:gapWidth val="75"/>
        <c:axId val="203655040"/>
        <c:axId val="203656576"/>
      </c:barChart>
      <c:catAx>
        <c:axId val="203655040"/>
        <c:scaling>
          <c:orientation val="minMax"/>
        </c:scaling>
        <c:delete val="0"/>
        <c:axPos val="b"/>
        <c:numFmt formatCode="General" sourceLinked="1"/>
        <c:majorTickMark val="none"/>
        <c:minorTickMark val="none"/>
        <c:tickLblPos val="nextTo"/>
        <c:crossAx val="203656576"/>
        <c:crosses val="autoZero"/>
        <c:auto val="1"/>
        <c:lblAlgn val="ctr"/>
        <c:lblOffset val="100"/>
        <c:noMultiLvlLbl val="0"/>
      </c:catAx>
      <c:valAx>
        <c:axId val="203656576"/>
        <c:scaling>
          <c:orientation val="minMax"/>
          <c:max val="50"/>
          <c:min val="0"/>
        </c:scaling>
        <c:delete val="0"/>
        <c:axPos val="l"/>
        <c:title>
          <c:tx>
            <c:rich>
              <a:bodyPr rot="0" vert="horz"/>
              <a:lstStyle/>
              <a:p>
                <a:pPr>
                  <a:defRPr/>
                </a:pPr>
                <a:r>
                  <a:rPr lang="en-GB" b="0"/>
                  <a:t>Answers</a:t>
                </a:r>
              </a:p>
            </c:rich>
          </c:tx>
          <c:layout>
            <c:manualLayout>
              <c:xMode val="edge"/>
              <c:yMode val="edge"/>
              <c:x val="3.3336046424806892E-2"/>
              <c:y val="8.5476815398075241E-4"/>
            </c:manualLayout>
          </c:layout>
          <c:overlay val="0"/>
        </c:title>
        <c:numFmt formatCode="General" sourceLinked="1"/>
        <c:majorTickMark val="none"/>
        <c:minorTickMark val="none"/>
        <c:tickLblPos val="nextTo"/>
        <c:crossAx val="203655040"/>
        <c:crosses val="autoZero"/>
        <c:crossBetween val="between"/>
        <c:majorUnit val="1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948867973707"/>
          <c:y val="0.13288232720909887"/>
          <c:w val="0.82245189243849726"/>
          <c:h val="0.54734601924759407"/>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Content!$BT$84:$BT$92</c:f>
              <c:strCache>
                <c:ptCount val="9"/>
                <c:pt idx="0">
                  <c:v>Hours</c:v>
                </c:pt>
                <c:pt idx="1">
                  <c:v>A day</c:v>
                </c:pt>
                <c:pt idx="2">
                  <c:v>2 days</c:v>
                </c:pt>
                <c:pt idx="3">
                  <c:v>3-5 days</c:v>
                </c:pt>
                <c:pt idx="4">
                  <c:v>6-10 days</c:v>
                </c:pt>
                <c:pt idx="5">
                  <c:v>11-30 days</c:v>
                </c:pt>
                <c:pt idx="6">
                  <c:v>1-6 months</c:v>
                </c:pt>
                <c:pt idx="7">
                  <c:v>More than 6 months</c:v>
                </c:pt>
                <c:pt idx="8">
                  <c:v>More than a year</c:v>
                </c:pt>
              </c:strCache>
            </c:strRef>
          </c:cat>
          <c:val>
            <c:numRef>
              <c:f>Content!$BU$84:$BU$92</c:f>
              <c:numCache>
                <c:formatCode>General</c:formatCode>
                <c:ptCount val="9"/>
                <c:pt idx="0">
                  <c:v>11</c:v>
                </c:pt>
                <c:pt idx="1">
                  <c:v>5</c:v>
                </c:pt>
                <c:pt idx="2">
                  <c:v>4</c:v>
                </c:pt>
                <c:pt idx="3">
                  <c:v>16</c:v>
                </c:pt>
                <c:pt idx="4">
                  <c:v>34</c:v>
                </c:pt>
                <c:pt idx="5">
                  <c:v>64</c:v>
                </c:pt>
                <c:pt idx="6">
                  <c:v>144</c:v>
                </c:pt>
                <c:pt idx="7">
                  <c:v>34</c:v>
                </c:pt>
                <c:pt idx="8">
                  <c:v>6</c:v>
                </c:pt>
              </c:numCache>
            </c:numRef>
          </c:val>
        </c:ser>
        <c:dLbls>
          <c:showLegendKey val="0"/>
          <c:showVal val="0"/>
          <c:showCatName val="0"/>
          <c:showSerName val="0"/>
          <c:showPercent val="0"/>
          <c:showBubbleSize val="0"/>
        </c:dLbls>
        <c:gapWidth val="75"/>
        <c:axId val="203664768"/>
        <c:axId val="208733312"/>
      </c:barChart>
      <c:catAx>
        <c:axId val="203664768"/>
        <c:scaling>
          <c:orientation val="minMax"/>
        </c:scaling>
        <c:delete val="0"/>
        <c:axPos val="b"/>
        <c:numFmt formatCode="General" sourceLinked="1"/>
        <c:majorTickMark val="none"/>
        <c:minorTickMark val="none"/>
        <c:tickLblPos val="nextTo"/>
        <c:crossAx val="208733312"/>
        <c:crosses val="autoZero"/>
        <c:auto val="1"/>
        <c:lblAlgn val="ctr"/>
        <c:lblOffset val="100"/>
        <c:noMultiLvlLbl val="0"/>
      </c:catAx>
      <c:valAx>
        <c:axId val="208733312"/>
        <c:scaling>
          <c:orientation val="minMax"/>
          <c:max val="150"/>
          <c:min val="0"/>
        </c:scaling>
        <c:delete val="0"/>
        <c:axPos val="l"/>
        <c:title>
          <c:tx>
            <c:rich>
              <a:bodyPr rot="0" vert="horz"/>
              <a:lstStyle/>
              <a:p>
                <a:pPr>
                  <a:defRPr/>
                </a:pPr>
                <a:r>
                  <a:rPr lang="en-GB"/>
                  <a:t>Answers</a:t>
                </a:r>
              </a:p>
            </c:rich>
          </c:tx>
          <c:layout>
            <c:manualLayout>
              <c:xMode val="edge"/>
              <c:yMode val="edge"/>
              <c:x val="3.3336046424806892E-2"/>
              <c:y val="8.5476815398075241E-4"/>
            </c:manualLayout>
          </c:layout>
          <c:overlay val="0"/>
        </c:title>
        <c:numFmt formatCode="General" sourceLinked="1"/>
        <c:majorTickMark val="none"/>
        <c:minorTickMark val="none"/>
        <c:tickLblPos val="nextTo"/>
        <c:crossAx val="203664768"/>
        <c:crosses val="autoZero"/>
        <c:crossBetween val="between"/>
        <c:majorUnit val="50"/>
      </c:valAx>
      <c:spPr>
        <a:noFill/>
      </c:spPr>
    </c:plotArea>
    <c:plotVisOnly val="1"/>
    <c:dispBlanksAs val="gap"/>
    <c:showDLblsOverMax val="0"/>
  </c:chart>
  <c:spPr>
    <a:noFill/>
    <a:ln>
      <a:noFill/>
    </a:ln>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948867973707"/>
          <c:y val="0.10510454943132108"/>
          <c:w val="0.82245189243849726"/>
          <c:h val="0.57512379702537186"/>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Content!$DY$84:$DY$92</c:f>
              <c:strCache>
                <c:ptCount val="9"/>
                <c:pt idx="0">
                  <c:v>Hours</c:v>
                </c:pt>
                <c:pt idx="1">
                  <c:v>A day</c:v>
                </c:pt>
                <c:pt idx="2">
                  <c:v>2 days</c:v>
                </c:pt>
                <c:pt idx="3">
                  <c:v>3-5 days</c:v>
                </c:pt>
                <c:pt idx="4">
                  <c:v>6-10 days</c:v>
                </c:pt>
                <c:pt idx="5">
                  <c:v>11-30 days</c:v>
                </c:pt>
                <c:pt idx="6">
                  <c:v>1-6 months</c:v>
                </c:pt>
                <c:pt idx="7">
                  <c:v>More than 6 months</c:v>
                </c:pt>
                <c:pt idx="8">
                  <c:v>More than a year</c:v>
                </c:pt>
              </c:strCache>
            </c:strRef>
          </c:cat>
          <c:val>
            <c:numRef>
              <c:f>Content!$DZ$84:$DZ$92</c:f>
              <c:numCache>
                <c:formatCode>General</c:formatCode>
                <c:ptCount val="9"/>
                <c:pt idx="0">
                  <c:v>6</c:v>
                </c:pt>
                <c:pt idx="1">
                  <c:v>1</c:v>
                </c:pt>
                <c:pt idx="2">
                  <c:v>0</c:v>
                </c:pt>
                <c:pt idx="3">
                  <c:v>0</c:v>
                </c:pt>
                <c:pt idx="4">
                  <c:v>9</c:v>
                </c:pt>
                <c:pt idx="5">
                  <c:v>47</c:v>
                </c:pt>
                <c:pt idx="6">
                  <c:v>103</c:v>
                </c:pt>
                <c:pt idx="7">
                  <c:v>81</c:v>
                </c:pt>
                <c:pt idx="8">
                  <c:v>19</c:v>
                </c:pt>
              </c:numCache>
            </c:numRef>
          </c:val>
        </c:ser>
        <c:dLbls>
          <c:showLegendKey val="0"/>
          <c:showVal val="0"/>
          <c:showCatName val="0"/>
          <c:showSerName val="0"/>
          <c:showPercent val="0"/>
          <c:showBubbleSize val="0"/>
        </c:dLbls>
        <c:gapWidth val="75"/>
        <c:axId val="208749696"/>
        <c:axId val="208751232"/>
      </c:barChart>
      <c:catAx>
        <c:axId val="208749696"/>
        <c:scaling>
          <c:orientation val="minMax"/>
        </c:scaling>
        <c:delete val="0"/>
        <c:axPos val="b"/>
        <c:numFmt formatCode="General" sourceLinked="1"/>
        <c:majorTickMark val="none"/>
        <c:minorTickMark val="none"/>
        <c:tickLblPos val="nextTo"/>
        <c:crossAx val="208751232"/>
        <c:crosses val="autoZero"/>
        <c:auto val="1"/>
        <c:lblAlgn val="ctr"/>
        <c:lblOffset val="100"/>
        <c:noMultiLvlLbl val="0"/>
      </c:catAx>
      <c:valAx>
        <c:axId val="208751232"/>
        <c:scaling>
          <c:orientation val="minMax"/>
          <c:max val="150"/>
          <c:min val="0"/>
        </c:scaling>
        <c:delete val="0"/>
        <c:axPos val="l"/>
        <c:title>
          <c:tx>
            <c:rich>
              <a:bodyPr rot="0" vert="horz"/>
              <a:lstStyle/>
              <a:p>
                <a:pPr>
                  <a:defRPr/>
                </a:pPr>
                <a:r>
                  <a:rPr lang="en-GB"/>
                  <a:t>Answers</a:t>
                </a:r>
              </a:p>
            </c:rich>
          </c:tx>
          <c:layout>
            <c:manualLayout>
              <c:xMode val="edge"/>
              <c:yMode val="edge"/>
              <c:x val="2.9944881792736008E-2"/>
              <c:y val="8.5476815398075241E-4"/>
            </c:manualLayout>
          </c:layout>
          <c:overlay val="0"/>
        </c:title>
        <c:numFmt formatCode="General" sourceLinked="1"/>
        <c:majorTickMark val="none"/>
        <c:minorTickMark val="none"/>
        <c:tickLblPos val="nextTo"/>
        <c:crossAx val="208749696"/>
        <c:crosses val="autoZero"/>
        <c:crossBetween val="between"/>
        <c:majorUnit val="50"/>
      </c:valAx>
      <c:spPr>
        <a:noFill/>
      </c:spPr>
    </c:plotArea>
    <c:plotVisOnly val="1"/>
    <c:dispBlanksAs val="gap"/>
    <c:showDLblsOverMax val="0"/>
  </c:chart>
  <c:spPr>
    <a:noFill/>
    <a:ln>
      <a:noFill/>
    </a:ln>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948867973707"/>
          <c:y val="0.13288232720909887"/>
          <c:w val="0.82245189243849726"/>
          <c:h val="0.54734601924759407"/>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Content!$GD$84:$GD$92</c:f>
              <c:strCache>
                <c:ptCount val="9"/>
                <c:pt idx="0">
                  <c:v>Hours</c:v>
                </c:pt>
                <c:pt idx="1">
                  <c:v>A day</c:v>
                </c:pt>
                <c:pt idx="2">
                  <c:v>2 days</c:v>
                </c:pt>
                <c:pt idx="3">
                  <c:v>3-5 days</c:v>
                </c:pt>
                <c:pt idx="4">
                  <c:v>6-10 days</c:v>
                </c:pt>
                <c:pt idx="5">
                  <c:v>11-30 days</c:v>
                </c:pt>
                <c:pt idx="6">
                  <c:v>1-6 months</c:v>
                </c:pt>
                <c:pt idx="7">
                  <c:v>More than 6 months</c:v>
                </c:pt>
                <c:pt idx="8">
                  <c:v>More than a year</c:v>
                </c:pt>
              </c:strCache>
            </c:strRef>
          </c:cat>
          <c:val>
            <c:numRef>
              <c:f>Content!$GE$84:$GE$92</c:f>
              <c:numCache>
                <c:formatCode>General</c:formatCode>
                <c:ptCount val="9"/>
                <c:pt idx="0">
                  <c:v>6</c:v>
                </c:pt>
                <c:pt idx="1">
                  <c:v>12</c:v>
                </c:pt>
                <c:pt idx="2">
                  <c:v>28</c:v>
                </c:pt>
                <c:pt idx="3">
                  <c:v>24</c:v>
                </c:pt>
                <c:pt idx="4">
                  <c:v>43</c:v>
                </c:pt>
                <c:pt idx="5">
                  <c:v>44</c:v>
                </c:pt>
                <c:pt idx="6">
                  <c:v>65</c:v>
                </c:pt>
                <c:pt idx="7">
                  <c:v>2</c:v>
                </c:pt>
                <c:pt idx="8">
                  <c:v>0</c:v>
                </c:pt>
              </c:numCache>
            </c:numRef>
          </c:val>
        </c:ser>
        <c:dLbls>
          <c:showLegendKey val="0"/>
          <c:showVal val="0"/>
          <c:showCatName val="0"/>
          <c:showSerName val="0"/>
          <c:showPercent val="0"/>
          <c:showBubbleSize val="0"/>
        </c:dLbls>
        <c:gapWidth val="75"/>
        <c:axId val="208763520"/>
        <c:axId val="208785792"/>
      </c:barChart>
      <c:catAx>
        <c:axId val="208763520"/>
        <c:scaling>
          <c:orientation val="minMax"/>
        </c:scaling>
        <c:delete val="0"/>
        <c:axPos val="b"/>
        <c:numFmt formatCode="General" sourceLinked="1"/>
        <c:majorTickMark val="none"/>
        <c:minorTickMark val="none"/>
        <c:tickLblPos val="nextTo"/>
        <c:crossAx val="208785792"/>
        <c:crosses val="autoZero"/>
        <c:auto val="1"/>
        <c:lblAlgn val="ctr"/>
        <c:lblOffset val="100"/>
        <c:noMultiLvlLbl val="0"/>
      </c:catAx>
      <c:valAx>
        <c:axId val="208785792"/>
        <c:scaling>
          <c:orientation val="minMax"/>
          <c:max val="150"/>
          <c:min val="0"/>
        </c:scaling>
        <c:delete val="0"/>
        <c:axPos val="l"/>
        <c:title>
          <c:tx>
            <c:rich>
              <a:bodyPr rot="0" vert="horz"/>
              <a:lstStyle/>
              <a:p>
                <a:pPr>
                  <a:defRPr/>
                </a:pPr>
                <a:r>
                  <a:rPr lang="en-GB"/>
                  <a:t>Answers</a:t>
                </a:r>
              </a:p>
            </c:rich>
          </c:tx>
          <c:layout>
            <c:manualLayout>
              <c:xMode val="edge"/>
              <c:yMode val="edge"/>
              <c:x val="3.3336046424806892E-2"/>
              <c:y val="8.5476815398075241E-4"/>
            </c:manualLayout>
          </c:layout>
          <c:overlay val="0"/>
        </c:title>
        <c:numFmt formatCode="General" sourceLinked="1"/>
        <c:majorTickMark val="none"/>
        <c:minorTickMark val="none"/>
        <c:tickLblPos val="nextTo"/>
        <c:crossAx val="208763520"/>
        <c:crosses val="autoZero"/>
        <c:crossBetween val="between"/>
        <c:majorUnit val="50"/>
      </c:valAx>
      <c:spPr>
        <a:noFill/>
      </c:spPr>
    </c:plotArea>
    <c:plotVisOnly val="1"/>
    <c:dispBlanksAs val="gap"/>
    <c:showDLblsOverMax val="0"/>
  </c:chart>
  <c:spPr>
    <a:noFill/>
    <a:ln>
      <a:noFill/>
    </a:ln>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948867973707"/>
          <c:y val="0.10510454943132108"/>
          <c:w val="0.82245189243849726"/>
          <c:h val="0.57512379702537186"/>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Content!$II$84:$II$92</c:f>
              <c:strCache>
                <c:ptCount val="9"/>
                <c:pt idx="0">
                  <c:v>Hours</c:v>
                </c:pt>
                <c:pt idx="1">
                  <c:v>A day</c:v>
                </c:pt>
                <c:pt idx="2">
                  <c:v>2 days</c:v>
                </c:pt>
                <c:pt idx="3">
                  <c:v>3-5 days</c:v>
                </c:pt>
                <c:pt idx="4">
                  <c:v>6-10 days</c:v>
                </c:pt>
                <c:pt idx="5">
                  <c:v>11-30 days</c:v>
                </c:pt>
                <c:pt idx="6">
                  <c:v>1-6 months</c:v>
                </c:pt>
                <c:pt idx="7">
                  <c:v>More than 6 months</c:v>
                </c:pt>
                <c:pt idx="8">
                  <c:v>More than a year</c:v>
                </c:pt>
              </c:strCache>
            </c:strRef>
          </c:cat>
          <c:val>
            <c:numRef>
              <c:f>Content!$IJ$84:$IJ$92</c:f>
              <c:numCache>
                <c:formatCode>General</c:formatCode>
                <c:ptCount val="9"/>
                <c:pt idx="0">
                  <c:v>12</c:v>
                </c:pt>
                <c:pt idx="1">
                  <c:v>6</c:v>
                </c:pt>
                <c:pt idx="2">
                  <c:v>9</c:v>
                </c:pt>
                <c:pt idx="3">
                  <c:v>8</c:v>
                </c:pt>
                <c:pt idx="4">
                  <c:v>23</c:v>
                </c:pt>
                <c:pt idx="5">
                  <c:v>52</c:v>
                </c:pt>
                <c:pt idx="6">
                  <c:v>47</c:v>
                </c:pt>
                <c:pt idx="7">
                  <c:v>15</c:v>
                </c:pt>
                <c:pt idx="8">
                  <c:v>0</c:v>
                </c:pt>
              </c:numCache>
            </c:numRef>
          </c:val>
        </c:ser>
        <c:dLbls>
          <c:showLegendKey val="0"/>
          <c:showVal val="0"/>
          <c:showCatName val="0"/>
          <c:showSerName val="0"/>
          <c:showPercent val="0"/>
          <c:showBubbleSize val="0"/>
        </c:dLbls>
        <c:gapWidth val="75"/>
        <c:axId val="209002880"/>
        <c:axId val="209004416"/>
      </c:barChart>
      <c:catAx>
        <c:axId val="209002880"/>
        <c:scaling>
          <c:orientation val="minMax"/>
        </c:scaling>
        <c:delete val="0"/>
        <c:axPos val="b"/>
        <c:numFmt formatCode="General" sourceLinked="1"/>
        <c:majorTickMark val="none"/>
        <c:minorTickMark val="none"/>
        <c:tickLblPos val="nextTo"/>
        <c:crossAx val="209004416"/>
        <c:crosses val="autoZero"/>
        <c:auto val="1"/>
        <c:lblAlgn val="ctr"/>
        <c:lblOffset val="100"/>
        <c:noMultiLvlLbl val="0"/>
      </c:catAx>
      <c:valAx>
        <c:axId val="209004416"/>
        <c:scaling>
          <c:orientation val="minMax"/>
          <c:max val="150"/>
          <c:min val="0"/>
        </c:scaling>
        <c:delete val="0"/>
        <c:axPos val="l"/>
        <c:title>
          <c:tx>
            <c:rich>
              <a:bodyPr rot="0" vert="horz"/>
              <a:lstStyle/>
              <a:p>
                <a:pPr>
                  <a:defRPr/>
                </a:pPr>
                <a:r>
                  <a:rPr lang="en-GB"/>
                  <a:t>Answers</a:t>
                </a:r>
              </a:p>
            </c:rich>
          </c:tx>
          <c:layout>
            <c:manualLayout>
              <c:xMode val="edge"/>
              <c:yMode val="edge"/>
              <c:x val="3.3336046424806892E-2"/>
              <c:y val="8.5476815398075241E-4"/>
            </c:manualLayout>
          </c:layout>
          <c:overlay val="0"/>
        </c:title>
        <c:numFmt formatCode="General" sourceLinked="1"/>
        <c:majorTickMark val="none"/>
        <c:minorTickMark val="none"/>
        <c:tickLblPos val="nextTo"/>
        <c:crossAx val="209002880"/>
        <c:crosses val="autoZero"/>
        <c:crossBetween val="between"/>
        <c:majorUnit val="50"/>
      </c:valAx>
      <c:spPr>
        <a:noFill/>
      </c:spPr>
    </c:plotArea>
    <c:plotVisOnly val="1"/>
    <c:dispBlanksAs val="gap"/>
    <c:showDLblsOverMax val="0"/>
  </c:chart>
  <c:spPr>
    <a:noFill/>
    <a:ln>
      <a:noFill/>
    </a:ln>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34442240703998E-2"/>
          <c:y val="8.7391753450173582E-2"/>
          <c:w val="0.80218119218491457"/>
          <c:h val="0.85090085513504365"/>
        </c:manualLayout>
      </c:layout>
      <c:barChart>
        <c:barDir val="bar"/>
        <c:grouping val="clustered"/>
        <c:varyColors val="0"/>
        <c:ser>
          <c:idx val="0"/>
          <c:order val="0"/>
          <c:invertIfNegative val="0"/>
          <c:dLbls>
            <c:numFmt formatCode="#,##0_);\(#,##0\)" sourceLinked="0"/>
            <c:dLblPos val="outEnd"/>
            <c:showLegendKey val="0"/>
            <c:showVal val="1"/>
            <c:showCatName val="0"/>
            <c:showSerName val="0"/>
            <c:showPercent val="0"/>
            <c:showBubbleSize val="0"/>
            <c:showLeaderLines val="0"/>
          </c:dLbls>
          <c:cat>
            <c:strRef>
              <c:f>Total!$E$111:$E$138</c:f>
              <c:strCache>
                <c:ptCount val="28"/>
                <c:pt idx="0">
                  <c:v>LV</c:v>
                </c:pt>
                <c:pt idx="1">
                  <c:v>CY</c:v>
                </c:pt>
                <c:pt idx="2">
                  <c:v>BG</c:v>
                </c:pt>
                <c:pt idx="3">
                  <c:v>SI</c:v>
                </c:pt>
                <c:pt idx="4">
                  <c:v>RO</c:v>
                </c:pt>
                <c:pt idx="5">
                  <c:v>EE</c:v>
                </c:pt>
                <c:pt idx="6">
                  <c:v>HR</c:v>
                </c:pt>
                <c:pt idx="7">
                  <c:v>LT</c:v>
                </c:pt>
                <c:pt idx="8">
                  <c:v>SK</c:v>
                </c:pt>
                <c:pt idx="9">
                  <c:v>LU</c:v>
                </c:pt>
                <c:pt idx="10">
                  <c:v>FI</c:v>
                </c:pt>
                <c:pt idx="11">
                  <c:v>AT</c:v>
                </c:pt>
                <c:pt idx="12">
                  <c:v>CZ</c:v>
                </c:pt>
                <c:pt idx="13">
                  <c:v>IE</c:v>
                </c:pt>
                <c:pt idx="14">
                  <c:v>DK</c:v>
                </c:pt>
                <c:pt idx="15">
                  <c:v>MT</c:v>
                </c:pt>
                <c:pt idx="16">
                  <c:v>HU</c:v>
                </c:pt>
                <c:pt idx="17">
                  <c:v>EL</c:v>
                </c:pt>
                <c:pt idx="18">
                  <c:v>SE</c:v>
                </c:pt>
                <c:pt idx="19">
                  <c:v>BE</c:v>
                </c:pt>
                <c:pt idx="20">
                  <c:v>NL</c:v>
                </c:pt>
                <c:pt idx="21">
                  <c:v>PL</c:v>
                </c:pt>
                <c:pt idx="22">
                  <c:v>PT</c:v>
                </c:pt>
                <c:pt idx="23">
                  <c:v>ES</c:v>
                </c:pt>
                <c:pt idx="24">
                  <c:v>IT</c:v>
                </c:pt>
                <c:pt idx="25">
                  <c:v>FR</c:v>
                </c:pt>
                <c:pt idx="26">
                  <c:v>UK</c:v>
                </c:pt>
                <c:pt idx="27">
                  <c:v>DE</c:v>
                </c:pt>
              </c:strCache>
            </c:strRef>
          </c:cat>
          <c:val>
            <c:numRef>
              <c:f>Total!$G$111:$G$138</c:f>
              <c:numCache>
                <c:formatCode>0</c:formatCode>
                <c:ptCount val="28"/>
                <c:pt idx="0">
                  <c:v>6</c:v>
                </c:pt>
                <c:pt idx="1">
                  <c:v>23</c:v>
                </c:pt>
                <c:pt idx="2">
                  <c:v>28</c:v>
                </c:pt>
                <c:pt idx="3">
                  <c:v>65</c:v>
                </c:pt>
                <c:pt idx="4">
                  <c:v>105</c:v>
                </c:pt>
                <c:pt idx="5">
                  <c:v>111</c:v>
                </c:pt>
                <c:pt idx="6">
                  <c:v>114</c:v>
                </c:pt>
                <c:pt idx="7">
                  <c:v>158</c:v>
                </c:pt>
                <c:pt idx="8">
                  <c:v>159</c:v>
                </c:pt>
                <c:pt idx="9">
                  <c:v>191</c:v>
                </c:pt>
                <c:pt idx="10">
                  <c:v>218</c:v>
                </c:pt>
                <c:pt idx="11">
                  <c:v>219</c:v>
                </c:pt>
                <c:pt idx="12">
                  <c:v>220</c:v>
                </c:pt>
                <c:pt idx="13">
                  <c:v>300</c:v>
                </c:pt>
                <c:pt idx="14">
                  <c:v>307</c:v>
                </c:pt>
                <c:pt idx="15">
                  <c:v>504</c:v>
                </c:pt>
                <c:pt idx="16">
                  <c:v>691</c:v>
                </c:pt>
                <c:pt idx="17">
                  <c:v>768</c:v>
                </c:pt>
                <c:pt idx="18">
                  <c:v>1177</c:v>
                </c:pt>
                <c:pt idx="19">
                  <c:v>2128</c:v>
                </c:pt>
                <c:pt idx="20">
                  <c:v>2485</c:v>
                </c:pt>
                <c:pt idx="21">
                  <c:v>3215</c:v>
                </c:pt>
                <c:pt idx="22">
                  <c:v>3824</c:v>
                </c:pt>
                <c:pt idx="23">
                  <c:v>4534</c:v>
                </c:pt>
                <c:pt idx="24">
                  <c:v>7345</c:v>
                </c:pt>
                <c:pt idx="25">
                  <c:v>27268</c:v>
                </c:pt>
                <c:pt idx="26">
                  <c:v>28598</c:v>
                </c:pt>
                <c:pt idx="27">
                  <c:v>35271</c:v>
                </c:pt>
              </c:numCache>
            </c:numRef>
          </c:val>
        </c:ser>
        <c:dLbls>
          <c:dLblPos val="outEnd"/>
          <c:showLegendKey val="0"/>
          <c:showVal val="1"/>
          <c:showCatName val="0"/>
          <c:showSerName val="0"/>
          <c:showPercent val="0"/>
          <c:showBubbleSize val="0"/>
        </c:dLbls>
        <c:gapWidth val="150"/>
        <c:axId val="209015936"/>
        <c:axId val="209019264"/>
      </c:barChart>
      <c:catAx>
        <c:axId val="209015936"/>
        <c:scaling>
          <c:orientation val="minMax"/>
        </c:scaling>
        <c:delete val="0"/>
        <c:axPos val="l"/>
        <c:title>
          <c:tx>
            <c:rich>
              <a:bodyPr rot="0" vert="horz"/>
              <a:lstStyle/>
              <a:p>
                <a:pPr algn="just">
                  <a:defRPr b="0"/>
                </a:pPr>
                <a:r>
                  <a:rPr lang="en-GB" b="0"/>
                  <a:t>Requests</a:t>
                </a:r>
              </a:p>
            </c:rich>
          </c:tx>
          <c:layout>
            <c:manualLayout>
              <c:xMode val="edge"/>
              <c:yMode val="edge"/>
              <c:x val="0.88377416183581792"/>
              <c:y val="0.90813584777538048"/>
            </c:manualLayout>
          </c:layout>
          <c:overlay val="0"/>
        </c:title>
        <c:majorTickMark val="none"/>
        <c:minorTickMark val="none"/>
        <c:tickLblPos val="nextTo"/>
        <c:crossAx val="209019264"/>
        <c:crosses val="autoZero"/>
        <c:auto val="1"/>
        <c:lblAlgn val="ctr"/>
        <c:lblOffset val="100"/>
        <c:noMultiLvlLbl val="0"/>
      </c:catAx>
      <c:valAx>
        <c:axId val="209019264"/>
        <c:scaling>
          <c:orientation val="minMax"/>
          <c:max val="40000"/>
        </c:scaling>
        <c:delete val="0"/>
        <c:axPos val="b"/>
        <c:title>
          <c:tx>
            <c:rich>
              <a:bodyPr rot="0" vert="horz"/>
              <a:lstStyle/>
              <a:p>
                <a:pPr algn="just">
                  <a:defRPr b="0"/>
                </a:pPr>
                <a:r>
                  <a:rPr lang="en-US" b="0" baseline="0"/>
                  <a:t>Member State</a:t>
                </a:r>
                <a:endParaRPr lang="en-US" b="0"/>
              </a:p>
            </c:rich>
          </c:tx>
          <c:layout>
            <c:manualLayout>
              <c:xMode val="edge"/>
              <c:yMode val="edge"/>
              <c:x val="5.8794487409419955E-4"/>
              <c:y val="3.3673175079272887E-2"/>
            </c:manualLayout>
          </c:layout>
          <c:overlay val="0"/>
        </c:title>
        <c:numFmt formatCode="#,##0" sourceLinked="0"/>
        <c:majorTickMark val="none"/>
        <c:minorTickMark val="none"/>
        <c:tickLblPos val="nextTo"/>
        <c:crossAx val="209015936"/>
        <c:crosses val="autoZero"/>
        <c:crossBetween val="between"/>
        <c:majorUnit val="10000"/>
      </c:valAx>
    </c:plotArea>
    <c:plotVisOnly val="1"/>
    <c:dispBlanksAs val="gap"/>
    <c:showDLblsOverMax val="0"/>
  </c:chart>
  <c:spPr>
    <a:ln>
      <a:noFill/>
    </a:ln>
  </c:spPr>
  <c:txPr>
    <a:bodyPr/>
    <a:lstStyle/>
    <a:p>
      <a:pPr algn="just">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739008533219908E-2"/>
          <c:y val="0.12037037037037036"/>
          <c:w val="0.9015898004678824"/>
          <c:h val="0.77076370662000582"/>
        </c:manualLayout>
      </c:layout>
      <c:barChart>
        <c:barDir val="col"/>
        <c:grouping val="clustered"/>
        <c:varyColors val="0"/>
        <c:ser>
          <c:idx val="0"/>
          <c:order val="0"/>
          <c:invertIfNegative val="0"/>
          <c:dLbls>
            <c:numFmt formatCode="0%" sourceLinked="0"/>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Total!$F$43:$F$50</c:f>
              <c:strCache>
                <c:ptCount val="8"/>
                <c:pt idx="0">
                  <c:v>1H 2013</c:v>
                </c:pt>
                <c:pt idx="1">
                  <c:v>2H 2013</c:v>
                </c:pt>
                <c:pt idx="2">
                  <c:v>1H 2014</c:v>
                </c:pt>
                <c:pt idx="3">
                  <c:v>2H 2014</c:v>
                </c:pt>
                <c:pt idx="4">
                  <c:v>1H 2015</c:v>
                </c:pt>
                <c:pt idx="5">
                  <c:v>2H 2015</c:v>
                </c:pt>
                <c:pt idx="6">
                  <c:v>1H 2016</c:v>
                </c:pt>
                <c:pt idx="7">
                  <c:v>2H 2016</c:v>
                </c:pt>
              </c:strCache>
            </c:strRef>
          </c:cat>
          <c:val>
            <c:numRef>
              <c:f>Total!$I$43:$I$50</c:f>
              <c:numCache>
                <c:formatCode>0.00%</c:formatCode>
                <c:ptCount val="8"/>
                <c:pt idx="0">
                  <c:v>0.45650281123780012</c:v>
                </c:pt>
                <c:pt idx="1">
                  <c:v>0.44820520081006415</c:v>
                </c:pt>
                <c:pt idx="2">
                  <c:v>0.4486849551622597</c:v>
                </c:pt>
                <c:pt idx="3">
                  <c:v>0.43573341823125222</c:v>
                </c:pt>
                <c:pt idx="4">
                  <c:v>0.44487373978250055</c:v>
                </c:pt>
                <c:pt idx="5">
                  <c:v>0.4770376019203626</c:v>
                </c:pt>
                <c:pt idx="6">
                  <c:v>0.53002463278809897</c:v>
                </c:pt>
                <c:pt idx="7">
                  <c:v>0.58150542455159293</c:v>
                </c:pt>
              </c:numCache>
            </c:numRef>
          </c:val>
        </c:ser>
        <c:dLbls>
          <c:showLegendKey val="0"/>
          <c:showVal val="0"/>
          <c:showCatName val="0"/>
          <c:showSerName val="0"/>
          <c:showPercent val="0"/>
          <c:showBubbleSize val="0"/>
        </c:dLbls>
        <c:gapWidth val="81"/>
        <c:axId val="203421952"/>
        <c:axId val="203625600"/>
      </c:barChart>
      <c:catAx>
        <c:axId val="203421952"/>
        <c:scaling>
          <c:orientation val="minMax"/>
        </c:scaling>
        <c:delete val="0"/>
        <c:axPos val="b"/>
        <c:majorTickMark val="out"/>
        <c:minorTickMark val="none"/>
        <c:tickLblPos val="nextTo"/>
        <c:crossAx val="203625600"/>
        <c:crosses val="autoZero"/>
        <c:auto val="1"/>
        <c:lblAlgn val="ctr"/>
        <c:lblOffset val="100"/>
        <c:noMultiLvlLbl val="0"/>
      </c:catAx>
      <c:valAx>
        <c:axId val="203625600"/>
        <c:scaling>
          <c:orientation val="minMax"/>
          <c:max val="1"/>
        </c:scaling>
        <c:delete val="0"/>
        <c:axPos val="l"/>
        <c:title>
          <c:tx>
            <c:rich>
              <a:bodyPr rot="0" vert="horz"/>
              <a:lstStyle/>
              <a:p>
                <a:pPr algn="l">
                  <a:defRPr b="0"/>
                </a:pPr>
                <a:r>
                  <a:rPr lang="en-US" b="0"/>
                  <a:t>Requests answered</a:t>
                </a:r>
              </a:p>
            </c:rich>
          </c:tx>
          <c:layout>
            <c:manualLayout>
              <c:xMode val="edge"/>
              <c:yMode val="edge"/>
              <c:x val="0"/>
              <c:y val="2.2798191892680082E-3"/>
            </c:manualLayout>
          </c:layout>
          <c:overlay val="0"/>
        </c:title>
        <c:numFmt formatCode="0%" sourceLinked="0"/>
        <c:majorTickMark val="out"/>
        <c:minorTickMark val="none"/>
        <c:tickLblPos val="nextTo"/>
        <c:crossAx val="203421952"/>
        <c:crosses val="autoZero"/>
        <c:crossBetween val="between"/>
        <c:majorUnit val="0.5"/>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40507436570431"/>
          <c:y val="0.18138160868015624"/>
          <c:w val="0.85103937007874031"/>
          <c:h val="0.70270905824126162"/>
        </c:manualLayout>
      </c:layout>
      <c:barChart>
        <c:barDir val="col"/>
        <c:grouping val="clustered"/>
        <c:varyColors val="0"/>
        <c:ser>
          <c:idx val="0"/>
          <c:order val="0"/>
          <c:invertIfNegative val="0"/>
          <c:dLbls>
            <c:numFmt formatCode="#,##0" sourceLinked="0"/>
            <c:showLegendKey val="0"/>
            <c:showVal val="1"/>
            <c:showCatName val="0"/>
            <c:showSerName val="0"/>
            <c:showPercent val="0"/>
            <c:showBubbleSize val="0"/>
            <c:showLeaderLines val="0"/>
          </c:dLbls>
          <c:cat>
            <c:strRef>
              <c:f>'[data-requests (2).xlsx]Total'!$F$71:$F$75</c:f>
              <c:strCache>
                <c:ptCount val="5"/>
                <c:pt idx="0">
                  <c:v>Google</c:v>
                </c:pt>
                <c:pt idx="1">
                  <c:v>Facebook</c:v>
                </c:pt>
                <c:pt idx="2">
                  <c:v>Microsoft</c:v>
                </c:pt>
                <c:pt idx="3">
                  <c:v>Twitter</c:v>
                </c:pt>
                <c:pt idx="4">
                  <c:v>Apple</c:v>
                </c:pt>
              </c:strCache>
            </c:strRef>
          </c:cat>
          <c:val>
            <c:numRef>
              <c:f>'[data-requests (2).xlsx]Total'!$G$71:$G$75</c:f>
              <c:numCache>
                <c:formatCode>General</c:formatCode>
                <c:ptCount val="5"/>
                <c:pt idx="0">
                  <c:v>42556</c:v>
                </c:pt>
                <c:pt idx="1">
                  <c:v>41886</c:v>
                </c:pt>
                <c:pt idx="2">
                  <c:v>31025</c:v>
                </c:pt>
                <c:pt idx="3">
                  <c:v>3306</c:v>
                </c:pt>
                <c:pt idx="4">
                  <c:v>1259</c:v>
                </c:pt>
              </c:numCache>
            </c:numRef>
          </c:val>
        </c:ser>
        <c:dLbls>
          <c:showLegendKey val="0"/>
          <c:showVal val="0"/>
          <c:showCatName val="0"/>
          <c:showSerName val="0"/>
          <c:showPercent val="0"/>
          <c:showBubbleSize val="0"/>
        </c:dLbls>
        <c:gapWidth val="150"/>
        <c:axId val="209035264"/>
        <c:axId val="209036800"/>
      </c:barChart>
      <c:catAx>
        <c:axId val="209035264"/>
        <c:scaling>
          <c:orientation val="minMax"/>
        </c:scaling>
        <c:delete val="0"/>
        <c:axPos val="b"/>
        <c:majorTickMark val="out"/>
        <c:minorTickMark val="none"/>
        <c:tickLblPos val="nextTo"/>
        <c:crossAx val="209036800"/>
        <c:crosses val="autoZero"/>
        <c:auto val="1"/>
        <c:lblAlgn val="ctr"/>
        <c:lblOffset val="100"/>
        <c:noMultiLvlLbl val="0"/>
      </c:catAx>
      <c:valAx>
        <c:axId val="209036800"/>
        <c:scaling>
          <c:orientation val="minMax"/>
        </c:scaling>
        <c:delete val="0"/>
        <c:axPos val="l"/>
        <c:title>
          <c:tx>
            <c:rich>
              <a:bodyPr rot="0" vert="horz"/>
              <a:lstStyle/>
              <a:p>
                <a:pPr>
                  <a:defRPr/>
                </a:pPr>
                <a:r>
                  <a:rPr lang="en-US"/>
                  <a:t>Thousand requests</a:t>
                </a:r>
              </a:p>
            </c:rich>
          </c:tx>
          <c:layout>
            <c:manualLayout>
              <c:xMode val="edge"/>
              <c:yMode val="edge"/>
              <c:x val="3.1371189061063079E-2"/>
              <c:y val="2.7701617792409636E-2"/>
            </c:manualLayout>
          </c:layout>
          <c:overlay val="0"/>
        </c:title>
        <c:numFmt formatCode="#,##0" sourceLinked="0"/>
        <c:majorTickMark val="out"/>
        <c:minorTickMark val="none"/>
        <c:tickLblPos val="low"/>
        <c:crossAx val="209035264"/>
        <c:crosses val="autoZero"/>
        <c:crossBetween val="between"/>
        <c:majorUnit val="15000"/>
        <c:dispUnits>
          <c:builtInUnit val="thousands"/>
        </c:dispUnits>
      </c:valAx>
      <c:spPr>
        <a:noFill/>
        <a:ln w="25400">
          <a:noFill/>
        </a:ln>
      </c:spPr>
    </c:plotArea>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616800574801"/>
          <c:y val="0.12068268506284911"/>
          <c:w val="0.82245189243849726"/>
          <c:h val="0.70012906325895208"/>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Content!$AZ$84:$AZ$90</c:f>
              <c:strCache>
                <c:ptCount val="7"/>
                <c:pt idx="0">
                  <c:v>Hours</c:v>
                </c:pt>
                <c:pt idx="1">
                  <c:v>A day</c:v>
                </c:pt>
                <c:pt idx="2">
                  <c:v>2 days</c:v>
                </c:pt>
                <c:pt idx="3">
                  <c:v>3-5 days</c:v>
                </c:pt>
                <c:pt idx="4">
                  <c:v>6-10 days</c:v>
                </c:pt>
                <c:pt idx="5">
                  <c:v>11-30 days</c:v>
                </c:pt>
                <c:pt idx="6">
                  <c:v>More</c:v>
                </c:pt>
              </c:strCache>
            </c:strRef>
          </c:cat>
          <c:val>
            <c:numRef>
              <c:f>Content!$BA$84:$BA$90</c:f>
              <c:numCache>
                <c:formatCode>General</c:formatCode>
                <c:ptCount val="7"/>
                <c:pt idx="0">
                  <c:v>26</c:v>
                </c:pt>
                <c:pt idx="1">
                  <c:v>25</c:v>
                </c:pt>
                <c:pt idx="2">
                  <c:v>11</c:v>
                </c:pt>
                <c:pt idx="3">
                  <c:v>17</c:v>
                </c:pt>
                <c:pt idx="4">
                  <c:v>11</c:v>
                </c:pt>
                <c:pt idx="5">
                  <c:v>11</c:v>
                </c:pt>
                <c:pt idx="6">
                  <c:v>12</c:v>
                </c:pt>
              </c:numCache>
            </c:numRef>
          </c:val>
        </c:ser>
        <c:dLbls>
          <c:showLegendKey val="0"/>
          <c:showVal val="0"/>
          <c:showCatName val="0"/>
          <c:showSerName val="0"/>
          <c:showPercent val="0"/>
          <c:showBubbleSize val="0"/>
        </c:dLbls>
        <c:gapWidth val="75"/>
        <c:axId val="352518144"/>
        <c:axId val="352520064"/>
      </c:barChart>
      <c:catAx>
        <c:axId val="352518144"/>
        <c:scaling>
          <c:orientation val="minMax"/>
        </c:scaling>
        <c:delete val="0"/>
        <c:axPos val="b"/>
        <c:numFmt formatCode="General" sourceLinked="1"/>
        <c:majorTickMark val="none"/>
        <c:minorTickMark val="none"/>
        <c:tickLblPos val="nextTo"/>
        <c:crossAx val="352520064"/>
        <c:crosses val="autoZero"/>
        <c:auto val="1"/>
        <c:lblAlgn val="ctr"/>
        <c:lblOffset val="100"/>
        <c:noMultiLvlLbl val="0"/>
      </c:catAx>
      <c:valAx>
        <c:axId val="352520064"/>
        <c:scaling>
          <c:orientation val="minMax"/>
          <c:max val="50"/>
          <c:min val="0"/>
        </c:scaling>
        <c:delete val="0"/>
        <c:axPos val="l"/>
        <c:title>
          <c:tx>
            <c:rich>
              <a:bodyPr rot="0" vert="horz"/>
              <a:lstStyle/>
              <a:p>
                <a:pPr>
                  <a:defRPr/>
                </a:pPr>
                <a:r>
                  <a:rPr lang="en-GB" b="0"/>
                  <a:t>Answers</a:t>
                </a:r>
              </a:p>
            </c:rich>
          </c:tx>
          <c:layout>
            <c:manualLayout>
              <c:xMode val="edge"/>
              <c:yMode val="edge"/>
              <c:x val="6.1803910344837197E-2"/>
              <c:y val="8.5490448338435758E-4"/>
            </c:manualLayout>
          </c:layout>
          <c:overlay val="0"/>
        </c:title>
        <c:numFmt formatCode="General" sourceLinked="1"/>
        <c:majorTickMark val="none"/>
        <c:minorTickMark val="none"/>
        <c:tickLblPos val="nextTo"/>
        <c:crossAx val="352518144"/>
        <c:crosses val="autoZero"/>
        <c:crossBetween val="between"/>
        <c:majorUnit val="1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4501639273284"/>
          <c:y val="0.13252685118022844"/>
          <c:w val="0.82245189243849726"/>
          <c:h val="0.68295756780402439"/>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Content!$DE$84:$DE$90</c:f>
              <c:strCache>
                <c:ptCount val="7"/>
                <c:pt idx="0">
                  <c:v>Hours</c:v>
                </c:pt>
                <c:pt idx="1">
                  <c:v>A day</c:v>
                </c:pt>
                <c:pt idx="2">
                  <c:v>2 days</c:v>
                </c:pt>
                <c:pt idx="3">
                  <c:v>3-5 days</c:v>
                </c:pt>
                <c:pt idx="4">
                  <c:v>6-10 days</c:v>
                </c:pt>
                <c:pt idx="5">
                  <c:v>11-30 days</c:v>
                </c:pt>
                <c:pt idx="6">
                  <c:v>More</c:v>
                </c:pt>
              </c:strCache>
            </c:strRef>
          </c:cat>
          <c:val>
            <c:numRef>
              <c:f>Content!$DF$84:$DF$90</c:f>
              <c:numCache>
                <c:formatCode>General</c:formatCode>
                <c:ptCount val="7"/>
                <c:pt idx="0">
                  <c:v>22</c:v>
                </c:pt>
                <c:pt idx="1">
                  <c:v>16</c:v>
                </c:pt>
                <c:pt idx="2">
                  <c:v>15</c:v>
                </c:pt>
                <c:pt idx="3">
                  <c:v>11</c:v>
                </c:pt>
                <c:pt idx="4">
                  <c:v>15</c:v>
                </c:pt>
                <c:pt idx="5">
                  <c:v>11</c:v>
                </c:pt>
                <c:pt idx="6">
                  <c:v>11</c:v>
                </c:pt>
              </c:numCache>
            </c:numRef>
          </c:val>
        </c:ser>
        <c:dLbls>
          <c:showLegendKey val="0"/>
          <c:showVal val="0"/>
          <c:showCatName val="0"/>
          <c:showSerName val="0"/>
          <c:showPercent val="0"/>
          <c:showBubbleSize val="0"/>
        </c:dLbls>
        <c:gapWidth val="75"/>
        <c:axId val="368183936"/>
        <c:axId val="371212672"/>
      </c:barChart>
      <c:catAx>
        <c:axId val="368183936"/>
        <c:scaling>
          <c:orientation val="minMax"/>
        </c:scaling>
        <c:delete val="0"/>
        <c:axPos val="b"/>
        <c:numFmt formatCode="General" sourceLinked="1"/>
        <c:majorTickMark val="none"/>
        <c:minorTickMark val="none"/>
        <c:tickLblPos val="nextTo"/>
        <c:crossAx val="371212672"/>
        <c:crosses val="autoZero"/>
        <c:auto val="1"/>
        <c:lblAlgn val="ctr"/>
        <c:lblOffset val="100"/>
        <c:noMultiLvlLbl val="0"/>
      </c:catAx>
      <c:valAx>
        <c:axId val="371212672"/>
        <c:scaling>
          <c:orientation val="minMax"/>
          <c:max val="50"/>
          <c:min val="0"/>
        </c:scaling>
        <c:delete val="0"/>
        <c:axPos val="l"/>
        <c:title>
          <c:tx>
            <c:rich>
              <a:bodyPr rot="0" vert="horz"/>
              <a:lstStyle/>
              <a:p>
                <a:pPr>
                  <a:defRPr/>
                </a:pPr>
                <a:r>
                  <a:rPr lang="en-GB" b="0"/>
                  <a:t>Answers</a:t>
                </a:r>
              </a:p>
            </c:rich>
          </c:tx>
          <c:layout>
            <c:manualLayout>
              <c:xMode val="edge"/>
              <c:yMode val="edge"/>
              <c:x val="6.1803910344837197E-2"/>
              <c:y val="8.5490448338435758E-4"/>
            </c:manualLayout>
          </c:layout>
          <c:overlay val="0"/>
        </c:title>
        <c:numFmt formatCode="General" sourceLinked="1"/>
        <c:majorTickMark val="none"/>
        <c:minorTickMark val="none"/>
        <c:tickLblPos val="nextTo"/>
        <c:crossAx val="368183936"/>
        <c:crosses val="autoZero"/>
        <c:crossBetween val="between"/>
        <c:majorUnit val="1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71092563117339"/>
          <c:y val="0.12638809143164506"/>
          <c:w val="0.82245189243849726"/>
          <c:h val="0.69469977081545842"/>
        </c:manualLayout>
      </c:layout>
      <c:barChart>
        <c:barDir val="col"/>
        <c:grouping val="clustered"/>
        <c:varyColors val="0"/>
        <c:ser>
          <c:idx val="0"/>
          <c:order val="0"/>
          <c:invertIfNegative val="0"/>
          <c:dLbls>
            <c:dLbl>
              <c:idx val="0"/>
              <c:layout>
                <c:manualLayout>
                  <c:x val="0"/>
                  <c:y val="1.623774444517843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Content!$FJ$84:$FJ$90</c:f>
              <c:strCache>
                <c:ptCount val="7"/>
                <c:pt idx="0">
                  <c:v>Hours</c:v>
                </c:pt>
                <c:pt idx="1">
                  <c:v>A day</c:v>
                </c:pt>
                <c:pt idx="2">
                  <c:v>2 days</c:v>
                </c:pt>
                <c:pt idx="3">
                  <c:v>3-5 days</c:v>
                </c:pt>
                <c:pt idx="4">
                  <c:v>6-10 days</c:v>
                </c:pt>
                <c:pt idx="5">
                  <c:v>11-30 days</c:v>
                </c:pt>
                <c:pt idx="6">
                  <c:v>More</c:v>
                </c:pt>
              </c:strCache>
            </c:strRef>
          </c:cat>
          <c:val>
            <c:numRef>
              <c:f>Content!$FK$84:$FK$90</c:f>
              <c:numCache>
                <c:formatCode>General</c:formatCode>
                <c:ptCount val="7"/>
                <c:pt idx="0">
                  <c:v>38</c:v>
                </c:pt>
                <c:pt idx="1">
                  <c:v>19</c:v>
                </c:pt>
                <c:pt idx="2">
                  <c:v>7</c:v>
                </c:pt>
                <c:pt idx="3">
                  <c:v>13</c:v>
                </c:pt>
                <c:pt idx="4">
                  <c:v>4</c:v>
                </c:pt>
                <c:pt idx="5">
                  <c:v>0</c:v>
                </c:pt>
                <c:pt idx="6">
                  <c:v>0</c:v>
                </c:pt>
              </c:numCache>
            </c:numRef>
          </c:val>
        </c:ser>
        <c:dLbls>
          <c:showLegendKey val="0"/>
          <c:showVal val="0"/>
          <c:showCatName val="0"/>
          <c:showSerName val="0"/>
          <c:showPercent val="0"/>
          <c:showBubbleSize val="0"/>
        </c:dLbls>
        <c:gapWidth val="75"/>
        <c:axId val="374670464"/>
        <c:axId val="374672384"/>
      </c:barChart>
      <c:catAx>
        <c:axId val="374670464"/>
        <c:scaling>
          <c:orientation val="minMax"/>
        </c:scaling>
        <c:delete val="0"/>
        <c:axPos val="b"/>
        <c:numFmt formatCode="General" sourceLinked="1"/>
        <c:majorTickMark val="none"/>
        <c:minorTickMark val="none"/>
        <c:tickLblPos val="nextTo"/>
        <c:crossAx val="374672384"/>
        <c:crosses val="autoZero"/>
        <c:auto val="1"/>
        <c:lblAlgn val="ctr"/>
        <c:lblOffset val="100"/>
        <c:noMultiLvlLbl val="0"/>
      </c:catAx>
      <c:valAx>
        <c:axId val="374672384"/>
        <c:scaling>
          <c:orientation val="minMax"/>
          <c:max val="50"/>
          <c:min val="0"/>
        </c:scaling>
        <c:delete val="0"/>
        <c:axPos val="l"/>
        <c:title>
          <c:tx>
            <c:rich>
              <a:bodyPr rot="0" vert="horz"/>
              <a:lstStyle/>
              <a:p>
                <a:pPr>
                  <a:defRPr/>
                </a:pPr>
                <a:r>
                  <a:rPr lang="en-GB" b="0"/>
                  <a:t>Answers</a:t>
                </a:r>
              </a:p>
            </c:rich>
          </c:tx>
          <c:layout>
            <c:manualLayout>
              <c:xMode val="edge"/>
              <c:yMode val="edge"/>
              <c:x val="6.7704615153019537E-2"/>
              <c:y val="8.5762524466225399E-4"/>
            </c:manualLayout>
          </c:layout>
          <c:overlay val="0"/>
        </c:title>
        <c:numFmt formatCode="General" sourceLinked="1"/>
        <c:majorTickMark val="none"/>
        <c:minorTickMark val="none"/>
        <c:tickLblPos val="nextTo"/>
        <c:crossAx val="374670464"/>
        <c:crosses val="autoZero"/>
        <c:crossBetween val="between"/>
        <c:majorUnit val="1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66017120486667"/>
          <c:y val="0.13624117668403404"/>
          <c:w val="0.82245189243849726"/>
          <c:h val="0.6838411859284711"/>
        </c:manualLayout>
      </c:layout>
      <c:barChart>
        <c:barDir val="col"/>
        <c:grouping val="clustered"/>
        <c:varyColors val="0"/>
        <c:ser>
          <c:idx val="0"/>
          <c:order val="0"/>
          <c:invertIfNegative val="0"/>
          <c:dLbls>
            <c:dLbl>
              <c:idx val="0"/>
              <c:layout>
                <c:manualLayout>
                  <c:x val="0"/>
                  <c:y val="1.623774444517843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Content!$HO$84:$HO$90</c:f>
              <c:strCache>
                <c:ptCount val="7"/>
                <c:pt idx="0">
                  <c:v>Hours</c:v>
                </c:pt>
                <c:pt idx="1">
                  <c:v>A day</c:v>
                </c:pt>
                <c:pt idx="2">
                  <c:v>2 days</c:v>
                </c:pt>
                <c:pt idx="3">
                  <c:v>3-5 days</c:v>
                </c:pt>
                <c:pt idx="4">
                  <c:v>6-10 days</c:v>
                </c:pt>
                <c:pt idx="5">
                  <c:v>11-30 days</c:v>
                </c:pt>
                <c:pt idx="6">
                  <c:v>More</c:v>
                </c:pt>
              </c:strCache>
            </c:strRef>
          </c:cat>
          <c:val>
            <c:numRef>
              <c:f>Content!$HP$84:$HP$90</c:f>
              <c:numCache>
                <c:formatCode>General</c:formatCode>
                <c:ptCount val="7"/>
                <c:pt idx="0">
                  <c:v>22</c:v>
                </c:pt>
                <c:pt idx="1">
                  <c:v>23</c:v>
                </c:pt>
                <c:pt idx="2">
                  <c:v>2</c:v>
                </c:pt>
                <c:pt idx="3">
                  <c:v>8</c:v>
                </c:pt>
                <c:pt idx="4">
                  <c:v>6</c:v>
                </c:pt>
                <c:pt idx="5">
                  <c:v>0</c:v>
                </c:pt>
                <c:pt idx="6">
                  <c:v>0</c:v>
                </c:pt>
              </c:numCache>
            </c:numRef>
          </c:val>
        </c:ser>
        <c:dLbls>
          <c:showLegendKey val="0"/>
          <c:showVal val="0"/>
          <c:showCatName val="0"/>
          <c:showSerName val="0"/>
          <c:showPercent val="0"/>
          <c:showBubbleSize val="0"/>
        </c:dLbls>
        <c:gapWidth val="75"/>
        <c:axId val="402834560"/>
        <c:axId val="402836480"/>
      </c:barChart>
      <c:catAx>
        <c:axId val="402834560"/>
        <c:scaling>
          <c:orientation val="minMax"/>
        </c:scaling>
        <c:delete val="0"/>
        <c:axPos val="b"/>
        <c:numFmt formatCode="General" sourceLinked="1"/>
        <c:majorTickMark val="none"/>
        <c:minorTickMark val="none"/>
        <c:tickLblPos val="nextTo"/>
        <c:crossAx val="402836480"/>
        <c:crosses val="autoZero"/>
        <c:auto val="1"/>
        <c:lblAlgn val="ctr"/>
        <c:lblOffset val="100"/>
        <c:noMultiLvlLbl val="0"/>
      </c:catAx>
      <c:valAx>
        <c:axId val="402836480"/>
        <c:scaling>
          <c:orientation val="minMax"/>
          <c:max val="50"/>
          <c:min val="0"/>
        </c:scaling>
        <c:delete val="0"/>
        <c:axPos val="l"/>
        <c:title>
          <c:tx>
            <c:rich>
              <a:bodyPr rot="0" vert="horz"/>
              <a:lstStyle/>
              <a:p>
                <a:pPr>
                  <a:defRPr/>
                </a:pPr>
                <a:r>
                  <a:rPr lang="en-GB" b="0"/>
                  <a:t>Answers</a:t>
                </a:r>
              </a:p>
            </c:rich>
          </c:tx>
          <c:layout>
            <c:manualLayout>
              <c:xMode val="edge"/>
              <c:yMode val="edge"/>
              <c:x val="6.7704615153019537E-2"/>
              <c:y val="8.5762524466225399E-4"/>
            </c:manualLayout>
          </c:layout>
          <c:overlay val="0"/>
        </c:title>
        <c:numFmt formatCode="General" sourceLinked="1"/>
        <c:majorTickMark val="none"/>
        <c:minorTickMark val="none"/>
        <c:tickLblPos val="nextTo"/>
        <c:crossAx val="402834560"/>
        <c:crosses val="autoZero"/>
        <c:crossBetween val="between"/>
        <c:majorUnit val="1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948867973707"/>
          <c:y val="0.16542182227221597"/>
          <c:w val="0.82245189243849726"/>
          <c:h val="0.65041792852816471"/>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Content!$BB$84:$BB$90</c:f>
              <c:strCache>
                <c:ptCount val="7"/>
                <c:pt idx="0">
                  <c:v>Hours</c:v>
                </c:pt>
                <c:pt idx="1">
                  <c:v>A day</c:v>
                </c:pt>
                <c:pt idx="2">
                  <c:v>2 days</c:v>
                </c:pt>
                <c:pt idx="3">
                  <c:v>3-5 days</c:v>
                </c:pt>
                <c:pt idx="4">
                  <c:v>6-10 days</c:v>
                </c:pt>
                <c:pt idx="5">
                  <c:v>11-30 days</c:v>
                </c:pt>
                <c:pt idx="6">
                  <c:v>More</c:v>
                </c:pt>
              </c:strCache>
            </c:strRef>
          </c:cat>
          <c:val>
            <c:numRef>
              <c:f>Content!$BC$84:$BC$90</c:f>
              <c:numCache>
                <c:formatCode>General</c:formatCode>
                <c:ptCount val="7"/>
                <c:pt idx="0">
                  <c:v>109</c:v>
                </c:pt>
                <c:pt idx="1">
                  <c:v>70</c:v>
                </c:pt>
                <c:pt idx="2">
                  <c:v>35</c:v>
                </c:pt>
                <c:pt idx="3">
                  <c:v>49</c:v>
                </c:pt>
                <c:pt idx="4">
                  <c:v>35</c:v>
                </c:pt>
                <c:pt idx="5">
                  <c:v>25</c:v>
                </c:pt>
                <c:pt idx="6">
                  <c:v>26</c:v>
                </c:pt>
              </c:numCache>
            </c:numRef>
          </c:val>
        </c:ser>
        <c:dLbls>
          <c:showLegendKey val="0"/>
          <c:showVal val="0"/>
          <c:showCatName val="0"/>
          <c:showSerName val="0"/>
          <c:showPercent val="0"/>
          <c:showBubbleSize val="0"/>
        </c:dLbls>
        <c:gapWidth val="75"/>
        <c:axId val="441456896"/>
        <c:axId val="443742464"/>
      </c:barChart>
      <c:catAx>
        <c:axId val="441456896"/>
        <c:scaling>
          <c:orientation val="minMax"/>
        </c:scaling>
        <c:delete val="0"/>
        <c:axPos val="b"/>
        <c:numFmt formatCode="General" sourceLinked="1"/>
        <c:majorTickMark val="none"/>
        <c:minorTickMark val="none"/>
        <c:tickLblPos val="nextTo"/>
        <c:crossAx val="443742464"/>
        <c:crosses val="autoZero"/>
        <c:auto val="1"/>
        <c:lblAlgn val="ctr"/>
        <c:lblOffset val="100"/>
        <c:noMultiLvlLbl val="0"/>
      </c:catAx>
      <c:valAx>
        <c:axId val="443742464"/>
        <c:scaling>
          <c:orientation val="minMax"/>
          <c:max val="150"/>
          <c:min val="0"/>
        </c:scaling>
        <c:delete val="0"/>
        <c:axPos val="l"/>
        <c:title>
          <c:tx>
            <c:rich>
              <a:bodyPr rot="0" vert="horz"/>
              <a:lstStyle/>
              <a:p>
                <a:pPr>
                  <a:defRPr/>
                </a:pPr>
                <a:r>
                  <a:rPr lang="en-GB" b="0"/>
                  <a:t>Answers</a:t>
                </a:r>
              </a:p>
            </c:rich>
          </c:tx>
          <c:layout>
            <c:manualLayout>
              <c:xMode val="edge"/>
              <c:yMode val="edge"/>
              <c:x val="6.1803910344837197E-2"/>
              <c:y val="8.5490448338435758E-4"/>
            </c:manualLayout>
          </c:layout>
          <c:overlay val="0"/>
        </c:title>
        <c:numFmt formatCode="General" sourceLinked="1"/>
        <c:majorTickMark val="none"/>
        <c:minorTickMark val="none"/>
        <c:tickLblPos val="nextTo"/>
        <c:crossAx val="441456896"/>
        <c:crosses val="autoZero"/>
        <c:crossBetween val="between"/>
        <c:majorUnit val="5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6120274414528"/>
          <c:y val="0.14466006891844652"/>
          <c:w val="0.82245189243849726"/>
          <c:h val="0.68485008893205801"/>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Content!$DG$84:$DG$90</c:f>
              <c:strCache>
                <c:ptCount val="7"/>
                <c:pt idx="0">
                  <c:v>Hours</c:v>
                </c:pt>
                <c:pt idx="1">
                  <c:v>A day</c:v>
                </c:pt>
                <c:pt idx="2">
                  <c:v>2 days</c:v>
                </c:pt>
                <c:pt idx="3">
                  <c:v>3-5 days</c:v>
                </c:pt>
                <c:pt idx="4">
                  <c:v>6-10 days</c:v>
                </c:pt>
                <c:pt idx="5">
                  <c:v>11-30 days</c:v>
                </c:pt>
                <c:pt idx="6">
                  <c:v>More</c:v>
                </c:pt>
              </c:strCache>
            </c:strRef>
          </c:cat>
          <c:val>
            <c:numRef>
              <c:f>Content!$DH$84:$DH$90</c:f>
              <c:numCache>
                <c:formatCode>General</c:formatCode>
                <c:ptCount val="7"/>
                <c:pt idx="0">
                  <c:v>94</c:v>
                </c:pt>
                <c:pt idx="1">
                  <c:v>55</c:v>
                </c:pt>
                <c:pt idx="2">
                  <c:v>35</c:v>
                </c:pt>
                <c:pt idx="3">
                  <c:v>35</c:v>
                </c:pt>
                <c:pt idx="4">
                  <c:v>33</c:v>
                </c:pt>
                <c:pt idx="5">
                  <c:v>29</c:v>
                </c:pt>
                <c:pt idx="6">
                  <c:v>28</c:v>
                </c:pt>
              </c:numCache>
            </c:numRef>
          </c:val>
        </c:ser>
        <c:dLbls>
          <c:showLegendKey val="0"/>
          <c:showVal val="0"/>
          <c:showCatName val="0"/>
          <c:showSerName val="0"/>
          <c:showPercent val="0"/>
          <c:showBubbleSize val="0"/>
        </c:dLbls>
        <c:gapWidth val="75"/>
        <c:axId val="605258112"/>
        <c:axId val="605259648"/>
      </c:barChart>
      <c:catAx>
        <c:axId val="605258112"/>
        <c:scaling>
          <c:orientation val="minMax"/>
        </c:scaling>
        <c:delete val="0"/>
        <c:axPos val="b"/>
        <c:numFmt formatCode="General" sourceLinked="1"/>
        <c:majorTickMark val="none"/>
        <c:minorTickMark val="none"/>
        <c:tickLblPos val="nextTo"/>
        <c:crossAx val="605259648"/>
        <c:crosses val="autoZero"/>
        <c:auto val="1"/>
        <c:lblAlgn val="ctr"/>
        <c:lblOffset val="100"/>
        <c:noMultiLvlLbl val="0"/>
      </c:catAx>
      <c:valAx>
        <c:axId val="605259648"/>
        <c:scaling>
          <c:orientation val="minMax"/>
          <c:max val="150"/>
          <c:min val="0"/>
        </c:scaling>
        <c:delete val="0"/>
        <c:axPos val="l"/>
        <c:title>
          <c:tx>
            <c:rich>
              <a:bodyPr rot="0" vert="horz"/>
              <a:lstStyle/>
              <a:p>
                <a:pPr>
                  <a:defRPr/>
                </a:pPr>
                <a:r>
                  <a:rPr lang="en-GB" b="0"/>
                  <a:t>Answers</a:t>
                </a:r>
              </a:p>
            </c:rich>
          </c:tx>
          <c:layout>
            <c:manualLayout>
              <c:xMode val="edge"/>
              <c:yMode val="edge"/>
              <c:x val="7.6550107217848926E-2"/>
              <c:y val="1.671105858067953E-2"/>
            </c:manualLayout>
          </c:layout>
          <c:overlay val="0"/>
        </c:title>
        <c:numFmt formatCode="General" sourceLinked="1"/>
        <c:majorTickMark val="none"/>
        <c:minorTickMark val="none"/>
        <c:tickLblPos val="nextTo"/>
        <c:crossAx val="605258112"/>
        <c:crosses val="autoZero"/>
        <c:crossBetween val="between"/>
        <c:majorUnit val="5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6164657077051"/>
          <c:y val="0.1359570241275683"/>
          <c:w val="0.82245189243849726"/>
          <c:h val="0.681786047501169"/>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Content!$FL$84:$FL$90</c:f>
              <c:strCache>
                <c:ptCount val="7"/>
                <c:pt idx="0">
                  <c:v>Hours</c:v>
                </c:pt>
                <c:pt idx="1">
                  <c:v>A day</c:v>
                </c:pt>
                <c:pt idx="2">
                  <c:v>2 days</c:v>
                </c:pt>
                <c:pt idx="3">
                  <c:v>3-5 days</c:v>
                </c:pt>
                <c:pt idx="4">
                  <c:v>6-10 days</c:v>
                </c:pt>
                <c:pt idx="5">
                  <c:v>11-30 days</c:v>
                </c:pt>
                <c:pt idx="6">
                  <c:v>More</c:v>
                </c:pt>
              </c:strCache>
            </c:strRef>
          </c:cat>
          <c:val>
            <c:numRef>
              <c:f>Content!$FM$84:$FM$90</c:f>
              <c:numCache>
                <c:formatCode>General</c:formatCode>
                <c:ptCount val="7"/>
                <c:pt idx="0">
                  <c:v>140</c:v>
                </c:pt>
                <c:pt idx="1">
                  <c:v>63</c:v>
                </c:pt>
                <c:pt idx="2">
                  <c:v>24</c:v>
                </c:pt>
                <c:pt idx="3">
                  <c:v>36</c:v>
                </c:pt>
                <c:pt idx="4">
                  <c:v>3</c:v>
                </c:pt>
                <c:pt idx="5">
                  <c:v>0</c:v>
                </c:pt>
                <c:pt idx="6">
                  <c:v>0</c:v>
                </c:pt>
              </c:numCache>
            </c:numRef>
          </c:val>
        </c:ser>
        <c:dLbls>
          <c:showLegendKey val="0"/>
          <c:showVal val="0"/>
          <c:showCatName val="0"/>
          <c:showSerName val="0"/>
          <c:showPercent val="0"/>
          <c:showBubbleSize val="0"/>
        </c:dLbls>
        <c:gapWidth val="75"/>
        <c:axId val="709401600"/>
        <c:axId val="784487168"/>
      </c:barChart>
      <c:catAx>
        <c:axId val="709401600"/>
        <c:scaling>
          <c:orientation val="minMax"/>
        </c:scaling>
        <c:delete val="0"/>
        <c:axPos val="b"/>
        <c:numFmt formatCode="General" sourceLinked="1"/>
        <c:majorTickMark val="none"/>
        <c:minorTickMark val="none"/>
        <c:tickLblPos val="nextTo"/>
        <c:crossAx val="784487168"/>
        <c:crosses val="autoZero"/>
        <c:auto val="1"/>
        <c:lblAlgn val="ctr"/>
        <c:lblOffset val="100"/>
        <c:noMultiLvlLbl val="0"/>
      </c:catAx>
      <c:valAx>
        <c:axId val="784487168"/>
        <c:scaling>
          <c:orientation val="minMax"/>
          <c:max val="150"/>
          <c:min val="0"/>
        </c:scaling>
        <c:delete val="0"/>
        <c:axPos val="l"/>
        <c:title>
          <c:tx>
            <c:rich>
              <a:bodyPr rot="0" vert="horz"/>
              <a:lstStyle/>
              <a:p>
                <a:pPr>
                  <a:defRPr/>
                </a:pPr>
                <a:r>
                  <a:rPr lang="en-GB" b="0"/>
                  <a:t>Answers</a:t>
                </a:r>
              </a:p>
            </c:rich>
          </c:tx>
          <c:layout>
            <c:manualLayout>
              <c:xMode val="edge"/>
              <c:yMode val="edge"/>
              <c:x val="6.1803910344837197E-2"/>
              <c:y val="8.5490448338435758E-4"/>
            </c:manualLayout>
          </c:layout>
          <c:overlay val="0"/>
        </c:title>
        <c:numFmt formatCode="General" sourceLinked="1"/>
        <c:majorTickMark val="none"/>
        <c:minorTickMark val="none"/>
        <c:tickLblPos val="nextTo"/>
        <c:crossAx val="709401600"/>
        <c:crosses val="autoZero"/>
        <c:crossBetween val="between"/>
        <c:majorUnit val="50"/>
      </c:valAx>
      <c:spPr>
        <a:noFill/>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0.15537</cdr:x>
      <cdr:y>0.0647</cdr:y>
    </cdr:from>
    <cdr:to>
      <cdr:x>0.91901</cdr:x>
      <cdr:y>0.33512</cdr:y>
    </cdr:to>
    <cdr:cxnSp macro="">
      <cdr:nvCxnSpPr>
        <cdr:cNvPr id="3" name="Straight Arrow Connector 2"/>
        <cdr:cNvCxnSpPr/>
      </cdr:nvCxnSpPr>
      <cdr:spPr>
        <a:xfrm xmlns:a="http://schemas.openxmlformats.org/drawingml/2006/main" flipV="1">
          <a:off x="895350" y="192271"/>
          <a:ext cx="4400550" cy="803642"/>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0.4595</cdr:x>
      <cdr:y>0.15246</cdr:y>
    </cdr:from>
    <cdr:to>
      <cdr:x>0.58843</cdr:x>
      <cdr:y>0.26282</cdr:y>
    </cdr:to>
    <cdr:sp macro="" textlink="">
      <cdr:nvSpPr>
        <cdr:cNvPr id="4" name="Oval 3"/>
        <cdr:cNvSpPr/>
      </cdr:nvSpPr>
      <cdr:spPr>
        <a:xfrm xmlns:a="http://schemas.openxmlformats.org/drawingml/2006/main">
          <a:off x="2647950" y="453076"/>
          <a:ext cx="742949" cy="327974"/>
        </a:xfrm>
        <a:prstGeom xmlns:a="http://schemas.openxmlformats.org/drawingml/2006/main" prst="ellipse">
          <a:avLst/>
        </a:prstGeom>
        <a:solidFill xmlns:a="http://schemas.openxmlformats.org/drawingml/2006/main">
          <a:schemeClr val="accent6">
            <a:lumMod val="20000"/>
            <a:lumOff val="80000"/>
          </a:schemeClr>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rIns="0"/>
        <a:lstStyle xmlns:a="http://schemas.openxmlformats.org/drawingml/2006/main"/>
        <a:p xmlns:a="http://schemas.openxmlformats.org/drawingml/2006/main">
          <a:r>
            <a:rPr lang="en-US" sz="1200" b="1">
              <a:solidFill>
                <a:sysClr val="windowText" lastClr="000000"/>
              </a:solidFill>
              <a:latin typeface="Times New Roman" panose="02020603050405020304" pitchFamily="18" charset="0"/>
              <a:cs typeface="Times New Roman" panose="02020603050405020304" pitchFamily="18" charset="0"/>
            </a:rPr>
            <a:t>  +70%</a:t>
          </a:r>
        </a:p>
      </cdr:txBody>
    </cdr:sp>
  </cdr:relSizeAnchor>
</c:userShapes>
</file>

<file path=word/drawings/drawing2.xml><?xml version="1.0" encoding="utf-8"?>
<c:userShapes xmlns:c="http://schemas.openxmlformats.org/drawingml/2006/chart">
  <cdr:relSizeAnchor xmlns:cdr="http://schemas.openxmlformats.org/drawingml/2006/chartDrawing">
    <cdr:from>
      <cdr:x>0.06336</cdr:x>
      <cdr:y>0.50437</cdr:y>
    </cdr:from>
    <cdr:to>
      <cdr:x>0.96386</cdr:x>
      <cdr:y>0.50437</cdr:y>
    </cdr:to>
    <cdr:cxnSp macro="">
      <cdr:nvCxnSpPr>
        <cdr:cNvPr id="4" name="Straight Connector 3"/>
        <cdr:cNvCxnSpPr/>
      </cdr:nvCxnSpPr>
      <cdr:spPr>
        <a:xfrm xmlns:a="http://schemas.openxmlformats.org/drawingml/2006/main">
          <a:off x="373896" y="1383600"/>
          <a:ext cx="5313872"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e545963d-d22e-4b1c-8d50-a68973f4b290">EN</EC_Collab_DocumentLanguage>
    <_Status xmlns="http://schemas.microsoft.com/sharepoint/v3/fields">Not Started</_Status>
    <EC_Collab_Reference xmlns="e545963d-d22e-4b1c-8d50-a68973f4b290" xsi:nil="true"/>
    <EC_Collab_Status xmlns="e545963d-d22e-4b1c-8d50-a68973f4b290">Not Started</EC_Collab_Status>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B05BFFFB036732419014A7F8A6877929" ma:contentTypeVersion="0" ma:contentTypeDescription="Create a new document in this library." ma:contentTypeScope="" ma:versionID="95a7488c095bd3856ee5cc388d703a6c">
  <xsd:schema xmlns:xsd="http://www.w3.org/2001/XMLSchema" xmlns:xs="http://www.w3.org/2001/XMLSchema" xmlns:p="http://schemas.microsoft.com/office/2006/metadata/properties" xmlns:ns2="http://schemas.microsoft.com/sharepoint/v3/fields" xmlns:ns3="e545963d-d22e-4b1c-8d50-a68973f4b290" targetNamespace="http://schemas.microsoft.com/office/2006/metadata/properties" ma:root="true" ma:fieldsID="83ca508982b74dc8660f2e73dbe1713a" ns2:_="" ns3:_="">
    <xsd:import namespace="http://schemas.microsoft.com/sharepoint/v3/fields"/>
    <xsd:import namespace="e545963d-d22e-4b1c-8d50-a68973f4b290"/>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545963d-d22e-4b1c-8d50-a68973f4b29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15932-033F-42E3-A0D7-442434DEBA63}">
  <ds:schemaRefs>
    <ds:schemaRef ds:uri="http://schemas.openxmlformats.org/package/2006/metadata/core-properties"/>
    <ds:schemaRef ds:uri="http://schemas.microsoft.com/sharepoint/v3/fields"/>
    <ds:schemaRef ds:uri="http://purl.org/dc/dcmitype/"/>
    <ds:schemaRef ds:uri="http://purl.org/dc/elements/1.1/"/>
    <ds:schemaRef ds:uri="http://schemas.microsoft.com/office/2006/documentManagement/types"/>
    <ds:schemaRef ds:uri="http://www.w3.org/XML/1998/namespace"/>
    <ds:schemaRef ds:uri="e545963d-d22e-4b1c-8d50-a68973f4b290"/>
    <ds:schemaRef ds:uri="http://schemas.microsoft.com/office/2006/metadata/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2ADB988C-310E-4CB9-940D-908429B1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e545963d-d22e-4b1c-8d50-a68973f4b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0E0598-7661-431E-AD45-65E60923C414}">
  <ds:schemaRefs>
    <ds:schemaRef ds:uri="http://schemas.microsoft.com/sharepoint/v3/contenttype/forms"/>
  </ds:schemaRefs>
</ds:datastoreItem>
</file>

<file path=customXml/itemProps4.xml><?xml version="1.0" encoding="utf-8"?>
<ds:datastoreItem xmlns:ds="http://schemas.openxmlformats.org/officeDocument/2006/customXml" ds:itemID="{E9A0463D-C594-48FB-BBBF-204BB91A4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94807</Words>
  <Characters>510600</Characters>
  <Application>Microsoft Office Word</Application>
  <DocSecurity>0</DocSecurity>
  <Lines>14619</Lines>
  <Paragraphs>7913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version submitted to RSB on 22 November 2017</dc:description>
  <cp:lastModifiedBy>Stefanie Heilemann</cp:lastModifiedBy>
  <cp:revision>34</cp:revision>
  <cp:lastPrinted>2018-04-11T13:07:00Z</cp:lastPrinted>
  <dcterms:created xsi:type="dcterms:W3CDTF">2018-04-10T07:34:00Z</dcterms:created>
  <dcterms:modified xsi:type="dcterms:W3CDTF">2018-04-17T08:23:00Z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ontentTypeId">
    <vt:lpwstr>0x010100258AA79CEB83498886A3A0868112325000B05BFFFB036732419014A7F8A6877929</vt:lpwstr>
  </property>
  <property fmtid="{D5CDD505-2E9C-101B-9397-08002B2CF9AE}" pid="5" name="DocStatus">
    <vt:lpwstr>Green</vt:lpwstr>
  </property>
  <property fmtid="{D5CDD505-2E9C-101B-9397-08002B2CF9AE}" pid="6" name="Level of sensitivity">
    <vt:lpwstr>Standard treatment</vt:lpwstr>
  </property>
</Properties>
</file>