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D11E4720-BD93-4785-ACC2-B7DCED3C9402" style="width:450.75pt;height:379.5pt">
            <v:imagedata r:id="rId9" o:title=""/>
          </v:shape>
        </w:pict>
      </w:r>
    </w:p>
    <w:bookmarkEnd w:id="0"/>
    <w:p>
      <w:pPr>
        <w:rPr>
          <w:rFonts w:eastAsia="Gulim"/>
          <w:noProof/>
          <w:lang w:eastAsia="ko-KR"/>
        </w:rPr>
        <w:sectPr>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7" w:h="16839" w:code="9"/>
          <w:pgMar w:top="1134" w:right="1417" w:bottom="1134" w:left="1417" w:header="709" w:footer="709" w:gutter="0"/>
          <w:pgNumType w:start="0"/>
          <w:cols w:space="720"/>
          <w:docGrid w:linePitch="360"/>
        </w:sectPr>
      </w:pPr>
    </w:p>
    <w:p>
      <w:pPr>
        <w:jc w:val="right"/>
        <w:rPr>
          <w:b/>
          <w:noProof/>
          <w:u w:val="single"/>
          <w:lang w:val="fr-FR"/>
        </w:rPr>
      </w:pPr>
      <w:bookmarkStart w:id="1" w:name="_GoBack"/>
      <w:bookmarkEnd w:id="1"/>
      <w:r>
        <w:rPr>
          <w:rFonts w:eastAsia="Gulim"/>
          <w:b/>
          <w:bCs/>
          <w:noProof/>
          <w:u w:val="single"/>
          <w:lang w:val="fr-FR" w:eastAsia="ko-KR"/>
        </w:rPr>
        <w:lastRenderedPageBreak/>
        <w:t>ANNEXE</w:t>
      </w:r>
      <w:r>
        <w:rPr>
          <w:b/>
          <w:noProof/>
          <w:u w:val="single"/>
          <w:lang w:val="fr-FR"/>
        </w:rPr>
        <w:t xml:space="preserve"> 2-B </w:t>
      </w:r>
    </w:p>
    <w:p>
      <w:pPr>
        <w:rPr>
          <w:rFonts w:eastAsia="Gulim"/>
          <w:i/>
          <w:noProof/>
          <w:lang w:val="fr-FR"/>
        </w:rPr>
      </w:pPr>
    </w:p>
    <w:p>
      <w:pPr>
        <w:rPr>
          <w:rFonts w:eastAsia="Gulim"/>
          <w:i/>
          <w:noProof/>
          <w:lang w:val="fr-FR"/>
        </w:rPr>
      </w:pPr>
    </w:p>
    <w:p>
      <w:pPr>
        <w:jc w:val="center"/>
        <w:rPr>
          <w:caps/>
          <w:noProof/>
          <w:lang w:val="fr-FR"/>
        </w:rPr>
      </w:pPr>
      <w:r>
        <w:rPr>
          <w:noProof/>
          <w:lang w:val="fr-FR"/>
        </w:rPr>
        <w:t xml:space="preserve">VÉHICULES À </w:t>
      </w:r>
      <w:r>
        <w:rPr>
          <w:rFonts w:eastAsia="Gulim"/>
          <w:noProof/>
          <w:lang w:val="fr-FR" w:eastAsia="ko-KR"/>
        </w:rPr>
        <w:t>MOTEUR</w:t>
      </w:r>
      <w:r>
        <w:rPr>
          <w:noProof/>
          <w:lang w:val="fr-FR"/>
        </w:rPr>
        <w:t xml:space="preserve"> </w:t>
      </w:r>
      <w:r>
        <w:rPr>
          <w:caps/>
          <w:noProof/>
          <w:lang w:val="fr-FR"/>
        </w:rPr>
        <w:t>et leurs COMPOSANTS</w:t>
      </w:r>
    </w:p>
    <w:p>
      <w:pPr>
        <w:rPr>
          <w:rFonts w:eastAsia="Gulim"/>
          <w:caps/>
          <w:noProof/>
          <w:lang w:val="fr-FR"/>
        </w:rPr>
      </w:pPr>
    </w:p>
    <w:p>
      <w:pPr>
        <w:jc w:val="center"/>
        <w:rPr>
          <w:i/>
          <w:noProof/>
          <w:lang w:val="fr-FR"/>
        </w:rPr>
      </w:pPr>
      <w:r>
        <w:rPr>
          <w:noProof/>
          <w:lang w:val="fr-FR"/>
        </w:rPr>
        <w:t>ARTICLE</w:t>
      </w:r>
      <w:r>
        <w:rPr>
          <w:i/>
          <w:noProof/>
          <w:lang w:val="fr-FR"/>
        </w:rPr>
        <w:t xml:space="preserve"> </w:t>
      </w:r>
      <w:r>
        <w:rPr>
          <w:rFonts w:eastAsia="Gulim"/>
          <w:noProof/>
          <w:lang w:val="fr-FR" w:eastAsia="ko-KR"/>
        </w:rPr>
        <w:t>PREMIER</w:t>
      </w:r>
    </w:p>
    <w:p>
      <w:pPr>
        <w:rPr>
          <w:rFonts w:eastAsia="Gulim"/>
          <w:noProof/>
          <w:lang w:val="fr-FR"/>
        </w:rPr>
      </w:pPr>
    </w:p>
    <w:p>
      <w:pPr>
        <w:jc w:val="center"/>
        <w:rPr>
          <w:noProof/>
          <w:lang w:val="fr-FR"/>
        </w:rPr>
      </w:pPr>
      <w:r>
        <w:rPr>
          <w:noProof/>
          <w:lang w:val="fr-FR"/>
        </w:rPr>
        <w:t>Dispositions générales</w:t>
      </w:r>
    </w:p>
    <w:p>
      <w:pPr>
        <w:rPr>
          <w:bCs/>
          <w:smallCaps/>
          <w:noProof/>
          <w:sz w:val="28"/>
          <w:szCs w:val="28"/>
          <w:lang w:val="fr-FR"/>
        </w:rPr>
      </w:pPr>
    </w:p>
    <w:p>
      <w:pPr>
        <w:ind w:left="567" w:hanging="567"/>
        <w:rPr>
          <w:smallCaps/>
          <w:noProof/>
          <w:lang w:val="fr-FR"/>
        </w:rPr>
      </w:pPr>
      <w:r>
        <w:rPr>
          <w:noProof/>
          <w:lang w:val="fr-FR"/>
        </w:rPr>
        <w:t>1.</w:t>
      </w:r>
      <w:r>
        <w:rPr>
          <w:noProof/>
          <w:lang w:val="fr-FR"/>
        </w:rPr>
        <w:tab/>
        <w:t xml:space="preserve">La présente annexe s’applique à toutes les formes de véhicules à moteur et leurs composants faisant l’objet d’échanges commerciaux entre les parties et relevant des chapitres 40, 84, 85, 87 et 94 du SH 2012 </w:t>
      </w:r>
      <w:r>
        <w:rPr>
          <w:smallCaps/>
          <w:noProof/>
          <w:lang w:val="fr-FR"/>
        </w:rPr>
        <w:t>(</w:t>
      </w:r>
      <w:r>
        <w:rPr>
          <w:noProof/>
          <w:lang w:val="fr-FR"/>
        </w:rPr>
        <w:t>ci-après les «produits couverts par la présente annexe»</w:t>
      </w:r>
      <w:r>
        <w:rPr>
          <w:smallCaps/>
          <w:noProof/>
          <w:lang w:val="fr-FR"/>
        </w:rPr>
        <w:t>).</w:t>
      </w:r>
    </w:p>
    <w:p>
      <w:pPr>
        <w:rPr>
          <w:noProof/>
          <w:lang w:val="fr-FR"/>
        </w:rPr>
      </w:pPr>
    </w:p>
    <w:p>
      <w:pPr>
        <w:ind w:left="567" w:hanging="567"/>
        <w:rPr>
          <w:noProof/>
          <w:lang w:val="fr-FR"/>
        </w:rPr>
      </w:pPr>
      <w:r>
        <w:rPr>
          <w:noProof/>
          <w:color w:val="000000"/>
          <w:spacing w:val="-2"/>
          <w:lang w:val="fr-FR"/>
        </w:rPr>
        <w:t>2.</w:t>
      </w:r>
      <w:r>
        <w:rPr>
          <w:noProof/>
          <w:lang w:val="fr-FR"/>
        </w:rPr>
        <w:tab/>
        <w:t xml:space="preserve">En ce qui concerne les </w:t>
      </w:r>
      <w:r>
        <w:rPr>
          <w:noProof/>
          <w:color w:val="000000"/>
          <w:lang w:val="fr-FR"/>
        </w:rPr>
        <w:t>produits</w:t>
      </w:r>
      <w:r>
        <w:rPr>
          <w:noProof/>
          <w:lang w:val="fr-FR"/>
        </w:rPr>
        <w:t xml:space="preserve"> couverts par la présente annexe, les parties confirment qu’elles partagent les objectifs et principes suivants:</w:t>
      </w:r>
    </w:p>
    <w:p>
      <w:pPr>
        <w:rPr>
          <w:noProof/>
          <w:lang w:val="fr-FR"/>
        </w:rPr>
      </w:pPr>
    </w:p>
    <w:p>
      <w:pPr>
        <w:ind w:left="567"/>
        <w:rPr>
          <w:noProof/>
          <w:lang w:val="fr-FR"/>
        </w:rPr>
      </w:pPr>
      <w:r>
        <w:rPr>
          <w:noProof/>
          <w:lang w:val="fr-FR"/>
        </w:rPr>
        <w:t>a)</w:t>
      </w:r>
      <w:r>
        <w:rPr>
          <w:noProof/>
          <w:lang w:val="fr-FR"/>
        </w:rPr>
        <w:tab/>
        <w:t>éliminer et prévenir les obstacles non tarifaires aux échanges bilatéraux;</w:t>
      </w:r>
    </w:p>
    <w:p>
      <w:pPr>
        <w:ind w:left="567"/>
        <w:rPr>
          <w:noProof/>
          <w:lang w:val="fr-FR"/>
        </w:rPr>
      </w:pPr>
    </w:p>
    <w:p>
      <w:pPr>
        <w:ind w:left="1200" w:hanging="600"/>
        <w:rPr>
          <w:noProof/>
          <w:lang w:val="fr-FR"/>
        </w:rPr>
      </w:pPr>
      <w:r>
        <w:rPr>
          <w:noProof/>
          <w:lang w:val="fr-FR"/>
        </w:rPr>
        <w:t>b)</w:t>
      </w:r>
      <w:r>
        <w:rPr>
          <w:noProof/>
          <w:lang w:val="fr-FR"/>
        </w:rPr>
        <w:tab/>
        <w:t>promouvoir la compatibilité et la convergence de règlements basés sur des normes internationales;</w:t>
      </w:r>
    </w:p>
    <w:p>
      <w:pPr>
        <w:ind w:left="1200" w:hanging="600"/>
        <w:rPr>
          <w:noProof/>
          <w:spacing w:val="-1"/>
          <w:lang w:val="fr-FR"/>
        </w:rPr>
      </w:pPr>
    </w:p>
    <w:p>
      <w:pPr>
        <w:ind w:left="1200" w:hanging="600"/>
        <w:rPr>
          <w:noProof/>
          <w:lang w:val="fr-FR"/>
        </w:rPr>
      </w:pPr>
      <w:r>
        <w:rPr>
          <w:noProof/>
          <w:lang w:val="fr-FR"/>
        </w:rPr>
        <w:t>c)</w:t>
      </w:r>
      <w:r>
        <w:rPr>
          <w:noProof/>
          <w:lang w:val="fr-FR"/>
        </w:rPr>
        <w:tab/>
        <w:t>encourager la reconnaissance des homologations sur la base notamment des régimes de réception appliqués au titre des conventions gérées par le Forum mondial pour l’harmonisation des réglementations sur les véhicules (ci-après le «WG.29») de la Commission économique des Nations unies pour l’Europe (ci-après la «CEE-ONU»);</w:t>
      </w:r>
    </w:p>
    <w:p>
      <w:pPr>
        <w:ind w:left="1200" w:hanging="600"/>
        <w:rPr>
          <w:noProof/>
          <w:lang w:val="fr-FR"/>
        </w:rPr>
      </w:pPr>
    </w:p>
    <w:p>
      <w:pPr>
        <w:ind w:left="1134" w:hanging="567"/>
        <w:rPr>
          <w:noProof/>
          <w:lang w:val="fr-FR"/>
        </w:rPr>
      </w:pPr>
      <w:r>
        <w:rPr>
          <w:noProof/>
          <w:lang w:val="fr-FR"/>
        </w:rPr>
        <w:br w:type="page"/>
      </w:r>
      <w:r>
        <w:rPr>
          <w:noProof/>
          <w:lang w:val="fr-FR"/>
        </w:rPr>
        <w:lastRenderedPageBreak/>
        <w:t>d)</w:t>
      </w:r>
      <w:r>
        <w:rPr>
          <w:noProof/>
          <w:lang w:val="fr-FR"/>
        </w:rPr>
        <w:tab/>
        <w:t>établir des conditions de marché concurrentielles basées sur les principes d’ouverture, de non-discrimination et de transparence;</w:t>
      </w:r>
    </w:p>
    <w:p>
      <w:pPr>
        <w:ind w:left="1134" w:hanging="567"/>
        <w:rPr>
          <w:noProof/>
          <w:lang w:val="fr-FR"/>
        </w:rPr>
      </w:pPr>
    </w:p>
    <w:p>
      <w:pPr>
        <w:ind w:left="1134" w:hanging="567"/>
        <w:rPr>
          <w:noProof/>
          <w:lang w:val="fr-FR"/>
        </w:rPr>
      </w:pPr>
      <w:r>
        <w:rPr>
          <w:noProof/>
          <w:lang w:val="fr-FR"/>
        </w:rPr>
        <w:t>e)</w:t>
      </w:r>
      <w:r>
        <w:rPr>
          <w:noProof/>
          <w:lang w:val="fr-FR"/>
        </w:rPr>
        <w:tab/>
        <w:t xml:space="preserve">assurer la sécurité et la protection de la santé humaine et de l’environnement, et </w:t>
      </w:r>
    </w:p>
    <w:p>
      <w:pPr>
        <w:ind w:left="1134" w:hanging="567"/>
        <w:rPr>
          <w:noProof/>
          <w:lang w:val="fr-FR"/>
        </w:rPr>
      </w:pPr>
    </w:p>
    <w:p>
      <w:pPr>
        <w:ind w:left="1134" w:hanging="567"/>
        <w:rPr>
          <w:noProof/>
          <w:lang w:val="fr-FR"/>
        </w:rPr>
      </w:pPr>
      <w:r>
        <w:rPr>
          <w:noProof/>
          <w:lang w:val="fr-FR"/>
        </w:rPr>
        <w:t>f)</w:t>
      </w:r>
      <w:r>
        <w:rPr>
          <w:noProof/>
          <w:lang w:val="fr-FR"/>
        </w:rPr>
        <w:tab/>
        <w:t>renforcer la coopération afin d’encourager le développement continu et mutuellement bénéfique des échanges.</w:t>
      </w:r>
    </w:p>
    <w:p>
      <w:pPr>
        <w:jc w:val="center"/>
        <w:rPr>
          <w:noProof/>
          <w:lang w:val="fr-FR"/>
        </w:rPr>
      </w:pPr>
    </w:p>
    <w:p>
      <w:pPr>
        <w:jc w:val="center"/>
        <w:rPr>
          <w:noProof/>
          <w:spacing w:val="-2"/>
          <w:lang w:val="fr-FR"/>
        </w:rPr>
      </w:pPr>
    </w:p>
    <w:p>
      <w:pPr>
        <w:jc w:val="center"/>
        <w:rPr>
          <w:i/>
          <w:noProof/>
          <w:lang w:val="fr-FR"/>
        </w:rPr>
      </w:pPr>
      <w:r>
        <w:rPr>
          <w:rFonts w:eastAsia="Gulim"/>
          <w:noProof/>
          <w:lang w:val="fr-FR" w:eastAsia="ko-KR"/>
        </w:rPr>
        <w:t>ARTICLE</w:t>
      </w:r>
      <w:r>
        <w:rPr>
          <w:i/>
          <w:noProof/>
          <w:lang w:val="fr-FR"/>
        </w:rPr>
        <w:t xml:space="preserve"> 2</w:t>
      </w:r>
    </w:p>
    <w:p>
      <w:pPr>
        <w:rPr>
          <w:rFonts w:eastAsia="Gulim"/>
          <w:noProof/>
          <w:lang w:val="fr-FR"/>
        </w:rPr>
      </w:pPr>
    </w:p>
    <w:p>
      <w:pPr>
        <w:jc w:val="center"/>
        <w:rPr>
          <w:noProof/>
          <w:lang w:val="fr-FR"/>
        </w:rPr>
      </w:pPr>
      <w:r>
        <w:rPr>
          <w:noProof/>
          <w:lang w:val="fr-FR"/>
        </w:rPr>
        <w:t xml:space="preserve">Normes </w:t>
      </w:r>
      <w:r>
        <w:rPr>
          <w:bCs/>
          <w:noProof/>
          <w:lang w:val="fr-FR"/>
        </w:rPr>
        <w:t>internationales</w:t>
      </w:r>
    </w:p>
    <w:p>
      <w:pPr>
        <w:pStyle w:val="ManualNumPar1"/>
        <w:rPr>
          <w:noProof/>
          <w:color w:val="000000"/>
          <w:spacing w:val="-1"/>
          <w:lang w:val="fr-BE"/>
        </w:rPr>
      </w:pPr>
    </w:p>
    <w:p>
      <w:pPr>
        <w:ind w:left="567" w:hanging="567"/>
        <w:rPr>
          <w:noProof/>
          <w:lang w:val="fr-FR"/>
        </w:rPr>
      </w:pPr>
      <w:r>
        <w:rPr>
          <w:noProof/>
          <w:color w:val="000000"/>
          <w:spacing w:val="-1"/>
          <w:lang w:val="fr-FR"/>
        </w:rPr>
        <w:t>1.</w:t>
      </w:r>
      <w:r>
        <w:rPr>
          <w:noProof/>
          <w:lang w:val="fr-FR"/>
        </w:rPr>
        <w:tab/>
        <w:t>Les parties reconnaissent que le WG.29 est l’organe de normalisation international de référence pour les produits couverts par la présente annexe</w:t>
      </w:r>
      <w:r>
        <w:rPr>
          <w:rStyle w:val="FootnoteReference"/>
          <w:b w:val="0"/>
          <w:noProof/>
        </w:rPr>
        <w:footnoteReference w:id="1"/>
      </w:r>
      <w:r>
        <w:rPr>
          <w:noProof/>
          <w:lang w:val="fr-FR"/>
        </w:rPr>
        <w:t>.</w:t>
      </w:r>
    </w:p>
    <w:p>
      <w:pPr>
        <w:ind w:left="567" w:hanging="567"/>
        <w:rPr>
          <w:noProof/>
          <w:lang w:val="fr-FR"/>
        </w:rPr>
      </w:pPr>
    </w:p>
    <w:p>
      <w:pPr>
        <w:ind w:left="567" w:hanging="567"/>
        <w:rPr>
          <w:noProof/>
          <w:lang w:val="fr-FR"/>
        </w:rPr>
      </w:pPr>
      <w:r>
        <w:rPr>
          <w:noProof/>
          <w:lang w:val="fr-FR"/>
        </w:rPr>
        <w:t>2.</w:t>
      </w:r>
      <w:r>
        <w:rPr>
          <w:noProof/>
          <w:lang w:val="fr-FR"/>
        </w:rPr>
        <w:tab/>
        <w:t>Si Singapour décide de mettre en place un système de réception par type pour les produits couverts par la présente annexe, il envisagera de devenir signataire de l’Accord concernant l’adoption de prescriptions techniques uniformes applicables aux véhicules à roues, aux équipements et aux pièces susceptibles d’être montés ou utilisés sur un véhicule à roues et les conditions de reconnaissance réciproque des homologations délivrées conformément à ces prescriptions, fait à Genève le 20 mars, 1958.</w:t>
      </w:r>
    </w:p>
    <w:p>
      <w:pPr>
        <w:ind w:left="567" w:hanging="567"/>
        <w:rPr>
          <w:noProof/>
          <w:lang w:val="fr-FR"/>
        </w:rPr>
      </w:pPr>
    </w:p>
    <w:p>
      <w:pPr>
        <w:ind w:left="567" w:hanging="567"/>
        <w:rPr>
          <w:noProof/>
          <w:lang w:val="fr-FR"/>
        </w:rPr>
      </w:pPr>
    </w:p>
    <w:p>
      <w:pPr>
        <w:rPr>
          <w:noProof/>
          <w:lang w:val="fr-FR"/>
        </w:rPr>
      </w:pPr>
      <w:r>
        <w:rPr>
          <w:noProof/>
          <w:lang w:val="fr-FR"/>
        </w:rPr>
        <w:br w:type="page"/>
      </w:r>
    </w:p>
    <w:p>
      <w:pPr>
        <w:jc w:val="center"/>
        <w:rPr>
          <w:i/>
          <w:noProof/>
          <w:lang w:val="fr-FR"/>
        </w:rPr>
      </w:pPr>
      <w:r>
        <w:rPr>
          <w:rFonts w:eastAsia="Gulim"/>
          <w:noProof/>
          <w:lang w:val="fr-FR" w:eastAsia="ko-KR"/>
        </w:rPr>
        <w:t>ARTICLE</w:t>
      </w:r>
      <w:r>
        <w:rPr>
          <w:i/>
          <w:noProof/>
          <w:lang w:val="fr-FR"/>
        </w:rPr>
        <w:t xml:space="preserve"> 3</w:t>
      </w:r>
    </w:p>
    <w:p>
      <w:pPr>
        <w:rPr>
          <w:rFonts w:eastAsia="Gulim"/>
          <w:noProof/>
          <w:lang w:val="fr-FR"/>
        </w:rPr>
      </w:pPr>
    </w:p>
    <w:p>
      <w:pPr>
        <w:jc w:val="center"/>
        <w:rPr>
          <w:noProof/>
          <w:lang w:val="fr-FR"/>
        </w:rPr>
      </w:pPr>
      <w:r>
        <w:rPr>
          <w:noProof/>
          <w:lang w:val="fr-FR"/>
        </w:rPr>
        <w:t xml:space="preserve">Convergence </w:t>
      </w:r>
      <w:r>
        <w:rPr>
          <w:bCs/>
          <w:noProof/>
          <w:lang w:val="fr-FR"/>
        </w:rPr>
        <w:t>réglementaire</w:t>
      </w:r>
    </w:p>
    <w:p>
      <w:pPr>
        <w:rPr>
          <w:noProof/>
          <w:spacing w:val="-2"/>
          <w:lang w:val="fr-BE"/>
        </w:rPr>
      </w:pPr>
    </w:p>
    <w:p>
      <w:pPr>
        <w:tabs>
          <w:tab w:val="left" w:pos="567"/>
          <w:tab w:val="left" w:pos="1134"/>
        </w:tabs>
        <w:ind w:left="1134" w:hanging="1134"/>
        <w:rPr>
          <w:rStyle w:val="FootnoteReference"/>
          <w:noProof/>
          <w:lang w:val="fr-FR"/>
        </w:rPr>
      </w:pPr>
      <w:r>
        <w:rPr>
          <w:noProof/>
          <w:lang w:val="fr-FR"/>
        </w:rPr>
        <w:t>1.</w:t>
      </w:r>
      <w:r>
        <w:rPr>
          <w:noProof/>
          <w:lang w:val="fr-FR"/>
        </w:rPr>
        <w:tab/>
        <w:t>a)</w:t>
      </w:r>
      <w:r>
        <w:rPr>
          <w:noProof/>
          <w:lang w:val="fr-FR"/>
        </w:rPr>
        <w:tab/>
        <w:t>Les parties s’abstiennent à tout moment d’introduire de nouveaux règlements techniques intérieurs qui divergent des règlements de la CEE-ONU ou des règlements techniques mondiaux (ci-après les «RTM») dans les domaines couverts par ces règlements CEE-ONU ou RTM, ou lorsque l’achèvement de tels règlements CEE-ONU ou RTM est imminent, sauf s’il existe des raisons justifiées, étayées par des données scientifiques ou techniques, de considérer qu’un règlement de la CEE-ONU spécifique est inefficace ou inapproprié pour assurer la sécurité routière ou la protection de l’environnement ou de la santé publique</w:t>
      </w:r>
      <w:r>
        <w:rPr>
          <w:rStyle w:val="FootnoteReference"/>
          <w:b w:val="0"/>
          <w:noProof/>
        </w:rPr>
        <w:footnoteReference w:id="2"/>
      </w:r>
      <w:r>
        <w:rPr>
          <w:rStyle w:val="FootnoteReference"/>
          <w:noProof/>
          <w:lang w:val="fr-FR"/>
        </w:rPr>
        <w:t>.</w:t>
      </w:r>
    </w:p>
    <w:p>
      <w:pPr>
        <w:tabs>
          <w:tab w:val="left" w:pos="567"/>
          <w:tab w:val="left" w:pos="1134"/>
        </w:tabs>
        <w:ind w:left="1134" w:hanging="1134"/>
        <w:rPr>
          <w:noProof/>
          <w:lang w:val="fr-FR"/>
        </w:rPr>
      </w:pPr>
    </w:p>
    <w:p>
      <w:pPr>
        <w:tabs>
          <w:tab w:val="left" w:pos="1134"/>
          <w:tab w:val="left" w:pos="1200"/>
        </w:tabs>
        <w:ind w:left="1134" w:hanging="534"/>
        <w:rPr>
          <w:noProof/>
          <w:lang w:val="fr-FR"/>
        </w:rPr>
      </w:pPr>
      <w:r>
        <w:rPr>
          <w:noProof/>
          <w:lang w:val="fr-FR"/>
        </w:rPr>
        <w:t>b)</w:t>
      </w:r>
      <w:r>
        <w:rPr>
          <w:noProof/>
          <w:lang w:val="fr-FR"/>
        </w:rPr>
        <w:tab/>
        <w:t>Une partie qui introduit un nouveau règlement technique intérieur, comme visé au point a), identifie, à la demande de l’autre partie, les éléments du règlement technique intérieur qui diffèrent en substance des règlements pertinents de la CEE-ONU ou des RTM et justifie dûment les raisons de ces divergences.</w:t>
      </w:r>
    </w:p>
    <w:p>
      <w:pPr>
        <w:tabs>
          <w:tab w:val="left" w:pos="1134"/>
          <w:tab w:val="left" w:pos="1200"/>
        </w:tabs>
        <w:ind w:left="1134" w:hanging="1134"/>
        <w:rPr>
          <w:noProof/>
          <w:lang w:val="fr-FR"/>
        </w:rPr>
      </w:pPr>
    </w:p>
    <w:p>
      <w:pPr>
        <w:ind w:left="567" w:hanging="567"/>
        <w:rPr>
          <w:noProof/>
          <w:color w:val="000000"/>
          <w:lang w:val="fr-FR"/>
        </w:rPr>
      </w:pPr>
      <w:r>
        <w:rPr>
          <w:noProof/>
          <w:lang w:val="fr-FR"/>
        </w:rPr>
        <w:br w:type="page"/>
      </w:r>
      <w:r>
        <w:rPr>
          <w:noProof/>
          <w:color w:val="000000"/>
          <w:lang w:val="fr-FR"/>
        </w:rPr>
        <w:t>2.</w:t>
      </w:r>
      <w:r>
        <w:rPr>
          <w:noProof/>
          <w:lang w:val="fr-FR"/>
        </w:rPr>
        <w:tab/>
        <w:t xml:space="preserve">Dès </w:t>
      </w:r>
      <w:r>
        <w:rPr>
          <w:noProof/>
          <w:color w:val="000000"/>
          <w:lang w:val="fr-FR"/>
        </w:rPr>
        <w:t xml:space="preserve">lors qu’une partie a introduit et maintient, conformément au paragraphe 1, des règlements techniques intérieurs qui diffèrent des règlements existants de la CEE-ONU ou des RTM, ladite partie révise ces règlements techniques intérieurs à intervalles réguliers ne dépassant pas cinq ans afin d’accroître leur convergence avec les règlements pertinents de la CEE-ONU ou les RTM. Lorsqu’elles révisent leurs règlements techniques intérieurs, les parties vérifient si les circonstances qui ont donné lieu aux divergences existent toujours. Le résultat de ces examens ainsi que les informations techniques et scientifiques utilisées sont notifiés à l’autre partie sur demande. </w:t>
      </w:r>
    </w:p>
    <w:p>
      <w:pPr>
        <w:ind w:left="567" w:hanging="567"/>
        <w:rPr>
          <w:noProof/>
          <w:color w:val="000000"/>
          <w:lang w:val="fr-FR"/>
        </w:rPr>
      </w:pPr>
    </w:p>
    <w:p>
      <w:pPr>
        <w:ind w:left="567" w:hanging="567"/>
        <w:rPr>
          <w:noProof/>
          <w:lang w:val="fr-FR"/>
        </w:rPr>
      </w:pPr>
      <w:r>
        <w:rPr>
          <w:noProof/>
          <w:color w:val="000000"/>
          <w:lang w:val="fr-FR"/>
        </w:rPr>
        <w:t>3.</w:t>
      </w:r>
      <w:r>
        <w:rPr>
          <w:noProof/>
          <w:color w:val="000000"/>
          <w:lang w:val="fr-FR"/>
        </w:rPr>
        <w:tab/>
        <w:t>Singapour accepte sur son marché les nouveaux</w:t>
      </w:r>
      <w:r>
        <w:rPr>
          <w:rStyle w:val="FootnoteReference"/>
          <w:b w:val="0"/>
          <w:noProof/>
          <w:spacing w:val="-3"/>
        </w:rPr>
        <w:footnoteReference w:id="3"/>
      </w:r>
      <w:r>
        <w:rPr>
          <w:noProof/>
          <w:color w:val="000000"/>
          <w:lang w:val="fr-FR"/>
        </w:rPr>
        <w:t xml:space="preserve"> produits de l’Union couverts par la présente annexe et par une fiche de réception CE ou CEE-ONU, comme conformes à ses règlements techniques intérieurs et à ses procédures d’évaluation de la conformité, sans imposer d’autres conditions d’essai ou de marquage pour vérifier ou certifier la conformité avec les exi</w:t>
      </w:r>
      <w:r>
        <w:rPr>
          <w:noProof/>
          <w:lang w:val="fr-FR"/>
        </w:rPr>
        <w:t>gences couvertes par une réception CE</w:t>
      </w:r>
      <w:r>
        <w:rPr>
          <w:rStyle w:val="FootnoteReference"/>
          <w:noProof/>
        </w:rPr>
        <w:footnoteReference w:id="4"/>
      </w:r>
      <w:r>
        <w:rPr>
          <w:noProof/>
          <w:lang w:val="fr-FR"/>
        </w:rPr>
        <w:t xml:space="preserve"> ou CEE-ONU. Un certificat de conformité CE, pour les véhicules entiers, et une marque de réception CE ou CEE-ONU apposée sur les produits, pour les composants et les entités techniques distinctes, sont considérés comme une preuve suffisante du certificat de réception par type. </w:t>
      </w:r>
    </w:p>
    <w:p>
      <w:pPr>
        <w:ind w:left="567" w:hanging="567"/>
        <w:rPr>
          <w:noProof/>
          <w:lang w:val="fr-FR"/>
        </w:rPr>
      </w:pPr>
    </w:p>
    <w:p>
      <w:pPr>
        <w:ind w:left="567" w:hanging="567"/>
        <w:rPr>
          <w:noProof/>
          <w:lang w:val="fr-FR"/>
        </w:rPr>
      </w:pPr>
      <w:r>
        <w:rPr>
          <w:noProof/>
          <w:lang w:val="fr-FR"/>
        </w:rPr>
        <w:br w:type="page"/>
        <w:t>4.</w:t>
      </w:r>
      <w:r>
        <w:rPr>
          <w:noProof/>
          <w:lang w:val="fr-FR"/>
        </w:rPr>
        <w:tab/>
        <w:t xml:space="preserve">Les </w:t>
      </w:r>
      <w:r>
        <w:rPr>
          <w:noProof/>
          <w:spacing w:val="-3"/>
          <w:lang w:val="fr-FR"/>
        </w:rPr>
        <w:t>autorités</w:t>
      </w:r>
      <w:r>
        <w:rPr>
          <w:noProof/>
          <w:lang w:val="fr-FR"/>
        </w:rPr>
        <w:t xml:space="preserve"> administratives compétentes de chaque partie peuvent vérifier par échantillonnage aléatoire, conformément à leur législation intérieure, que les produits sont dûment conformes:</w:t>
      </w:r>
    </w:p>
    <w:p>
      <w:pPr>
        <w:rPr>
          <w:noProof/>
          <w:lang w:val="fr-FR"/>
        </w:rPr>
      </w:pPr>
    </w:p>
    <w:p>
      <w:pPr>
        <w:ind w:left="1134" w:hanging="567"/>
        <w:rPr>
          <w:noProof/>
          <w:lang w:val="fr-FR"/>
        </w:rPr>
      </w:pPr>
      <w:r>
        <w:rPr>
          <w:noProof/>
          <w:lang w:val="fr-FR"/>
        </w:rPr>
        <w:t>a)</w:t>
      </w:r>
      <w:r>
        <w:rPr>
          <w:noProof/>
          <w:lang w:val="fr-FR"/>
        </w:rPr>
        <w:tab/>
        <w:t xml:space="preserve">à tous les </w:t>
      </w:r>
      <w:r>
        <w:rPr>
          <w:noProof/>
          <w:spacing w:val="-3"/>
          <w:lang w:val="fr-FR"/>
        </w:rPr>
        <w:t>règlements</w:t>
      </w:r>
      <w:r>
        <w:rPr>
          <w:noProof/>
          <w:lang w:val="fr-FR"/>
        </w:rPr>
        <w:t xml:space="preserve"> techniques intérieurs de la partie ou</w:t>
      </w:r>
    </w:p>
    <w:p>
      <w:pPr>
        <w:rPr>
          <w:noProof/>
          <w:spacing w:val="-3"/>
          <w:lang w:val="fr-FR"/>
        </w:rPr>
      </w:pPr>
    </w:p>
    <w:p>
      <w:pPr>
        <w:ind w:left="1134" w:hanging="567"/>
        <w:rPr>
          <w:noProof/>
          <w:lang w:val="fr-FR"/>
        </w:rPr>
      </w:pPr>
      <w:r>
        <w:rPr>
          <w:noProof/>
          <w:lang w:val="fr-FR"/>
        </w:rPr>
        <w:t>b)</w:t>
      </w:r>
      <w:r>
        <w:rPr>
          <w:noProof/>
          <w:lang w:val="fr-FR"/>
        </w:rPr>
        <w:tab/>
        <w:t xml:space="preserve">aux règlements </w:t>
      </w:r>
      <w:r>
        <w:rPr>
          <w:noProof/>
          <w:spacing w:val="-3"/>
          <w:lang w:val="fr-FR"/>
        </w:rPr>
        <w:t>techniques</w:t>
      </w:r>
      <w:r>
        <w:rPr>
          <w:noProof/>
          <w:lang w:val="fr-FR"/>
        </w:rPr>
        <w:t xml:space="preserve"> intérieurs dont la conformité a été certifiée par un certificat de conformité CE, pour les véhicules entiers, ou une marque CE ou CEE-ONU apposée sur le produit, pour les composants et les entités techniques, comme indiqué au paragraphe 3.</w:t>
      </w:r>
    </w:p>
    <w:p>
      <w:pPr>
        <w:rPr>
          <w:noProof/>
          <w:spacing w:val="-3"/>
          <w:lang w:val="fr-FR"/>
        </w:rPr>
      </w:pPr>
    </w:p>
    <w:p>
      <w:pPr>
        <w:ind w:left="567"/>
        <w:rPr>
          <w:noProof/>
          <w:lang w:val="fr-FR"/>
        </w:rPr>
      </w:pPr>
      <w:r>
        <w:rPr>
          <w:noProof/>
          <w:lang w:val="fr-FR"/>
        </w:rPr>
        <w:t>Cette vérification est effectuée conformément aux règlements techniques intérieurs au titre des points a) ou b), selon le cas. Chaque partie peut demander au fournisseur de retirer un produit de son marché dans le cas où le produit concerné n’est pas conforme à ces règlements et exigences.</w:t>
      </w:r>
    </w:p>
    <w:p>
      <w:pPr>
        <w:rPr>
          <w:rFonts w:eastAsia="Gulim"/>
          <w:noProof/>
          <w:lang w:val="fr-FR" w:eastAsia="ko-KR"/>
        </w:rPr>
      </w:pPr>
    </w:p>
    <w:p>
      <w:pPr>
        <w:rPr>
          <w:rFonts w:eastAsia="Gulim"/>
          <w:noProof/>
          <w:lang w:val="fr-FR" w:eastAsia="ko-KR"/>
        </w:rPr>
      </w:pPr>
    </w:p>
    <w:p>
      <w:pPr>
        <w:jc w:val="center"/>
        <w:rPr>
          <w:noProof/>
          <w:lang w:val="fr-FR"/>
        </w:rPr>
      </w:pPr>
      <w:r>
        <w:rPr>
          <w:rFonts w:eastAsia="Gulim"/>
          <w:noProof/>
          <w:lang w:val="fr-FR" w:eastAsia="ko-KR"/>
        </w:rPr>
        <w:t>ARTICLE</w:t>
      </w:r>
      <w:r>
        <w:rPr>
          <w:i/>
          <w:noProof/>
          <w:lang w:val="fr-FR"/>
        </w:rPr>
        <w:t xml:space="preserve"> </w:t>
      </w:r>
      <w:r>
        <w:rPr>
          <w:noProof/>
          <w:lang w:val="fr-FR"/>
        </w:rPr>
        <w:t>4</w:t>
      </w:r>
    </w:p>
    <w:p>
      <w:pPr>
        <w:jc w:val="center"/>
        <w:rPr>
          <w:rFonts w:eastAsia="Gulim"/>
          <w:i/>
          <w:noProof/>
          <w:lang w:val="fr-FR"/>
        </w:rPr>
      </w:pPr>
    </w:p>
    <w:p>
      <w:pPr>
        <w:jc w:val="center"/>
        <w:rPr>
          <w:noProof/>
          <w:lang w:val="fr-FR"/>
        </w:rPr>
      </w:pPr>
      <w:r>
        <w:rPr>
          <w:noProof/>
          <w:lang w:val="fr-FR"/>
        </w:rPr>
        <w:t xml:space="preserve">Produits incorporant </w:t>
      </w:r>
      <w:r>
        <w:rPr>
          <w:bCs/>
          <w:noProof/>
          <w:lang w:val="fr-FR"/>
        </w:rPr>
        <w:t>des</w:t>
      </w:r>
      <w:r>
        <w:rPr>
          <w:noProof/>
          <w:lang w:val="fr-FR"/>
        </w:rPr>
        <w:t xml:space="preserve"> technologies ou fonctions nouvelles</w:t>
      </w:r>
    </w:p>
    <w:p>
      <w:pPr>
        <w:rPr>
          <w:bCs/>
          <w:smallCaps/>
          <w:noProof/>
          <w:sz w:val="28"/>
          <w:szCs w:val="28"/>
          <w:lang w:val="fr-FR"/>
        </w:rPr>
      </w:pPr>
    </w:p>
    <w:p>
      <w:pPr>
        <w:ind w:left="567" w:hanging="567"/>
        <w:rPr>
          <w:noProof/>
          <w:lang w:val="fr-FR"/>
        </w:rPr>
      </w:pPr>
      <w:r>
        <w:rPr>
          <w:noProof/>
          <w:lang w:val="fr-FR"/>
        </w:rPr>
        <w:t>1.</w:t>
      </w:r>
      <w:r>
        <w:rPr>
          <w:noProof/>
          <w:lang w:val="fr-FR"/>
        </w:rPr>
        <w:tab/>
        <w:t>Les parties n’empêchent ni retardent indûment la mise sur le marché d’un produit couvert par la présente annexe et approuvé par la partie exportatrice au motif qu’il incorpore une technologie ou fonction nouvelle que la partie importatrice n’a pas encore réglementée, sauf si elles peuvent démontrer, à l’appui de données scientifiques ou techniques, que cette technologie ou fonction nouvelle crée un risque pour la santé humaine, la sécurité ou l’environnement.</w:t>
      </w:r>
    </w:p>
    <w:p>
      <w:pPr>
        <w:ind w:left="567" w:hanging="567"/>
        <w:rPr>
          <w:noProof/>
          <w:lang w:val="fr-FR"/>
        </w:rPr>
      </w:pPr>
    </w:p>
    <w:p>
      <w:pPr>
        <w:ind w:left="567" w:hanging="567"/>
        <w:rPr>
          <w:noProof/>
          <w:lang w:val="fr-FR"/>
        </w:rPr>
      </w:pPr>
      <w:r>
        <w:rPr>
          <w:noProof/>
          <w:lang w:val="fr-FR"/>
        </w:rPr>
        <w:br w:type="page"/>
        <w:t>2.</w:t>
      </w:r>
      <w:r>
        <w:rPr>
          <w:noProof/>
          <w:lang w:val="fr-FR"/>
        </w:rPr>
        <w:tab/>
        <w:t>Lorsqu’une partie décide de refuser la mise sur le marché ou demande le retrait du marché d’un produit de l’autre partie couvert par la présente annexe au motif qu’il incorpore une technologie ou fonction nouvelle créant un risque pour la santé humaine, la sécurité ou l’environnement, elle notifie immédiatement sa décision à l’autre partie et aux opérateurs économiques</w:t>
      </w:r>
      <w:r>
        <w:rPr>
          <w:rStyle w:val="FootnoteReference"/>
          <w:b w:val="0"/>
          <w:noProof/>
        </w:rPr>
        <w:footnoteReference w:id="5"/>
      </w:r>
      <w:r>
        <w:rPr>
          <w:noProof/>
          <w:lang w:val="fr-FR"/>
        </w:rPr>
        <w:t xml:space="preserve"> concernés. La notification inclut toutes les données scientifiques ou techniques pertinentes prises en considération dans la décision de la partie. </w:t>
      </w:r>
    </w:p>
    <w:p>
      <w:pPr>
        <w:rPr>
          <w:noProof/>
          <w:color w:val="000000"/>
          <w:lang w:val="fr-FR"/>
        </w:rPr>
      </w:pPr>
    </w:p>
    <w:p>
      <w:pPr>
        <w:rPr>
          <w:noProof/>
          <w:color w:val="000000"/>
          <w:lang w:val="fr-FR"/>
        </w:rPr>
      </w:pPr>
    </w:p>
    <w:p>
      <w:pPr>
        <w:jc w:val="center"/>
        <w:rPr>
          <w:noProof/>
          <w:lang w:val="fr-FR"/>
        </w:rPr>
      </w:pPr>
      <w:r>
        <w:rPr>
          <w:rFonts w:eastAsia="Gulim"/>
          <w:noProof/>
          <w:lang w:val="fr-FR" w:eastAsia="ko-KR"/>
        </w:rPr>
        <w:t>ARTICLE</w:t>
      </w:r>
      <w:r>
        <w:rPr>
          <w:i/>
          <w:noProof/>
          <w:lang w:val="fr-FR"/>
        </w:rPr>
        <w:t xml:space="preserve"> </w:t>
      </w:r>
      <w:r>
        <w:rPr>
          <w:noProof/>
          <w:lang w:val="fr-FR"/>
        </w:rPr>
        <w:t>5</w:t>
      </w:r>
    </w:p>
    <w:p>
      <w:pPr>
        <w:jc w:val="center"/>
        <w:rPr>
          <w:rFonts w:eastAsia="Gulim"/>
          <w:i/>
          <w:noProof/>
          <w:lang w:val="fr-FR"/>
        </w:rPr>
      </w:pPr>
    </w:p>
    <w:p>
      <w:pPr>
        <w:jc w:val="center"/>
        <w:rPr>
          <w:noProof/>
          <w:lang w:val="fr-FR"/>
        </w:rPr>
      </w:pPr>
      <w:r>
        <w:rPr>
          <w:bCs/>
          <w:noProof/>
          <w:lang w:val="fr-FR"/>
        </w:rPr>
        <w:t>Licences</w:t>
      </w:r>
    </w:p>
    <w:p>
      <w:pPr>
        <w:rPr>
          <w:noProof/>
          <w:lang w:val="fr-FR"/>
        </w:rPr>
      </w:pPr>
    </w:p>
    <w:p>
      <w:pPr>
        <w:rPr>
          <w:noProof/>
          <w:color w:val="000000"/>
          <w:lang w:val="fr-FR"/>
        </w:rPr>
      </w:pPr>
      <w:r>
        <w:rPr>
          <w:noProof/>
          <w:color w:val="000000"/>
          <w:lang w:val="fr-FR"/>
        </w:rPr>
        <w:t>Aucune des parties n’applique des régimes de licences d’importation automatiques ou non automatiques</w:t>
      </w:r>
      <w:r>
        <w:rPr>
          <w:rStyle w:val="FootnoteReference"/>
          <w:noProof/>
          <w:color w:val="000000"/>
        </w:rPr>
        <w:footnoteReference w:id="6"/>
      </w:r>
      <w:r>
        <w:rPr>
          <w:noProof/>
          <w:color w:val="000000"/>
          <w:lang w:val="fr-FR"/>
        </w:rPr>
        <w:t xml:space="preserve"> pour les produits couverts par la présente annexe. </w:t>
      </w:r>
    </w:p>
    <w:p>
      <w:pPr>
        <w:rPr>
          <w:noProof/>
          <w:color w:val="000000"/>
          <w:lang w:val="fr-FR"/>
        </w:rPr>
      </w:pPr>
    </w:p>
    <w:p>
      <w:pPr>
        <w:rPr>
          <w:noProof/>
          <w:color w:val="000000"/>
          <w:lang w:val="fr-FR"/>
        </w:rPr>
      </w:pPr>
    </w:p>
    <w:p>
      <w:pPr>
        <w:rPr>
          <w:noProof/>
          <w:color w:val="000000"/>
          <w:lang w:val="fr-FR"/>
        </w:rPr>
      </w:pPr>
    </w:p>
    <w:p>
      <w:pPr>
        <w:rPr>
          <w:noProof/>
          <w:color w:val="000000"/>
          <w:lang w:val="fr-FR"/>
        </w:rPr>
      </w:pPr>
      <w:r>
        <w:rPr>
          <w:noProof/>
          <w:color w:val="000000"/>
          <w:lang w:val="fr-FR"/>
        </w:rPr>
        <w:br w:type="page"/>
      </w:r>
    </w:p>
    <w:p>
      <w:pPr>
        <w:jc w:val="center"/>
        <w:rPr>
          <w:i/>
          <w:noProof/>
          <w:lang w:val="fr-FR"/>
        </w:rPr>
      </w:pPr>
      <w:r>
        <w:rPr>
          <w:rFonts w:eastAsia="Gulim"/>
          <w:noProof/>
          <w:lang w:val="fr-FR" w:eastAsia="ko-KR"/>
        </w:rPr>
        <w:t>ARTICLE</w:t>
      </w:r>
      <w:r>
        <w:rPr>
          <w:i/>
          <w:noProof/>
          <w:lang w:val="fr-FR"/>
        </w:rPr>
        <w:t xml:space="preserve"> </w:t>
      </w:r>
      <w:r>
        <w:rPr>
          <w:noProof/>
          <w:lang w:val="fr-FR"/>
        </w:rPr>
        <w:t>6</w:t>
      </w:r>
    </w:p>
    <w:p>
      <w:pPr>
        <w:jc w:val="center"/>
        <w:rPr>
          <w:bCs/>
          <w:noProof/>
          <w:lang w:val="fr-FR"/>
        </w:rPr>
      </w:pPr>
    </w:p>
    <w:p>
      <w:pPr>
        <w:jc w:val="center"/>
        <w:rPr>
          <w:noProof/>
          <w:lang w:val="fr-FR"/>
        </w:rPr>
      </w:pPr>
      <w:r>
        <w:rPr>
          <w:noProof/>
          <w:lang w:val="fr-FR"/>
        </w:rPr>
        <w:t>Autres mesures de restr</w:t>
      </w:r>
      <w:r>
        <w:rPr>
          <w:bCs/>
          <w:noProof/>
          <w:lang w:val="fr-FR"/>
        </w:rPr>
        <w:t>i</w:t>
      </w:r>
      <w:r>
        <w:rPr>
          <w:noProof/>
          <w:lang w:val="fr-FR"/>
        </w:rPr>
        <w:t xml:space="preserve">ction </w:t>
      </w:r>
      <w:r>
        <w:rPr>
          <w:bCs/>
          <w:noProof/>
          <w:lang w:val="fr-FR"/>
        </w:rPr>
        <w:t>commerciale</w:t>
      </w:r>
    </w:p>
    <w:p>
      <w:pPr>
        <w:rPr>
          <w:noProof/>
          <w:lang w:val="fr-FR"/>
        </w:rPr>
      </w:pPr>
    </w:p>
    <w:p>
      <w:pPr>
        <w:rPr>
          <w:noProof/>
          <w:color w:val="000000"/>
          <w:lang w:val="fr-FR"/>
        </w:rPr>
      </w:pPr>
      <w:r>
        <w:rPr>
          <w:noProof/>
          <w:color w:val="000000"/>
          <w:lang w:val="fr-FR"/>
        </w:rPr>
        <w:t>Chaque partie s’abstient d’annuler ou de compromettre les avantages de l’accès au marché dont bénéficie l’autre partie au titre de la présente annexe par d’autres mesures réglementaires spécifiques au secteur couvert par la présente annexe. Cette disposition n’affecte toutefois pas le droit d’adopter des mesures nécessaires à la sécurité routière, à la protection de l’environnement ou de la santé publique et à la prévention de pratiques trompeuses, pour autant que ces mesures s’appuient sur des données scientifiques et techniques avérées.</w:t>
      </w:r>
    </w:p>
    <w:p>
      <w:pPr>
        <w:rPr>
          <w:noProof/>
          <w:spacing w:val="-2"/>
          <w:lang w:val="fr-FR"/>
        </w:rPr>
      </w:pPr>
    </w:p>
    <w:p>
      <w:pPr>
        <w:rPr>
          <w:noProof/>
          <w:spacing w:val="-2"/>
          <w:lang w:val="fr-FR"/>
        </w:rPr>
      </w:pPr>
    </w:p>
    <w:p>
      <w:pPr>
        <w:jc w:val="center"/>
        <w:rPr>
          <w:i/>
          <w:noProof/>
          <w:lang w:val="fr-FR"/>
        </w:rPr>
      </w:pPr>
      <w:r>
        <w:rPr>
          <w:rFonts w:eastAsia="Gulim"/>
          <w:noProof/>
          <w:lang w:val="fr-FR" w:eastAsia="ko-KR"/>
        </w:rPr>
        <w:t>ARTICLE</w:t>
      </w:r>
      <w:r>
        <w:rPr>
          <w:i/>
          <w:noProof/>
          <w:lang w:val="fr-FR"/>
        </w:rPr>
        <w:t xml:space="preserve"> </w:t>
      </w:r>
      <w:r>
        <w:rPr>
          <w:noProof/>
          <w:lang w:val="fr-FR"/>
        </w:rPr>
        <w:t>7</w:t>
      </w:r>
    </w:p>
    <w:p>
      <w:pPr>
        <w:jc w:val="center"/>
        <w:rPr>
          <w:rFonts w:eastAsia="Gulim"/>
          <w:noProof/>
          <w:lang w:val="fr-FR"/>
        </w:rPr>
      </w:pPr>
    </w:p>
    <w:p>
      <w:pPr>
        <w:jc w:val="center"/>
        <w:rPr>
          <w:noProof/>
          <w:lang w:val="fr-FR"/>
        </w:rPr>
      </w:pPr>
      <w:r>
        <w:rPr>
          <w:noProof/>
          <w:lang w:val="fr-FR"/>
        </w:rPr>
        <w:t xml:space="preserve">Coopération </w:t>
      </w:r>
      <w:r>
        <w:rPr>
          <w:bCs/>
          <w:noProof/>
          <w:lang w:val="fr-FR"/>
        </w:rPr>
        <w:t>conjointe</w:t>
      </w:r>
    </w:p>
    <w:p>
      <w:pPr>
        <w:rPr>
          <w:noProof/>
          <w:spacing w:val="-2"/>
          <w:lang w:val="fr-BE"/>
        </w:rPr>
      </w:pPr>
    </w:p>
    <w:p>
      <w:pPr>
        <w:rPr>
          <w:i/>
          <w:noProof/>
          <w:lang w:val="fr-FR"/>
        </w:rPr>
      </w:pPr>
      <w:r>
        <w:rPr>
          <w:noProof/>
          <w:lang w:val="fr-FR"/>
        </w:rPr>
        <w:t xml:space="preserve">Dans le comité «Commerce </w:t>
      </w:r>
      <w:r>
        <w:rPr>
          <w:noProof/>
          <w:spacing w:val="-2"/>
          <w:lang w:val="fr-FR"/>
        </w:rPr>
        <w:t>de</w:t>
      </w:r>
      <w:r>
        <w:rPr>
          <w:noProof/>
          <w:lang w:val="fr-FR"/>
        </w:rPr>
        <w:t xml:space="preserve"> marchandises», les parties coopèrent et échangent des informations sur toute question présentant un intérêt pour la mise en application de la présente annexe.</w:t>
      </w:r>
      <w:r>
        <w:rPr>
          <w:i/>
          <w:noProof/>
          <w:lang w:val="fr-FR"/>
        </w:rPr>
        <w:t xml:space="preserve"> </w:t>
      </w:r>
    </w:p>
    <w:p>
      <w:pPr>
        <w:rPr>
          <w:noProof/>
          <w:spacing w:val="-2"/>
          <w:lang w:val="fr-FR"/>
        </w:rPr>
      </w:pPr>
    </w:p>
    <w:p>
      <w:pPr>
        <w:jc w:val="center"/>
        <w:rPr>
          <w:noProof/>
          <w:spacing w:val="-2"/>
          <w:lang w:val="fr-FR"/>
        </w:rPr>
      </w:pPr>
    </w:p>
    <w:p>
      <w:pPr>
        <w:jc w:val="center"/>
        <w:rPr>
          <w:noProof/>
          <w:spacing w:val="-2"/>
          <w:lang w:val="fr-FR"/>
        </w:rPr>
      </w:pPr>
      <w:r>
        <w:rPr>
          <w:noProof/>
          <w:spacing w:val="-2"/>
          <w:lang w:val="fr-FR"/>
        </w:rPr>
        <w:t>________________</w:t>
      </w:r>
    </w:p>
    <w:p>
      <w:pPr>
        <w:rPr>
          <w:noProof/>
          <w:spacing w:val="-2"/>
          <w:lang w:val="fr-BE"/>
        </w:rPr>
      </w:pPr>
    </w:p>
    <w:p>
      <w:pPr>
        <w:rPr>
          <w:noProof/>
          <w:spacing w:val="-2"/>
          <w:lang w:val="fr-BE"/>
        </w:rPr>
        <w:sectPr>
          <w:headerReference w:type="even" r:id="rId16"/>
          <w:headerReference w:type="default" r:id="rId17"/>
          <w:footerReference w:type="even" r:id="rId18"/>
          <w:footerReference w:type="default" r:id="rId19"/>
          <w:headerReference w:type="first" r:id="rId20"/>
          <w:footerReference w:type="first" r:id="rId21"/>
          <w:footnotePr>
            <w:numRestart w:val="eachPage"/>
          </w:footnotePr>
          <w:pgSz w:w="11907" w:h="16839"/>
          <w:pgMar w:top="1134" w:right="1417" w:bottom="1134" w:left="1417" w:header="709" w:footer="709" w:gutter="0"/>
          <w:cols w:space="708"/>
          <w:docGrid w:linePitch="360"/>
        </w:sectPr>
      </w:pPr>
    </w:p>
    <w:p>
      <w:pPr>
        <w:jc w:val="center"/>
        <w:rPr>
          <w:noProof/>
          <w:spacing w:val="-2"/>
          <w:lang w:val="fr-FR"/>
        </w:rPr>
      </w:pPr>
    </w:p>
    <w:p>
      <w:pPr>
        <w:jc w:val="right"/>
        <w:rPr>
          <w:b/>
          <w:noProof/>
          <w:u w:val="single"/>
          <w:lang w:val="fr-FR"/>
        </w:rPr>
      </w:pPr>
      <w:bookmarkStart w:id="2" w:name="_Toc231271634"/>
      <w:r>
        <w:rPr>
          <w:rFonts w:eastAsia="Calibri"/>
          <w:b/>
          <w:bCs/>
          <w:noProof/>
          <w:u w:val="single"/>
          <w:lang w:val="fr-FR" w:eastAsia="ko-KR"/>
        </w:rPr>
        <w:t>ANNEXE</w:t>
      </w:r>
      <w:r>
        <w:rPr>
          <w:b/>
          <w:noProof/>
          <w:u w:val="single"/>
          <w:lang w:val="fr-FR"/>
        </w:rPr>
        <w:t xml:space="preserve"> 2-C</w:t>
      </w:r>
    </w:p>
    <w:p>
      <w:pPr>
        <w:rPr>
          <w:noProof/>
          <w:lang w:val="fr-FR"/>
        </w:rPr>
      </w:pPr>
    </w:p>
    <w:p>
      <w:pPr>
        <w:rPr>
          <w:noProof/>
          <w:lang w:val="fr-FR"/>
        </w:rPr>
      </w:pPr>
    </w:p>
    <w:p>
      <w:pPr>
        <w:jc w:val="center"/>
        <w:rPr>
          <w:noProof/>
          <w:lang w:val="fr-FR"/>
        </w:rPr>
      </w:pPr>
      <w:r>
        <w:rPr>
          <w:noProof/>
          <w:lang w:val="fr-FR"/>
        </w:rPr>
        <w:t xml:space="preserve">PRODUITS </w:t>
      </w:r>
      <w:r>
        <w:rPr>
          <w:rFonts w:eastAsia="Calibri"/>
          <w:bCs/>
          <w:noProof/>
          <w:lang w:val="fr-FR" w:eastAsia="ko-KR"/>
        </w:rPr>
        <w:t>PHARMACEUTIQUES</w:t>
      </w:r>
      <w:r>
        <w:rPr>
          <w:noProof/>
          <w:lang w:val="fr-FR"/>
        </w:rPr>
        <w:t xml:space="preserve"> ET DISPOSITIFS MÉDICAUX</w:t>
      </w:r>
    </w:p>
    <w:p>
      <w:pPr>
        <w:jc w:val="center"/>
        <w:rPr>
          <w:noProof/>
          <w:lang w:val="fr-FR"/>
        </w:rPr>
      </w:pPr>
    </w:p>
    <w:p>
      <w:pPr>
        <w:jc w:val="center"/>
        <w:rPr>
          <w:i/>
          <w:noProof/>
          <w:lang w:val="fr-FR"/>
        </w:rPr>
      </w:pPr>
      <w:r>
        <w:rPr>
          <w:rFonts w:eastAsia="Gulim"/>
          <w:noProof/>
          <w:lang w:val="fr-FR" w:eastAsia="ko-KR"/>
        </w:rPr>
        <w:t>ARTICLE</w:t>
      </w:r>
      <w:r>
        <w:rPr>
          <w:i/>
          <w:noProof/>
          <w:lang w:val="fr-FR"/>
        </w:rPr>
        <w:t xml:space="preserve"> </w:t>
      </w:r>
      <w:r>
        <w:rPr>
          <w:rFonts w:eastAsia="Gulim"/>
          <w:noProof/>
          <w:lang w:val="fr-FR" w:eastAsia="ko-KR"/>
        </w:rPr>
        <w:t>PREMIER</w:t>
      </w:r>
    </w:p>
    <w:p>
      <w:pPr>
        <w:rPr>
          <w:noProof/>
          <w:lang w:val="fr-FR"/>
        </w:rPr>
      </w:pPr>
    </w:p>
    <w:p>
      <w:pPr>
        <w:jc w:val="center"/>
        <w:rPr>
          <w:noProof/>
          <w:lang w:val="fr-FR"/>
        </w:rPr>
      </w:pPr>
      <w:r>
        <w:rPr>
          <w:noProof/>
          <w:lang w:val="fr-FR"/>
        </w:rPr>
        <w:t xml:space="preserve">Dispositions </w:t>
      </w:r>
      <w:r>
        <w:rPr>
          <w:bCs/>
          <w:noProof/>
          <w:lang w:val="fr-FR"/>
        </w:rPr>
        <w:t>générales</w:t>
      </w:r>
    </w:p>
    <w:p>
      <w:pPr>
        <w:rPr>
          <w:bCs/>
          <w:smallCaps/>
          <w:noProof/>
          <w:sz w:val="28"/>
          <w:szCs w:val="28"/>
          <w:lang w:val="fr-FR"/>
        </w:rPr>
      </w:pPr>
    </w:p>
    <w:bookmarkEnd w:id="2"/>
    <w:p>
      <w:pPr>
        <w:rPr>
          <w:noProof/>
          <w:lang w:val="fr-FR"/>
        </w:rPr>
      </w:pPr>
      <w:r>
        <w:rPr>
          <w:noProof/>
          <w:lang w:val="fr-FR"/>
        </w:rPr>
        <w:t xml:space="preserve">Les parties confirment qu’elles </w:t>
      </w:r>
      <w:r>
        <w:rPr>
          <w:rFonts w:eastAsia="Batang"/>
          <w:noProof/>
          <w:color w:val="000000"/>
          <w:lang w:val="fr-FR" w:eastAsia="ko-KR"/>
        </w:rPr>
        <w:t>partagent</w:t>
      </w:r>
      <w:r>
        <w:rPr>
          <w:noProof/>
          <w:lang w:val="fr-FR"/>
        </w:rPr>
        <w:t xml:space="preserve"> les objectifs et principes suivants:</w:t>
      </w:r>
    </w:p>
    <w:p>
      <w:pPr>
        <w:rPr>
          <w:rFonts w:eastAsia="Batang"/>
          <w:noProof/>
          <w:color w:val="000000"/>
          <w:lang w:val="fr-FR"/>
        </w:rPr>
      </w:pPr>
    </w:p>
    <w:p>
      <w:pPr>
        <w:rPr>
          <w:rFonts w:eastAsia="Batang"/>
          <w:noProof/>
          <w:lang w:val="fr-FR"/>
        </w:rPr>
      </w:pPr>
      <w:r>
        <w:rPr>
          <w:noProof/>
          <w:lang w:val="fr-FR"/>
        </w:rPr>
        <w:t>a)</w:t>
      </w:r>
      <w:r>
        <w:rPr>
          <w:noProof/>
          <w:lang w:val="fr-FR"/>
        </w:rPr>
        <w:tab/>
      </w:r>
      <w:r>
        <w:rPr>
          <w:rFonts w:eastAsia="Batang"/>
          <w:noProof/>
          <w:lang w:val="fr-FR"/>
        </w:rPr>
        <w:t xml:space="preserve">éliminer et prévenir les obstacles non tarifaires aux échanges bilatéraux; </w:t>
      </w:r>
    </w:p>
    <w:p>
      <w:pPr>
        <w:rPr>
          <w:rFonts w:eastAsia="Batang"/>
          <w:noProof/>
          <w:lang w:val="fr-FR"/>
        </w:rPr>
      </w:pPr>
    </w:p>
    <w:p>
      <w:pPr>
        <w:ind w:left="567" w:hanging="567"/>
        <w:rPr>
          <w:noProof/>
          <w:lang w:val="fr-FR"/>
        </w:rPr>
      </w:pPr>
      <w:r>
        <w:rPr>
          <w:rFonts w:eastAsia="Batang"/>
          <w:noProof/>
          <w:lang w:val="fr-FR"/>
        </w:rPr>
        <w:t>b)</w:t>
      </w:r>
      <w:r>
        <w:rPr>
          <w:rFonts w:eastAsia="Batang"/>
          <w:noProof/>
          <w:lang w:val="fr-FR"/>
        </w:rPr>
        <w:tab/>
        <w:t>établir des conditions de marché concurrentielles basées sur les principes d’ouverture, de non-discrimination et de transparence</w:t>
      </w:r>
      <w:r>
        <w:rPr>
          <w:noProof/>
          <w:lang w:val="fr-FR"/>
        </w:rPr>
        <w:t>;</w:t>
      </w:r>
    </w:p>
    <w:p>
      <w:pPr>
        <w:rPr>
          <w:rFonts w:eastAsia="Batang"/>
          <w:noProof/>
          <w:lang w:val="fr-FR"/>
        </w:rPr>
      </w:pPr>
    </w:p>
    <w:p>
      <w:pPr>
        <w:ind w:left="567" w:hanging="567"/>
        <w:rPr>
          <w:noProof/>
          <w:color w:val="4F81BD"/>
          <w:lang w:val="fr-FR"/>
        </w:rPr>
      </w:pPr>
      <w:r>
        <w:rPr>
          <w:noProof/>
          <w:lang w:val="fr-FR"/>
        </w:rPr>
        <w:t>c)</w:t>
      </w:r>
      <w:r>
        <w:rPr>
          <w:noProof/>
          <w:lang w:val="fr-FR"/>
        </w:rPr>
        <w:tab/>
        <w:t>promouvoir l’innovation et l’accès, en temps utile, à des produits pharmaceutiques et dispositifs médicaux sûrs et efficaces par des procédures transparentes et responsables, sans porter atteinte à la capacité d’une partie d’appliquer des normes élevées de sécurité, d’efficacité et de qualité; et</w:t>
      </w:r>
      <w:r>
        <w:rPr>
          <w:noProof/>
          <w:color w:val="4F81BD"/>
          <w:lang w:val="fr-FR"/>
        </w:rPr>
        <w:t xml:space="preserve"> </w:t>
      </w:r>
    </w:p>
    <w:p>
      <w:pPr>
        <w:ind w:left="567" w:hanging="567"/>
        <w:rPr>
          <w:noProof/>
          <w:lang w:val="fr-FR"/>
        </w:rPr>
      </w:pPr>
    </w:p>
    <w:p>
      <w:pPr>
        <w:rPr>
          <w:rFonts w:eastAsia="Batang"/>
          <w:noProof/>
          <w:lang w:val="fr-FR"/>
        </w:rPr>
      </w:pPr>
      <w:r>
        <w:rPr>
          <w:noProof/>
          <w:lang w:val="fr-FR"/>
        </w:rPr>
        <w:br w:type="page"/>
      </w:r>
    </w:p>
    <w:p>
      <w:pPr>
        <w:ind w:left="567" w:hanging="567"/>
        <w:rPr>
          <w:noProof/>
          <w:lang w:val="fr-FR"/>
        </w:rPr>
      </w:pPr>
      <w:r>
        <w:rPr>
          <w:noProof/>
          <w:lang w:val="fr-FR"/>
        </w:rPr>
        <w:t>d)</w:t>
      </w:r>
      <w:r>
        <w:rPr>
          <w:noProof/>
          <w:lang w:val="fr-FR"/>
        </w:rPr>
        <w:tab/>
        <w:t xml:space="preserve">renforcer la coopération entre leurs autorités sanitaires respectives, sur la base des normes, des </w:t>
      </w:r>
      <w:r>
        <w:rPr>
          <w:rFonts w:eastAsia="Batang"/>
          <w:noProof/>
          <w:lang w:val="fr-FR"/>
        </w:rPr>
        <w:t>pratiques</w:t>
      </w:r>
      <w:r>
        <w:rPr>
          <w:noProof/>
          <w:lang w:val="fr-FR"/>
        </w:rPr>
        <w:t xml:space="preserve"> et des lignes directrices internationales au sein d’organisations internationales telles que l’Organisation mondiale de la santé (ci-après l’«OMS»), l’Organisation pour la coopération et le développement économiques (ci-après l’«OCDE»), la Conférence internationale sur l’harmonisation (ci-après l’«ICH»), la Convention pour la reconnaissance mutuelle des inspections concernant la fabrication des produits pharmaceutiques (ci-après la «PIC/S») pour les produits pharmaceutiques et la task force Harmonisation mondiale (ci-après la «GHTF») pour les dispositifs médicaux. </w:t>
      </w:r>
    </w:p>
    <w:p>
      <w:pPr>
        <w:rPr>
          <w:rFonts w:eastAsia="Batang"/>
          <w:noProof/>
          <w:lang w:val="fr-FR"/>
        </w:rPr>
      </w:pPr>
    </w:p>
    <w:p>
      <w:pPr>
        <w:rPr>
          <w:rFonts w:eastAsia="Batang"/>
          <w:noProof/>
          <w:lang w:val="fr-FR"/>
        </w:rPr>
      </w:pPr>
    </w:p>
    <w:p>
      <w:pPr>
        <w:jc w:val="center"/>
        <w:rPr>
          <w:i/>
          <w:noProof/>
          <w:lang w:val="fr-FR"/>
        </w:rPr>
      </w:pPr>
      <w:r>
        <w:rPr>
          <w:rFonts w:eastAsia="Gulim"/>
          <w:noProof/>
          <w:lang w:val="fr-FR" w:eastAsia="ko-KR"/>
        </w:rPr>
        <w:t>ARTICLE</w:t>
      </w:r>
      <w:r>
        <w:rPr>
          <w:i/>
          <w:noProof/>
          <w:lang w:val="fr-FR"/>
        </w:rPr>
        <w:t xml:space="preserve"> 2</w:t>
      </w:r>
    </w:p>
    <w:p>
      <w:pPr>
        <w:rPr>
          <w:rFonts w:eastAsia="Gulim"/>
          <w:noProof/>
          <w:lang w:val="fr-FR"/>
        </w:rPr>
      </w:pPr>
    </w:p>
    <w:p>
      <w:pPr>
        <w:jc w:val="center"/>
        <w:rPr>
          <w:noProof/>
          <w:lang w:val="fr-FR"/>
        </w:rPr>
      </w:pPr>
      <w:r>
        <w:rPr>
          <w:noProof/>
          <w:lang w:val="fr-FR"/>
        </w:rPr>
        <w:t xml:space="preserve">Normes </w:t>
      </w:r>
      <w:r>
        <w:rPr>
          <w:bCs/>
          <w:noProof/>
          <w:lang w:val="fr-FR"/>
        </w:rPr>
        <w:t>internationales</w:t>
      </w:r>
    </w:p>
    <w:p>
      <w:pPr>
        <w:rPr>
          <w:rFonts w:eastAsia="Batang"/>
          <w:noProof/>
          <w:color w:val="000000"/>
          <w:lang w:val="fr-BE" w:eastAsia="ko-KR"/>
        </w:rPr>
      </w:pPr>
    </w:p>
    <w:p>
      <w:pPr>
        <w:rPr>
          <w:noProof/>
          <w:color w:val="000000"/>
          <w:lang w:val="fr-FR"/>
        </w:rPr>
      </w:pPr>
      <w:r>
        <w:rPr>
          <w:noProof/>
          <w:lang w:val="fr-FR"/>
        </w:rPr>
        <w:t xml:space="preserve">Les parties utilisent, comme base pour leurs </w:t>
      </w:r>
      <w:r>
        <w:rPr>
          <w:bCs/>
          <w:noProof/>
          <w:lang w:val="fr-FR"/>
        </w:rPr>
        <w:t>règlements</w:t>
      </w:r>
      <w:r>
        <w:rPr>
          <w:noProof/>
          <w:lang w:val="fr-FR"/>
        </w:rPr>
        <w:t xml:space="preserve"> techniques, les normes, pratiques et lignes directrices internationales concernant les produits pharmaceutiques ou les dispositifs médicaux, y compris celles élaborées par l’OMS, l’OCDE, l’ICH, la PIC/S et la GHTF, sauf s’il existe des raisons justifiées, étayées par des données scientifiques ou techniques, de considérer que ces normes, pratiques ou lignes directrices internationales sont inefficaces ou inappropriées pour remplir les objectifs légitimes poursuivis</w:t>
      </w:r>
      <w:r>
        <w:rPr>
          <w:noProof/>
          <w:color w:val="000000"/>
          <w:lang w:val="fr-FR"/>
        </w:rPr>
        <w:t>.</w:t>
      </w:r>
    </w:p>
    <w:p>
      <w:pPr>
        <w:rPr>
          <w:noProof/>
          <w:color w:val="000000"/>
          <w:lang w:val="fr-FR"/>
        </w:rPr>
      </w:pPr>
    </w:p>
    <w:p>
      <w:pPr>
        <w:rPr>
          <w:noProof/>
          <w:color w:val="000000"/>
          <w:lang w:val="fr-FR"/>
        </w:rPr>
      </w:pPr>
    </w:p>
    <w:p>
      <w:pPr>
        <w:rPr>
          <w:rFonts w:eastAsia="Batang"/>
          <w:noProof/>
          <w:lang w:val="fr-FR"/>
        </w:rPr>
      </w:pPr>
      <w:r>
        <w:rPr>
          <w:noProof/>
          <w:color w:val="000000"/>
          <w:lang w:val="fr-FR"/>
        </w:rPr>
        <w:br w:type="page"/>
      </w:r>
    </w:p>
    <w:p>
      <w:pPr>
        <w:jc w:val="center"/>
        <w:rPr>
          <w:i/>
          <w:noProof/>
          <w:lang w:val="fr-FR"/>
        </w:rPr>
      </w:pPr>
      <w:r>
        <w:rPr>
          <w:rFonts w:eastAsia="Gulim"/>
          <w:noProof/>
          <w:lang w:val="fr-FR" w:eastAsia="ko-KR"/>
        </w:rPr>
        <w:t>ARTICLE</w:t>
      </w:r>
      <w:r>
        <w:rPr>
          <w:i/>
          <w:noProof/>
          <w:lang w:val="fr-FR"/>
        </w:rPr>
        <w:t xml:space="preserve"> </w:t>
      </w:r>
      <w:r>
        <w:rPr>
          <w:noProof/>
          <w:lang w:val="fr-FR"/>
        </w:rPr>
        <w:t>3</w:t>
      </w:r>
    </w:p>
    <w:p>
      <w:pPr>
        <w:rPr>
          <w:rFonts w:eastAsia="Gulim"/>
          <w:noProof/>
          <w:lang w:val="fr-FR"/>
        </w:rPr>
      </w:pPr>
    </w:p>
    <w:p>
      <w:pPr>
        <w:jc w:val="center"/>
        <w:rPr>
          <w:noProof/>
          <w:color w:val="000000"/>
          <w:lang w:val="fr-FR"/>
        </w:rPr>
      </w:pPr>
      <w:r>
        <w:rPr>
          <w:bCs/>
          <w:noProof/>
          <w:color w:val="000000"/>
          <w:lang w:val="fr-FR"/>
        </w:rPr>
        <w:t>Transparence</w:t>
      </w:r>
    </w:p>
    <w:p>
      <w:pPr>
        <w:rPr>
          <w:rFonts w:eastAsia="Batang"/>
          <w:smallCaps/>
          <w:noProof/>
          <w:color w:val="000000"/>
          <w:lang w:val="fr-FR"/>
        </w:rPr>
      </w:pPr>
    </w:p>
    <w:p>
      <w:pPr>
        <w:ind w:left="567" w:hanging="567"/>
        <w:rPr>
          <w:noProof/>
          <w:color w:val="000000"/>
          <w:lang w:val="fr-FR"/>
        </w:rPr>
      </w:pPr>
      <w:r>
        <w:rPr>
          <w:noProof/>
          <w:color w:val="000000"/>
          <w:lang w:val="fr-FR"/>
        </w:rPr>
        <w:t>1.</w:t>
      </w:r>
      <w:r>
        <w:rPr>
          <w:noProof/>
          <w:lang w:val="fr-FR"/>
        </w:rPr>
        <w:tab/>
        <w:t xml:space="preserve">En ce qui concerne les mesures </w:t>
      </w:r>
      <w:r>
        <w:rPr>
          <w:rFonts w:eastAsia="Batang"/>
          <w:noProof/>
          <w:lang w:val="fr-FR"/>
        </w:rPr>
        <w:t>d’application</w:t>
      </w:r>
      <w:r>
        <w:rPr>
          <w:noProof/>
          <w:lang w:val="fr-FR"/>
        </w:rPr>
        <w:t xml:space="preserve"> générale relatives aux produits pharmaceutiques et aux dispositifs médicaux, chaque partie veille à:</w:t>
      </w:r>
      <w:r>
        <w:rPr>
          <w:noProof/>
          <w:color w:val="000000"/>
          <w:lang w:val="fr-FR"/>
        </w:rPr>
        <w:t xml:space="preserve"> </w:t>
      </w:r>
    </w:p>
    <w:p>
      <w:pPr>
        <w:rPr>
          <w:rFonts w:eastAsia="Batang"/>
          <w:noProof/>
          <w:lang w:val="fr-FR"/>
        </w:rPr>
      </w:pPr>
    </w:p>
    <w:p>
      <w:pPr>
        <w:ind w:left="1134" w:hanging="567"/>
        <w:rPr>
          <w:rFonts w:eastAsia="Batang"/>
          <w:noProof/>
          <w:lang w:val="fr-FR"/>
        </w:rPr>
      </w:pPr>
      <w:r>
        <w:rPr>
          <w:rFonts w:eastAsia="Batang"/>
          <w:noProof/>
          <w:lang w:val="fr-FR"/>
        </w:rPr>
        <w:t>a)</w:t>
      </w:r>
      <w:r>
        <w:rPr>
          <w:rFonts w:eastAsia="Batang"/>
          <w:noProof/>
          <w:lang w:val="fr-FR"/>
        </w:rPr>
        <w:tab/>
        <w:t>rendre ces mesures aisément accessibles aux personnes intéressées et à l’autre partie, de manière non discriminatoire, par un moyen officiellement prévu à cet effet et, lorsque cela est possible et réalisable, par voie électronique, de manière à permettre aux personnes intéressées et à l’autre partie d’en prendre connaissance;</w:t>
      </w:r>
    </w:p>
    <w:p>
      <w:pPr>
        <w:ind w:left="1134" w:hanging="567"/>
        <w:rPr>
          <w:rFonts w:eastAsia="Batang"/>
          <w:noProof/>
          <w:lang w:val="fr-FR"/>
        </w:rPr>
      </w:pPr>
    </w:p>
    <w:p>
      <w:pPr>
        <w:ind w:left="1134" w:hanging="567"/>
        <w:rPr>
          <w:rFonts w:eastAsia="Batang"/>
          <w:noProof/>
          <w:lang w:val="fr-FR"/>
        </w:rPr>
      </w:pPr>
      <w:r>
        <w:rPr>
          <w:rFonts w:eastAsia="Batang"/>
          <w:noProof/>
          <w:lang w:val="fr-FR"/>
        </w:rPr>
        <w:t>b)</w:t>
      </w:r>
      <w:r>
        <w:rPr>
          <w:rFonts w:eastAsia="Batang"/>
          <w:noProof/>
          <w:lang w:val="fr-FR"/>
        </w:rPr>
        <w:tab/>
        <w:t xml:space="preserve">fournir, dans la mesure du possible, une explication de l’objectif et du bien-fondé de ces mesures; et </w:t>
      </w:r>
    </w:p>
    <w:p>
      <w:pPr>
        <w:ind w:left="1134" w:hanging="567"/>
        <w:rPr>
          <w:rFonts w:eastAsia="Batang"/>
          <w:noProof/>
          <w:lang w:val="fr-FR"/>
        </w:rPr>
      </w:pPr>
    </w:p>
    <w:p>
      <w:pPr>
        <w:ind w:left="1134" w:hanging="567"/>
        <w:rPr>
          <w:noProof/>
          <w:lang w:val="fr-FR"/>
        </w:rPr>
      </w:pPr>
      <w:r>
        <w:rPr>
          <w:rFonts w:eastAsia="Batang"/>
          <w:noProof/>
          <w:lang w:val="fr-FR"/>
        </w:rPr>
        <w:t>c)</w:t>
      </w:r>
      <w:r>
        <w:rPr>
          <w:rFonts w:eastAsia="Batang"/>
          <w:noProof/>
          <w:lang w:val="fr-FR"/>
        </w:rPr>
        <w:tab/>
        <w:t>prévoir un laps de temps suffisant entre la publication de ces mesures et leur entrée en vigueur,</w:t>
      </w:r>
      <w:r>
        <w:rPr>
          <w:noProof/>
          <w:lang w:val="fr-FR"/>
        </w:rPr>
        <w:t xml:space="preserve"> sauf cas d’urgence.</w:t>
      </w:r>
    </w:p>
    <w:p>
      <w:pPr>
        <w:rPr>
          <w:rFonts w:eastAsia="Batang"/>
          <w:noProof/>
          <w:lang w:val="fr-FR"/>
        </w:rPr>
      </w:pPr>
    </w:p>
    <w:p>
      <w:pPr>
        <w:ind w:left="567" w:hanging="567"/>
        <w:rPr>
          <w:noProof/>
          <w:color w:val="FF0000"/>
          <w:lang w:val="fr-FR"/>
        </w:rPr>
      </w:pPr>
      <w:r>
        <w:rPr>
          <w:noProof/>
          <w:color w:val="000000"/>
          <w:lang w:val="fr-FR"/>
        </w:rPr>
        <w:t>2.</w:t>
      </w:r>
      <w:r>
        <w:rPr>
          <w:noProof/>
          <w:lang w:val="fr-FR"/>
        </w:rPr>
        <w:tab/>
        <w:t>Conformément à sa législation intérieure, chaque partie, dans la mesure du possible:</w:t>
      </w:r>
      <w:r>
        <w:rPr>
          <w:noProof/>
          <w:color w:val="FF0000"/>
          <w:lang w:val="fr-FR"/>
        </w:rPr>
        <w:t xml:space="preserve"> </w:t>
      </w:r>
    </w:p>
    <w:p>
      <w:pPr>
        <w:rPr>
          <w:rFonts w:eastAsia="Batang"/>
          <w:noProof/>
          <w:lang w:val="fr-FR"/>
        </w:rPr>
      </w:pPr>
    </w:p>
    <w:p>
      <w:pPr>
        <w:ind w:left="1134" w:hanging="567"/>
        <w:rPr>
          <w:rFonts w:eastAsia="Batang"/>
          <w:noProof/>
          <w:lang w:val="fr-FR"/>
        </w:rPr>
      </w:pPr>
      <w:r>
        <w:rPr>
          <w:rFonts w:eastAsia="Batang"/>
          <w:noProof/>
          <w:lang w:val="fr-FR"/>
        </w:rPr>
        <w:t>a)</w:t>
      </w:r>
      <w:r>
        <w:rPr>
          <w:rFonts w:eastAsia="Batang"/>
          <w:noProof/>
          <w:lang w:val="fr-FR"/>
        </w:rPr>
        <w:tab/>
        <w:t xml:space="preserve">publie à l’avance toute proposition visant à adopter ou modifier une mesure d’application générale relative à la réglementation des produits pharmaceutiques et des dispositifs médicaux, en incluant une explication de l’objectif et du bien-fondé de la proposition; </w:t>
      </w:r>
    </w:p>
    <w:p>
      <w:pPr>
        <w:ind w:left="1134" w:hanging="567"/>
        <w:rPr>
          <w:rFonts w:eastAsia="Batang"/>
          <w:noProof/>
          <w:lang w:val="fr-FR"/>
        </w:rPr>
      </w:pPr>
    </w:p>
    <w:p>
      <w:pPr>
        <w:ind w:left="1134" w:hanging="567"/>
        <w:rPr>
          <w:rFonts w:eastAsia="Batang"/>
          <w:noProof/>
          <w:lang w:val="fr-FR"/>
        </w:rPr>
      </w:pPr>
      <w:r>
        <w:rPr>
          <w:rFonts w:eastAsia="Batang"/>
          <w:noProof/>
          <w:lang w:val="fr-FR"/>
        </w:rPr>
        <w:br w:type="page"/>
        <w:t>b)</w:t>
      </w:r>
      <w:r>
        <w:rPr>
          <w:rFonts w:eastAsia="Batang"/>
          <w:noProof/>
          <w:lang w:val="fr-FR"/>
        </w:rPr>
        <w:tab/>
        <w:t>fournit aux personnes intéressées et à l’autre partie des opportunités raisonnables de commenter les mesures proposées en prévoyant, en particulier, une période de temps suffisante pour la consultation; et</w:t>
      </w:r>
    </w:p>
    <w:p>
      <w:pPr>
        <w:ind w:left="1134" w:hanging="567"/>
        <w:rPr>
          <w:rFonts w:eastAsia="Batang"/>
          <w:noProof/>
          <w:lang w:val="fr-FR"/>
        </w:rPr>
      </w:pPr>
    </w:p>
    <w:p>
      <w:pPr>
        <w:ind w:left="1134" w:hanging="567"/>
        <w:rPr>
          <w:rFonts w:eastAsia="Batang"/>
          <w:noProof/>
          <w:lang w:val="fr-FR"/>
        </w:rPr>
      </w:pPr>
      <w:r>
        <w:rPr>
          <w:rFonts w:eastAsia="Batang"/>
          <w:noProof/>
          <w:lang w:val="fr-FR"/>
        </w:rPr>
        <w:t>c)</w:t>
      </w:r>
      <w:r>
        <w:rPr>
          <w:rFonts w:eastAsia="Batang"/>
          <w:noProof/>
          <w:lang w:val="fr-FR"/>
        </w:rPr>
        <w:tab/>
        <w:t>tient compte des observations reçues des personnes intéressées et de l’autre partie eu égard aux mesures proposées.</w:t>
      </w:r>
    </w:p>
    <w:p>
      <w:pPr>
        <w:rPr>
          <w:rFonts w:eastAsia="Batang"/>
          <w:noProof/>
          <w:lang w:val="fr-FR"/>
        </w:rPr>
      </w:pPr>
    </w:p>
    <w:p>
      <w:pPr>
        <w:ind w:left="567" w:hanging="567"/>
        <w:rPr>
          <w:noProof/>
          <w:lang w:val="fr-FR"/>
        </w:rPr>
      </w:pPr>
      <w:r>
        <w:rPr>
          <w:noProof/>
          <w:color w:val="000000"/>
          <w:lang w:val="fr-FR"/>
        </w:rPr>
        <w:t>3.</w:t>
      </w:r>
      <w:r>
        <w:rPr>
          <w:noProof/>
          <w:lang w:val="fr-FR"/>
        </w:rPr>
        <w:tab/>
        <w:t>Dans la mesure où les autorités sanitaires d’une partie mettent en place ou appliquent des procédures relatives à l’enregistrement, au prix et/ou au remboursement des produits pharmaceutiques, cette partie:</w:t>
      </w:r>
    </w:p>
    <w:p>
      <w:pPr>
        <w:rPr>
          <w:rFonts w:eastAsia="Batang"/>
          <w:noProof/>
          <w:lang w:val="fr-FR"/>
        </w:rPr>
      </w:pPr>
    </w:p>
    <w:p>
      <w:pPr>
        <w:ind w:left="1134" w:hanging="567"/>
        <w:rPr>
          <w:rFonts w:eastAsia="Batang"/>
          <w:noProof/>
          <w:color w:val="000000"/>
          <w:lang w:val="fr-FR"/>
        </w:rPr>
      </w:pPr>
      <w:r>
        <w:rPr>
          <w:noProof/>
          <w:lang w:val="fr-FR"/>
        </w:rPr>
        <w:t>a</w:t>
      </w:r>
      <w:r>
        <w:rPr>
          <w:rFonts w:eastAsia="Batang"/>
          <w:noProof/>
          <w:color w:val="000000"/>
          <w:lang w:val="fr-FR"/>
        </w:rPr>
        <w:t>)</w:t>
      </w:r>
      <w:r>
        <w:rPr>
          <w:rFonts w:eastAsia="Batang"/>
          <w:noProof/>
          <w:color w:val="000000"/>
          <w:lang w:val="fr-FR"/>
        </w:rPr>
        <w:tab/>
        <w:t>veille à ce que les critères, les règles, les procédures et les lignes directrices, selon le cas, applicables à l’enregistrement, au prix et/ou au remboursement des produits pharmaceutiques soient objectifs, équitables, raisonnables et non discriminatoires, et à ce qu’ils soient accessibles, sur demande, aux personnes intéressées;</w:t>
      </w:r>
    </w:p>
    <w:p>
      <w:pPr>
        <w:ind w:left="1134" w:hanging="567"/>
        <w:rPr>
          <w:rFonts w:eastAsia="Batang"/>
          <w:noProof/>
          <w:color w:val="000000"/>
          <w:lang w:val="fr-FR"/>
        </w:rPr>
      </w:pPr>
    </w:p>
    <w:p>
      <w:pPr>
        <w:ind w:left="1134" w:hanging="567"/>
        <w:rPr>
          <w:rFonts w:eastAsia="Batang"/>
          <w:noProof/>
          <w:color w:val="000000"/>
          <w:lang w:val="fr-FR"/>
        </w:rPr>
      </w:pPr>
      <w:r>
        <w:rPr>
          <w:rFonts w:eastAsia="Batang"/>
          <w:noProof/>
          <w:color w:val="000000"/>
          <w:lang w:val="fr-FR"/>
        </w:rPr>
        <w:t>b)</w:t>
      </w:r>
      <w:r>
        <w:rPr>
          <w:rFonts w:eastAsia="Batang"/>
          <w:noProof/>
          <w:color w:val="000000"/>
          <w:lang w:val="fr-FR"/>
        </w:rPr>
        <w:tab/>
        <w:t>veille à ce que les décisions concernant l’ensemble des demandes relatives au prix ou à l’approbation de produits pharmaceutiques donnant lieu à un remboursement soient adoptées et communiquées dans un délai raisonnable et défini à compter de la date de dépôt desdites demandes. Si les informations soumises par le demandeur sont jugées inadéquates ou insuffisantes et que de ce fait, la procédure est suspendue, les autorités compétentes de la partie notifient au demandeur les informations supplémentaires qu’il doit fournir et reprennent le processus initial de prise de décision dès réception de ces informations supplémentaires;</w:t>
      </w:r>
    </w:p>
    <w:p>
      <w:pPr>
        <w:ind w:left="1134" w:hanging="567"/>
        <w:rPr>
          <w:rFonts w:eastAsia="Batang"/>
          <w:noProof/>
          <w:color w:val="000000"/>
          <w:lang w:val="fr-FR"/>
        </w:rPr>
      </w:pPr>
    </w:p>
    <w:p>
      <w:pPr>
        <w:ind w:left="1134" w:hanging="567"/>
        <w:rPr>
          <w:noProof/>
          <w:lang w:val="fr-FR"/>
        </w:rPr>
      </w:pPr>
      <w:r>
        <w:rPr>
          <w:rFonts w:eastAsia="Batang"/>
          <w:noProof/>
          <w:color w:val="000000"/>
          <w:lang w:val="fr-FR"/>
        </w:rPr>
        <w:t>c)</w:t>
      </w:r>
      <w:r>
        <w:rPr>
          <w:rFonts w:eastAsia="Batang"/>
          <w:noProof/>
          <w:color w:val="000000"/>
          <w:lang w:val="fr-FR"/>
        </w:rPr>
        <w:tab/>
        <w:t>fournit aux demandeurs des opportunités adéquates de formuler des commentaires concernant des points pertinents dans le processus de prise de décision concernant le prix et le remboursement</w:t>
      </w:r>
      <w:r>
        <w:rPr>
          <w:noProof/>
          <w:lang w:val="fr-FR"/>
        </w:rPr>
        <w:t xml:space="preserve">, sous réserve de la législation intérieure applicable en matière de confidentialité; </w:t>
      </w:r>
    </w:p>
    <w:p>
      <w:pPr>
        <w:ind w:left="1134" w:hanging="567"/>
        <w:rPr>
          <w:noProof/>
          <w:lang w:val="fr-FR"/>
        </w:rPr>
      </w:pPr>
    </w:p>
    <w:p>
      <w:pPr>
        <w:ind w:left="1134" w:hanging="567"/>
        <w:rPr>
          <w:noProof/>
          <w:lang w:val="fr-FR"/>
        </w:rPr>
      </w:pPr>
      <w:r>
        <w:rPr>
          <w:noProof/>
          <w:lang w:val="fr-FR"/>
        </w:rPr>
        <w:br w:type="page"/>
        <w:t>d)</w:t>
      </w:r>
      <w:r>
        <w:rPr>
          <w:noProof/>
          <w:lang w:val="fr-FR"/>
        </w:rPr>
        <w:tab/>
        <w:t xml:space="preserve">en cas de décision négative concernant </w:t>
      </w:r>
      <w:r>
        <w:rPr>
          <w:rFonts w:eastAsia="Batang"/>
          <w:noProof/>
          <w:color w:val="000000"/>
          <w:lang w:val="fr-FR"/>
        </w:rPr>
        <w:t>l’enregistrement</w:t>
      </w:r>
      <w:r>
        <w:rPr>
          <w:noProof/>
          <w:lang w:val="fr-FR"/>
        </w:rPr>
        <w:t>, le prix et/ou le remboursement, en communique aux demandeurs les raisons dans une déclaration suffisamment détaillée pour permettre de comprendre les éléments sur lesquels la décision s’appuie, y compris les critères appliqués et, si nécessaire, les avis ou recommandations d’experts sur la base desquels la décision a été prise. En outre, le demandeur est informé des voies de recours ouvertes par la législation intérieure et des délais dans lesquels ces recours peuvent être introduits.</w:t>
      </w:r>
    </w:p>
    <w:p>
      <w:pPr>
        <w:rPr>
          <w:rFonts w:eastAsia="Batang"/>
          <w:noProof/>
          <w:color w:val="000000"/>
          <w:lang w:val="fr-FR"/>
        </w:rPr>
      </w:pPr>
    </w:p>
    <w:p>
      <w:pPr>
        <w:rPr>
          <w:rFonts w:eastAsia="Batang"/>
          <w:noProof/>
          <w:color w:val="000000"/>
          <w:lang w:val="fr-FR"/>
        </w:rPr>
      </w:pPr>
    </w:p>
    <w:p>
      <w:pPr>
        <w:jc w:val="center"/>
        <w:rPr>
          <w:i/>
          <w:noProof/>
          <w:lang w:val="fr-FR"/>
        </w:rPr>
      </w:pPr>
      <w:r>
        <w:rPr>
          <w:rFonts w:eastAsia="Gulim"/>
          <w:noProof/>
          <w:color w:val="000000"/>
          <w:lang w:val="fr-FR"/>
        </w:rPr>
        <w:t>ARTICLE</w:t>
      </w:r>
      <w:r>
        <w:rPr>
          <w:i/>
          <w:noProof/>
          <w:lang w:val="fr-FR"/>
        </w:rPr>
        <w:t xml:space="preserve"> </w:t>
      </w:r>
      <w:r>
        <w:rPr>
          <w:noProof/>
          <w:lang w:val="fr-FR"/>
        </w:rPr>
        <w:t>4</w:t>
      </w:r>
    </w:p>
    <w:p>
      <w:pPr>
        <w:jc w:val="center"/>
        <w:rPr>
          <w:rFonts w:eastAsia="Gulim"/>
          <w:noProof/>
          <w:lang w:val="fr-FR"/>
        </w:rPr>
      </w:pPr>
    </w:p>
    <w:p>
      <w:pPr>
        <w:jc w:val="center"/>
        <w:rPr>
          <w:noProof/>
          <w:lang w:val="fr-FR"/>
        </w:rPr>
      </w:pPr>
      <w:r>
        <w:rPr>
          <w:noProof/>
          <w:lang w:val="fr-FR"/>
        </w:rPr>
        <w:t xml:space="preserve">Coopération en matière de </w:t>
      </w:r>
      <w:r>
        <w:rPr>
          <w:bCs/>
          <w:noProof/>
          <w:lang w:val="fr-FR"/>
        </w:rPr>
        <w:t>réglementation</w:t>
      </w:r>
      <w:r>
        <w:rPr>
          <w:noProof/>
          <w:lang w:val="fr-FR"/>
        </w:rPr>
        <w:t xml:space="preserve"> </w:t>
      </w:r>
    </w:p>
    <w:p>
      <w:pPr>
        <w:rPr>
          <w:rFonts w:eastAsia="Batang"/>
          <w:smallCaps/>
          <w:noProof/>
          <w:lang w:val="fr-FR"/>
        </w:rPr>
      </w:pPr>
    </w:p>
    <w:p>
      <w:pPr>
        <w:rPr>
          <w:noProof/>
          <w:color w:val="000000"/>
          <w:lang w:val="fr-FR"/>
        </w:rPr>
      </w:pPr>
      <w:r>
        <w:rPr>
          <w:noProof/>
          <w:color w:val="000000"/>
          <w:lang w:val="fr-FR"/>
        </w:rPr>
        <w:t xml:space="preserve">Le comité «Commerce de marchandises»: </w:t>
      </w:r>
    </w:p>
    <w:p>
      <w:pPr>
        <w:rPr>
          <w:rFonts w:eastAsia="Batang"/>
          <w:bCs/>
          <w:noProof/>
          <w:color w:val="000000"/>
          <w:lang w:val="fr-FR"/>
        </w:rPr>
      </w:pPr>
    </w:p>
    <w:p>
      <w:pPr>
        <w:rPr>
          <w:rFonts w:eastAsia="Batang"/>
          <w:noProof/>
          <w:lang w:val="fr-FR" w:eastAsia="ko-KR"/>
        </w:rPr>
      </w:pPr>
      <w:r>
        <w:rPr>
          <w:rFonts w:eastAsia="Batang"/>
          <w:noProof/>
          <w:lang w:val="fr-FR" w:eastAsia="ko-KR"/>
        </w:rPr>
        <w:t>a)</w:t>
      </w:r>
      <w:r>
        <w:rPr>
          <w:rFonts w:eastAsia="Batang"/>
          <w:noProof/>
          <w:lang w:val="fr-FR" w:eastAsia="ko-KR"/>
        </w:rPr>
        <w:tab/>
        <w:t>surveille et soutient la mise en œuvre de la présente annexe;</w:t>
      </w:r>
    </w:p>
    <w:p>
      <w:pPr>
        <w:rPr>
          <w:rFonts w:eastAsia="Batang"/>
          <w:noProof/>
          <w:lang w:val="fr-FR" w:eastAsia="ko-KR"/>
        </w:rPr>
      </w:pPr>
    </w:p>
    <w:p>
      <w:pPr>
        <w:ind w:left="567" w:hanging="567"/>
        <w:rPr>
          <w:rFonts w:eastAsia="Batang"/>
          <w:noProof/>
          <w:lang w:val="fr-FR" w:eastAsia="ko-KR"/>
        </w:rPr>
      </w:pPr>
      <w:r>
        <w:rPr>
          <w:rFonts w:eastAsia="Batang"/>
          <w:noProof/>
          <w:lang w:val="fr-FR" w:eastAsia="ko-KR"/>
        </w:rPr>
        <w:t>b)</w:t>
      </w:r>
      <w:r>
        <w:rPr>
          <w:rFonts w:eastAsia="Batang"/>
          <w:noProof/>
          <w:lang w:val="fr-FR" w:eastAsia="ko-KR"/>
        </w:rPr>
        <w:tab/>
        <w:t xml:space="preserve">favorise la </w:t>
      </w:r>
      <w:r>
        <w:rPr>
          <w:rFonts w:eastAsia="Batang"/>
          <w:noProof/>
          <w:lang w:val="fr-FR"/>
        </w:rPr>
        <w:t>coopération</w:t>
      </w:r>
      <w:r>
        <w:rPr>
          <w:rFonts w:eastAsia="Batang"/>
          <w:noProof/>
          <w:lang w:val="fr-FR" w:eastAsia="ko-KR"/>
        </w:rPr>
        <w:t xml:space="preserve"> et les échanges d’informations entre les parties en vue de réaliser les objectifs énoncés dans la présente annexe; </w:t>
      </w:r>
    </w:p>
    <w:p>
      <w:pPr>
        <w:rPr>
          <w:rFonts w:eastAsia="Batang"/>
          <w:noProof/>
          <w:lang w:val="fr-FR" w:eastAsia="ko-KR"/>
        </w:rPr>
      </w:pPr>
    </w:p>
    <w:p>
      <w:pPr>
        <w:ind w:left="567" w:hanging="567"/>
        <w:rPr>
          <w:rFonts w:eastAsia="Batang"/>
          <w:noProof/>
          <w:lang w:val="fr-FR" w:eastAsia="ko-KR"/>
        </w:rPr>
      </w:pPr>
      <w:r>
        <w:rPr>
          <w:rFonts w:eastAsia="Batang"/>
          <w:noProof/>
          <w:lang w:val="fr-FR" w:eastAsia="ko-KR"/>
        </w:rPr>
        <w:t>c)</w:t>
      </w:r>
      <w:r>
        <w:rPr>
          <w:rFonts w:eastAsia="Batang"/>
          <w:noProof/>
          <w:lang w:val="fr-FR" w:eastAsia="ko-KR"/>
        </w:rPr>
        <w:tab/>
        <w:t xml:space="preserve">examine les </w:t>
      </w:r>
      <w:r>
        <w:rPr>
          <w:rFonts w:eastAsia="Batang"/>
          <w:noProof/>
          <w:lang w:val="fr-FR"/>
        </w:rPr>
        <w:t>moyens</w:t>
      </w:r>
      <w:r>
        <w:rPr>
          <w:rFonts w:eastAsia="Batang"/>
          <w:noProof/>
          <w:lang w:val="fr-FR" w:eastAsia="ko-KR"/>
        </w:rPr>
        <w:t xml:space="preserve"> de promouvoir la compatibilité des processus d’approbation réglementaire, dans la mesure du possible; et</w:t>
      </w:r>
    </w:p>
    <w:p>
      <w:pPr>
        <w:rPr>
          <w:rFonts w:eastAsia="Batang"/>
          <w:noProof/>
          <w:lang w:val="fr-FR" w:eastAsia="ko-KR"/>
        </w:rPr>
      </w:pPr>
    </w:p>
    <w:p>
      <w:pPr>
        <w:ind w:left="567" w:hanging="567"/>
        <w:rPr>
          <w:rFonts w:eastAsia="Batang"/>
          <w:noProof/>
          <w:lang w:val="fr-FR" w:eastAsia="ko-KR"/>
        </w:rPr>
      </w:pPr>
      <w:r>
        <w:rPr>
          <w:rFonts w:eastAsia="Batang"/>
          <w:noProof/>
          <w:lang w:val="fr-FR" w:eastAsia="ko-KR"/>
        </w:rPr>
        <w:t>d)</w:t>
      </w:r>
      <w:r>
        <w:rPr>
          <w:rFonts w:eastAsia="Batang"/>
          <w:noProof/>
          <w:lang w:val="fr-FR" w:eastAsia="ko-KR"/>
        </w:rPr>
        <w:tab/>
        <w:t xml:space="preserve">examine les moyens de </w:t>
      </w:r>
      <w:r>
        <w:rPr>
          <w:rFonts w:eastAsia="Batang"/>
          <w:noProof/>
          <w:lang w:val="fr-FR"/>
        </w:rPr>
        <w:t>faciliter</w:t>
      </w:r>
      <w:r>
        <w:rPr>
          <w:rFonts w:eastAsia="Batang"/>
          <w:noProof/>
          <w:lang w:val="fr-FR" w:eastAsia="ko-KR"/>
        </w:rPr>
        <w:t xml:space="preserve"> les </w:t>
      </w:r>
      <w:r>
        <w:rPr>
          <w:rFonts w:eastAsia="Batang"/>
          <w:noProof/>
          <w:lang w:val="fr-FR"/>
        </w:rPr>
        <w:t>échanges</w:t>
      </w:r>
      <w:r>
        <w:rPr>
          <w:rFonts w:eastAsia="Batang"/>
          <w:noProof/>
          <w:lang w:val="fr-FR" w:eastAsia="ko-KR"/>
        </w:rPr>
        <w:t xml:space="preserve"> bilatéraux des principes pharmaceutiques actifs.</w:t>
      </w:r>
    </w:p>
    <w:p>
      <w:pPr>
        <w:ind w:left="567" w:hanging="567"/>
        <w:rPr>
          <w:rFonts w:eastAsia="Batang"/>
          <w:noProof/>
          <w:lang w:val="fr-FR" w:eastAsia="ko-KR"/>
        </w:rPr>
      </w:pPr>
    </w:p>
    <w:p>
      <w:pPr>
        <w:ind w:left="567" w:hanging="567"/>
        <w:rPr>
          <w:rFonts w:eastAsia="Batang"/>
          <w:noProof/>
          <w:lang w:val="fr-FR" w:eastAsia="ko-KR"/>
        </w:rPr>
      </w:pPr>
    </w:p>
    <w:p>
      <w:pPr>
        <w:rPr>
          <w:i/>
          <w:noProof/>
          <w:lang w:val="fr-FR"/>
        </w:rPr>
      </w:pPr>
      <w:r>
        <w:rPr>
          <w:i/>
          <w:noProof/>
          <w:lang w:val="fr-FR"/>
        </w:rPr>
        <w:br w:type="page"/>
      </w:r>
    </w:p>
    <w:p>
      <w:pPr>
        <w:jc w:val="center"/>
        <w:rPr>
          <w:noProof/>
          <w:lang w:val="fr-FR"/>
        </w:rPr>
      </w:pPr>
      <w:r>
        <w:rPr>
          <w:rFonts w:eastAsia="Gulim"/>
          <w:noProof/>
          <w:lang w:val="fr-FR" w:eastAsia="ko-KR"/>
        </w:rPr>
        <w:t>ARTICLE</w:t>
      </w:r>
      <w:r>
        <w:rPr>
          <w:noProof/>
          <w:lang w:val="fr-FR"/>
        </w:rPr>
        <w:t xml:space="preserve"> 5</w:t>
      </w:r>
    </w:p>
    <w:p>
      <w:pPr>
        <w:rPr>
          <w:rFonts w:eastAsia="Gulim"/>
          <w:noProof/>
          <w:lang w:val="fr-FR"/>
        </w:rPr>
      </w:pPr>
    </w:p>
    <w:p>
      <w:pPr>
        <w:jc w:val="center"/>
        <w:rPr>
          <w:noProof/>
          <w:color w:val="000000"/>
          <w:lang w:val="fr-FR"/>
        </w:rPr>
      </w:pPr>
      <w:r>
        <w:rPr>
          <w:bCs/>
          <w:noProof/>
          <w:color w:val="000000"/>
          <w:lang w:val="fr-FR"/>
        </w:rPr>
        <w:t>Définitions</w:t>
      </w:r>
    </w:p>
    <w:p>
      <w:pPr>
        <w:rPr>
          <w:rFonts w:eastAsia="Batang"/>
          <w:smallCaps/>
          <w:noProof/>
          <w:color w:val="000000"/>
          <w:lang w:val="fr-FR"/>
        </w:rPr>
      </w:pPr>
    </w:p>
    <w:p>
      <w:pPr>
        <w:rPr>
          <w:noProof/>
          <w:color w:val="000000"/>
          <w:lang w:val="fr-FR"/>
        </w:rPr>
      </w:pPr>
      <w:r>
        <w:rPr>
          <w:noProof/>
          <w:color w:val="000000"/>
          <w:lang w:val="fr-FR"/>
        </w:rPr>
        <w:t>Aux fins de la présente annexe:</w:t>
      </w:r>
    </w:p>
    <w:p>
      <w:pPr>
        <w:rPr>
          <w:rFonts w:eastAsia="Batang"/>
          <w:noProof/>
          <w:color w:val="000000"/>
          <w:lang w:val="fr-FR"/>
        </w:rPr>
      </w:pPr>
    </w:p>
    <w:p>
      <w:pPr>
        <w:rPr>
          <w:noProof/>
          <w:lang w:val="fr-FR"/>
        </w:rPr>
      </w:pPr>
      <w:r>
        <w:rPr>
          <w:noProof/>
          <w:lang w:val="fr-FR"/>
        </w:rPr>
        <w:t>a)</w:t>
      </w:r>
      <w:r>
        <w:rPr>
          <w:noProof/>
          <w:lang w:val="fr-FR"/>
        </w:rPr>
        <w:tab/>
        <w:t xml:space="preserve">«produits </w:t>
      </w:r>
      <w:r>
        <w:rPr>
          <w:rFonts w:eastAsia="Batang"/>
          <w:noProof/>
          <w:lang w:val="fr-FR"/>
        </w:rPr>
        <w:t>pharmaceutiques</w:t>
      </w:r>
      <w:r>
        <w:rPr>
          <w:noProof/>
          <w:lang w:val="fr-FR"/>
        </w:rPr>
        <w:t>» désigne</w:t>
      </w:r>
    </w:p>
    <w:p>
      <w:pPr>
        <w:rPr>
          <w:rFonts w:eastAsia="Batang"/>
          <w:noProof/>
          <w:lang w:val="fr-FR"/>
        </w:rPr>
      </w:pPr>
    </w:p>
    <w:p>
      <w:pPr>
        <w:ind w:left="1134" w:hanging="567"/>
        <w:rPr>
          <w:rFonts w:eastAsia="Batang"/>
          <w:noProof/>
          <w:lang w:val="fr-FR"/>
        </w:rPr>
      </w:pPr>
      <w:r>
        <w:rPr>
          <w:rFonts w:eastAsia="Batang"/>
          <w:noProof/>
          <w:lang w:val="fr-FR"/>
        </w:rPr>
        <w:t>i)</w:t>
      </w:r>
      <w:r>
        <w:rPr>
          <w:rFonts w:eastAsia="Batang"/>
          <w:noProof/>
          <w:lang w:val="fr-FR"/>
        </w:rPr>
        <w:tab/>
        <w:t>toute substance ou combinaison de substances présentée comme possédant des propriétés curatives ou préventives à l’égard des maladies humaines; ou</w:t>
      </w:r>
    </w:p>
    <w:p>
      <w:pPr>
        <w:rPr>
          <w:rFonts w:eastAsia="Batang"/>
          <w:noProof/>
          <w:lang w:val="fr-FR"/>
        </w:rPr>
      </w:pPr>
    </w:p>
    <w:p>
      <w:pPr>
        <w:ind w:left="1134" w:hanging="567"/>
        <w:rPr>
          <w:noProof/>
          <w:lang w:val="fr-FR"/>
        </w:rPr>
      </w:pPr>
      <w:r>
        <w:rPr>
          <w:rFonts w:eastAsia="Batang"/>
          <w:noProof/>
          <w:lang w:val="fr-FR"/>
        </w:rPr>
        <w:t>ii)</w:t>
      </w:r>
      <w:r>
        <w:rPr>
          <w:rFonts w:eastAsia="Batang"/>
          <w:noProof/>
          <w:lang w:val="fr-FR"/>
        </w:rPr>
        <w:tab/>
        <w:t>toute substance ou combinaison de substances pouvant être administrée à l’homme en vue d’établir</w:t>
      </w:r>
      <w:r>
        <w:rPr>
          <w:noProof/>
          <w:lang w:val="fr-FR"/>
        </w:rPr>
        <w:t xml:space="preserve"> un diagnostic médical ou de restaurer, de corriger ou de modifier des fonctions physiologiques chez l’homme.</w:t>
      </w:r>
    </w:p>
    <w:p>
      <w:pPr>
        <w:rPr>
          <w:rFonts w:eastAsia="Batang"/>
          <w:noProof/>
          <w:color w:val="000000"/>
          <w:lang w:val="fr-FR"/>
        </w:rPr>
      </w:pPr>
    </w:p>
    <w:p>
      <w:pPr>
        <w:ind w:left="567"/>
        <w:rPr>
          <w:noProof/>
          <w:lang w:val="fr-FR"/>
        </w:rPr>
      </w:pPr>
      <w:r>
        <w:rPr>
          <w:noProof/>
          <w:lang w:val="fr-FR"/>
        </w:rPr>
        <w:t>Les produits pharmaceutiques comprennent, par exemple, les médicaments chimiques, les médicaments biologiques (tels que les vaccins, (anti)toxines) y compris les médicaments dérivés du sang et du plasma humain, les médicaments de thérapie innovante (tels que les produits de thérapie génique, les produits de thérapie cellulaire), les médicaments à base de plantes, les produits radiopharmaceutiques;</w:t>
      </w:r>
    </w:p>
    <w:p>
      <w:pPr>
        <w:ind w:left="567" w:hanging="567"/>
        <w:rPr>
          <w:noProof/>
          <w:lang w:val="fr-FR"/>
        </w:rPr>
      </w:pPr>
    </w:p>
    <w:p>
      <w:pPr>
        <w:ind w:left="567" w:hanging="567"/>
        <w:jc w:val="center"/>
        <w:rPr>
          <w:noProof/>
          <w:lang w:val="fr-FR"/>
        </w:rPr>
      </w:pPr>
      <w:r>
        <w:rPr>
          <w:noProof/>
          <w:lang w:val="fr-FR"/>
        </w:rPr>
        <w:br w:type="page"/>
        <w:t>b)</w:t>
      </w:r>
      <w:r>
        <w:rPr>
          <w:noProof/>
          <w:lang w:val="fr-FR"/>
        </w:rPr>
        <w:tab/>
        <w:t>«</w:t>
      </w:r>
      <w:r>
        <w:rPr>
          <w:rFonts w:eastAsia="Batang"/>
          <w:noProof/>
          <w:color w:val="000000"/>
          <w:lang w:val="fr-FR" w:eastAsia="ko-KR"/>
        </w:rPr>
        <w:t>dispositif</w:t>
      </w:r>
      <w:r>
        <w:rPr>
          <w:noProof/>
          <w:lang w:val="fr-FR"/>
        </w:rPr>
        <w:t xml:space="preserve"> médical»</w:t>
      </w:r>
      <w:r>
        <w:rPr>
          <w:rStyle w:val="FootnoteReference"/>
          <w:noProof/>
        </w:rPr>
        <w:footnoteReference w:id="7"/>
      </w:r>
      <w:r>
        <w:rPr>
          <w:noProof/>
          <w:lang w:val="fr-FR"/>
        </w:rPr>
        <w:t xml:space="preserve"> </w:t>
      </w:r>
      <w:r>
        <w:rPr>
          <w:rFonts w:eastAsia="Batang"/>
          <w:noProof/>
          <w:color w:val="000000"/>
          <w:lang w:val="fr-FR" w:eastAsia="ko-KR"/>
        </w:rPr>
        <w:t>désigne</w:t>
      </w:r>
      <w:r>
        <w:rPr>
          <w:noProof/>
          <w:lang w:val="fr-FR"/>
        </w:rPr>
        <w:t xml:space="preserve"> tout instrument, appareil, équipement, implant, réactif in vitro ou calibreur, logiciel, matière ou autre article similaire ou lié, destiné par son fabricant à être utilisé, seul ou en association, chez l’homme aux fins médicales suivantes:</w:t>
      </w:r>
    </w:p>
    <w:p>
      <w:pPr>
        <w:rPr>
          <w:rFonts w:eastAsia="Batang"/>
          <w:noProof/>
          <w:color w:val="000000"/>
          <w:lang w:val="fr-FR"/>
        </w:rPr>
      </w:pPr>
    </w:p>
    <w:p>
      <w:pPr>
        <w:ind w:left="1134" w:hanging="567"/>
        <w:rPr>
          <w:rFonts w:eastAsia="Batang"/>
          <w:noProof/>
          <w:color w:val="000000"/>
          <w:lang w:val="fr-FR" w:eastAsia="ko-KR"/>
        </w:rPr>
      </w:pPr>
      <w:r>
        <w:rPr>
          <w:noProof/>
          <w:lang w:val="fr-FR"/>
        </w:rPr>
        <w:t>i)</w:t>
      </w:r>
      <w:r>
        <w:rPr>
          <w:noProof/>
          <w:lang w:val="fr-FR"/>
        </w:rPr>
        <w:tab/>
      </w:r>
      <w:r>
        <w:rPr>
          <w:rFonts w:eastAsia="Batang"/>
          <w:noProof/>
          <w:color w:val="000000"/>
          <w:lang w:val="fr-FR" w:eastAsia="ko-KR"/>
        </w:rPr>
        <w:t>le diagnostic, la prévention, le contrôle, le traitement ou l’atténuation de maladies;</w:t>
      </w:r>
    </w:p>
    <w:p>
      <w:pPr>
        <w:ind w:left="1134" w:hanging="567"/>
        <w:rPr>
          <w:rFonts w:eastAsia="Batang"/>
          <w:noProof/>
          <w:color w:val="000000"/>
          <w:lang w:val="fr-FR" w:eastAsia="ko-KR"/>
        </w:rPr>
      </w:pPr>
    </w:p>
    <w:p>
      <w:pPr>
        <w:ind w:left="1134" w:hanging="567"/>
        <w:rPr>
          <w:rFonts w:eastAsia="Batang"/>
          <w:noProof/>
          <w:color w:val="000000"/>
          <w:lang w:val="fr-FR" w:eastAsia="ko-KR"/>
        </w:rPr>
      </w:pPr>
      <w:r>
        <w:rPr>
          <w:rFonts w:eastAsia="Batang"/>
          <w:noProof/>
          <w:color w:val="000000"/>
          <w:lang w:val="fr-FR" w:eastAsia="ko-KR"/>
        </w:rPr>
        <w:t>ii)</w:t>
      </w:r>
      <w:r>
        <w:rPr>
          <w:rFonts w:eastAsia="Batang"/>
          <w:noProof/>
          <w:color w:val="000000"/>
          <w:lang w:val="fr-FR" w:eastAsia="ko-KR"/>
        </w:rPr>
        <w:tab/>
        <w:t>le diagnostic, le contrôle, le traitement, l’atténuation ou la compensation d’une blessure;</w:t>
      </w:r>
    </w:p>
    <w:p>
      <w:pPr>
        <w:ind w:left="1134" w:hanging="567"/>
        <w:rPr>
          <w:rFonts w:eastAsia="Batang"/>
          <w:noProof/>
          <w:color w:val="000000"/>
          <w:lang w:val="fr-FR" w:eastAsia="ko-KR"/>
        </w:rPr>
      </w:pPr>
    </w:p>
    <w:p>
      <w:pPr>
        <w:ind w:left="1134" w:hanging="567"/>
        <w:rPr>
          <w:rFonts w:eastAsia="Batang"/>
          <w:noProof/>
          <w:color w:val="000000"/>
          <w:lang w:val="fr-FR" w:eastAsia="ko-KR"/>
        </w:rPr>
      </w:pPr>
      <w:r>
        <w:rPr>
          <w:rFonts w:eastAsia="Batang"/>
          <w:noProof/>
          <w:color w:val="000000"/>
          <w:lang w:val="fr-FR" w:eastAsia="ko-KR"/>
        </w:rPr>
        <w:t>iii)</w:t>
      </w:r>
      <w:r>
        <w:rPr>
          <w:rFonts w:eastAsia="Batang"/>
          <w:noProof/>
          <w:color w:val="000000"/>
          <w:lang w:val="fr-FR" w:eastAsia="ko-KR"/>
        </w:rPr>
        <w:tab/>
        <w:t>l’étude, le remplacement, la modification ou le support de l’anatomie ou d’un processus physiologique;</w:t>
      </w:r>
    </w:p>
    <w:p>
      <w:pPr>
        <w:rPr>
          <w:rFonts w:eastAsia="Batang"/>
          <w:noProof/>
          <w:color w:val="000000"/>
          <w:lang w:val="fr-FR"/>
        </w:rPr>
      </w:pPr>
    </w:p>
    <w:p>
      <w:pPr>
        <w:ind w:left="1134" w:hanging="567"/>
        <w:rPr>
          <w:rFonts w:eastAsia="Batang"/>
          <w:noProof/>
          <w:color w:val="000000"/>
          <w:sz w:val="22"/>
          <w:lang w:val="fr-FR" w:eastAsia="ko-KR"/>
        </w:rPr>
      </w:pPr>
      <w:r>
        <w:rPr>
          <w:noProof/>
          <w:lang w:val="fr-FR"/>
        </w:rPr>
        <w:t>iv)</w:t>
      </w:r>
      <w:r>
        <w:rPr>
          <w:noProof/>
          <w:lang w:val="fr-FR"/>
        </w:rPr>
        <w:tab/>
      </w:r>
      <w:r>
        <w:rPr>
          <w:rFonts w:eastAsia="Batang"/>
          <w:noProof/>
          <w:color w:val="000000"/>
          <w:sz w:val="22"/>
          <w:lang w:val="fr-FR" w:eastAsia="ko-KR"/>
        </w:rPr>
        <w:t>la maîtrise de la conception;</w:t>
      </w:r>
    </w:p>
    <w:p>
      <w:pPr>
        <w:ind w:left="1134" w:hanging="567"/>
        <w:rPr>
          <w:rFonts w:eastAsia="Batang"/>
          <w:noProof/>
          <w:color w:val="000000"/>
          <w:sz w:val="22"/>
          <w:lang w:val="fr-FR" w:eastAsia="ko-KR"/>
        </w:rPr>
      </w:pPr>
    </w:p>
    <w:p>
      <w:pPr>
        <w:ind w:left="1134" w:hanging="567"/>
        <w:rPr>
          <w:rFonts w:eastAsia="Batang"/>
          <w:noProof/>
          <w:color w:val="000000"/>
          <w:sz w:val="22"/>
          <w:lang w:val="fr-FR" w:eastAsia="ko-KR"/>
        </w:rPr>
      </w:pPr>
      <w:r>
        <w:rPr>
          <w:rFonts w:eastAsia="Batang"/>
          <w:noProof/>
          <w:color w:val="000000"/>
          <w:sz w:val="22"/>
          <w:lang w:val="fr-FR" w:eastAsia="ko-KR"/>
        </w:rPr>
        <w:t>v)</w:t>
      </w:r>
      <w:r>
        <w:rPr>
          <w:rFonts w:eastAsia="Batang"/>
          <w:noProof/>
          <w:color w:val="000000"/>
          <w:sz w:val="22"/>
          <w:lang w:val="fr-FR" w:eastAsia="ko-KR"/>
        </w:rPr>
        <w:tab/>
        <w:t>l’aide à la vie et le maintien en vie;</w:t>
      </w:r>
    </w:p>
    <w:p>
      <w:pPr>
        <w:ind w:left="1134" w:hanging="567"/>
        <w:rPr>
          <w:rFonts w:eastAsia="Batang"/>
          <w:noProof/>
          <w:color w:val="000000"/>
          <w:sz w:val="22"/>
          <w:lang w:val="fr-FR" w:eastAsia="ko-KR"/>
        </w:rPr>
      </w:pPr>
    </w:p>
    <w:p>
      <w:pPr>
        <w:ind w:left="1134" w:hanging="567"/>
        <w:rPr>
          <w:rFonts w:eastAsia="Batang"/>
          <w:noProof/>
          <w:color w:val="000000"/>
          <w:sz w:val="22"/>
          <w:lang w:val="fr-FR" w:eastAsia="ko-KR"/>
        </w:rPr>
      </w:pPr>
      <w:r>
        <w:rPr>
          <w:rFonts w:eastAsia="Batang"/>
          <w:noProof/>
          <w:color w:val="000000"/>
          <w:sz w:val="22"/>
          <w:lang w:val="fr-FR" w:eastAsia="ko-KR"/>
        </w:rPr>
        <w:t>vi)</w:t>
      </w:r>
      <w:r>
        <w:rPr>
          <w:rFonts w:eastAsia="Batang"/>
          <w:noProof/>
          <w:color w:val="000000"/>
          <w:sz w:val="22"/>
          <w:lang w:val="fr-FR" w:eastAsia="ko-KR"/>
        </w:rPr>
        <w:tab/>
        <w:t>la désinfection des dispositifs médicaux;</w:t>
      </w:r>
    </w:p>
    <w:p>
      <w:pPr>
        <w:ind w:left="1134" w:hanging="567"/>
        <w:rPr>
          <w:rFonts w:eastAsia="Batang"/>
          <w:noProof/>
          <w:color w:val="000000"/>
          <w:sz w:val="22"/>
          <w:lang w:val="fr-FR" w:eastAsia="ko-KR"/>
        </w:rPr>
      </w:pPr>
    </w:p>
    <w:p>
      <w:pPr>
        <w:ind w:left="1134" w:hanging="567"/>
        <w:rPr>
          <w:noProof/>
          <w:lang w:val="fr-FR"/>
        </w:rPr>
      </w:pPr>
      <w:r>
        <w:rPr>
          <w:rFonts w:eastAsia="Batang"/>
          <w:noProof/>
          <w:color w:val="000000"/>
          <w:sz w:val="22"/>
          <w:lang w:val="fr-FR" w:eastAsia="ko-KR"/>
        </w:rPr>
        <w:t>vii)</w:t>
      </w:r>
      <w:r>
        <w:rPr>
          <w:rFonts w:eastAsia="Batang"/>
          <w:noProof/>
          <w:color w:val="000000"/>
          <w:sz w:val="22"/>
          <w:lang w:val="fr-FR" w:eastAsia="ko-KR"/>
        </w:rPr>
        <w:tab/>
        <w:t>la fourniture d’information à des fins médicales ou de diagnostic au moyen d’un examen in vitro de spécimens dérivés du</w:t>
      </w:r>
      <w:r>
        <w:rPr>
          <w:noProof/>
          <w:sz w:val="22"/>
          <w:lang w:val="fr-FR"/>
        </w:rPr>
        <w:t xml:space="preserve"> </w:t>
      </w:r>
      <w:r>
        <w:rPr>
          <w:noProof/>
          <w:lang w:val="fr-FR"/>
        </w:rPr>
        <w:t>corps humain;</w:t>
      </w:r>
    </w:p>
    <w:p>
      <w:pPr>
        <w:ind w:left="567" w:hanging="567"/>
        <w:rPr>
          <w:noProof/>
          <w:lang w:val="fr-FR"/>
        </w:rPr>
      </w:pPr>
      <w:r>
        <w:rPr>
          <w:noProof/>
          <w:lang w:val="fr-FR"/>
        </w:rPr>
        <w:br w:type="page"/>
        <w:t>c)</w:t>
      </w:r>
      <w:r>
        <w:rPr>
          <w:noProof/>
          <w:lang w:val="fr-FR"/>
        </w:rPr>
        <w:tab/>
        <w:t xml:space="preserve">les «autorités </w:t>
      </w:r>
      <w:r>
        <w:rPr>
          <w:rFonts w:eastAsia="Batang"/>
          <w:noProof/>
          <w:lang w:val="fr-FR"/>
        </w:rPr>
        <w:t>sanitaires</w:t>
      </w:r>
      <w:r>
        <w:rPr>
          <w:noProof/>
          <w:lang w:val="fr-FR"/>
        </w:rPr>
        <w:t xml:space="preserve"> d’une partie» sont les entités que cette partie a chargées de gérer ses programmes de santé, sauf spécification contraire; et</w:t>
      </w:r>
    </w:p>
    <w:p>
      <w:pPr>
        <w:rPr>
          <w:rFonts w:eastAsia="Batang"/>
          <w:noProof/>
          <w:lang w:val="fr-FR"/>
        </w:rPr>
      </w:pPr>
    </w:p>
    <w:p>
      <w:pPr>
        <w:ind w:left="567" w:hanging="567"/>
        <w:rPr>
          <w:noProof/>
          <w:color w:val="000000"/>
          <w:lang w:val="fr-FR"/>
        </w:rPr>
      </w:pPr>
      <w:r>
        <w:rPr>
          <w:noProof/>
          <w:lang w:val="fr-FR"/>
        </w:rPr>
        <w:t>d)</w:t>
      </w:r>
      <w:r>
        <w:rPr>
          <w:noProof/>
          <w:lang w:val="fr-FR"/>
        </w:rPr>
        <w:tab/>
        <w:t>«fabricant» désigne le titulaire légal des droits du produit sur le territoire de la partie concernée.</w:t>
      </w:r>
      <w:r>
        <w:rPr>
          <w:noProof/>
          <w:color w:val="000000"/>
          <w:lang w:val="fr-FR"/>
        </w:rPr>
        <w:t xml:space="preserve"> </w:t>
      </w:r>
    </w:p>
    <w:p>
      <w:pPr>
        <w:rPr>
          <w:noProof/>
          <w:szCs w:val="23"/>
          <w:lang w:val="fr-FR"/>
        </w:rPr>
      </w:pPr>
    </w:p>
    <w:p>
      <w:pPr>
        <w:rPr>
          <w:noProof/>
          <w:szCs w:val="23"/>
          <w:lang w:val="fr-FR"/>
        </w:rPr>
      </w:pPr>
    </w:p>
    <w:p>
      <w:pPr>
        <w:jc w:val="center"/>
        <w:rPr>
          <w:noProof/>
          <w:szCs w:val="23"/>
        </w:rPr>
      </w:pPr>
      <w:r>
        <w:rPr>
          <w:noProof/>
          <w:szCs w:val="23"/>
        </w:rPr>
        <w:t>________________</w:t>
      </w:r>
    </w:p>
    <w:sectPr>
      <w:headerReference w:type="even" r:id="rId22"/>
      <w:headerReference w:type="default" r:id="rId23"/>
      <w:footerReference w:type="even" r:id="rId24"/>
      <w:footerReference w:type="default" r:id="rId25"/>
      <w:headerReference w:type="first" r:id="rId26"/>
      <w:footerReference w:type="first" r:id="rId27"/>
      <w:footnotePr>
        <w:numRestart w:val="eachPage"/>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t>XX/xx</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t>XX/xx</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pStyle w:val="FootnoteText"/>
      </w:pPr>
      <w:r>
        <w:separator/>
      </w:r>
    </w:p>
  </w:footnote>
  <w:footnote w:type="continuationSeparator" w:id="0">
    <w:p>
      <w:pPr>
        <w:pStyle w:val="FootnoteText"/>
      </w:pPr>
      <w:r>
        <w:separator/>
      </w:r>
    </w:p>
  </w:footnote>
  <w:footnote w:id="1">
    <w:p>
      <w:pPr>
        <w:pStyle w:val="FootnoteText"/>
        <w:rPr>
          <w:color w:val="000000"/>
          <w:lang w:val="fr-BE"/>
        </w:rPr>
      </w:pPr>
      <w:r>
        <w:rPr>
          <w:rStyle w:val="FootnoteReference"/>
        </w:rPr>
        <w:footnoteRef/>
      </w:r>
      <w:r>
        <w:rPr>
          <w:lang w:val="fr-BE"/>
        </w:rPr>
        <w:tab/>
        <w:t>Ce paragraphe est sans préjudice des droits des parties d’accepter des normes nationales ou des réglementations techniques d’autres pays.</w:t>
      </w:r>
      <w:r>
        <w:rPr>
          <w:color w:val="000000"/>
          <w:lang w:val="fr-BE"/>
        </w:rPr>
        <w:t xml:space="preserve"> </w:t>
      </w:r>
    </w:p>
  </w:footnote>
  <w:footnote w:id="2">
    <w:p>
      <w:pPr>
        <w:pStyle w:val="FootnoteText"/>
        <w:rPr>
          <w:lang w:val="fr-BE"/>
        </w:rPr>
      </w:pPr>
      <w:r>
        <w:rPr>
          <w:rStyle w:val="FootnoteReference"/>
        </w:rPr>
        <w:footnoteRef/>
      </w:r>
      <w:r>
        <w:rPr>
          <w:lang w:val="fr-BE"/>
        </w:rPr>
        <w:tab/>
        <w:t>Les dispositions de l’article 3 (Convergence réglementaire), paragraphe 1, point a), et paragraphe 2, et de l’article 6 (Autres mesures de restriction commerciale) de la présente annexe sont sans préjudice des mesures de gestion du trafic prises par Singapour, telles que le péage routier électronique, du fait des contraintes d’espace propres à Singapour.</w:t>
      </w:r>
    </w:p>
  </w:footnote>
  <w:footnote w:id="3">
    <w:p>
      <w:pPr>
        <w:pStyle w:val="FootnoteText"/>
        <w:rPr>
          <w:lang w:val="fr-BE"/>
        </w:rPr>
      </w:pPr>
      <w:r>
        <w:rPr>
          <w:rStyle w:val="FootnoteReference"/>
        </w:rPr>
        <w:footnoteRef/>
      </w:r>
      <w:r>
        <w:rPr>
          <w:lang w:val="fr-BE"/>
        </w:rPr>
        <w:tab/>
        <w:t>Aux fins du présent paragraphe, où l’expression «nouveaux produits de l’Union couverts par la présente annexe» se rapporte aux véhicules entiers, il y a lieu d’entendre les véhicules qui n’ont jamais été immatriculés auparavant dans le monde.</w:t>
      </w:r>
    </w:p>
  </w:footnote>
  <w:footnote w:id="4">
    <w:p>
      <w:pPr>
        <w:pStyle w:val="FootnoteText"/>
        <w:rPr>
          <w:lang w:val="fr-BE"/>
        </w:rPr>
      </w:pPr>
      <w:r>
        <w:rPr>
          <w:rStyle w:val="FootnoteReference"/>
        </w:rPr>
        <w:footnoteRef/>
      </w:r>
      <w:r>
        <w:rPr>
          <w:lang w:val="fr-BE"/>
        </w:rPr>
        <w:tab/>
        <w:t>Pour précision, les termes «réception CE», «certificat de réception CE», «certificat de conformité» et «marque de réception CE» ont la signification qui leur a été donnée dans la législation de l’Union, notamment dans la directive 2007/46/CE du Parlement européen et du Conseil du 5 septembre 2007 établissant un cadre pour la réception des véhicules à moteur, de leurs remorques et des systèmes, des composants et des entités techniques destinés à ces véhicules (JO L 263 du 9.10.2007, p. 1).</w:t>
      </w:r>
    </w:p>
  </w:footnote>
  <w:footnote w:id="5">
    <w:p>
      <w:pPr>
        <w:pStyle w:val="FootnoteText"/>
        <w:rPr>
          <w:lang w:val="fr-BE"/>
        </w:rPr>
      </w:pPr>
      <w:r>
        <w:rPr>
          <w:rStyle w:val="FootnoteReference"/>
        </w:rPr>
        <w:footnoteRef/>
      </w:r>
      <w:r>
        <w:rPr>
          <w:lang w:val="fr-BE"/>
        </w:rPr>
        <w:tab/>
        <w:t>Lorsque Singapour est la partie importatrice, on entend par «opérateur économique» l’importateur du produit concerné.</w:t>
      </w:r>
    </w:p>
  </w:footnote>
  <w:footnote w:id="6">
    <w:p>
      <w:pPr>
        <w:pStyle w:val="FootnoteText"/>
        <w:rPr>
          <w:lang w:val="fr-BE"/>
        </w:rPr>
      </w:pPr>
      <w:r>
        <w:rPr>
          <w:rStyle w:val="FootnoteReference"/>
        </w:rPr>
        <w:footnoteRef/>
      </w:r>
      <w:r>
        <w:rPr>
          <w:lang w:val="fr-BE"/>
        </w:rPr>
        <w:tab/>
        <w:t>Les expressions «licences d’importation», «licences d’importation automatiques» et «licences d’importation non automatiques» sont définies aux articles 1, 2 et 3 de l’accord de l’OMC sur les procédures de licences d’importation.</w:t>
      </w:r>
    </w:p>
  </w:footnote>
  <w:footnote w:id="7">
    <w:p>
      <w:pPr>
        <w:pStyle w:val="FootnoteText"/>
        <w:rPr>
          <w:lang w:val="fr-BE"/>
        </w:rPr>
      </w:pPr>
      <w:r>
        <w:rPr>
          <w:rStyle w:val="FootnoteReference"/>
        </w:rPr>
        <w:footnoteRef/>
      </w:r>
      <w:r>
        <w:rPr>
          <w:lang w:val="fr-BE"/>
        </w:rPr>
        <w:tab/>
      </w:r>
      <w:r>
        <w:rPr>
          <w:color w:val="000000"/>
          <w:lang w:val="fr-BE"/>
        </w:rPr>
        <w:t xml:space="preserve">Pour précision, </w:t>
      </w:r>
      <w:r>
        <w:rPr>
          <w:lang w:val="fr-FR"/>
        </w:rPr>
        <w:t xml:space="preserve">l’action principale voulue du dispositif médical dans ou sur le corps humain n’est </w:t>
      </w:r>
      <w:r>
        <w:rPr>
          <w:color w:val="000000"/>
          <w:lang w:val="fr-FR"/>
        </w:rPr>
        <w:t>pas</w:t>
      </w:r>
      <w:r>
        <w:rPr>
          <w:lang w:val="fr-FR"/>
        </w:rPr>
        <w:t xml:space="preserve"> obtenue par des moyens pharmacologiques ou immunologiques ni par métabolisme, mais la fonction du dispositif peut être assistée par de tels moyens</w:t>
      </w:r>
      <w:r>
        <w:rPr>
          <w:color w:val="000000"/>
          <w:lang w:val="fr-BE"/>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F4273"/>
    <w:multiLevelType w:val="singleLevel"/>
    <w:tmpl w:val="6276CDDE"/>
    <w:lvl w:ilvl="0">
      <w:start w:val="1"/>
      <w:numFmt w:val="upperRoman"/>
      <w:pStyle w:val="Par-numberI"/>
      <w:lvlText w:val="%1."/>
      <w:lvlJc w:val="left"/>
      <w:pPr>
        <w:tabs>
          <w:tab w:val="num" w:pos="567"/>
        </w:tabs>
        <w:ind w:left="567" w:hanging="567"/>
      </w:pPr>
    </w:lvl>
  </w:abstractNum>
  <w:abstractNum w:abstractNumId="1">
    <w:nsid w:val="22CA659A"/>
    <w:multiLevelType w:val="singleLevel"/>
    <w:tmpl w:val="7B9C897A"/>
    <w:lvl w:ilvl="0">
      <w:start w:val="1"/>
      <w:numFmt w:val="bullet"/>
      <w:pStyle w:val="Par-dash"/>
      <w:lvlText w:val=""/>
      <w:lvlJc w:val="left"/>
      <w:pPr>
        <w:tabs>
          <w:tab w:val="num" w:pos="567"/>
        </w:tabs>
        <w:ind w:left="567" w:hanging="567"/>
      </w:pPr>
      <w:rPr>
        <w:rFonts w:ascii="Symbol" w:hAnsi="Symbol" w:hint="default"/>
      </w:rPr>
    </w:lvl>
  </w:abstractNum>
  <w:abstractNum w:abstractNumId="2">
    <w:nsid w:val="22D918D1"/>
    <w:multiLevelType w:val="multilevel"/>
    <w:tmpl w:val="DE2606C8"/>
    <w:lvl w:ilvl="0">
      <w:start w:val="1"/>
      <w:numFmt w:val="decimal"/>
      <w:pStyle w:val="Heading1"/>
      <w:lvlText w:val="%1."/>
      <w:lvlJc w:val="left"/>
      <w:pPr>
        <w:tabs>
          <w:tab w:val="num" w:pos="851"/>
        </w:tabs>
        <w:ind w:left="851" w:hanging="851"/>
      </w:pPr>
    </w:lvl>
    <w:lvl w:ilvl="1">
      <w:start w:val="1"/>
      <w:numFmt w:val="decimal"/>
      <w:pStyle w:val="Heading2"/>
      <w:lvlText w:val="%1.%2."/>
      <w:lvlJc w:val="left"/>
      <w:pPr>
        <w:tabs>
          <w:tab w:val="num" w:pos="851"/>
        </w:tabs>
        <w:ind w:left="851" w:hanging="851"/>
      </w:pPr>
    </w:lvl>
    <w:lvl w:ilvl="2">
      <w:start w:val="1"/>
      <w:numFmt w:val="decimal"/>
      <w:pStyle w:val="Heading3"/>
      <w:lvlText w:val="%1.%2.%3."/>
      <w:lvlJc w:val="left"/>
      <w:pPr>
        <w:tabs>
          <w:tab w:val="num" w:pos="851"/>
        </w:tabs>
        <w:ind w:left="851" w:hanging="851"/>
      </w:pPr>
    </w:lvl>
    <w:lvl w:ilvl="3">
      <w:start w:val="1"/>
      <w:numFmt w:val="decimal"/>
      <w:pStyle w:val="Heading4"/>
      <w:lvlText w:val="%1.%2.%3.%4."/>
      <w:lvlJc w:val="left"/>
      <w:pPr>
        <w:tabs>
          <w:tab w:val="num" w:pos="851"/>
        </w:tabs>
        <w:ind w:left="851" w:hanging="851"/>
      </w:pPr>
    </w:lvl>
    <w:lvl w:ilvl="4">
      <w:start w:val="1"/>
      <w:numFmt w:val="none"/>
      <w:lvlText w:val=""/>
      <w:lvlJc w:val="left"/>
      <w:pPr>
        <w:tabs>
          <w:tab w:val="num" w:pos="36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
    <w:nsid w:val="2D2D468B"/>
    <w:multiLevelType w:val="singleLevel"/>
    <w:tmpl w:val="A18042A8"/>
    <w:lvl w:ilvl="0">
      <w:start w:val="1"/>
      <w:numFmt w:val="upperLetter"/>
      <w:pStyle w:val="Par-numberA"/>
      <w:lvlText w:val="%1."/>
      <w:lvlJc w:val="left"/>
      <w:pPr>
        <w:tabs>
          <w:tab w:val="num" w:pos="567"/>
        </w:tabs>
        <w:ind w:left="567" w:hanging="567"/>
      </w:pPr>
    </w:lvl>
  </w:abstractNum>
  <w:abstractNum w:abstractNumId="4">
    <w:nsid w:val="2DB37182"/>
    <w:multiLevelType w:val="singleLevel"/>
    <w:tmpl w:val="F612DBDC"/>
    <w:lvl w:ilvl="0">
      <w:start w:val="1"/>
      <w:numFmt w:val="lowerRoman"/>
      <w:pStyle w:val="Par-numberi0"/>
      <w:lvlText w:val="(%1)"/>
      <w:lvlJc w:val="left"/>
      <w:pPr>
        <w:tabs>
          <w:tab w:val="num" w:pos="720"/>
        </w:tabs>
        <w:ind w:left="567" w:hanging="567"/>
      </w:pPr>
    </w:lvl>
  </w:abstractNum>
  <w:abstractNum w:abstractNumId="5">
    <w:nsid w:val="394F5925"/>
    <w:multiLevelType w:val="singleLevel"/>
    <w:tmpl w:val="395C08BE"/>
    <w:lvl w:ilvl="0">
      <w:start w:val="1"/>
      <w:numFmt w:val="decimal"/>
      <w:pStyle w:val="Par-number1"/>
      <w:lvlText w:val="(%1)"/>
      <w:lvlJc w:val="left"/>
      <w:pPr>
        <w:tabs>
          <w:tab w:val="num" w:pos="567"/>
        </w:tabs>
        <w:ind w:left="567" w:hanging="567"/>
      </w:pPr>
    </w:lvl>
  </w:abstractNum>
  <w:abstractNum w:abstractNumId="6">
    <w:nsid w:val="3DD66C9D"/>
    <w:multiLevelType w:val="singleLevel"/>
    <w:tmpl w:val="E5905DC2"/>
    <w:lvl w:ilvl="0">
      <w:start w:val="1"/>
      <w:numFmt w:val="lowerLetter"/>
      <w:pStyle w:val="Par-numbera0"/>
      <w:lvlText w:val="(%1)"/>
      <w:lvlJc w:val="left"/>
      <w:pPr>
        <w:tabs>
          <w:tab w:val="num" w:pos="567"/>
        </w:tabs>
        <w:ind w:left="567" w:hanging="567"/>
      </w:pPr>
    </w:lvl>
  </w:abstractNum>
  <w:abstractNum w:abstractNumId="7">
    <w:nsid w:val="3FC80B1B"/>
    <w:multiLevelType w:val="singleLevel"/>
    <w:tmpl w:val="C11CD6E2"/>
    <w:lvl w:ilvl="0">
      <w:start w:val="1"/>
      <w:numFmt w:val="decimal"/>
      <w:pStyle w:val="Par-number10"/>
      <w:lvlText w:val="%1)"/>
      <w:lvlJc w:val="left"/>
      <w:pPr>
        <w:tabs>
          <w:tab w:val="num" w:pos="567"/>
        </w:tabs>
        <w:ind w:left="567" w:hanging="567"/>
      </w:pPr>
    </w:lvl>
  </w:abstractNum>
  <w:abstractNum w:abstractNumId="8">
    <w:nsid w:val="436E0A5D"/>
    <w:multiLevelType w:val="singleLevel"/>
    <w:tmpl w:val="9C807126"/>
    <w:lvl w:ilvl="0">
      <w:start w:val="1"/>
      <w:numFmt w:val="bullet"/>
      <w:pStyle w:val="Par-equal"/>
      <w:lvlText w:val=""/>
      <w:lvlJc w:val="left"/>
      <w:pPr>
        <w:tabs>
          <w:tab w:val="num" w:pos="567"/>
        </w:tabs>
        <w:ind w:left="567" w:hanging="567"/>
      </w:pPr>
      <w:rPr>
        <w:rFonts w:ascii="Symbol" w:hAnsi="Symbol" w:hint="default"/>
      </w:rPr>
    </w:lvl>
  </w:abstractNum>
  <w:abstractNum w:abstractNumId="9">
    <w:nsid w:val="6E4E71E4"/>
    <w:multiLevelType w:val="singleLevel"/>
    <w:tmpl w:val="21145626"/>
    <w:lvl w:ilvl="0">
      <w:start w:val="1"/>
      <w:numFmt w:val="decimal"/>
      <w:pStyle w:val="Par-number11"/>
      <w:lvlText w:val="%1."/>
      <w:lvlJc w:val="left"/>
      <w:pPr>
        <w:tabs>
          <w:tab w:val="num" w:pos="567"/>
        </w:tabs>
        <w:ind w:left="567" w:hanging="567"/>
      </w:pPr>
    </w:lvl>
  </w:abstractNum>
  <w:abstractNum w:abstractNumId="10">
    <w:nsid w:val="79FA34D6"/>
    <w:multiLevelType w:val="singleLevel"/>
    <w:tmpl w:val="41326E50"/>
    <w:lvl w:ilvl="0">
      <w:start w:val="1"/>
      <w:numFmt w:val="bullet"/>
      <w:pStyle w:val="Par-bullet"/>
      <w:lvlText w:val=""/>
      <w:lvlJc w:val="left"/>
      <w:pPr>
        <w:tabs>
          <w:tab w:val="num" w:pos="567"/>
        </w:tabs>
        <w:ind w:left="567" w:hanging="567"/>
      </w:pPr>
      <w:rPr>
        <w:rFonts w:ascii="Symbol" w:hAnsi="Symbol" w:hint="default"/>
      </w:rPr>
    </w:lvl>
  </w:abstractNum>
  <w:num w:numId="1">
    <w:abstractNumId w:val="4"/>
  </w:num>
  <w:num w:numId="2">
    <w:abstractNumId w:val="6"/>
  </w:num>
  <w:num w:numId="3">
    <w:abstractNumId w:val="10"/>
  </w:num>
  <w:num w:numId="4">
    <w:abstractNumId w:val="1"/>
  </w:num>
  <w:num w:numId="5">
    <w:abstractNumId w:val="8"/>
  </w:num>
  <w:num w:numId="6">
    <w:abstractNumId w:val="5"/>
  </w:num>
  <w:num w:numId="7">
    <w:abstractNumId w:val="7"/>
  </w:num>
  <w:num w:numId="8">
    <w:abstractNumId w:val="9"/>
  </w:num>
  <w:num w:numId="9">
    <w:abstractNumId w:val="3"/>
  </w:num>
  <w:num w:numId="10">
    <w:abstractNumId w:val="0"/>
  </w:num>
  <w:num w:numId="11">
    <w:abstractNumId w:val="2"/>
  </w:num>
  <w:num w:numId="12">
    <w:abstractNumId w:val="2"/>
  </w:num>
  <w:num w:numId="13">
    <w:abstractNumId w:val="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en-US" w:vendorID="8" w:dllVersion="513" w:checkStyle="1"/>
  <w:activeWritingStyle w:appName="MSWord" w:lang="en-GB" w:vendorID="8" w:dllVersion="513" w:checkStyle="1"/>
  <w:activeWritingStyle w:appName="MSWord" w:lang="fr-FR" w:vendorID="9"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Num" w:val="0"/>
    <w:docVar w:name="DocStatus" w:val="Green"/>
    <w:docVar w:name="DW_DocType" w:val="_GENEN"/>
    <w:docVar w:name="LW_ACCOMPAGNANT.CP" w:val="de la"/>
    <w:docVar w:name="LW_ANNEX_NBR_FIRST" w:val="2"/>
    <w:docVar w:name="LW_ANNEX_NBR_LAST" w:val="2"/>
    <w:docVar w:name="LW_ANNEX_UNIQUE" w:val="0"/>
    <w:docVar w:name="LW_CORRIGENDUM" w:val="&lt;UNUSED&gt;"/>
    <w:docVar w:name="LW_COVERPAGE_EXISTS" w:val="True"/>
    <w:docVar w:name="LW_COVERPAGE_GUID" w:val="D11E4720-BD93-4785-ACC2-B7DCED3C9402"/>
    <w:docVar w:name="LW_COVERPAGE_TYPE" w:val="1"/>
    <w:docVar w:name="LW_CROSSREFERENCE" w:val="&lt;UNUSED&gt;"/>
    <w:docVar w:name="LW_DocType" w:val="_GENEN"/>
    <w:docVar w:name="LW_EMISSION" w:val="18.4.2018"/>
    <w:docVar w:name="LW_EMISSION_ISODATE" w:val="2018-04-18"/>
    <w:docVar w:name="LW_EMISSION_LOCATION" w:val="BRX"/>
    <w:docVar w:name="LW_EMISSION_PREFIX" w:val="Bruxelles, le "/>
    <w:docVar w:name="LW_EMISSION_SUFFIX" w:val="&lt;EMPTY&gt;"/>
    <w:docVar w:name="LW_ID_DOCTYPE_NONLW" w:val="CP-036"/>
    <w:docVar w:name="LW_LANGUE" w:val="FR"/>
    <w:docVar w:name="LW_LEVEL_OF_SENSITIVITY" w:val="Standard treatment"/>
    <w:docVar w:name="LW_NOM.INST" w:val="COMMISSION EUROPÉENNE"/>
    <w:docVar w:name="LW_NOM.INST_JOINTDOC" w:val="&lt;EMPTY&gt;"/>
    <w:docVar w:name="LW_OBJETACTEPRINCIPAL.CP" w:val="relative à la conclusion de l\u8217?accord de libre-échange entre l\u8217?Union européenne et la République de Singapour"/>
    <w:docVar w:name="LW_PART_NBR" w:val="3"/>
    <w:docVar w:name="LW_PART_NBR_TOTAL" w:val="3"/>
    <w:docVar w:name="LW_REF.INST.NEW" w:val="COM"/>
    <w:docVar w:name="LW_REF.INST.NEW_ADOPTED" w:val="final"/>
    <w:docVar w:name="LW_REF.INST.NEW_TEXT" w:val="(2018) 1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CP" w:val="ANNEXE_x000b_"/>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Pr>
      <w:sz w:val="24"/>
      <w:lang w:eastAsia="fr-BE"/>
    </w:rPr>
  </w:style>
  <w:style w:type="character" w:customStyle="1" w:styleId="FootnoteTextChar">
    <w:name w:val="Footnote Text Char"/>
    <w:link w:val="FootnoteText"/>
    <w:uiPriority w:val="99"/>
    <w:rPr>
      <w:sz w:val="24"/>
      <w:lang w:eastAsia="fr-BE"/>
    </w:rPr>
  </w:style>
  <w:style w:type="paragraph" w:customStyle="1" w:styleId="Text1">
    <w:name w:val="Text 1"/>
    <w:basedOn w:val="Normal"/>
    <w:pPr>
      <w:widowControl/>
      <w:spacing w:before="120" w:after="120" w:line="240" w:lineRule="auto"/>
      <w:ind w:left="850"/>
      <w:jc w:val="both"/>
    </w:pPr>
    <w:rPr>
      <w:szCs w:val="22"/>
      <w:lang w:eastAsia="en-GB"/>
    </w:rPr>
  </w:style>
  <w:style w:type="paragraph" w:customStyle="1" w:styleId="Point0">
    <w:name w:val="Point 0"/>
    <w:basedOn w:val="Normal"/>
    <w:pPr>
      <w:widowControl/>
      <w:spacing w:before="120" w:after="120" w:line="240" w:lineRule="auto"/>
      <w:ind w:left="850" w:hanging="850"/>
      <w:jc w:val="both"/>
    </w:pPr>
    <w:rPr>
      <w:szCs w:val="22"/>
      <w:lang w:eastAsia="en-GB"/>
    </w:rPr>
  </w:style>
  <w:style w:type="paragraph" w:customStyle="1" w:styleId="Point1">
    <w:name w:val="Point 1"/>
    <w:basedOn w:val="Normal"/>
    <w:pPr>
      <w:widowControl/>
      <w:spacing w:before="120" w:after="120" w:line="240" w:lineRule="auto"/>
      <w:ind w:left="1417" w:hanging="567"/>
      <w:jc w:val="both"/>
    </w:pPr>
    <w:rPr>
      <w:szCs w:val="22"/>
      <w:lang w:eastAsia="en-GB"/>
    </w:rPr>
  </w:style>
  <w:style w:type="paragraph" w:customStyle="1" w:styleId="PointDouble0">
    <w:name w:val="PointDouble 0"/>
    <w:basedOn w:val="Normal"/>
    <w:pPr>
      <w:widowControl/>
      <w:tabs>
        <w:tab w:val="left" w:pos="850"/>
      </w:tabs>
      <w:spacing w:before="120" w:after="120" w:line="240" w:lineRule="auto"/>
      <w:ind w:left="1417" w:hanging="1417"/>
      <w:jc w:val="both"/>
    </w:pPr>
    <w:rPr>
      <w:szCs w:val="22"/>
      <w:lang w:eastAsia="en-GB"/>
    </w:rPr>
  </w:style>
  <w:style w:type="paragraph" w:customStyle="1" w:styleId="ManualNumPar1">
    <w:name w:val="Manual NumPar 1"/>
    <w:basedOn w:val="Normal"/>
    <w:next w:val="Text1"/>
    <w:pPr>
      <w:widowControl/>
      <w:spacing w:before="120" w:after="120" w:line="240" w:lineRule="auto"/>
      <w:ind w:left="850" w:hanging="850"/>
      <w:jc w:val="both"/>
    </w:pPr>
    <w:rPr>
      <w:szCs w:val="22"/>
      <w:lang w:eastAsia="en-GB"/>
    </w:rPr>
  </w:style>
  <w:style w:type="paragraph" w:customStyle="1" w:styleId="Annexetitre">
    <w:name w:val="Annexe titre"/>
    <w:basedOn w:val="Normal"/>
    <w:next w:val="Normal"/>
    <w:pPr>
      <w:widowControl/>
      <w:spacing w:before="120" w:after="120" w:line="240" w:lineRule="auto"/>
      <w:jc w:val="center"/>
    </w:pPr>
    <w:rPr>
      <w:b/>
      <w:szCs w:val="22"/>
      <w:u w:val="single"/>
      <w:lang w:eastAsia="en-GB"/>
    </w:rPr>
  </w:style>
  <w:style w:type="paragraph" w:customStyle="1" w:styleId="Titrearticle">
    <w:name w:val="Titre article"/>
    <w:basedOn w:val="Normal"/>
    <w:next w:val="Normal"/>
    <w:pPr>
      <w:keepNext/>
      <w:widowControl/>
      <w:spacing w:before="360" w:after="120" w:line="240" w:lineRule="auto"/>
      <w:jc w:val="center"/>
    </w:pPr>
    <w:rPr>
      <w:i/>
      <w:szCs w:val="22"/>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lan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line="360" w:lineRule="auto"/>
    </w:pPr>
    <w:rPr>
      <w:sz w:val="24"/>
      <w:lang w:eastAsia="fr-BE"/>
    </w:rPr>
  </w:style>
  <w:style w:type="paragraph" w:styleId="Heading1">
    <w:name w:val="heading 1"/>
    <w:basedOn w:val="Normal"/>
    <w:next w:val="Normal"/>
    <w:qFormat/>
    <w:pPr>
      <w:keepNext/>
      <w:widowControl/>
      <w:numPr>
        <w:numId w:val="11"/>
      </w:numPr>
      <w:spacing w:before="360" w:after="120" w:line="240" w:lineRule="auto"/>
      <w:jc w:val="both"/>
      <w:outlineLvl w:val="0"/>
    </w:pPr>
    <w:rPr>
      <w:b/>
      <w:smallCaps/>
    </w:rPr>
  </w:style>
  <w:style w:type="paragraph" w:styleId="Heading2">
    <w:name w:val="heading 2"/>
    <w:basedOn w:val="Normal"/>
    <w:next w:val="Normal"/>
    <w:qFormat/>
    <w:pPr>
      <w:keepNext/>
      <w:widowControl/>
      <w:numPr>
        <w:ilvl w:val="1"/>
        <w:numId w:val="12"/>
      </w:numPr>
      <w:spacing w:before="120" w:after="120" w:line="240" w:lineRule="auto"/>
      <w:jc w:val="both"/>
      <w:outlineLvl w:val="1"/>
    </w:pPr>
    <w:rPr>
      <w:b/>
    </w:rPr>
  </w:style>
  <w:style w:type="paragraph" w:styleId="Heading3">
    <w:name w:val="heading 3"/>
    <w:basedOn w:val="Normal"/>
    <w:next w:val="Normal"/>
    <w:qFormat/>
    <w:pPr>
      <w:keepNext/>
      <w:widowControl/>
      <w:numPr>
        <w:ilvl w:val="2"/>
        <w:numId w:val="13"/>
      </w:numPr>
      <w:spacing w:before="120" w:after="120" w:line="240" w:lineRule="auto"/>
      <w:jc w:val="both"/>
      <w:outlineLvl w:val="2"/>
    </w:pPr>
    <w:rPr>
      <w:i/>
    </w:rPr>
  </w:style>
  <w:style w:type="paragraph" w:styleId="Heading4">
    <w:name w:val="heading 4"/>
    <w:basedOn w:val="Normal"/>
    <w:next w:val="Normal"/>
    <w:qFormat/>
    <w:pPr>
      <w:keepNext/>
      <w:widowControl/>
      <w:numPr>
        <w:ilvl w:val="3"/>
        <w:numId w:val="14"/>
      </w:numPr>
      <w:spacing w:before="120" w:after="120" w:line="240" w:lineRule="auto"/>
      <w:jc w:val="both"/>
      <w:outlineLvl w:val="3"/>
    </w:pPr>
  </w:style>
  <w:style w:type="paragraph" w:styleId="Heading5">
    <w:name w:val="heading 5"/>
    <w:basedOn w:val="Normal"/>
    <w:next w:val="Normal"/>
    <w:qFormat/>
    <w:pPr>
      <w:widowControl/>
      <w:spacing w:before="240" w:after="60" w:line="240" w:lineRule="auto"/>
      <w:jc w:val="both"/>
      <w:outlineLvl w:val="4"/>
    </w:pPr>
    <w:rPr>
      <w:rFonts w:ascii="Arial" w:hAnsi="Arial"/>
      <w:sz w:val="22"/>
    </w:rPr>
  </w:style>
  <w:style w:type="paragraph" w:styleId="Heading6">
    <w:name w:val="heading 6"/>
    <w:basedOn w:val="Normal"/>
    <w:next w:val="Normal"/>
    <w:qFormat/>
    <w:pPr>
      <w:widowControl/>
      <w:spacing w:before="240" w:after="60" w:line="240" w:lineRule="auto"/>
      <w:jc w:val="both"/>
      <w:outlineLvl w:val="5"/>
    </w:pPr>
    <w:rPr>
      <w:rFonts w:ascii="Arial" w:hAnsi="Arial"/>
      <w:i/>
      <w:sz w:val="22"/>
    </w:rPr>
  </w:style>
  <w:style w:type="paragraph" w:styleId="Heading7">
    <w:name w:val="heading 7"/>
    <w:basedOn w:val="Normal"/>
    <w:next w:val="Normal"/>
    <w:qFormat/>
    <w:pPr>
      <w:widowControl/>
      <w:spacing w:before="240" w:after="60" w:line="240" w:lineRule="auto"/>
      <w:jc w:val="both"/>
      <w:outlineLvl w:val="6"/>
    </w:pPr>
    <w:rPr>
      <w:rFonts w:ascii="Arial" w:hAnsi="Arial"/>
      <w:sz w:val="20"/>
    </w:rPr>
  </w:style>
  <w:style w:type="paragraph" w:styleId="Heading8">
    <w:name w:val="heading 8"/>
    <w:basedOn w:val="Normal"/>
    <w:next w:val="Normal"/>
    <w:qFormat/>
    <w:pPr>
      <w:widowControl/>
      <w:spacing w:before="240" w:after="60" w:line="240" w:lineRule="auto"/>
      <w:jc w:val="both"/>
      <w:outlineLvl w:val="7"/>
    </w:pPr>
    <w:rPr>
      <w:rFonts w:ascii="Arial" w:hAnsi="Arial"/>
      <w:i/>
      <w:sz w:val="20"/>
    </w:rPr>
  </w:style>
  <w:style w:type="paragraph" w:styleId="Heading9">
    <w:name w:val="heading 9"/>
    <w:basedOn w:val="Normal"/>
    <w:next w:val="Normal"/>
    <w:qFormat/>
    <w:pPr>
      <w:widowControl/>
      <w:spacing w:before="240" w:after="60" w:line="240" w:lineRule="auto"/>
      <w:jc w:val="both"/>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820"/>
        <w:tab w:val="center" w:pos="7371"/>
        <w:tab w:val="right" w:pos="9639"/>
      </w:tabs>
      <w:spacing w:line="240" w:lineRule="auto"/>
    </w:pPr>
  </w:style>
  <w:style w:type="paragraph" w:customStyle="1" w:styleId="EntInstit">
    <w:name w:val="EntInstit"/>
    <w:basedOn w:val="Normal"/>
    <w:pPr>
      <w:spacing w:line="240" w:lineRule="auto"/>
      <w:jc w:val="right"/>
    </w:pPr>
    <w:rPr>
      <w:b/>
    </w:rPr>
  </w:style>
  <w:style w:type="paragraph" w:customStyle="1" w:styleId="EntRefer">
    <w:name w:val="EntRefer"/>
    <w:basedOn w:val="Normal"/>
    <w:pPr>
      <w:spacing w:line="240" w:lineRule="auto"/>
    </w:pPr>
    <w:rPr>
      <w:b/>
    </w:rPr>
  </w:style>
  <w:style w:type="paragraph" w:customStyle="1" w:styleId="Par-number10">
    <w:name w:val="Par-number 1)"/>
    <w:basedOn w:val="Normal"/>
    <w:next w:val="Normal"/>
    <w:pPr>
      <w:numPr>
        <w:numId w:val="7"/>
      </w:numPr>
    </w:pPr>
  </w:style>
  <w:style w:type="paragraph" w:customStyle="1" w:styleId="EntEmet">
    <w:name w:val="EntEmet"/>
    <w:basedOn w:val="Normal"/>
    <w:pPr>
      <w:tabs>
        <w:tab w:val="left" w:pos="284"/>
        <w:tab w:val="left" w:pos="567"/>
        <w:tab w:val="left" w:pos="851"/>
        <w:tab w:val="left" w:pos="1134"/>
        <w:tab w:val="left" w:pos="1418"/>
      </w:tabs>
      <w:spacing w:before="40" w:line="240" w:lineRule="auto"/>
    </w:pPr>
  </w:style>
  <w:style w:type="character" w:styleId="FootnoteReference">
    <w:name w:val="footnote reference"/>
    <w:uiPriority w:val="99"/>
    <w:rPr>
      <w:b/>
      <w:vertAlign w:val="superscript"/>
    </w:rPr>
  </w:style>
  <w:style w:type="paragraph" w:styleId="FootnoteText">
    <w:name w:val="footnote text"/>
    <w:basedOn w:val="Normal"/>
    <w:link w:val="FootnoteTextChar"/>
    <w:uiPriority w:val="99"/>
    <w:pPr>
      <w:tabs>
        <w:tab w:val="left" w:pos="567"/>
      </w:tabs>
      <w:spacing w:line="240" w:lineRule="auto"/>
      <w:ind w:left="567" w:hanging="567"/>
    </w:pPr>
  </w:style>
  <w:style w:type="paragraph" w:styleId="Header">
    <w:name w:val="header"/>
    <w:basedOn w:val="Normal"/>
    <w:pPr>
      <w:tabs>
        <w:tab w:val="center" w:pos="4820"/>
        <w:tab w:val="right" w:pos="7371"/>
        <w:tab w:val="right" w:pos="9639"/>
      </w:tabs>
      <w:spacing w:line="240" w:lineRule="auto"/>
    </w:pPr>
  </w:style>
  <w:style w:type="paragraph" w:customStyle="1" w:styleId="Par-bullet">
    <w:name w:val="Par-bullet"/>
    <w:basedOn w:val="Normal"/>
    <w:next w:val="Normal"/>
    <w:pPr>
      <w:numPr>
        <w:numId w:val="3"/>
      </w:numPr>
    </w:pPr>
  </w:style>
  <w:style w:type="paragraph" w:customStyle="1" w:styleId="Par-equal">
    <w:name w:val="Par-equal"/>
    <w:basedOn w:val="Normal"/>
    <w:next w:val="Normal"/>
    <w:pPr>
      <w:numPr>
        <w:numId w:val="5"/>
      </w:numPr>
    </w:pPr>
  </w:style>
  <w:style w:type="paragraph" w:styleId="TOC1">
    <w:name w:val="toc 1"/>
    <w:basedOn w:val="Normal"/>
    <w:next w:val="Normal"/>
    <w:pPr>
      <w:tabs>
        <w:tab w:val="left" w:pos="567"/>
        <w:tab w:val="right" w:leader="dot" w:pos="9639"/>
      </w:tabs>
      <w:ind w:left="567" w:right="567" w:hanging="567"/>
    </w:pPr>
  </w:style>
  <w:style w:type="paragraph" w:customStyle="1" w:styleId="Par-number1">
    <w:name w:val="Par-number (1)"/>
    <w:basedOn w:val="Normal"/>
    <w:next w:val="Normal"/>
    <w:pPr>
      <w:numPr>
        <w:numId w:val="6"/>
      </w:numPr>
    </w:pPr>
  </w:style>
  <w:style w:type="paragraph" w:customStyle="1" w:styleId="Par-number11">
    <w:name w:val="Par-number 1."/>
    <w:basedOn w:val="Normal"/>
    <w:next w:val="Normal"/>
    <w:pPr>
      <w:numPr>
        <w:numId w:val="8"/>
      </w:numPr>
    </w:pPr>
  </w:style>
  <w:style w:type="paragraph" w:customStyle="1" w:styleId="Par-numberI">
    <w:name w:val="Par-number I."/>
    <w:basedOn w:val="Normal"/>
    <w:next w:val="Normal"/>
    <w:pPr>
      <w:numPr>
        <w:numId w:val="10"/>
      </w:numPr>
    </w:pPr>
  </w:style>
  <w:style w:type="paragraph" w:customStyle="1" w:styleId="Par-dash">
    <w:name w:val="Par-dash"/>
    <w:basedOn w:val="Normal"/>
    <w:next w:val="Normal"/>
    <w:pPr>
      <w:numPr>
        <w:numId w:val="4"/>
      </w:numPr>
    </w:pPr>
  </w:style>
  <w:style w:type="paragraph" w:customStyle="1" w:styleId="EntLogo">
    <w:name w:val="EntLogo"/>
    <w:basedOn w:val="Normal"/>
    <w:next w:val="EntInstit"/>
    <w:rPr>
      <w:b/>
    </w:rPr>
  </w:style>
  <w:style w:type="paragraph" w:customStyle="1" w:styleId="FooterLandscape">
    <w:name w:val="FooterLandscape"/>
    <w:basedOn w:val="Footer"/>
    <w:pPr>
      <w:tabs>
        <w:tab w:val="clear" w:pos="4820"/>
        <w:tab w:val="clear" w:pos="9639"/>
        <w:tab w:val="center" w:pos="11340"/>
        <w:tab w:val="right" w:pos="14572"/>
      </w:tabs>
    </w:pPr>
  </w:style>
  <w:style w:type="paragraph" w:customStyle="1" w:styleId="Par-numberA">
    <w:name w:val="Par-number A."/>
    <w:basedOn w:val="Normal"/>
    <w:next w:val="Normal"/>
    <w:pPr>
      <w:numPr>
        <w:numId w:val="9"/>
      </w:numPr>
    </w:pPr>
  </w:style>
  <w:style w:type="paragraph" w:styleId="TOC2">
    <w:name w:val="toc 2"/>
    <w:basedOn w:val="Normal"/>
    <w:next w:val="Normal"/>
    <w:pPr>
      <w:tabs>
        <w:tab w:val="left" w:pos="1134"/>
        <w:tab w:val="right" w:leader="dot" w:pos="9639"/>
      </w:tabs>
      <w:ind w:left="1134" w:right="567" w:hanging="567"/>
    </w:pPr>
  </w:style>
  <w:style w:type="paragraph" w:styleId="TOC3">
    <w:name w:val="toc 3"/>
    <w:basedOn w:val="Normal"/>
    <w:next w:val="Normal"/>
    <w:pPr>
      <w:tabs>
        <w:tab w:val="left" w:pos="1701"/>
        <w:tab w:val="right" w:leader="dot" w:pos="9639"/>
      </w:tabs>
      <w:ind w:left="1701" w:right="567" w:hanging="567"/>
    </w:pPr>
  </w:style>
  <w:style w:type="paragraph" w:styleId="TOC4">
    <w:name w:val="toc 4"/>
    <w:basedOn w:val="Normal"/>
    <w:next w:val="Normal"/>
    <w:pPr>
      <w:tabs>
        <w:tab w:val="left" w:pos="2268"/>
        <w:tab w:val="right" w:pos="9639"/>
      </w:tabs>
      <w:ind w:left="2268" w:right="567" w:hanging="567"/>
    </w:pPr>
  </w:style>
  <w:style w:type="paragraph" w:styleId="TOC5">
    <w:name w:val="toc 5"/>
    <w:basedOn w:val="Normal"/>
    <w:next w:val="Normal"/>
    <w:pPr>
      <w:tabs>
        <w:tab w:val="left" w:pos="2835"/>
        <w:tab w:val="right" w:leader="dot" w:pos="9639"/>
      </w:tabs>
      <w:ind w:left="2835" w:right="567" w:hanging="567"/>
    </w:pPr>
  </w:style>
  <w:style w:type="paragraph" w:styleId="TOC6">
    <w:name w:val="toc 6"/>
    <w:basedOn w:val="Normal"/>
    <w:next w:val="Normal"/>
    <w:pPr>
      <w:tabs>
        <w:tab w:val="left" w:pos="3402"/>
        <w:tab w:val="right" w:leader="dot" w:pos="9639"/>
      </w:tabs>
      <w:ind w:left="3402" w:right="567" w:hanging="567"/>
    </w:pPr>
  </w:style>
  <w:style w:type="paragraph" w:styleId="TOC7">
    <w:name w:val="toc 7"/>
    <w:basedOn w:val="Normal"/>
    <w:next w:val="Normal"/>
    <w:pPr>
      <w:tabs>
        <w:tab w:val="left" w:pos="3969"/>
        <w:tab w:val="right" w:leader="dot" w:pos="9639"/>
      </w:tabs>
      <w:ind w:left="3969" w:right="567" w:hanging="567"/>
    </w:pPr>
  </w:style>
  <w:style w:type="paragraph" w:styleId="TOC8">
    <w:name w:val="toc 8"/>
    <w:basedOn w:val="Normal"/>
    <w:next w:val="Normal"/>
    <w:pPr>
      <w:tabs>
        <w:tab w:val="left" w:pos="4536"/>
        <w:tab w:val="right" w:leader="dot" w:pos="9639"/>
      </w:tabs>
      <w:ind w:left="4536" w:right="567" w:hanging="567"/>
    </w:pPr>
  </w:style>
  <w:style w:type="paragraph" w:styleId="TOC9">
    <w:name w:val="toc 9"/>
    <w:basedOn w:val="Normal"/>
    <w:next w:val="Normal"/>
    <w:pPr>
      <w:tabs>
        <w:tab w:val="left" w:pos="5103"/>
        <w:tab w:val="right" w:leader="dot" w:pos="9639"/>
      </w:tabs>
      <w:ind w:left="5103" w:right="567" w:hanging="567"/>
    </w:pPr>
  </w:style>
  <w:style w:type="paragraph" w:styleId="EndnoteText">
    <w:name w:val="endnote text"/>
    <w:basedOn w:val="Normal"/>
    <w:pPr>
      <w:tabs>
        <w:tab w:val="left" w:pos="567"/>
      </w:tabs>
      <w:spacing w:line="240" w:lineRule="auto"/>
      <w:ind w:left="567" w:hanging="567"/>
    </w:pPr>
  </w:style>
  <w:style w:type="character" w:styleId="EndnoteReference">
    <w:name w:val="endnote reference"/>
    <w:rPr>
      <w:b/>
      <w:vertAlign w:val="superscript"/>
    </w:rPr>
  </w:style>
  <w:style w:type="paragraph" w:customStyle="1" w:styleId="AC">
    <w:name w:val="AC"/>
    <w:basedOn w:val="Normal"/>
    <w:next w:val="Normal"/>
    <w:rPr>
      <w:b/>
      <w:sz w:val="40"/>
    </w:rPr>
  </w:style>
  <w:style w:type="character" w:styleId="PageNumber">
    <w:name w:val="page number"/>
    <w:basedOn w:val="DefaultParagraphFont"/>
  </w:style>
  <w:style w:type="paragraph" w:customStyle="1" w:styleId="Par-numberi0">
    <w:name w:val="Par-number (i)"/>
    <w:basedOn w:val="Normal"/>
    <w:next w:val="Normal"/>
    <w:pPr>
      <w:numPr>
        <w:numId w:val="1"/>
      </w:numPr>
      <w:tabs>
        <w:tab w:val="clear" w:pos="720"/>
        <w:tab w:val="left" w:pos="567"/>
      </w:tabs>
    </w:pPr>
  </w:style>
  <w:style w:type="paragraph" w:customStyle="1" w:styleId="Par-numbera0">
    <w:name w:val="Par-number (a)"/>
    <w:basedOn w:val="Normal"/>
    <w:next w:val="Normal"/>
    <w:pPr>
      <w:numPr>
        <w:numId w:val="2"/>
      </w:numPr>
    </w:pPr>
  </w:style>
  <w:style w:type="character" w:customStyle="1" w:styleId="DontTranslate">
    <w:name w:val="DontTranslate"/>
    <w:rPr>
      <w:color w:val="auto"/>
    </w:rPr>
  </w:style>
  <w:style w:type="paragraph" w:customStyle="1" w:styleId="AddReference">
    <w:name w:val="Add Reference"/>
    <w:basedOn w:val="Normal"/>
    <w:pPr>
      <w:pBdr>
        <w:top w:val="single" w:sz="4" w:space="1" w:color="auto"/>
        <w:left w:val="single" w:sz="4" w:space="4" w:color="auto"/>
        <w:bottom w:val="single" w:sz="4" w:space="1" w:color="auto"/>
        <w:right w:val="single" w:sz="4" w:space="4" w:color="auto"/>
      </w:pBdr>
      <w:spacing w:line="240" w:lineRule="auto"/>
      <w:ind w:left="7655" w:right="-454"/>
    </w:pPr>
    <w:rPr>
      <w:i/>
      <w:sz w:val="20"/>
      <w:lang w:eastAsia="en-US"/>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Pr>
      <w:sz w:val="24"/>
      <w:lang w:eastAsia="fr-BE"/>
    </w:rPr>
  </w:style>
  <w:style w:type="character" w:customStyle="1" w:styleId="FootnoteTextChar">
    <w:name w:val="Footnote Text Char"/>
    <w:link w:val="FootnoteText"/>
    <w:uiPriority w:val="99"/>
    <w:rPr>
      <w:sz w:val="24"/>
      <w:lang w:eastAsia="fr-BE"/>
    </w:rPr>
  </w:style>
  <w:style w:type="paragraph" w:customStyle="1" w:styleId="Text1">
    <w:name w:val="Text 1"/>
    <w:basedOn w:val="Normal"/>
    <w:pPr>
      <w:widowControl/>
      <w:spacing w:before="120" w:after="120" w:line="240" w:lineRule="auto"/>
      <w:ind w:left="850"/>
      <w:jc w:val="both"/>
    </w:pPr>
    <w:rPr>
      <w:szCs w:val="22"/>
      <w:lang w:eastAsia="en-GB"/>
    </w:rPr>
  </w:style>
  <w:style w:type="paragraph" w:customStyle="1" w:styleId="Point0">
    <w:name w:val="Point 0"/>
    <w:basedOn w:val="Normal"/>
    <w:pPr>
      <w:widowControl/>
      <w:spacing w:before="120" w:after="120" w:line="240" w:lineRule="auto"/>
      <w:ind w:left="850" w:hanging="850"/>
      <w:jc w:val="both"/>
    </w:pPr>
    <w:rPr>
      <w:szCs w:val="22"/>
      <w:lang w:eastAsia="en-GB"/>
    </w:rPr>
  </w:style>
  <w:style w:type="paragraph" w:customStyle="1" w:styleId="Point1">
    <w:name w:val="Point 1"/>
    <w:basedOn w:val="Normal"/>
    <w:pPr>
      <w:widowControl/>
      <w:spacing w:before="120" w:after="120" w:line="240" w:lineRule="auto"/>
      <w:ind w:left="1417" w:hanging="567"/>
      <w:jc w:val="both"/>
    </w:pPr>
    <w:rPr>
      <w:szCs w:val="22"/>
      <w:lang w:eastAsia="en-GB"/>
    </w:rPr>
  </w:style>
  <w:style w:type="paragraph" w:customStyle="1" w:styleId="PointDouble0">
    <w:name w:val="PointDouble 0"/>
    <w:basedOn w:val="Normal"/>
    <w:pPr>
      <w:widowControl/>
      <w:tabs>
        <w:tab w:val="left" w:pos="850"/>
      </w:tabs>
      <w:spacing w:before="120" w:after="120" w:line="240" w:lineRule="auto"/>
      <w:ind w:left="1417" w:hanging="1417"/>
      <w:jc w:val="both"/>
    </w:pPr>
    <w:rPr>
      <w:szCs w:val="22"/>
      <w:lang w:eastAsia="en-GB"/>
    </w:rPr>
  </w:style>
  <w:style w:type="paragraph" w:customStyle="1" w:styleId="ManualNumPar1">
    <w:name w:val="Manual NumPar 1"/>
    <w:basedOn w:val="Normal"/>
    <w:next w:val="Text1"/>
    <w:pPr>
      <w:widowControl/>
      <w:spacing w:before="120" w:after="120" w:line="240" w:lineRule="auto"/>
      <w:ind w:left="850" w:hanging="850"/>
      <w:jc w:val="both"/>
    </w:pPr>
    <w:rPr>
      <w:szCs w:val="22"/>
      <w:lang w:eastAsia="en-GB"/>
    </w:rPr>
  </w:style>
  <w:style w:type="paragraph" w:customStyle="1" w:styleId="Annexetitre">
    <w:name w:val="Annexe titre"/>
    <w:basedOn w:val="Normal"/>
    <w:next w:val="Normal"/>
    <w:pPr>
      <w:widowControl/>
      <w:spacing w:before="120" w:after="120" w:line="240" w:lineRule="auto"/>
      <w:jc w:val="center"/>
    </w:pPr>
    <w:rPr>
      <w:b/>
      <w:szCs w:val="22"/>
      <w:u w:val="single"/>
      <w:lang w:eastAsia="en-GB"/>
    </w:rPr>
  </w:style>
  <w:style w:type="paragraph" w:customStyle="1" w:styleId="Titrearticle">
    <w:name w:val="Titre article"/>
    <w:basedOn w:val="Normal"/>
    <w:next w:val="Normal"/>
    <w:pPr>
      <w:keepNext/>
      <w:widowControl/>
      <w:spacing w:before="360" w:after="120" w:line="240" w:lineRule="auto"/>
      <w:jc w:val="center"/>
    </w:pPr>
    <w:rPr>
      <w:i/>
      <w:szCs w:val="22"/>
      <w:lang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rPr>
  </w:style>
  <w:style w:type="character" w:customStyle="1" w:styleId="CommentTextChar">
    <w:name w:val="Comment Text Char"/>
    <w:basedOn w:val="DefaultParagraphFont"/>
    <w:link w:val="CommentText"/>
    <w:uiPriority w:val="99"/>
    <w:semiHidden/>
    <w:rPr>
      <w:lang w:eastAsia="fr-BE"/>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eastAsia="fr-BE"/>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widowControl/>
      <w:spacing w:line="240" w:lineRule="auto"/>
      <w:jc w:val="both"/>
    </w:pPr>
    <w:rPr>
      <w:rFonts w:eastAsiaTheme="minorHAnsi"/>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line="240" w:lineRule="auto"/>
      <w:ind w:left="-850" w:right="-850"/>
    </w:pPr>
  </w:style>
  <w:style w:type="character" w:customStyle="1" w:styleId="FooterCoverPageChar">
    <w:name w:val="Footer Cover Page Char"/>
    <w:basedOn w:val="DefaultParagraphFont"/>
    <w:link w:val="FooterCoverPage"/>
    <w:rPr>
      <w:sz w:val="24"/>
      <w:lang w:eastAsia="fr-BE"/>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line="240" w:lineRule="auto"/>
      <w:ind w:left="113" w:right="113"/>
      <w:jc w:val="center"/>
    </w:pPr>
    <w:rPr>
      <w:b/>
      <w:sz w:val="32"/>
    </w:rPr>
  </w:style>
  <w:style w:type="character" w:customStyle="1" w:styleId="FooterSensitivityChar">
    <w:name w:val="Footer Sensitivity Char"/>
    <w:basedOn w:val="DefaultParagraphFont"/>
    <w:link w:val="FooterSensitivity"/>
    <w:rPr>
      <w:b/>
      <w:sz w:val="32"/>
      <w:lang w:eastAsia="fr-BE"/>
    </w:rPr>
  </w:style>
  <w:style w:type="paragraph" w:customStyle="1" w:styleId="HeaderCoverPage">
    <w:name w:val="Header Cover Page"/>
    <w:basedOn w:val="Normal"/>
    <w:link w:val="HeaderCoverPageChar"/>
    <w:pPr>
      <w:tabs>
        <w:tab w:val="center" w:pos="4535"/>
        <w:tab w:val="right" w:pos="9071"/>
      </w:tabs>
      <w:spacing w:after="120" w:line="240" w:lineRule="auto"/>
      <w:jc w:val="both"/>
    </w:pPr>
  </w:style>
  <w:style w:type="character" w:customStyle="1" w:styleId="HeaderCoverPageChar">
    <w:name w:val="Header Cover Page Char"/>
    <w:basedOn w:val="DefaultParagraphFont"/>
    <w:link w:val="HeaderCoverPage"/>
    <w:rPr>
      <w:sz w:val="24"/>
      <w:lang w:eastAsia="fr-BE"/>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b/>
      <w:sz w:val="32"/>
    </w:rPr>
  </w:style>
  <w:style w:type="character" w:customStyle="1" w:styleId="HeaderSensitivityChar">
    <w:name w:val="Header Sensitivity Char"/>
    <w:basedOn w:val="DefaultParagraphFont"/>
    <w:link w:val="HeaderSensitivity"/>
    <w:rPr>
      <w:b/>
      <w:sz w:val="32"/>
      <w:lang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D6C36-D2DB-4D5B-8993-9D2010878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16</Pages>
  <Words>2211</Words>
  <Characters>13004</Characters>
  <Application>Microsoft Office Word</Application>
  <DocSecurity>0</DocSecurity>
  <Lines>361</Lines>
  <Paragraphs>107</Paragraphs>
  <ScaleCrop>false</ScaleCrop>
  <HeadingPairs>
    <vt:vector size="2" baseType="variant">
      <vt:variant>
        <vt:lpstr>Title</vt:lpstr>
      </vt:variant>
      <vt:variant>
        <vt:i4>1</vt:i4>
      </vt:variant>
    </vt:vector>
  </HeadingPairs>
  <TitlesOfParts>
    <vt:vector size="1" baseType="lpstr">
      <vt:lpstr>GEN</vt:lpstr>
    </vt:vector>
  </TitlesOfParts>
  <Manager/>
  <Company/>
  <LinksUpToDate>false</LinksUpToDate>
  <CharactersWithSpaces>15108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dc:title>
  <dc:creator/>
  <cp:lastModifiedBy>DIGIT/A3</cp:lastModifiedBy>
  <cp:revision>17</cp:revision>
  <cp:lastPrinted>2004-04-02T13:43:00Z</cp:lastPrinted>
  <dcterms:created xsi:type="dcterms:W3CDTF">2018-01-09T12:57:00Z</dcterms:created>
  <dcterms:modified xsi:type="dcterms:W3CDTF">2018-04-17T14:29:00Z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2</vt:lpwstr>
  </property>
  <property fmtid="{D5CDD505-2E9C-101B-9397-08002B2CF9AE}" pid="4" name="Last annex">
    <vt:lpwstr>2</vt:lpwstr>
  </property>
  <property fmtid="{D5CDD505-2E9C-101B-9397-08002B2CF9AE}" pid="5" name="Unique annex">
    <vt:lpwstr>0</vt:lpwstr>
  </property>
  <property fmtid="{D5CDD505-2E9C-101B-9397-08002B2CF9AE}" pid="6" name="Part">
    <vt:lpwstr>3</vt:lpwstr>
  </property>
  <property fmtid="{D5CDD505-2E9C-101B-9397-08002B2CF9AE}" pid="7" name="Total parts">
    <vt:lpwstr>3</vt:lpwstr>
  </property>
  <property fmtid="{D5CDD505-2E9C-101B-9397-08002B2CF9AE}" pid="8" name="DocStatus">
    <vt:lpwstr>Green</vt:lpwstr>
  </property>
</Properties>
</file>