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0ED03DC-C291-44B9-8615-35854825EF7D"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0"/>
          <w:cols w:space="720"/>
          <w:docGrid w:linePitch="360"/>
        </w:sectPr>
      </w:pPr>
    </w:p>
    <w:p>
      <w:pPr>
        <w:jc w:val="right"/>
        <w:rPr>
          <w:noProof/>
          <w:lang w:val="fr-FR"/>
        </w:rPr>
      </w:pPr>
      <w:bookmarkStart w:id="1" w:name="_GoBack"/>
      <w:bookmarkEnd w:id="1"/>
      <w:r>
        <w:rPr>
          <w:b/>
          <w:bCs/>
          <w:noProof/>
          <w:u w:val="single"/>
          <w:lang w:val="fr-FR"/>
        </w:rPr>
        <w:lastRenderedPageBreak/>
        <w:t>ANNEXE</w:t>
      </w:r>
      <w:r>
        <w:rPr>
          <w:b/>
          <w:noProof/>
          <w:u w:val="single"/>
          <w:lang w:val="fr-FR"/>
        </w:rPr>
        <w:t xml:space="preserve"> 2-A</w:t>
      </w:r>
    </w:p>
    <w:p>
      <w:pPr>
        <w:rPr>
          <w:noProof/>
          <w:lang w:val="fr-FR"/>
        </w:rPr>
      </w:pPr>
    </w:p>
    <w:p>
      <w:pPr>
        <w:rPr>
          <w:i/>
          <w:noProof/>
          <w:lang w:val="fr-FR"/>
        </w:rPr>
      </w:pPr>
    </w:p>
    <w:p>
      <w:pPr>
        <w:jc w:val="center"/>
        <w:rPr>
          <w:noProof/>
          <w:lang w:val="fr-FR"/>
        </w:rPr>
      </w:pPr>
      <w:r>
        <w:rPr>
          <w:noProof/>
          <w:lang w:val="fr-FR"/>
        </w:rPr>
        <w:t xml:space="preserve">ÉLIMINATION </w:t>
      </w:r>
      <w:r>
        <w:rPr>
          <w:bCs/>
          <w:noProof/>
          <w:lang w:val="fr-FR"/>
        </w:rPr>
        <w:t>DES</w:t>
      </w:r>
      <w:r>
        <w:rPr>
          <w:noProof/>
          <w:lang w:val="fr-FR"/>
        </w:rPr>
        <w:t xml:space="preserve"> DROITS DE DOUANE</w:t>
      </w:r>
    </w:p>
    <w:p>
      <w:pPr>
        <w:rPr>
          <w:noProof/>
          <w:lang w:val="fr-FR"/>
        </w:rPr>
      </w:pPr>
    </w:p>
    <w:p>
      <w:pPr>
        <w:ind w:left="567" w:hanging="567"/>
        <w:rPr>
          <w:noProof/>
          <w:lang w:val="fr-FR"/>
        </w:rPr>
      </w:pPr>
      <w:r>
        <w:rPr>
          <w:noProof/>
          <w:lang w:val="fr-FR"/>
        </w:rPr>
        <w:t>1.</w:t>
      </w:r>
      <w:r>
        <w:rPr>
          <w:noProof/>
          <w:lang w:val="fr-FR"/>
        </w:rPr>
        <w:tab/>
        <w:t>Tous les droits de douane d’une partie sur les marchandises originaires de l’autre partie sont éliminés à compter de la date d’entrée en vigueur du présent accord, sauf disposition contraire dans la liste d’une partie incluse dans la présente annexe.</w:t>
      </w:r>
    </w:p>
    <w:p>
      <w:pPr>
        <w:rPr>
          <w:noProof/>
          <w:lang w:val="fr-FR"/>
        </w:rPr>
      </w:pPr>
    </w:p>
    <w:p>
      <w:pPr>
        <w:ind w:left="567" w:hanging="567"/>
        <w:rPr>
          <w:noProof/>
          <w:lang w:val="fr-FR"/>
        </w:rPr>
      </w:pPr>
      <w:r>
        <w:rPr>
          <w:noProof/>
          <w:lang w:val="fr-FR"/>
        </w:rPr>
        <w:t>2.</w:t>
      </w:r>
      <w:r>
        <w:rPr>
          <w:noProof/>
          <w:lang w:val="fr-FR"/>
        </w:rPr>
        <w:tab/>
        <w:t>Les catégories de démantèlement tarifaire suivantes s’appliquent à l’élimination des droits de douane par chaque partie conformément à l’article 2.6 (Réduction et/ou élimination des droits de douane sur les importations) pour les droits de douane non éliminés à l’entrée en vigueur du présent accord:</w:t>
      </w:r>
    </w:p>
    <w:p>
      <w:pPr>
        <w:rPr>
          <w:noProof/>
          <w:lang w:val="fr-FR"/>
        </w:rPr>
      </w:pPr>
    </w:p>
    <w:p>
      <w:pPr>
        <w:ind w:left="1134" w:hanging="567"/>
        <w:rPr>
          <w:noProof/>
          <w:lang w:val="fr-FR"/>
        </w:rPr>
      </w:pPr>
      <w:r>
        <w:rPr>
          <w:noProof/>
          <w:lang w:val="fr-FR"/>
        </w:rPr>
        <w:t>a)</w:t>
      </w:r>
      <w:r>
        <w:rPr>
          <w:noProof/>
          <w:lang w:val="fr-FR"/>
        </w:rPr>
        <w:tab/>
        <w:t>les droits de douane sur les marchandises originaires figurant dans la catégorie de démantèlement tarifaire «3» d’une partie sont éliminés en quatre étapes annuelles égales commençant à la date d’entrée en vigueur du présent accord et les marchandises concernées seront ensuite exemptes de tous droits de douane;</w:t>
      </w:r>
    </w:p>
    <w:p>
      <w:pPr>
        <w:ind w:left="1134" w:hanging="567"/>
        <w:rPr>
          <w:noProof/>
          <w:lang w:val="fr-FR"/>
        </w:rPr>
      </w:pPr>
    </w:p>
    <w:p>
      <w:pPr>
        <w:ind w:left="1134" w:hanging="567"/>
        <w:rPr>
          <w:noProof/>
          <w:lang w:val="fr-FR"/>
        </w:rPr>
      </w:pPr>
      <w:r>
        <w:rPr>
          <w:noProof/>
          <w:lang w:val="fr-FR"/>
        </w:rPr>
        <w:t>b)</w:t>
      </w:r>
      <w:r>
        <w:rPr>
          <w:noProof/>
          <w:lang w:val="fr-FR"/>
        </w:rPr>
        <w:tab/>
        <w:t>les droits de douane sur les marchandises originaires figurant dans la catégorie de démantèlement tarifaire «5» d’une partie sont éliminés en six étapes annuelles égales commençant à la date d’entrée en vigueur du présent accord et les marchandises concernées seront ensuite exemptes de tous droits de douane;</w:t>
      </w:r>
    </w:p>
    <w:p>
      <w:pPr>
        <w:ind w:left="1134" w:hanging="567"/>
        <w:rPr>
          <w:noProof/>
          <w:lang w:val="fr-FR"/>
        </w:rPr>
      </w:pPr>
    </w:p>
    <w:p>
      <w:pPr>
        <w:ind w:left="1134" w:hanging="567"/>
        <w:rPr>
          <w:noProof/>
          <w:lang w:val="fr-FR"/>
        </w:rPr>
      </w:pPr>
      <w:r>
        <w:rPr>
          <w:noProof/>
          <w:lang w:val="fr-FR"/>
        </w:rPr>
        <w:t>c)</w:t>
      </w:r>
      <w:r>
        <w:rPr>
          <w:noProof/>
          <w:lang w:val="fr-FR"/>
        </w:rPr>
        <w:tab/>
        <w:t xml:space="preserve"> aucune obligation concernant les droits de douane dans le présent accord ne s’applique aux articles de la catégorie de démantèlement tarifaire «X». </w:t>
      </w:r>
    </w:p>
    <w:p>
      <w:pPr>
        <w:rPr>
          <w:noProof/>
          <w:color w:val="000000"/>
          <w:spacing w:val="-1"/>
          <w:lang w:val="fr-FR"/>
        </w:rPr>
      </w:pPr>
      <w:r>
        <w:rPr>
          <w:noProof/>
          <w:lang w:val="fr-FR"/>
        </w:rPr>
        <w:br w:type="page"/>
      </w:r>
    </w:p>
    <w:p>
      <w:pPr>
        <w:ind w:left="567" w:hanging="567"/>
        <w:rPr>
          <w:noProof/>
          <w:lang w:val="fr-FR"/>
        </w:rPr>
      </w:pPr>
      <w:r>
        <w:rPr>
          <w:noProof/>
          <w:lang w:val="fr-FR"/>
        </w:rPr>
        <w:t>3.</w:t>
      </w:r>
      <w:r>
        <w:rPr>
          <w:noProof/>
          <w:lang w:val="fr-FR"/>
        </w:rPr>
        <w:tab/>
        <w:t>En ce qui concerne les marchandises sous un code tarifaire particulier, le taux de base des droits de douane et la catégorie de démantèlement tarifaire pour déterminer le taux intermédiaire des droits de douane à chaque étape de la réduction sont indiqués pour ce code tarifaire dans la liste de chaque partie.</w:t>
      </w:r>
    </w:p>
    <w:p>
      <w:pPr>
        <w:ind w:left="567" w:hanging="567"/>
        <w:rPr>
          <w:noProof/>
          <w:lang w:val="fr-FR"/>
        </w:rPr>
      </w:pPr>
    </w:p>
    <w:p>
      <w:pPr>
        <w:ind w:left="567" w:hanging="567"/>
        <w:rPr>
          <w:noProof/>
          <w:lang w:val="fr-FR"/>
        </w:rPr>
      </w:pPr>
      <w:r>
        <w:rPr>
          <w:noProof/>
          <w:lang w:val="fr-FR"/>
        </w:rPr>
        <w:t>4.</w:t>
      </w:r>
      <w:r>
        <w:rPr>
          <w:noProof/>
          <w:lang w:val="fr-FR"/>
        </w:rPr>
        <w:tab/>
        <w:t>Aux fins du paragraphe 2, les taux des droits de douane aux étapes intermédiaires sont arrondis au moins au 10e de point de pourcentage le plus proche et/ou, s’il y a lieu, au centième d’euro le plus proche dans le cas de l’Union.</w:t>
      </w:r>
    </w:p>
    <w:p>
      <w:pPr>
        <w:ind w:left="567" w:hanging="567"/>
        <w:rPr>
          <w:noProof/>
          <w:lang w:val="fr-FR"/>
        </w:rPr>
      </w:pPr>
    </w:p>
    <w:p>
      <w:pPr>
        <w:ind w:left="567" w:hanging="567"/>
        <w:rPr>
          <w:noProof/>
          <w:lang w:val="fr-FR"/>
        </w:rPr>
      </w:pPr>
      <w:r>
        <w:rPr>
          <w:noProof/>
          <w:lang w:val="fr-FR"/>
        </w:rPr>
        <w:t>5.</w:t>
      </w:r>
      <w:r>
        <w:rPr>
          <w:noProof/>
          <w:lang w:val="fr-FR"/>
        </w:rPr>
        <w:tab/>
        <w:t>Pour les besoins de la présente annexe et de la liste d’une partie, chaque réduction annuelle prend effet le premier jour de l’année concernée, comme défini au paragraphe 6 de la présente annexe.</w:t>
      </w:r>
    </w:p>
    <w:p>
      <w:pPr>
        <w:rPr>
          <w:noProof/>
          <w:lang w:val="fr-FR"/>
        </w:rPr>
      </w:pPr>
    </w:p>
    <w:p>
      <w:pPr>
        <w:rPr>
          <w:noProof/>
          <w:lang w:val="fr-FR"/>
        </w:rPr>
      </w:pPr>
      <w:r>
        <w:rPr>
          <w:noProof/>
          <w:lang w:val="fr-FR"/>
        </w:rPr>
        <w:t>6.</w:t>
      </w:r>
      <w:r>
        <w:rPr>
          <w:noProof/>
          <w:lang w:val="fr-FR"/>
        </w:rPr>
        <w:tab/>
        <w:t>Pour les besoins de la présente annexe:</w:t>
      </w:r>
    </w:p>
    <w:p>
      <w:pPr>
        <w:rPr>
          <w:noProof/>
          <w:lang w:val="fr-FR"/>
        </w:rPr>
      </w:pPr>
    </w:p>
    <w:p>
      <w:pPr>
        <w:ind w:left="1134" w:hanging="567"/>
        <w:rPr>
          <w:noProof/>
          <w:lang w:val="fr-FR"/>
        </w:rPr>
      </w:pPr>
      <w:r>
        <w:rPr>
          <w:noProof/>
          <w:lang w:val="fr-FR"/>
        </w:rPr>
        <w:t>a)</w:t>
      </w:r>
      <w:r>
        <w:rPr>
          <w:noProof/>
          <w:lang w:val="fr-FR"/>
        </w:rPr>
        <w:tab/>
        <w:t xml:space="preserve">«l’année un» signifie la période de 12 mois commençant à la date à laquelle le présent accord entre en vigueur; </w:t>
      </w:r>
    </w:p>
    <w:p>
      <w:pPr>
        <w:ind w:left="1134" w:hanging="567"/>
        <w:rPr>
          <w:noProof/>
          <w:lang w:val="fr-FR"/>
        </w:rPr>
      </w:pPr>
    </w:p>
    <w:p>
      <w:pPr>
        <w:ind w:left="1134" w:hanging="567"/>
        <w:rPr>
          <w:noProof/>
          <w:lang w:val="fr-FR"/>
        </w:rPr>
      </w:pPr>
      <w:r>
        <w:rPr>
          <w:noProof/>
          <w:lang w:val="fr-FR"/>
        </w:rPr>
        <w:t>b)</w:t>
      </w:r>
      <w:r>
        <w:rPr>
          <w:noProof/>
          <w:lang w:val="fr-FR"/>
        </w:rPr>
        <w:tab/>
        <w:t>«l’année deux» signifie la période de 12 mois commençant au premier anniversaire de l’entrée en vigueur du présent accord;</w:t>
      </w:r>
    </w:p>
    <w:p>
      <w:pPr>
        <w:ind w:left="1134" w:hanging="567"/>
        <w:rPr>
          <w:noProof/>
          <w:lang w:val="fr-FR"/>
        </w:rPr>
      </w:pPr>
    </w:p>
    <w:p>
      <w:pPr>
        <w:ind w:left="1134" w:hanging="567"/>
        <w:rPr>
          <w:noProof/>
          <w:lang w:val="fr-FR"/>
        </w:rPr>
      </w:pPr>
      <w:r>
        <w:rPr>
          <w:noProof/>
          <w:lang w:val="fr-FR"/>
        </w:rPr>
        <w:t>c)</w:t>
      </w:r>
      <w:r>
        <w:rPr>
          <w:noProof/>
          <w:lang w:val="fr-FR"/>
        </w:rPr>
        <w:tab/>
        <w:t>«l’année trois» signifie la période de 12 mois commençant au deuxième anniversaire de l’entrée en vigueur du présent accord;</w:t>
      </w:r>
    </w:p>
    <w:p>
      <w:pPr>
        <w:ind w:left="1134" w:hanging="567"/>
        <w:rPr>
          <w:noProof/>
          <w:lang w:val="fr-FR"/>
        </w:rPr>
      </w:pPr>
    </w:p>
    <w:p>
      <w:pPr>
        <w:ind w:left="1134" w:hanging="567"/>
        <w:rPr>
          <w:noProof/>
          <w:lang w:val="fr-FR"/>
        </w:rPr>
      </w:pPr>
      <w:r>
        <w:rPr>
          <w:noProof/>
          <w:lang w:val="fr-FR"/>
        </w:rPr>
        <w:t>d)</w:t>
      </w:r>
      <w:r>
        <w:rPr>
          <w:noProof/>
          <w:lang w:val="fr-FR"/>
        </w:rPr>
        <w:tab/>
        <w:t>«l’année quatre» signifie la période de 12 mois commençant au troisième anniversaire de l’entrée en vigueur du présent accord;</w:t>
      </w:r>
    </w:p>
    <w:p>
      <w:pPr>
        <w:rPr>
          <w:noProof/>
          <w:lang w:val="fr-FR"/>
        </w:rPr>
      </w:pPr>
      <w:r>
        <w:rPr>
          <w:noProof/>
          <w:lang w:val="fr-FR"/>
        </w:rPr>
        <w:br w:type="page"/>
      </w:r>
    </w:p>
    <w:p>
      <w:pPr>
        <w:rPr>
          <w:noProof/>
          <w:lang w:val="fr-FR"/>
        </w:rPr>
      </w:pPr>
    </w:p>
    <w:p>
      <w:pPr>
        <w:ind w:left="1134" w:hanging="567"/>
        <w:rPr>
          <w:noProof/>
          <w:lang w:val="fr-FR"/>
        </w:rPr>
      </w:pPr>
      <w:r>
        <w:rPr>
          <w:noProof/>
          <w:lang w:val="fr-FR"/>
        </w:rPr>
        <w:t>e)</w:t>
      </w:r>
      <w:r>
        <w:rPr>
          <w:noProof/>
          <w:lang w:val="fr-FR"/>
        </w:rPr>
        <w:tab/>
        <w:t>«l’année cinq» signifie la période de 12 mois commençant au quatrième anniversaire de l’entrée en vigueur du présent accord.</w:t>
      </w:r>
    </w:p>
    <w:p>
      <w:pPr>
        <w:rPr>
          <w:noProof/>
          <w:lang w:val="fr-FR"/>
        </w:rPr>
      </w:pPr>
    </w:p>
    <w:p>
      <w:pPr>
        <w:rPr>
          <w:noProof/>
          <w:lang w:val="fr-FR"/>
        </w:rPr>
      </w:pPr>
      <w:r>
        <w:rPr>
          <w:noProof/>
          <w:lang w:val="fr-FR"/>
        </w:rPr>
        <w:t>7.</w:t>
      </w:r>
      <w:r>
        <w:rPr>
          <w:noProof/>
          <w:lang w:val="fr-FR"/>
        </w:rPr>
        <w:tab/>
        <w:t>Les appendices 2-A-1 et 2-A-2 font partie intégrante de la présente annexe.</w:t>
      </w:r>
    </w:p>
    <w:p>
      <w:pPr>
        <w:rPr>
          <w:noProof/>
          <w:lang w:val="fr-FR"/>
        </w:rPr>
      </w:pPr>
      <w:r>
        <w:rPr>
          <w:noProof/>
          <w:lang w:val="fr-FR"/>
        </w:rPr>
        <w:br w:type="page"/>
      </w:r>
    </w:p>
    <w:p>
      <w:pPr>
        <w:jc w:val="center"/>
        <w:rPr>
          <w:noProof/>
          <w:lang w:val="fr-FR"/>
        </w:rPr>
      </w:pPr>
      <w:r>
        <w:rPr>
          <w:noProof/>
          <w:lang w:val="fr-FR"/>
        </w:rPr>
        <w:t>LISTE TARIFAIRE DE SINGAPOUR</w:t>
      </w:r>
    </w:p>
    <w:p>
      <w:pPr>
        <w:jc w:val="right"/>
        <w:rPr>
          <w:b/>
          <w:noProof/>
          <w:u w:val="single"/>
          <w:lang w:val="fr-FR"/>
        </w:rPr>
      </w:pPr>
      <w:r>
        <w:rPr>
          <w:b/>
          <w:bCs/>
          <w:noProof/>
          <w:u w:val="single"/>
          <w:lang w:val="fr-FR"/>
        </w:rPr>
        <w:t>Appendice</w:t>
      </w:r>
      <w:r>
        <w:rPr>
          <w:b/>
          <w:noProof/>
          <w:u w:val="single"/>
          <w:lang w:val="fr-FR"/>
        </w:rPr>
        <w:t xml:space="preserve"> 2-A-1</w:t>
      </w:r>
    </w:p>
    <w:p>
      <w:pPr>
        <w:rPr>
          <w:b/>
          <w:noProof/>
          <w:lang w:val="fr-FR"/>
        </w:rPr>
      </w:pPr>
    </w:p>
    <w:p>
      <w:pPr>
        <w:rPr>
          <w:noProof/>
          <w:lang w:val="fr-FR"/>
        </w:rPr>
      </w:pPr>
    </w:p>
    <w:p>
      <w:pPr>
        <w:jc w:val="center"/>
        <w:rPr>
          <w:noProof/>
          <w:lang w:val="fr-FR"/>
        </w:rPr>
      </w:pPr>
      <w:r>
        <w:rPr>
          <w:noProof/>
          <w:lang w:val="fr-FR"/>
        </w:rPr>
        <w:t xml:space="preserve">Élimination des droits de </w:t>
      </w:r>
      <w:r>
        <w:rPr>
          <w:bCs/>
          <w:noProof/>
          <w:lang w:val="fr-FR"/>
        </w:rPr>
        <w:t>douane</w:t>
      </w:r>
      <w:r>
        <w:rPr>
          <w:noProof/>
          <w:lang w:val="fr-FR"/>
        </w:rPr>
        <w:t xml:space="preserve"> – Singapour </w:t>
      </w:r>
    </w:p>
    <w:p>
      <w:pPr>
        <w:rPr>
          <w:noProof/>
          <w:lang w:val="fr-FR"/>
        </w:rPr>
      </w:pPr>
    </w:p>
    <w:p>
      <w:pPr>
        <w:ind w:left="567" w:hanging="567"/>
        <w:rPr>
          <w:noProof/>
          <w:lang w:val="fr-FR"/>
        </w:rPr>
      </w:pPr>
      <w:r>
        <w:rPr>
          <w:noProof/>
          <w:lang w:val="fr-FR"/>
        </w:rPr>
        <w:t>1.</w:t>
      </w:r>
      <w:r>
        <w:rPr>
          <w:noProof/>
          <w:lang w:val="fr-FR"/>
        </w:rPr>
        <w:tab/>
        <w:t>Les dispositions de la présente liste sont exprimées dans les termes de la Singapore Trade Classification, Customs and Excise Duties (ci-après la «STCCE») et l’interprétation de ces dispositions, y compris la couverture des produits des sous-positions de la présente liste, est régie par les notes générales, notes de section, notes de chapitre et notes de sous-position de la STCCE. Dans la mesure où les dispositions de la présente liste sont identiques aux dispositions correspondantes de la STCCE, les premières ont la même signification que les secondes.</w:t>
      </w:r>
    </w:p>
    <w:p>
      <w:pPr>
        <w:ind w:left="567" w:hanging="567"/>
        <w:rPr>
          <w:noProof/>
          <w:lang w:val="fr-FR"/>
        </w:rPr>
      </w:pPr>
    </w:p>
    <w:p>
      <w:pPr>
        <w:ind w:left="567" w:hanging="567"/>
        <w:rPr>
          <w:noProof/>
          <w:lang w:val="fr-FR"/>
        </w:rPr>
      </w:pPr>
      <w:r>
        <w:rPr>
          <w:noProof/>
          <w:lang w:val="fr-FR"/>
        </w:rPr>
        <w:t>2.</w:t>
      </w:r>
      <w:r>
        <w:rPr>
          <w:noProof/>
          <w:lang w:val="fr-FR"/>
        </w:rPr>
        <w:tab/>
        <w:t xml:space="preserve">En vertu de l’article 2.6 (Réduction et/ou élimination des droits de douane sur les importations), Singapour élimine les droits de douane sur tous les produits originaires de l’Union à partir de la date d’entrée en vigueur du présent accord. </w:t>
      </w:r>
    </w:p>
    <w:p>
      <w:pPr>
        <w:jc w:val="center"/>
        <w:rPr>
          <w:noProof/>
          <w:lang w:val="fr-FR"/>
        </w:rPr>
      </w:pPr>
      <w:r>
        <w:rPr>
          <w:noProof/>
          <w:lang w:val="fr-FR"/>
        </w:rPr>
        <w:br w:type="page"/>
        <w:t>LISTE TARIFAIRE DE L’UNION</w:t>
      </w:r>
    </w:p>
    <w:p>
      <w:pPr>
        <w:rPr>
          <w:noProof/>
          <w:lang w:val="fr-FR"/>
        </w:rPr>
      </w:pPr>
    </w:p>
    <w:p>
      <w:pPr>
        <w:jc w:val="right"/>
        <w:rPr>
          <w:b/>
          <w:noProof/>
          <w:u w:val="single"/>
          <w:lang w:val="fr-FR"/>
        </w:rPr>
      </w:pPr>
      <w:r>
        <w:rPr>
          <w:b/>
          <w:bCs/>
          <w:noProof/>
          <w:u w:val="single"/>
          <w:lang w:val="fr-FR"/>
        </w:rPr>
        <w:t>Appendice</w:t>
      </w:r>
      <w:r>
        <w:rPr>
          <w:b/>
          <w:noProof/>
          <w:u w:val="single"/>
          <w:lang w:val="fr-FR"/>
        </w:rPr>
        <w:t xml:space="preserve"> 2-A-2</w:t>
      </w:r>
    </w:p>
    <w:p>
      <w:pPr>
        <w:rPr>
          <w:noProof/>
          <w:lang w:val="fr-FR"/>
        </w:rPr>
      </w:pPr>
    </w:p>
    <w:p>
      <w:pPr>
        <w:rPr>
          <w:noProof/>
          <w:lang w:val="fr-FR"/>
        </w:rPr>
      </w:pPr>
    </w:p>
    <w:p>
      <w:pPr>
        <w:jc w:val="center"/>
        <w:rPr>
          <w:noProof/>
          <w:lang w:val="fr-FR"/>
        </w:rPr>
      </w:pPr>
      <w:r>
        <w:rPr>
          <w:noProof/>
          <w:lang w:val="fr-FR"/>
        </w:rPr>
        <w:t xml:space="preserve">Élimination des </w:t>
      </w:r>
      <w:r>
        <w:rPr>
          <w:bCs/>
          <w:noProof/>
          <w:lang w:val="fr-FR"/>
        </w:rPr>
        <w:t>droits</w:t>
      </w:r>
      <w:r>
        <w:rPr>
          <w:noProof/>
          <w:lang w:val="fr-FR"/>
        </w:rPr>
        <w:t xml:space="preserve"> de douane – Union </w:t>
      </w:r>
    </w:p>
    <w:p>
      <w:pPr>
        <w:rPr>
          <w:noProof/>
          <w:lang w:val="fr-FR"/>
        </w:rPr>
      </w:pPr>
    </w:p>
    <w:p>
      <w:pPr>
        <w:rPr>
          <w:noProof/>
          <w:lang w:val="fr-FR"/>
        </w:rPr>
      </w:pPr>
      <w:r>
        <w:rPr>
          <w:noProof/>
          <w:lang w:val="fr-FR"/>
        </w:rPr>
        <w:t>Notes générales</w:t>
      </w:r>
    </w:p>
    <w:p>
      <w:pPr>
        <w:rPr>
          <w:noProof/>
          <w:lang w:val="fr-FR"/>
        </w:rPr>
      </w:pPr>
    </w:p>
    <w:p>
      <w:pPr>
        <w:ind w:left="567" w:hanging="567"/>
        <w:rPr>
          <w:noProof/>
          <w:lang w:val="fr-FR"/>
        </w:rPr>
      </w:pPr>
      <w:r>
        <w:rPr>
          <w:noProof/>
          <w:lang w:val="fr-FR"/>
        </w:rPr>
        <w:t>1.</w:t>
      </w:r>
      <w:r>
        <w:rPr>
          <w:noProof/>
          <w:lang w:val="fr-FR"/>
        </w:rPr>
        <w:tab/>
        <w:t>Lien avec la nomenclature combinée de l’Union (ci-après la «NC»): les dispositions de la présente liste sont généralement exprimées dans les termes de la NC et l’interprétation des dispositions de la présente liste, y compris la couverture des produits des sous-positions de la présente liste, est régie par les notes générales, notes de section et notes de chapitre de la NC. Dans la mesure où les dispositions de la présente liste sont identiques aux dispositions correspondantes de la NC, les premières ont la même signification que les secondes.</w:t>
      </w:r>
    </w:p>
    <w:p>
      <w:pPr>
        <w:ind w:left="567" w:hanging="567"/>
        <w:rPr>
          <w:noProof/>
          <w:lang w:val="fr-FR"/>
        </w:rPr>
      </w:pPr>
    </w:p>
    <w:p>
      <w:pPr>
        <w:ind w:left="567" w:hanging="567"/>
        <w:rPr>
          <w:noProof/>
          <w:lang w:val="fr-FR"/>
        </w:rPr>
      </w:pPr>
      <w:r>
        <w:rPr>
          <w:noProof/>
          <w:lang w:val="fr-FR"/>
        </w:rPr>
        <w:t>2.</w:t>
      </w:r>
      <w:r>
        <w:rPr>
          <w:noProof/>
          <w:lang w:val="fr-FR"/>
        </w:rPr>
        <w:tab/>
        <w:t>Taux de base des droits de douane: les taux de base des droits de douane figurant dans la présente liste reflètent les taux de droits du tarif douanier commun de l’Union européenne, en vigueur au 1er janvier 2010.</w:t>
      </w:r>
    </w:p>
    <w:p>
      <w:pPr>
        <w:ind w:left="567" w:hanging="567"/>
        <w:rPr>
          <w:noProof/>
          <w:lang w:val="fr-FR"/>
        </w:rPr>
      </w:pPr>
    </w:p>
    <w:p>
      <w:pPr>
        <w:ind w:left="567" w:hanging="567"/>
        <w:rPr>
          <w:noProof/>
          <w:lang w:val="fr-FR"/>
        </w:rPr>
      </w:pPr>
      <w:r>
        <w:rPr>
          <w:noProof/>
          <w:lang w:val="fr-FR"/>
        </w:rPr>
        <w:t>3.</w:t>
      </w:r>
      <w:r>
        <w:rPr>
          <w:noProof/>
          <w:lang w:val="fr-FR"/>
        </w:rPr>
        <w:tab/>
        <w:t>En vertu de l’article 2.6 (Réduction et/ou élimination des droits de douane sur les importations), l’Union élimine les droits de douane sur tous les produits originaires de Singapour à partir de la date d’entrée en vigueur du présent accord, sauf pour les produits figurant dans le tarif douanier de l’Union.</w:t>
      </w:r>
    </w:p>
    <w:p>
      <w:pPr>
        <w:rPr>
          <w:noProof/>
          <w:lang w:val="fr-FR"/>
        </w:rPr>
      </w:pPr>
      <w:r>
        <w:rPr>
          <w:noProof/>
          <w:lang w:val="fr-FR"/>
        </w:rPr>
        <w:br w:type="page"/>
      </w:r>
    </w:p>
    <w:p>
      <w:pPr>
        <w:rPr>
          <w:noProof/>
          <w:lang w:val="fr-FR"/>
        </w:rPr>
      </w:pPr>
      <w:r>
        <w:rPr>
          <w:noProof/>
          <w:lang w:val="fr-FR"/>
        </w:rPr>
        <w:t>Régime du prix d’entrée</w:t>
      </w:r>
    </w:p>
    <w:p>
      <w:pPr>
        <w:rPr>
          <w:rFonts w:eastAsia="Batang"/>
          <w:noProof/>
          <w:lang w:val="fr-FR"/>
        </w:rPr>
      </w:pPr>
    </w:p>
    <w:p>
      <w:pPr>
        <w:ind w:left="567" w:hanging="567"/>
        <w:rPr>
          <w:rFonts w:eastAsia="Batang"/>
          <w:noProof/>
          <w:lang w:val="fr-FR"/>
        </w:rPr>
      </w:pPr>
      <w:r>
        <w:rPr>
          <w:rFonts w:eastAsia="Batang"/>
          <w:noProof/>
          <w:lang w:val="fr-FR"/>
        </w:rPr>
        <w:t>4</w:t>
      </w:r>
      <w:r>
        <w:rPr>
          <w:rFonts w:eastAsia="Batang" w:hint="eastAsia"/>
          <w:noProof/>
          <w:lang w:val="fr-FR"/>
        </w:rPr>
        <w:t>.</w:t>
      </w:r>
      <w:r>
        <w:rPr>
          <w:rFonts w:eastAsia="Batang"/>
          <w:noProof/>
          <w:lang w:val="fr-FR"/>
        </w:rPr>
        <w:tab/>
        <w:t xml:space="preserve">Les paragraphes 5, 6 et 7 de la présente annexe énoncent les modifications apportées au régime du prix d’entrée que l’Union </w:t>
      </w:r>
      <w:r>
        <w:rPr>
          <w:rFonts w:eastAsia="Batang" w:hint="eastAsia"/>
          <w:noProof/>
          <w:lang w:val="fr-FR"/>
        </w:rPr>
        <w:t xml:space="preserve">applique à certains fruits et légumes conformément au </w:t>
      </w:r>
      <w:r>
        <w:rPr>
          <w:rFonts w:eastAsia="Batang"/>
          <w:noProof/>
          <w:lang w:val="fr-FR"/>
        </w:rPr>
        <w:t>Tarif douanier commun tel qu’il figure dans le règlement d’exécution (UE) no 927/2012 de la Commission du 9 octobre 2012 (et les actes ultérieurs) ainsi que dans la liste CXL de l’Union à l’OMC.</w:t>
      </w:r>
      <w:r>
        <w:rPr>
          <w:rFonts w:eastAsia="Batang" w:hint="eastAsia"/>
          <w:noProof/>
          <w:lang w:val="fr-FR"/>
        </w:rPr>
        <w:t xml:space="preserve"> </w:t>
      </w:r>
      <w:r>
        <w:rPr>
          <w:rFonts w:eastAsia="Batang"/>
          <w:noProof/>
          <w:lang w:val="fr-FR"/>
        </w:rPr>
        <w:t>En particulier, les marchandises originaires de Singapour incluses dans la présente annexe sont soumises au régime du prix d’entrée figurant dans la présente annexe en lieu et place du régime du prix d’entrée spécifié dans le Tarif douanier commun tel qu’il figure dans le règlement d’exécution (UE) no 927/2012 de la Commission du 9 octobre 2012 (et les actes ultérieurs) et dans la liste CXL de l’Union à l’OMC.</w:t>
      </w:r>
      <w:r>
        <w:rPr>
          <w:rFonts w:eastAsia="Batang" w:hint="eastAsia"/>
          <w:noProof/>
          <w:lang w:val="fr-FR"/>
        </w:rPr>
        <w:t xml:space="preserve"> </w:t>
      </w:r>
    </w:p>
    <w:p>
      <w:pPr>
        <w:ind w:left="567" w:hanging="567"/>
        <w:rPr>
          <w:rFonts w:eastAsia="Batang"/>
          <w:noProof/>
          <w:lang w:val="fr-FR"/>
        </w:rPr>
      </w:pPr>
    </w:p>
    <w:p>
      <w:pPr>
        <w:ind w:left="567" w:hanging="567"/>
        <w:rPr>
          <w:rFonts w:eastAsia="Batang"/>
          <w:noProof/>
          <w:lang w:val="fr-FR"/>
        </w:rPr>
      </w:pPr>
      <w:r>
        <w:rPr>
          <w:rFonts w:eastAsia="Batang"/>
          <w:noProof/>
          <w:lang w:val="fr-FR"/>
        </w:rPr>
        <w:t>5</w:t>
      </w:r>
      <w:r>
        <w:rPr>
          <w:rFonts w:eastAsia="Batang" w:hint="eastAsia"/>
          <w:noProof/>
          <w:lang w:val="fr-FR"/>
        </w:rPr>
        <w:t>.</w:t>
      </w:r>
      <w:r>
        <w:rPr>
          <w:rFonts w:eastAsia="Batang"/>
          <w:noProof/>
          <w:lang w:val="fr-FR"/>
        </w:rPr>
        <w:tab/>
        <w:t>Pour les marchandises originaires de Singapour auxquelles l’Union applique son régime du prix d’entrée conformément au règlement d’exécution (UE) no 927/2012 de la Commission du 9 octobre 2012 et à la liste CXL de l’Union à l’OMC, les droits de douane ad valorem sur ces marchandises sont supprimés conformément aux catégories de démantèlement tarifaire indiquées dans la liste de l’Union.</w:t>
      </w:r>
    </w:p>
    <w:p>
      <w:pPr>
        <w:ind w:left="567" w:hanging="567"/>
        <w:rPr>
          <w:rFonts w:eastAsia="Batang"/>
          <w:noProof/>
          <w:lang w:val="fr-FR"/>
        </w:rPr>
      </w:pPr>
    </w:p>
    <w:p>
      <w:pPr>
        <w:ind w:left="567" w:hanging="567"/>
        <w:rPr>
          <w:noProof/>
          <w:lang w:val="fr-FR"/>
        </w:rPr>
      </w:pPr>
      <w:r>
        <w:rPr>
          <w:rFonts w:eastAsia="Batang"/>
          <w:noProof/>
          <w:lang w:val="fr-FR"/>
        </w:rPr>
        <w:t>6</w:t>
      </w:r>
      <w:r>
        <w:rPr>
          <w:rFonts w:eastAsia="Batang" w:hint="eastAsia"/>
          <w:noProof/>
          <w:lang w:val="fr-FR"/>
        </w:rPr>
        <w:t>.</w:t>
      </w:r>
      <w:r>
        <w:rPr>
          <w:rFonts w:eastAsia="Batang"/>
          <w:noProof/>
          <w:lang w:val="fr-FR"/>
        </w:rPr>
        <w:tab/>
        <w:t>Les droits de douane spécifiques prévus dans le règlement (CE) no 948/2009 de la Commission du 30 septembre 2009 concernant les marchandises du paragraphe 5 ne sont pas soumis à l’élimination des droits de douanes conformément aux catégories de démantèlement figurant dans la liste de l’Union.</w:t>
      </w:r>
      <w:r>
        <w:rPr>
          <w:rFonts w:eastAsia="Batang" w:hint="eastAsia"/>
          <w:noProof/>
          <w:lang w:val="fr-FR"/>
        </w:rPr>
        <w:t xml:space="preserve"> </w:t>
      </w:r>
      <w:r>
        <w:rPr>
          <w:rFonts w:eastAsia="Batang"/>
          <w:noProof/>
          <w:lang w:val="fr-FR"/>
        </w:rPr>
        <w:t>Au lieu de cela, les droits de douane spécifiques sont</w:t>
      </w:r>
      <w:r>
        <w:rPr>
          <w:noProof/>
          <w:lang w:val="fr-FR"/>
        </w:rPr>
        <w:t xml:space="preserve"> maintenus pour les marchandises suivantes:</w:t>
      </w:r>
    </w:p>
    <w:p>
      <w:pPr>
        <w:rPr>
          <w:noProof/>
          <w:lang w:val="fr-FR"/>
        </w:rPr>
      </w:pPr>
      <w:r>
        <w:rPr>
          <w:noProof/>
          <w:lang w:val="fr-FR"/>
        </w:rPr>
        <w:br w:type="page"/>
      </w:r>
    </w:p>
    <w:tbl>
      <w:tblPr>
        <w:tblW w:w="7775"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5855"/>
      </w:tblGrid>
      <w:tr>
        <w:trPr>
          <w:tblHeader/>
        </w:trPr>
        <w:tc>
          <w:tcPr>
            <w:tcW w:w="1920" w:type="dxa"/>
            <w:tcBorders>
              <w:top w:val="single" w:sz="4" w:space="0" w:color="auto"/>
              <w:left w:val="single" w:sz="4" w:space="0" w:color="auto"/>
              <w:bottom w:val="single" w:sz="8" w:space="0" w:color="auto"/>
              <w:right w:val="single" w:sz="4" w:space="0" w:color="auto"/>
            </w:tcBorders>
          </w:tcPr>
          <w:p>
            <w:pPr>
              <w:rPr>
                <w:rFonts w:eastAsia="Batang"/>
                <w:noProof/>
              </w:rPr>
            </w:pPr>
            <w:r>
              <w:rPr>
                <w:noProof/>
              </w:rPr>
              <w:t>Code NC 2013</w:t>
            </w:r>
          </w:p>
        </w:tc>
        <w:tc>
          <w:tcPr>
            <w:tcW w:w="5855" w:type="dxa"/>
            <w:tcBorders>
              <w:top w:val="single" w:sz="4" w:space="0" w:color="auto"/>
              <w:left w:val="single" w:sz="4" w:space="0" w:color="auto"/>
              <w:bottom w:val="single" w:sz="8" w:space="0" w:color="auto"/>
              <w:right w:val="single" w:sz="4" w:space="0" w:color="auto"/>
            </w:tcBorders>
          </w:tcPr>
          <w:p>
            <w:pPr>
              <w:rPr>
                <w:rFonts w:eastAsia="Batang"/>
                <w:noProof/>
              </w:rPr>
            </w:pPr>
            <w:r>
              <w:rPr>
                <w:noProof/>
              </w:rPr>
              <w:t>Description</w:t>
            </w:r>
          </w:p>
        </w:tc>
      </w:tr>
      <w:tr>
        <w:tc>
          <w:tcPr>
            <w:tcW w:w="1920" w:type="dxa"/>
          </w:tcPr>
          <w:p>
            <w:pPr>
              <w:rPr>
                <w:rFonts w:eastAsia="Batang"/>
                <w:noProof/>
              </w:rPr>
            </w:pPr>
            <w:r>
              <w:rPr>
                <w:noProof/>
              </w:rPr>
              <w:t>0702 00 00</w:t>
            </w:r>
          </w:p>
        </w:tc>
        <w:tc>
          <w:tcPr>
            <w:tcW w:w="5855" w:type="dxa"/>
            <w:vAlign w:val="bottom"/>
          </w:tcPr>
          <w:p>
            <w:pPr>
              <w:rPr>
                <w:rFonts w:ascii="Calibri" w:eastAsia="Batang" w:hAnsi="Calibri" w:cs="Calibri"/>
                <w:noProof/>
                <w:color w:val="000000"/>
                <w:lang w:val="fr-FR"/>
              </w:rPr>
            </w:pPr>
            <w:r>
              <w:rPr>
                <w:noProof/>
                <w:lang w:val="fr-FR"/>
              </w:rPr>
              <w:t>Tomates, à l’état frais ou réfrigéré</w:t>
            </w:r>
          </w:p>
        </w:tc>
      </w:tr>
      <w:tr>
        <w:trPr>
          <w:trHeight w:hRule="exact" w:val="505"/>
        </w:trPr>
        <w:tc>
          <w:tcPr>
            <w:tcW w:w="1920" w:type="dxa"/>
          </w:tcPr>
          <w:p>
            <w:pPr>
              <w:rPr>
                <w:rFonts w:eastAsia="Batang"/>
                <w:noProof/>
              </w:rPr>
            </w:pPr>
            <w:r>
              <w:rPr>
                <w:noProof/>
              </w:rPr>
              <w:t>0707 00 05</w:t>
            </w:r>
          </w:p>
          <w:p>
            <w:pPr>
              <w:rPr>
                <w:rFonts w:eastAsia="Batang"/>
                <w:noProof/>
              </w:rPr>
            </w:pPr>
          </w:p>
        </w:tc>
        <w:tc>
          <w:tcPr>
            <w:tcW w:w="5855" w:type="dxa"/>
            <w:vAlign w:val="bottom"/>
          </w:tcPr>
          <w:p>
            <w:pPr>
              <w:rPr>
                <w:rFonts w:eastAsia="Batang"/>
                <w:noProof/>
              </w:rPr>
            </w:pPr>
            <w:r>
              <w:rPr>
                <w:noProof/>
              </w:rPr>
              <w:t>-Concombres</w:t>
            </w:r>
          </w:p>
        </w:tc>
      </w:tr>
      <w:tr>
        <w:tc>
          <w:tcPr>
            <w:tcW w:w="1920" w:type="dxa"/>
          </w:tcPr>
          <w:p>
            <w:pPr>
              <w:rPr>
                <w:rFonts w:eastAsia="Batang"/>
                <w:noProof/>
              </w:rPr>
            </w:pPr>
            <w:r>
              <w:rPr>
                <w:noProof/>
              </w:rPr>
              <w:t>0709 91 00</w:t>
            </w:r>
          </w:p>
        </w:tc>
        <w:tc>
          <w:tcPr>
            <w:tcW w:w="5855" w:type="dxa"/>
            <w:vAlign w:val="bottom"/>
          </w:tcPr>
          <w:p>
            <w:pPr>
              <w:rPr>
                <w:rFonts w:eastAsia="Batang"/>
                <w:noProof/>
              </w:rPr>
            </w:pPr>
            <w:r>
              <w:rPr>
                <w:noProof/>
              </w:rPr>
              <w:t>--Artichauts</w:t>
            </w:r>
          </w:p>
        </w:tc>
      </w:tr>
      <w:tr>
        <w:tc>
          <w:tcPr>
            <w:tcW w:w="1920" w:type="dxa"/>
          </w:tcPr>
          <w:p>
            <w:pPr>
              <w:rPr>
                <w:rFonts w:eastAsia="Batang"/>
                <w:noProof/>
              </w:rPr>
            </w:pPr>
            <w:r>
              <w:rPr>
                <w:noProof/>
              </w:rPr>
              <w:t>0709 93 10</w:t>
            </w:r>
          </w:p>
        </w:tc>
        <w:tc>
          <w:tcPr>
            <w:tcW w:w="5855" w:type="dxa"/>
            <w:vAlign w:val="bottom"/>
          </w:tcPr>
          <w:p>
            <w:pPr>
              <w:rPr>
                <w:rFonts w:eastAsia="Batang"/>
                <w:noProof/>
              </w:rPr>
            </w:pPr>
            <w:r>
              <w:rPr>
                <w:noProof/>
              </w:rPr>
              <w:t>---Courgettes</w:t>
            </w:r>
          </w:p>
        </w:tc>
      </w:tr>
      <w:tr>
        <w:trPr>
          <w:trHeight w:hRule="exact" w:val="487"/>
        </w:trPr>
        <w:tc>
          <w:tcPr>
            <w:tcW w:w="1920" w:type="dxa"/>
          </w:tcPr>
          <w:p>
            <w:pPr>
              <w:rPr>
                <w:rFonts w:eastAsia="Batang"/>
                <w:noProof/>
              </w:rPr>
            </w:pPr>
            <w:r>
              <w:rPr>
                <w:noProof/>
              </w:rPr>
              <w:t>0805 10 20</w:t>
            </w:r>
          </w:p>
        </w:tc>
        <w:tc>
          <w:tcPr>
            <w:tcW w:w="5855" w:type="dxa"/>
            <w:vAlign w:val="bottom"/>
          </w:tcPr>
          <w:p>
            <w:pPr>
              <w:rPr>
                <w:rFonts w:eastAsia="Batang"/>
                <w:noProof/>
              </w:rPr>
            </w:pPr>
            <w:r>
              <w:rPr>
                <w:noProof/>
              </w:rPr>
              <w:t>--Oranges douces, fraîches</w:t>
            </w:r>
          </w:p>
        </w:tc>
      </w:tr>
      <w:tr>
        <w:trPr>
          <w:trHeight w:hRule="exact" w:val="515"/>
        </w:trPr>
        <w:tc>
          <w:tcPr>
            <w:tcW w:w="1920" w:type="dxa"/>
          </w:tcPr>
          <w:p>
            <w:pPr>
              <w:rPr>
                <w:rFonts w:eastAsia="Batang"/>
                <w:noProof/>
              </w:rPr>
            </w:pPr>
            <w:r>
              <w:rPr>
                <w:noProof/>
              </w:rPr>
              <w:t>0805 20 10</w:t>
            </w:r>
          </w:p>
        </w:tc>
        <w:tc>
          <w:tcPr>
            <w:tcW w:w="5855" w:type="dxa"/>
            <w:vAlign w:val="bottom"/>
          </w:tcPr>
          <w:p>
            <w:pPr>
              <w:rPr>
                <w:rFonts w:eastAsia="Batang"/>
                <w:noProof/>
              </w:rPr>
            </w:pPr>
            <w:r>
              <w:rPr>
                <w:noProof/>
              </w:rPr>
              <w:t>--Clémentines</w:t>
            </w:r>
          </w:p>
        </w:tc>
      </w:tr>
      <w:tr>
        <w:trPr>
          <w:trHeight w:val="469"/>
        </w:trPr>
        <w:tc>
          <w:tcPr>
            <w:tcW w:w="1920" w:type="dxa"/>
          </w:tcPr>
          <w:p>
            <w:pPr>
              <w:rPr>
                <w:rFonts w:eastAsia="Batang"/>
                <w:noProof/>
              </w:rPr>
            </w:pPr>
            <w:r>
              <w:rPr>
                <w:noProof/>
              </w:rPr>
              <w:t>0805 20 30</w:t>
            </w:r>
          </w:p>
        </w:tc>
        <w:tc>
          <w:tcPr>
            <w:tcW w:w="5855" w:type="dxa"/>
            <w:vAlign w:val="bottom"/>
          </w:tcPr>
          <w:p>
            <w:pPr>
              <w:rPr>
                <w:rFonts w:eastAsia="Batang"/>
                <w:noProof/>
              </w:rPr>
            </w:pPr>
            <w:r>
              <w:rPr>
                <w:noProof/>
              </w:rPr>
              <w:t>--Monreales et satsumas</w:t>
            </w:r>
          </w:p>
        </w:tc>
      </w:tr>
      <w:tr>
        <w:trPr>
          <w:trHeight w:val="468"/>
        </w:trPr>
        <w:tc>
          <w:tcPr>
            <w:tcW w:w="1920" w:type="dxa"/>
          </w:tcPr>
          <w:p>
            <w:pPr>
              <w:rPr>
                <w:rFonts w:eastAsia="Batang"/>
                <w:noProof/>
              </w:rPr>
            </w:pPr>
            <w:r>
              <w:rPr>
                <w:noProof/>
              </w:rPr>
              <w:t>0805 20 50</w:t>
            </w:r>
          </w:p>
        </w:tc>
        <w:tc>
          <w:tcPr>
            <w:tcW w:w="5855" w:type="dxa"/>
            <w:vAlign w:val="bottom"/>
          </w:tcPr>
          <w:p>
            <w:pPr>
              <w:rPr>
                <w:rFonts w:eastAsia="Batang"/>
                <w:noProof/>
              </w:rPr>
            </w:pPr>
            <w:r>
              <w:rPr>
                <w:noProof/>
              </w:rPr>
              <w:t>--Mandarines et wilkings</w:t>
            </w:r>
          </w:p>
        </w:tc>
      </w:tr>
      <w:tr>
        <w:trPr>
          <w:trHeight w:val="288"/>
        </w:trPr>
        <w:tc>
          <w:tcPr>
            <w:tcW w:w="1920" w:type="dxa"/>
          </w:tcPr>
          <w:p>
            <w:pPr>
              <w:rPr>
                <w:rFonts w:eastAsia="Batang"/>
                <w:noProof/>
              </w:rPr>
            </w:pPr>
            <w:r>
              <w:rPr>
                <w:noProof/>
              </w:rPr>
              <w:t>0805 20 70</w:t>
            </w:r>
          </w:p>
        </w:tc>
        <w:tc>
          <w:tcPr>
            <w:tcW w:w="5855" w:type="dxa"/>
            <w:vAlign w:val="bottom"/>
          </w:tcPr>
          <w:p>
            <w:pPr>
              <w:rPr>
                <w:rFonts w:eastAsia="Batang"/>
                <w:noProof/>
              </w:rPr>
            </w:pPr>
            <w:r>
              <w:rPr>
                <w:noProof/>
              </w:rPr>
              <w:t>--Tangerines</w:t>
            </w:r>
          </w:p>
        </w:tc>
      </w:tr>
      <w:tr>
        <w:trPr>
          <w:trHeight w:val="288"/>
        </w:trPr>
        <w:tc>
          <w:tcPr>
            <w:tcW w:w="1920" w:type="dxa"/>
          </w:tcPr>
          <w:p>
            <w:pPr>
              <w:rPr>
                <w:rFonts w:eastAsia="Batang"/>
                <w:noProof/>
              </w:rPr>
            </w:pPr>
            <w:r>
              <w:rPr>
                <w:noProof/>
              </w:rPr>
              <w:t>0805 20 90</w:t>
            </w:r>
          </w:p>
        </w:tc>
        <w:tc>
          <w:tcPr>
            <w:tcW w:w="5855" w:type="dxa"/>
            <w:vAlign w:val="bottom"/>
          </w:tcPr>
          <w:p>
            <w:pPr>
              <w:rPr>
                <w:rFonts w:eastAsia="Batang"/>
                <w:noProof/>
              </w:rPr>
            </w:pPr>
            <w:r>
              <w:rPr>
                <w:noProof/>
              </w:rPr>
              <w:t>--Autres</w:t>
            </w:r>
          </w:p>
        </w:tc>
      </w:tr>
      <w:tr>
        <w:trPr>
          <w:trHeight w:val="288"/>
        </w:trPr>
        <w:tc>
          <w:tcPr>
            <w:tcW w:w="1920" w:type="dxa"/>
          </w:tcPr>
          <w:p>
            <w:pPr>
              <w:rPr>
                <w:rFonts w:eastAsia="Batang"/>
                <w:noProof/>
              </w:rPr>
            </w:pPr>
            <w:r>
              <w:rPr>
                <w:noProof/>
              </w:rPr>
              <w:t>0805 50 10</w:t>
            </w:r>
          </w:p>
        </w:tc>
        <w:tc>
          <w:tcPr>
            <w:tcW w:w="5855" w:type="dxa"/>
            <w:vAlign w:val="bottom"/>
          </w:tcPr>
          <w:p>
            <w:pPr>
              <w:rPr>
                <w:rFonts w:eastAsia="Batang"/>
                <w:noProof/>
                <w:lang w:val="fr-FR"/>
              </w:rPr>
            </w:pPr>
            <w:r>
              <w:rPr>
                <w:noProof/>
                <w:lang w:val="fr-FR"/>
              </w:rPr>
              <w:t>--Citrons (Citrus limon, Citrus limonum)</w:t>
            </w:r>
          </w:p>
        </w:tc>
      </w:tr>
      <w:tr>
        <w:trPr>
          <w:trHeight w:val="288"/>
        </w:trPr>
        <w:tc>
          <w:tcPr>
            <w:tcW w:w="1920" w:type="dxa"/>
          </w:tcPr>
          <w:p>
            <w:pPr>
              <w:rPr>
                <w:rFonts w:eastAsia="Batang"/>
                <w:noProof/>
              </w:rPr>
            </w:pPr>
            <w:r>
              <w:rPr>
                <w:noProof/>
              </w:rPr>
              <w:t>0806 10 10</w:t>
            </w:r>
          </w:p>
        </w:tc>
        <w:tc>
          <w:tcPr>
            <w:tcW w:w="5855" w:type="dxa"/>
            <w:vAlign w:val="bottom"/>
          </w:tcPr>
          <w:p>
            <w:pPr>
              <w:rPr>
                <w:rFonts w:eastAsia="Batang"/>
                <w:noProof/>
              </w:rPr>
            </w:pPr>
            <w:r>
              <w:rPr>
                <w:noProof/>
              </w:rPr>
              <w:t>--Raisins de table</w:t>
            </w:r>
          </w:p>
        </w:tc>
      </w:tr>
      <w:tr>
        <w:trPr>
          <w:trHeight w:val="288"/>
        </w:trPr>
        <w:tc>
          <w:tcPr>
            <w:tcW w:w="1920" w:type="dxa"/>
          </w:tcPr>
          <w:p>
            <w:pPr>
              <w:rPr>
                <w:rFonts w:eastAsia="Batang"/>
                <w:noProof/>
              </w:rPr>
            </w:pPr>
            <w:r>
              <w:rPr>
                <w:noProof/>
              </w:rPr>
              <w:t>0808 10 80</w:t>
            </w:r>
          </w:p>
        </w:tc>
        <w:tc>
          <w:tcPr>
            <w:tcW w:w="5855" w:type="dxa"/>
            <w:vAlign w:val="bottom"/>
          </w:tcPr>
          <w:p>
            <w:pPr>
              <w:rPr>
                <w:rFonts w:eastAsia="Batang"/>
                <w:noProof/>
              </w:rPr>
            </w:pPr>
            <w:r>
              <w:rPr>
                <w:noProof/>
              </w:rPr>
              <w:t>--Autres</w:t>
            </w:r>
          </w:p>
        </w:tc>
      </w:tr>
      <w:tr>
        <w:trPr>
          <w:trHeight w:val="288"/>
        </w:trPr>
        <w:tc>
          <w:tcPr>
            <w:tcW w:w="1920" w:type="dxa"/>
          </w:tcPr>
          <w:p>
            <w:pPr>
              <w:rPr>
                <w:rFonts w:eastAsia="Batang"/>
                <w:noProof/>
              </w:rPr>
            </w:pPr>
            <w:r>
              <w:rPr>
                <w:noProof/>
              </w:rPr>
              <w:t>0808 30 90</w:t>
            </w:r>
          </w:p>
        </w:tc>
        <w:tc>
          <w:tcPr>
            <w:tcW w:w="5855" w:type="dxa"/>
            <w:vAlign w:val="bottom"/>
          </w:tcPr>
          <w:p>
            <w:pPr>
              <w:rPr>
                <w:rFonts w:eastAsia="Batang"/>
                <w:noProof/>
              </w:rPr>
            </w:pPr>
            <w:r>
              <w:rPr>
                <w:noProof/>
              </w:rPr>
              <w:t>--Autres</w:t>
            </w:r>
          </w:p>
        </w:tc>
      </w:tr>
      <w:tr>
        <w:trPr>
          <w:trHeight w:val="288"/>
        </w:trPr>
        <w:tc>
          <w:tcPr>
            <w:tcW w:w="1920" w:type="dxa"/>
          </w:tcPr>
          <w:p>
            <w:pPr>
              <w:rPr>
                <w:rFonts w:eastAsia="Batang"/>
                <w:noProof/>
              </w:rPr>
            </w:pPr>
            <w:r>
              <w:rPr>
                <w:noProof/>
              </w:rPr>
              <w:t>0809 10 00</w:t>
            </w:r>
          </w:p>
        </w:tc>
        <w:tc>
          <w:tcPr>
            <w:tcW w:w="5855" w:type="dxa"/>
            <w:vAlign w:val="bottom"/>
          </w:tcPr>
          <w:p>
            <w:pPr>
              <w:rPr>
                <w:rFonts w:eastAsia="Batang"/>
                <w:noProof/>
              </w:rPr>
            </w:pPr>
            <w:r>
              <w:rPr>
                <w:noProof/>
              </w:rPr>
              <w:t>-Abricots</w:t>
            </w:r>
          </w:p>
        </w:tc>
      </w:tr>
      <w:tr>
        <w:trPr>
          <w:trHeight w:val="288"/>
        </w:trPr>
        <w:tc>
          <w:tcPr>
            <w:tcW w:w="1920" w:type="dxa"/>
          </w:tcPr>
          <w:p>
            <w:pPr>
              <w:rPr>
                <w:rFonts w:eastAsia="Batang"/>
                <w:noProof/>
              </w:rPr>
            </w:pPr>
            <w:r>
              <w:rPr>
                <w:noProof/>
              </w:rPr>
              <w:t>0809 21 00</w:t>
            </w:r>
          </w:p>
        </w:tc>
        <w:tc>
          <w:tcPr>
            <w:tcW w:w="5855" w:type="dxa"/>
            <w:vAlign w:val="bottom"/>
          </w:tcPr>
          <w:p>
            <w:pPr>
              <w:rPr>
                <w:rFonts w:eastAsia="Batang"/>
                <w:noProof/>
              </w:rPr>
            </w:pPr>
            <w:r>
              <w:rPr>
                <w:noProof/>
              </w:rPr>
              <w:t>--Cerises acides (Prunus cerasus)</w:t>
            </w:r>
          </w:p>
        </w:tc>
      </w:tr>
      <w:tr>
        <w:trPr>
          <w:trHeight w:val="288"/>
        </w:trPr>
        <w:tc>
          <w:tcPr>
            <w:tcW w:w="1920" w:type="dxa"/>
          </w:tcPr>
          <w:p>
            <w:pPr>
              <w:rPr>
                <w:rFonts w:eastAsia="Batang"/>
                <w:noProof/>
              </w:rPr>
            </w:pPr>
            <w:r>
              <w:rPr>
                <w:noProof/>
              </w:rPr>
              <w:t>0809 29 00</w:t>
            </w:r>
          </w:p>
        </w:tc>
        <w:tc>
          <w:tcPr>
            <w:tcW w:w="5855" w:type="dxa"/>
            <w:vAlign w:val="bottom"/>
          </w:tcPr>
          <w:p>
            <w:pPr>
              <w:rPr>
                <w:rFonts w:eastAsia="Batang"/>
                <w:noProof/>
              </w:rPr>
            </w:pPr>
            <w:r>
              <w:rPr>
                <w:noProof/>
              </w:rPr>
              <w:t>--Autres</w:t>
            </w:r>
          </w:p>
        </w:tc>
      </w:tr>
      <w:tr>
        <w:trPr>
          <w:trHeight w:val="288"/>
        </w:trPr>
        <w:tc>
          <w:tcPr>
            <w:tcW w:w="1920" w:type="dxa"/>
          </w:tcPr>
          <w:p>
            <w:pPr>
              <w:rPr>
                <w:rFonts w:eastAsia="Batang"/>
                <w:noProof/>
              </w:rPr>
            </w:pPr>
            <w:r>
              <w:rPr>
                <w:noProof/>
              </w:rPr>
              <w:t>0809 30 10</w:t>
            </w:r>
          </w:p>
        </w:tc>
        <w:tc>
          <w:tcPr>
            <w:tcW w:w="5855" w:type="dxa"/>
            <w:vAlign w:val="bottom"/>
          </w:tcPr>
          <w:p>
            <w:pPr>
              <w:rPr>
                <w:rFonts w:eastAsia="Batang"/>
                <w:noProof/>
              </w:rPr>
            </w:pPr>
            <w:r>
              <w:rPr>
                <w:noProof/>
              </w:rPr>
              <w:t>--Nectarines</w:t>
            </w:r>
          </w:p>
        </w:tc>
      </w:tr>
      <w:tr>
        <w:trPr>
          <w:trHeight w:val="288"/>
        </w:trPr>
        <w:tc>
          <w:tcPr>
            <w:tcW w:w="1920" w:type="dxa"/>
          </w:tcPr>
          <w:p>
            <w:pPr>
              <w:rPr>
                <w:rFonts w:eastAsia="Batang"/>
                <w:noProof/>
              </w:rPr>
            </w:pPr>
            <w:r>
              <w:rPr>
                <w:noProof/>
              </w:rPr>
              <w:t>0809 30 90</w:t>
            </w:r>
          </w:p>
        </w:tc>
        <w:tc>
          <w:tcPr>
            <w:tcW w:w="5855" w:type="dxa"/>
            <w:vAlign w:val="bottom"/>
          </w:tcPr>
          <w:p>
            <w:pPr>
              <w:rPr>
                <w:rFonts w:eastAsia="Batang"/>
                <w:noProof/>
              </w:rPr>
            </w:pPr>
            <w:r>
              <w:rPr>
                <w:noProof/>
              </w:rPr>
              <w:t>--Autres</w:t>
            </w:r>
          </w:p>
        </w:tc>
      </w:tr>
      <w:tr>
        <w:trPr>
          <w:trHeight w:val="288"/>
        </w:trPr>
        <w:tc>
          <w:tcPr>
            <w:tcW w:w="1920" w:type="dxa"/>
          </w:tcPr>
          <w:p>
            <w:pPr>
              <w:rPr>
                <w:rFonts w:eastAsia="Batang"/>
                <w:noProof/>
              </w:rPr>
            </w:pPr>
            <w:r>
              <w:rPr>
                <w:noProof/>
              </w:rPr>
              <w:t>0809 40 05</w:t>
            </w:r>
          </w:p>
        </w:tc>
        <w:tc>
          <w:tcPr>
            <w:tcW w:w="5855" w:type="dxa"/>
            <w:vAlign w:val="bottom"/>
          </w:tcPr>
          <w:p>
            <w:pPr>
              <w:rPr>
                <w:rFonts w:eastAsia="Batang"/>
                <w:noProof/>
              </w:rPr>
            </w:pPr>
            <w:r>
              <w:rPr>
                <w:noProof/>
              </w:rPr>
              <w:t>--Prunes</w:t>
            </w:r>
          </w:p>
        </w:tc>
      </w:tr>
      <w:tr>
        <w:trPr>
          <w:trHeight w:val="288"/>
        </w:trPr>
        <w:tc>
          <w:tcPr>
            <w:tcW w:w="1920" w:type="dxa"/>
          </w:tcPr>
          <w:p>
            <w:pPr>
              <w:rPr>
                <w:rFonts w:eastAsia="Batang"/>
                <w:noProof/>
              </w:rPr>
            </w:pPr>
            <w:r>
              <w:rPr>
                <w:noProof/>
              </w:rPr>
              <w:t>2009 61 10</w:t>
            </w:r>
          </w:p>
        </w:tc>
        <w:tc>
          <w:tcPr>
            <w:tcW w:w="5855" w:type="dxa"/>
            <w:vAlign w:val="bottom"/>
          </w:tcPr>
          <w:p>
            <w:pPr>
              <w:rPr>
                <w:rFonts w:eastAsia="Batang"/>
                <w:noProof/>
                <w:lang w:val="fr-FR"/>
              </w:rPr>
            </w:pPr>
            <w:r>
              <w:rPr>
                <w:noProof/>
                <w:lang w:val="fr-FR"/>
              </w:rPr>
              <w:t>---d’une valeur excédant 18  EUR par 100 kg, poids net</w:t>
            </w:r>
          </w:p>
        </w:tc>
      </w:tr>
      <w:tr>
        <w:trPr>
          <w:trHeight w:val="288"/>
        </w:trPr>
        <w:tc>
          <w:tcPr>
            <w:tcW w:w="1920" w:type="dxa"/>
          </w:tcPr>
          <w:p>
            <w:pPr>
              <w:rPr>
                <w:rFonts w:eastAsia="Batang"/>
                <w:noProof/>
              </w:rPr>
            </w:pPr>
            <w:r>
              <w:rPr>
                <w:noProof/>
              </w:rPr>
              <w:t>2009 69 19</w:t>
            </w:r>
          </w:p>
        </w:tc>
        <w:tc>
          <w:tcPr>
            <w:tcW w:w="5855" w:type="dxa"/>
            <w:vAlign w:val="bottom"/>
          </w:tcPr>
          <w:p>
            <w:pPr>
              <w:rPr>
                <w:rFonts w:eastAsia="Batang"/>
                <w:noProof/>
              </w:rPr>
            </w:pPr>
            <w:r>
              <w:rPr>
                <w:noProof/>
              </w:rPr>
              <w:t>----Autres</w:t>
            </w:r>
          </w:p>
        </w:tc>
      </w:tr>
      <w:tr>
        <w:trPr>
          <w:trHeight w:val="288"/>
        </w:trPr>
        <w:tc>
          <w:tcPr>
            <w:tcW w:w="1920" w:type="dxa"/>
          </w:tcPr>
          <w:p>
            <w:pPr>
              <w:rPr>
                <w:rFonts w:eastAsia="Batang"/>
                <w:noProof/>
              </w:rPr>
            </w:pPr>
            <w:r>
              <w:rPr>
                <w:noProof/>
              </w:rPr>
              <w:t>2009 69 51</w:t>
            </w:r>
          </w:p>
        </w:tc>
        <w:tc>
          <w:tcPr>
            <w:tcW w:w="5855" w:type="dxa"/>
            <w:vAlign w:val="bottom"/>
          </w:tcPr>
          <w:p>
            <w:pPr>
              <w:rPr>
                <w:rFonts w:eastAsia="Batang"/>
                <w:noProof/>
              </w:rPr>
            </w:pPr>
            <w:r>
              <w:rPr>
                <w:noProof/>
              </w:rPr>
              <w:t>-----Concentrés</w:t>
            </w:r>
          </w:p>
        </w:tc>
      </w:tr>
      <w:tr>
        <w:trPr>
          <w:trHeight w:val="288"/>
        </w:trPr>
        <w:tc>
          <w:tcPr>
            <w:tcW w:w="1920" w:type="dxa"/>
          </w:tcPr>
          <w:p>
            <w:pPr>
              <w:rPr>
                <w:rFonts w:eastAsia="Batang"/>
                <w:noProof/>
              </w:rPr>
            </w:pPr>
            <w:r>
              <w:rPr>
                <w:noProof/>
              </w:rPr>
              <w:t>2009 69 59</w:t>
            </w:r>
          </w:p>
        </w:tc>
        <w:tc>
          <w:tcPr>
            <w:tcW w:w="5855" w:type="dxa"/>
            <w:vAlign w:val="bottom"/>
          </w:tcPr>
          <w:p>
            <w:pPr>
              <w:rPr>
                <w:rFonts w:eastAsia="Batang"/>
                <w:noProof/>
              </w:rPr>
            </w:pPr>
            <w:r>
              <w:rPr>
                <w:noProof/>
              </w:rPr>
              <w:t>-----Autres</w:t>
            </w:r>
          </w:p>
        </w:tc>
      </w:tr>
      <w:tr>
        <w:trPr>
          <w:trHeight w:val="288"/>
        </w:trPr>
        <w:tc>
          <w:tcPr>
            <w:tcW w:w="1920" w:type="dxa"/>
            <w:vAlign w:val="bottom"/>
          </w:tcPr>
          <w:p>
            <w:pPr>
              <w:rPr>
                <w:rFonts w:eastAsia="Batang"/>
                <w:noProof/>
              </w:rPr>
            </w:pPr>
            <w:r>
              <w:rPr>
                <w:noProof/>
              </w:rPr>
              <w:t>2204 30 92</w:t>
            </w:r>
          </w:p>
        </w:tc>
        <w:tc>
          <w:tcPr>
            <w:tcW w:w="5855" w:type="dxa"/>
            <w:vAlign w:val="bottom"/>
          </w:tcPr>
          <w:p>
            <w:pPr>
              <w:rPr>
                <w:rFonts w:eastAsia="Batang"/>
                <w:noProof/>
              </w:rPr>
            </w:pPr>
            <w:r>
              <w:rPr>
                <w:noProof/>
              </w:rPr>
              <w:t>----Concentrés</w:t>
            </w:r>
          </w:p>
        </w:tc>
      </w:tr>
      <w:tr>
        <w:trPr>
          <w:trHeight w:val="288"/>
        </w:trPr>
        <w:tc>
          <w:tcPr>
            <w:tcW w:w="1920" w:type="dxa"/>
            <w:vAlign w:val="bottom"/>
          </w:tcPr>
          <w:p>
            <w:pPr>
              <w:rPr>
                <w:rFonts w:eastAsia="Batang"/>
                <w:noProof/>
              </w:rPr>
            </w:pPr>
            <w:r>
              <w:rPr>
                <w:noProof/>
              </w:rPr>
              <w:t>2204 30 94</w:t>
            </w:r>
          </w:p>
        </w:tc>
        <w:tc>
          <w:tcPr>
            <w:tcW w:w="5855" w:type="dxa"/>
            <w:vAlign w:val="bottom"/>
          </w:tcPr>
          <w:p>
            <w:pPr>
              <w:rPr>
                <w:rFonts w:eastAsia="Batang"/>
                <w:noProof/>
              </w:rPr>
            </w:pPr>
            <w:r>
              <w:rPr>
                <w:noProof/>
              </w:rPr>
              <w:t>----Autres</w:t>
            </w:r>
          </w:p>
        </w:tc>
      </w:tr>
      <w:tr>
        <w:trPr>
          <w:trHeight w:val="288"/>
        </w:trPr>
        <w:tc>
          <w:tcPr>
            <w:tcW w:w="1920" w:type="dxa"/>
            <w:vAlign w:val="bottom"/>
          </w:tcPr>
          <w:p>
            <w:pPr>
              <w:rPr>
                <w:rFonts w:eastAsia="Batang"/>
                <w:noProof/>
              </w:rPr>
            </w:pPr>
            <w:r>
              <w:rPr>
                <w:noProof/>
              </w:rPr>
              <w:t>2204 30 96</w:t>
            </w:r>
          </w:p>
        </w:tc>
        <w:tc>
          <w:tcPr>
            <w:tcW w:w="5855" w:type="dxa"/>
            <w:vAlign w:val="bottom"/>
          </w:tcPr>
          <w:p>
            <w:pPr>
              <w:rPr>
                <w:rFonts w:eastAsia="Batang"/>
                <w:noProof/>
              </w:rPr>
            </w:pPr>
            <w:r>
              <w:rPr>
                <w:noProof/>
              </w:rPr>
              <w:t>----Concentrés</w:t>
            </w:r>
          </w:p>
        </w:tc>
      </w:tr>
      <w:tr>
        <w:trPr>
          <w:trHeight w:val="288"/>
        </w:trPr>
        <w:tc>
          <w:tcPr>
            <w:tcW w:w="1920" w:type="dxa"/>
            <w:vAlign w:val="bottom"/>
          </w:tcPr>
          <w:p>
            <w:pPr>
              <w:rPr>
                <w:rFonts w:eastAsia="Batang"/>
                <w:noProof/>
              </w:rPr>
            </w:pPr>
            <w:r>
              <w:rPr>
                <w:noProof/>
              </w:rPr>
              <w:t>2204 30 98</w:t>
            </w:r>
          </w:p>
        </w:tc>
        <w:tc>
          <w:tcPr>
            <w:tcW w:w="5855" w:type="dxa"/>
            <w:vAlign w:val="bottom"/>
          </w:tcPr>
          <w:p>
            <w:pPr>
              <w:rPr>
                <w:rFonts w:eastAsia="Batang"/>
                <w:noProof/>
              </w:rPr>
            </w:pPr>
            <w:r>
              <w:rPr>
                <w:noProof/>
              </w:rPr>
              <w:t>----Autres</w:t>
            </w:r>
          </w:p>
        </w:tc>
      </w:tr>
    </w:tbl>
    <w:p>
      <w:pPr>
        <w:rPr>
          <w:noProof/>
        </w:rPr>
      </w:pPr>
    </w:p>
    <w:p>
      <w:pPr>
        <w:rPr>
          <w:noProof/>
        </w:rPr>
      </w:pPr>
      <w:r>
        <w:rPr>
          <w:noProof/>
        </w:rPr>
        <w:br w:type="page"/>
      </w:r>
    </w:p>
    <w:p>
      <w:pPr>
        <w:ind w:left="567" w:hanging="567"/>
        <w:rPr>
          <w:rFonts w:eastAsia="Batang"/>
          <w:noProof/>
          <w:lang w:val="fr-FR" w:eastAsia="de-DE"/>
        </w:rPr>
      </w:pPr>
      <w:r>
        <w:rPr>
          <w:noProof/>
          <w:lang w:val="fr-FR"/>
        </w:rPr>
        <w:t>7.</w:t>
      </w:r>
      <w:r>
        <w:rPr>
          <w:noProof/>
          <w:lang w:val="fr-FR"/>
        </w:rPr>
        <w:tab/>
        <w:t xml:space="preserve">Le droit spécifique visé au paragraphe 6 ne peut dépasser le moins élevé des taux suivants: le taux NPF appliqué en vigueur ou le taux NPF appliqué la veille de la date d’entrée en vigueur du présent accord. </w:t>
      </w:r>
    </w:p>
    <w:p>
      <w:pPr>
        <w:jc w:val="right"/>
        <w:rPr>
          <w:i/>
          <w:noProof/>
          <w:lang w:val="fr-FR"/>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ab/>
    </w:r>
    <w:r>
      <w:t>XX/XX</w:t>
    </w: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2"/>
    <w:docVar w:name="LW_ANNEX_NBR_LAST" w:val="2"/>
    <w:docVar w:name="LW_ANNEX_UNIQUE" w:val="0"/>
    <w:docVar w:name="LW_CORRIGENDUM" w:val="&lt;UNUSED&gt;"/>
    <w:docVar w:name="LW_COVERPAGE_EXISTS" w:val="True"/>
    <w:docVar w:name="LW_COVERPAGE_GUID" w:val="10ED03DC-C291-44B9-8615-35854825EF7D"/>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de Singapour"/>
    <w:docVar w:name="LW_PART_NBR" w:val="1"/>
    <w:docVar w:name="LW_PART_NBR_TOTAL" w:val="3"/>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Text1">
    <w:name w:val="Text 1"/>
    <w:basedOn w:val="Normal"/>
    <w:pPr>
      <w:widowControl/>
      <w:spacing w:before="120" w:after="120" w:line="240" w:lineRule="auto"/>
      <w:ind w:left="850"/>
      <w:jc w:val="both"/>
    </w:pPr>
    <w:rPr>
      <w:rFonts w:eastAsia="Calibri"/>
      <w:szCs w:val="22"/>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ManualNumPar1">
    <w:name w:val="Manual NumPar 1"/>
    <w:basedOn w:val="Normal"/>
    <w:next w:val="Normal"/>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Text1">
    <w:name w:val="Text 1"/>
    <w:basedOn w:val="Normal"/>
    <w:pPr>
      <w:widowControl/>
      <w:spacing w:before="120" w:after="120" w:line="240" w:lineRule="auto"/>
      <w:ind w:left="850"/>
      <w:jc w:val="both"/>
    </w:pPr>
    <w:rPr>
      <w:rFonts w:eastAsia="Calibri"/>
      <w:szCs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9650F-4D4D-413E-9759-018BDA51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1276</Words>
  <Characters>6410</Characters>
  <Application>Microsoft Office Word</Application>
  <DocSecurity>0</DocSecurity>
  <Lines>200</Lines>
  <Paragraphs>109</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19</cp:revision>
  <cp:lastPrinted>2004-04-02T13:43:00Z</cp:lastPrinted>
  <dcterms:created xsi:type="dcterms:W3CDTF">2018-01-09T13:44:00Z</dcterms:created>
  <dcterms:modified xsi:type="dcterms:W3CDTF">2018-04-17T14:29:00Z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3</vt:lpwstr>
  </property>
  <property fmtid="{D5CDD505-2E9C-101B-9397-08002B2CF9AE}" pid="8" name="DocStatus">
    <vt:lpwstr>Green</vt:lpwstr>
  </property>
</Properties>
</file>