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38A901D-D0C7-4780-8F0F-62339FC08038" style="width:451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 29 ноември 2012 г. Съветът оправомощи Комисията да започне преговори за споразумение за свободна търговия с Япония. </w:t>
      </w:r>
    </w:p>
    <w:p>
      <w:pPr>
        <w:shd w:val="clear" w:color="auto" w:fill="FFFFFF"/>
        <w:rPr>
          <w:noProof/>
          <w:sz w:val="22"/>
        </w:rPr>
      </w:pPr>
      <w:r>
        <w:rPr>
          <w:noProof/>
        </w:rPr>
        <w:t>Въз основа на указанията за водене на преговори, приети от Съвета през 2012 г.</w:t>
      </w:r>
      <w:r>
        <w:rPr>
          <w:rStyle w:val="FootnoteReference"/>
          <w:noProof/>
        </w:rPr>
        <w:footnoteReference w:id="1"/>
      </w:r>
      <w:r>
        <w:rPr>
          <w:noProof/>
        </w:rPr>
        <w:t>, Комисията договори с Япония амбициозно всеобхватно споразумение за икономическо партньорство (СИП) с оглед на създаването на нови възможности и правна сигурност за развитието на търговията и инвестициите между двамата партньори. След приключване на преговорите договорените текстове бяха публикувани на следния адрес в интернет:</w:t>
      </w:r>
    </w:p>
    <w:p>
      <w:pPr>
        <w:shd w:val="clear" w:color="auto" w:fill="FFFFFF"/>
        <w:rPr>
          <w:noProof/>
        </w:rPr>
      </w:pPr>
      <w:hyperlink r:id="rId16">
        <w:r>
          <w:rPr>
            <w:rStyle w:val="Hyperlink"/>
            <w:noProof/>
            <w:color w:val="auto"/>
          </w:rPr>
          <w:t>http://trade.ec.europa.eu/doclib/press/index.cfm?id=1684</w:t>
        </w:r>
      </w:hyperlink>
    </w:p>
    <w:p>
      <w:pPr>
        <w:shd w:val="clear" w:color="auto" w:fill="FFFFFF"/>
        <w:rPr>
          <w:noProof/>
          <w:color w:val="1F497D"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Настоящото предложение се прави успоредно със следните предложения: </w:t>
      </w:r>
    </w:p>
    <w:p>
      <w:pPr>
        <w:pStyle w:val="Point0"/>
        <w:rPr>
          <w:noProof/>
        </w:rPr>
      </w:pPr>
      <w:r>
        <w:rPr>
          <w:noProof/>
        </w:rPr>
        <w:t>—</w:t>
      </w:r>
      <w:r>
        <w:rPr>
          <w:noProof/>
        </w:rPr>
        <w:tab/>
        <w:t>предложение за Решение на Съвета за подписване от името на Европейския съюз на Споразумението за икономическо партньорство между Европейския съюз и Япония,</w:t>
      </w:r>
    </w:p>
    <w:p>
      <w:pPr>
        <w:pStyle w:val="Point0"/>
        <w:rPr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предложение за Решение на Съвета за сключване на Споразумението за икономическо партньорство между Европейския съюз и Япония, </w:t>
      </w:r>
    </w:p>
    <w:p>
      <w:pPr>
        <w:pStyle w:val="Point0"/>
        <w:rPr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предложение за регламент за прилагане на защитни клаузи, който да обхване защитните мерки, предвидени в СИП между ЕС и Япония.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 настоящото предложение на Комисията се цели разпоредбите на СИП между ЕС и Япония да се приложат по отношение на износа от Япония за Съюза на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 — спиртна напитка, произведена с вертикален дестилационен съд и бутилирана в Япония, която ще се изнася за Съюза в традиционни бутилки с вместимост четири го </w:t>
      </w:r>
      <w:r>
        <w:rPr>
          <w:rFonts w:ascii="MS Gothic" w:hAnsi="MS Gothic" w:hint="eastAsia"/>
          <w:noProof/>
        </w:rPr>
        <w:t>（合）</w:t>
      </w:r>
      <w:r>
        <w:rPr>
          <w:noProof/>
        </w:rPr>
        <w:t xml:space="preserve"> или едно шо </w:t>
      </w:r>
      <w:r>
        <w:rPr>
          <w:rFonts w:ascii="MS Gothic" w:hAnsi="MS Gothic" w:hint="eastAsia"/>
          <w:noProof/>
        </w:rPr>
        <w:t>（升</w:t>
      </w:r>
      <w:r>
        <w:rPr>
          <w:rFonts w:ascii="MS Gothic" w:hAnsi="MS Gothic"/>
          <w:noProof/>
        </w:rPr>
        <w:t>)</w:t>
      </w:r>
      <w:r>
        <w:rPr>
          <w:rStyle w:val="FootnoteReference"/>
          <w:rFonts w:ascii="MS Gothic" w:hAnsi="MS Gothic"/>
          <w:noProof/>
        </w:rPr>
        <w:footnoteReference w:id="2"/>
      </w:r>
      <w:r>
        <w:rPr>
          <w:rFonts w:ascii="MS Gothic" w:hAnsi="MS Gothic"/>
          <w:noProof/>
        </w:rPr>
        <w:t>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СИП между ЕС и Япония е изцяло съгласувано с политиките на Съюза, поради което няма да се налага той да изменя своите правила, разпоредби или стандарти в нито една регламентирана област (напр. технически правила, стандарти за продукти, санитарни или фитосанитарни правила, разпоредби в областта на храните и безопасността, стандарти в областта на здравето и безопасността, правила относно ГМО, опазването на околната среда, защитата на потребителите и др.), с изключение на необходимостта да се въведе дерогация за улесняване на японския износ на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 — спиртна напитка, произведена с вертикален дестилационен съд и бутилирана в Япония, която Япония изнася в традиционни бутилки с вместимост четири го </w:t>
      </w:r>
      <w:r>
        <w:rPr>
          <w:rFonts w:ascii="MS Gothic" w:hAnsi="MS Gothic" w:hint="eastAsia"/>
          <w:noProof/>
        </w:rPr>
        <w:t>（合）</w:t>
      </w:r>
      <w:r>
        <w:rPr>
          <w:noProof/>
        </w:rPr>
        <w:t xml:space="preserve"> или едно шо </w:t>
      </w:r>
      <w:r>
        <w:rPr>
          <w:rFonts w:ascii="MS Gothic" w:hAnsi="MS Gothic" w:hint="eastAsia"/>
          <w:noProof/>
        </w:rPr>
        <w:t>（升</w:t>
      </w:r>
      <w:r>
        <w:rPr>
          <w:rFonts w:ascii="MS Gothic" w:hAnsi="MS Gothic"/>
          <w:noProof/>
        </w:rPr>
        <w:t>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 xml:space="preserve">Настоящото предложение на Комисията има за цел да се въведе дерогация от правилата на Съюза по отношение на вместимостта на бутилките за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 — спиртна напитка, която се произвежда с вертикален дестилационен съд и се бутилира в Япония и която традиционно се продава в бутилки с вместимост четири го </w:t>
      </w:r>
      <w:r>
        <w:rPr>
          <w:rFonts w:ascii="MS Gothic" w:hAnsi="MS Gothic" w:hint="eastAsia"/>
          <w:noProof/>
        </w:rPr>
        <w:t>（合）</w:t>
      </w:r>
      <w:r>
        <w:rPr>
          <w:noProof/>
        </w:rPr>
        <w:t xml:space="preserve"> или едно шо </w:t>
      </w:r>
      <w:r>
        <w:rPr>
          <w:rFonts w:ascii="MS Gothic" w:hAnsi="MS Gothic" w:hint="eastAsia"/>
          <w:noProof/>
        </w:rPr>
        <w:t>（升</w:t>
      </w:r>
      <w:r>
        <w:rPr>
          <w:rFonts w:ascii="MS Gothic" w:hAnsi="MS Gothic"/>
          <w:noProof/>
        </w:rPr>
        <w:t>)</w:t>
      </w:r>
      <w:r>
        <w:rPr>
          <w:noProof/>
        </w:rPr>
        <w:t>, които отговарят на номинални количества съответно от 720 ml (едно го се равнява на 180 ml) и</w:t>
      </w:r>
      <w:r>
        <w:rPr>
          <w:rFonts w:ascii="MS Gothic" w:hAnsi="MS Gothic"/>
          <w:noProof/>
        </w:rPr>
        <w:t xml:space="preserve"> </w:t>
      </w:r>
      <w:r>
        <w:rPr>
          <w:noProof/>
        </w:rPr>
        <w:t xml:space="preserve">1800 ml, които понастоящем не са разрешени в Съюза съгласно Директива 2007/45/EО за определяне на правила за номиналните количества за предварително опаковани продукти.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СИП между ЕС и Япония е изцяло съгласувано с политиките на Съюза, поради което няма да се налага той да изменя своите правила, разпоредби или стандарти в нито една регламентирана област (напр. технически правила, стандарти за продукти, санитарни или фитосанитарни правила, разпоредби в областта на храните и безопасността, стандарти в областта на здравето и безопасността, правила относно ГМО, опазването на околната среда, защитата на потребителите и др.).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Член 114, параграф 1 от Договора за функционирането на Европейския съюз (ДФЕС), тъй като настоящото предложение представлява изменение на Регламент (ЕО) № 110/2008 на Европейския парламент и на Съвета от 15 януари 2008 г. относно определението, описанието, представянето, етикетирането и защитата на географските указания на спиртните напитки и за отмяна на Регламент (ЕИО) № 1576/89 на Съвета (OВ L 39, 13.2.2008 г., стр. 16). 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(извън областите на изключителна компетентност) </w:t>
      </w:r>
    </w:p>
    <w:p>
      <w:pPr>
        <w:rPr>
          <w:noProof/>
        </w:rPr>
      </w:pPr>
      <w:r>
        <w:rPr>
          <w:noProof/>
        </w:rPr>
        <w:t xml:space="preserve">Съгласно член 3 от ДФЕС общата търговска политика, в рамките на която предстои да се подпише СИП между ЕС и Япония, е област, в която Съюзът разполага с изключителна компетентност.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 настоящото предложение се въвежда разпоредба от СИП между ЕС и Япония, която се състои в дерогация за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 от действащите правила на Съюза за номиналните количества за спиртни напитки, които може да се пускат на пазара (Директива 2007/45/ЕО). Такава дерогация може да се въведе само с нормативен акт на Съюза. 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СИП между ЕС и Япония е в съответствие с виждането, залегнало в стратегията „Европа 2020“, и допринася за осъществяването на целите на ЕС в областта на търговията и развитието. С настоящото предложение се цели разпоредба от СИП между ЕС и Япония да се въведе в правния ред на Съюза. 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Дерогацията, с която се предлага да се въведе разпоредба от СИП между ЕС и Япония, може да се въведе само посредством регламент, тъй като тя трябва да се приложи едновременно във всички държави членки при влизането в сила на СИП между ЕС и Япония. 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рамките на процеса, водещ до сключването на СИП между ЕС и Япония, бяха извършени консултации със заинтересованите страни, както и оценки. Подробни сведения за тези консултации и оценки се съдържат в предложението на Комисията за Решение на Съвета за подписване от името на Европейския съюз на Споразумението за икономическо партньорство между Европейския съюз и Япония.</w:t>
      </w:r>
    </w:p>
    <w:p>
      <w:pPr>
        <w:rPr>
          <w:noProof/>
        </w:rPr>
      </w:pPr>
      <w:r>
        <w:rPr>
          <w:noProof/>
        </w:rPr>
        <w:t xml:space="preserve">Оценка на въздействието на СИП между ЕС и Япония върху устойчивото развитие на търговията беше извършена от външния изпълнител </w:t>
      </w:r>
      <w:r>
        <w:rPr>
          <w:i/>
          <w:noProof/>
        </w:rPr>
        <w:t>London School of Economics Enterprises</w:t>
      </w:r>
      <w:r>
        <w:rPr>
          <w:noProof/>
        </w:rPr>
        <w:t>. Подробни сведения за нея се съдържат в предложението на Комисията за Решение на Съвета за подписване от името на Европейския съюз на Споразумението за икономическо партньорство между Европейския съюз и Япония.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СИП между ЕС и Япония не подлежи на процедури по Програмата за пригодност и резултатност на регулаторната рамка (REFIT). Настоящото предложение също не подлежи на такива процедури.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rPr>
          <w:noProof/>
        </w:rPr>
      </w:pPr>
      <w:r>
        <w:rPr>
          <w:noProof/>
        </w:rPr>
        <w:t>Предложението не влияе върху защитата на основните права в Съюза.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Настоящото предложение няма да има отражение върху бюджета на Съюза. </w:t>
      </w:r>
    </w:p>
    <w:p>
      <w:pPr>
        <w:rPr>
          <w:noProof/>
        </w:rPr>
      </w:pPr>
      <w:r>
        <w:rPr>
          <w:noProof/>
        </w:rPr>
        <w:t xml:space="preserve">СИП между ЕС и Япония ще има финансово въздействие върху бюджета на ЕС в частта на </w:t>
      </w:r>
      <w:r>
        <w:rPr>
          <w:b/>
          <w:noProof/>
        </w:rPr>
        <w:t>приходите</w:t>
      </w:r>
      <w:r>
        <w:rPr>
          <w:noProof/>
        </w:rPr>
        <w:t xml:space="preserve">. Очаква се към момента на прилагане на споразумението в пълния му обхват пропуснатите приходи от мита да достигнат 1,6 милиарда евро.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За настоящото предложение не са предвидени конкретни планове за изпълнение или разпоредби за докладване.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отделните разпоредби на предложението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С предложението се въвежда специфична дерогация от номиналните количества за спиртни напитки, които номинални количества са определени в член 3 от Директива 2007/45/ЕО и в точка 1 от приложението към същата директива, за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 — спиртна напитка, произведена с вертикален дестилационен съд и бутилирана в Япония, така че тази напитка да може да се пуска на пазара в Съюза в традиционни бутилки с вместимост четири го </w:t>
      </w:r>
      <w:r>
        <w:rPr>
          <w:rFonts w:ascii="MS Gothic" w:hAnsi="MS Gothic" w:hint="eastAsia"/>
          <w:noProof/>
        </w:rPr>
        <w:t>（合）</w:t>
      </w:r>
      <w:r>
        <w:rPr>
          <w:noProof/>
        </w:rPr>
        <w:t xml:space="preserve"> и едно шо </w:t>
      </w:r>
      <w:r>
        <w:rPr>
          <w:rFonts w:ascii="MS Gothic" w:hAnsi="MS Gothic" w:hint="eastAsia"/>
          <w:noProof/>
        </w:rPr>
        <w:t>（升</w:t>
      </w:r>
      <w:r>
        <w:rPr>
          <w:rFonts w:ascii="MS Gothic" w:hAnsi="MS Gothic" w:hint="eastAsia"/>
          <w:noProof/>
        </w:rPr>
        <w:t>)</w:t>
      </w:r>
      <w:r>
        <w:rPr>
          <w:noProof/>
        </w:rPr>
        <w:t xml:space="preserve">, които отговарят </w:t>
      </w:r>
      <w:r>
        <w:rPr>
          <w:noProof/>
        </w:rPr>
        <w:lastRenderedPageBreak/>
        <w:t xml:space="preserve">на номинални количества съответно от 720 ml и 1800 ml, при условие че изпълнява останалите изисквания на Съюза за такива спиртни напитки. </w:t>
      </w:r>
    </w:p>
    <w:p>
      <w:pPr>
        <w:rPr>
          <w:noProof/>
        </w:rPr>
        <w:sectPr>
          <w:footerReference w:type="default" r:id="rId17"/>
          <w:footerReference w:type="first" r:id="rId18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2018/0097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изменение на Регламент (ЕО) № 110/2008 по отношение на номиналните количества за пускане на пазара в Съюза на еднократно дестилирано </w:t>
      </w:r>
      <w:r>
        <w:rPr>
          <w:i/>
          <w:noProof/>
        </w:rPr>
        <w:t>шочу</w:t>
      </w:r>
      <w:r>
        <w:rPr>
          <w:noProof/>
        </w:rPr>
        <w:t>, произведено с вертикален дестилационен съд и бутилирано в Япония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взеха предвид Договора за функционирането на Европейския съюз, и по-специално член 114, параграф 1 от него, 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С решение, прието на 29 ноември 2012 г., Съветът оправомощи Комисията да започне преговори за споразумение за свободна търговия с Япония.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Преговорите за споразумение за икономическо партньорство между Европейския съюз и Япония (наричано по-долу за краткост „споразумението“) приключиха успешно.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приложение 2-Г</w:t>
      </w:r>
      <w:r>
        <w:rPr>
          <w:i/>
          <w:noProof/>
        </w:rPr>
        <w:t xml:space="preserve"> </w:t>
      </w:r>
      <w:r>
        <w:rPr>
          <w:noProof/>
        </w:rPr>
        <w:t xml:space="preserve"> към споразумението се предвижда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, както е определено в член 3, алинея 10 от японския Закон за данъка върху алкохола (Закон № 6 от 1953 г.), произведено с вертикален дестилационен съд и бутилирано в Япония, да може да се пуска на пазара в Европейския съюз в традиционни бутилки с вместимост четири го </w:t>
      </w:r>
      <w:r>
        <w:rPr>
          <w:rFonts w:ascii="MS Gothic" w:eastAsia="MS Gothic" w:hAnsi="MS Gothic" w:cs="MS Gothic" w:hint="eastAsia"/>
          <w:noProof/>
          <w:sz w:val="20"/>
        </w:rPr>
        <w:t>（合</w:t>
      </w:r>
      <w:r>
        <w:rPr>
          <w:rFonts w:ascii="MS Gothic" w:hAnsi="MS Gothic"/>
          <w:noProof/>
          <w:sz w:val="20"/>
        </w:rPr>
        <w:t>)</w:t>
      </w:r>
      <w:r>
        <w:rPr>
          <w:noProof/>
        </w:rPr>
        <w:t xml:space="preserve"> и</w:t>
      </w:r>
      <w:r>
        <w:rPr>
          <w:rFonts w:ascii="MS Gothic" w:hAnsi="MS Gothic"/>
          <w:noProof/>
          <w:sz w:val="20"/>
        </w:rPr>
        <w:t xml:space="preserve"> </w:t>
      </w:r>
      <w:r>
        <w:rPr>
          <w:noProof/>
        </w:rPr>
        <w:t>едно шо</w:t>
      </w:r>
      <w:r>
        <w:rPr>
          <w:noProof/>
          <w:sz w:val="20"/>
        </w:rPr>
        <w:t xml:space="preserve"> (</w:t>
      </w:r>
      <w:r>
        <w:rPr>
          <w:rFonts w:ascii="MS Gothic" w:eastAsia="MS Gothic" w:hAnsi="MS Gothic" w:cs="MS Gothic" w:hint="eastAsia"/>
          <w:noProof/>
          <w:sz w:val="20"/>
        </w:rPr>
        <w:t>升）</w:t>
      </w:r>
      <w:r>
        <w:rPr>
          <w:rFonts w:ascii="MS Gothic" w:hAnsi="MS Gothic"/>
          <w:noProof/>
          <w:sz w:val="20"/>
        </w:rPr>
        <w:t xml:space="preserve">, </w:t>
      </w:r>
      <w:r>
        <w:rPr>
          <w:noProof/>
        </w:rPr>
        <w:t>които отговарят на номинални количества съответно от 720 ml и 1800 ml, при условие че са изпълнени другите приложими правни изисквания на Европейския съюз.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член 3 от Директива 2007/45/ЕО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се предвижда, че спиртните напитки, поставени в готови опаковки, може да се пускат на пазара в Съюза само ако са предварително опаковани в номиналните количества, посочени в точка 1 от приложението към същата директива. За спиртните напитки в точка 1 от приложението към Директива 2007/45/ЕО се посочват девет номинални количества в интервала от 100 ml до 2000 ml. Тези номинални количества не включват 720 ml и 1800 ml — номиналните количества, в които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, произведено с вертикален дестилационен съд, се бутилира и предлага на пазара в Япония. </w:t>
      </w:r>
    </w:p>
    <w:p>
      <w:pPr>
        <w:pStyle w:val="ManualConsidrant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 xml:space="preserve">Поради това е необходима дерогация от номиналните количества, определени за спиртните напитки в приложението към Директива 2007/45/ЕО, за да се гарантира, че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, произведено с вертикален дестилационен съд и бутилирано в Япония, може да се пуска на пазара в Съюза, както е предвидено в споразумението, в традиционни бутилки с номинални количества от 720 ml и 1800 ml, които отговарят на японските бутилки с вместимост съответно четири го </w:t>
      </w:r>
      <w:r>
        <w:rPr>
          <w:rFonts w:ascii="MS Gothic" w:eastAsia="MS Gothic" w:hAnsi="MS Gothic" w:cs="MS Gothic" w:hint="eastAsia"/>
          <w:noProof/>
          <w:sz w:val="20"/>
        </w:rPr>
        <w:t>（合</w:t>
      </w:r>
      <w:r>
        <w:rPr>
          <w:rFonts w:ascii="MS Gothic" w:hAnsi="MS Gothic"/>
          <w:noProof/>
          <w:sz w:val="20"/>
        </w:rPr>
        <w:t xml:space="preserve">) </w:t>
      </w:r>
      <w:r>
        <w:rPr>
          <w:noProof/>
        </w:rPr>
        <w:t>и едно шо</w:t>
      </w:r>
      <w:r>
        <w:rPr>
          <w:noProof/>
          <w:sz w:val="20"/>
        </w:rPr>
        <w:t xml:space="preserve"> (</w:t>
      </w:r>
      <w:r>
        <w:rPr>
          <w:rFonts w:ascii="MS Gothic" w:eastAsia="MS Gothic" w:hAnsi="MS Gothic" w:cs="MS Gothic" w:hint="eastAsia"/>
          <w:noProof/>
          <w:sz w:val="20"/>
        </w:rPr>
        <w:t>升）</w:t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Тази дерогация следва да се въведе чрез изменение на Регламент (ЕО) № 110/2008 на Европейския парламент и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за да се гарантира, че при влизането в сила на споразумението еднократно дестилирано </w:t>
      </w:r>
      <w:r>
        <w:rPr>
          <w:i/>
          <w:noProof/>
        </w:rPr>
        <w:t>шочу</w:t>
      </w:r>
      <w:r>
        <w:rPr>
          <w:noProof/>
        </w:rPr>
        <w:t xml:space="preserve">, произведено с вертикален дестилационен съд и бутилирано в Япония, може да се пусне едновременно на пазара във всички държави членки. 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Поради това Регламент (ЕО) № 110/2008 следва да бъде изменен.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За да се осигури изпълнението на споразумението по отношение на пускането на пазара в Съюза на еднократно дестилирано </w:t>
      </w:r>
      <w:r>
        <w:rPr>
          <w:i/>
          <w:noProof/>
        </w:rPr>
        <w:t>шочу</w:t>
      </w:r>
      <w:r>
        <w:rPr>
          <w:noProof/>
        </w:rPr>
        <w:t>, произведено с вертикален дестилационен съд и бутилирано в Япония, настоящият регламент следва да се прилага от датата на влизане в сила на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Регламент (ЕО) № 110/2008 се изменя, както следва: </w:t>
      </w:r>
    </w:p>
    <w:p>
      <w:pPr>
        <w:rPr>
          <w:noProof/>
        </w:rPr>
      </w:pPr>
      <w:r>
        <w:rPr>
          <w:noProof/>
        </w:rPr>
        <w:t xml:space="preserve">В глава ІV се вмъква следният член 24а: </w:t>
      </w:r>
    </w:p>
    <w:p>
      <w:pPr>
        <w:pStyle w:val="Titrearticle"/>
        <w:rPr>
          <w:noProof/>
        </w:rPr>
      </w:pPr>
      <w:r>
        <w:rPr>
          <w:noProof/>
        </w:rPr>
        <w:t>„Член 24a</w:t>
      </w:r>
    </w:p>
    <w:p>
      <w:pPr>
        <w:ind w:left="1440" w:firstLine="720"/>
        <w:rPr>
          <w:b/>
          <w:noProof/>
        </w:rPr>
      </w:pPr>
      <w:r>
        <w:rPr>
          <w:b/>
          <w:noProof/>
        </w:rPr>
        <w:t xml:space="preserve">Дерогация от Директива 2007/45/ЕО </w:t>
      </w:r>
    </w:p>
    <w:p>
      <w:pPr>
        <w:rPr>
          <w:noProof/>
        </w:rPr>
      </w:pPr>
      <w:r>
        <w:rPr>
          <w:noProof/>
        </w:rPr>
        <w:t xml:space="preserve">Чрез дерогация от член 3 от Директива 2007/45/ЕО на Европейския парламент и на Съвета* и от шестия ред от точка 1 от приложението към същата директива, еднократно дестилирано </w:t>
      </w:r>
      <w:r>
        <w:rPr>
          <w:i/>
          <w:noProof/>
        </w:rPr>
        <w:t>шочу**</w:t>
      </w:r>
      <w:r>
        <w:rPr>
          <w:noProof/>
        </w:rPr>
        <w:t>, произведено с вертикален дестилационен съд и бутилирано в Япония, може да се пуска на пазара в Съюза в номинални количества от 720 ml и 1800 ml.</w:t>
      </w:r>
    </w:p>
    <w:p>
      <w:pPr>
        <w:rPr>
          <w:noProof/>
        </w:rPr>
      </w:pPr>
      <w:r>
        <w:rPr>
          <w:noProof/>
        </w:rPr>
        <w:t>----------------------------</w:t>
      </w:r>
    </w:p>
    <w:p>
      <w:pPr>
        <w:rPr>
          <w:noProof/>
        </w:rPr>
      </w:pPr>
      <w:r>
        <w:rPr>
          <w:noProof/>
          <w:vertAlign w:val="superscript"/>
        </w:rPr>
        <w:t>*</w:t>
      </w:r>
      <w:r>
        <w:rPr>
          <w:noProof/>
        </w:rPr>
        <w:tab/>
        <w:t>Директива 2007/45/ЕО на Европейския парламент и на Съвета от 5 септември 2007 г. за определяне на правила за номиналните количества за предварително опаковани продукти, за отмяна на директиви 75/106/ЕИО и 80/232/ЕИО на Съвета и за изменение на Директива 76/211/ЕИО на Съвета (ОВ L 247, 21.9.2007 г., стр. 17).</w:t>
      </w:r>
    </w:p>
    <w:p>
      <w:pPr>
        <w:rPr>
          <w:noProof/>
        </w:rPr>
      </w:pPr>
      <w:r>
        <w:rPr>
          <w:noProof/>
        </w:rPr>
        <w:t>**</w:t>
      </w:r>
      <w:r>
        <w:rPr>
          <w:noProof/>
        </w:rPr>
        <w:tab/>
        <w:t>Както е посочено в приложение 2-Г към Споразумението за икономическо партньорство между Европейския съюз и Япония.“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[…]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 xml:space="preserve">Той се прилага от датата на влизане в сила на Споразумението за икономическо партньорство между Европейския съюз и Япония. 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Указанията за водене на преговори за споразумение за свободна търговия с Япония са публикувани на следния адрес в интернет: </w:t>
      </w:r>
      <w:hyperlink r:id="rId1">
        <w:r>
          <w:rPr>
            <w:rStyle w:val="Hyperlink"/>
          </w:rPr>
          <w:t>http://trade.ec.europa.eu/doclib/docs/2017/september/tradoc_156051.en12.pdf</w:t>
        </w:r>
      </w:hyperlink>
      <w:r>
        <w:t xml:space="preserve">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1 шо (</w:t>
      </w:r>
      <w:r>
        <w:rPr>
          <w:rFonts w:ascii="MS Gothic" w:hAnsi="MS Gothic" w:hint="eastAsia"/>
        </w:rPr>
        <w:t>升）</w:t>
      </w:r>
      <w:r>
        <w:t xml:space="preserve"> се равнява на 1800 ml, а 1 го </w:t>
      </w:r>
      <w:r>
        <w:rPr>
          <w:rFonts w:ascii="MS Gothic" w:hAnsi="MS Gothic" w:hint="eastAsia"/>
        </w:rPr>
        <w:t>（合）</w:t>
      </w:r>
      <w:r>
        <w:t xml:space="preserve"> — на 180 ml.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OВ C ,  г., стр. 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Директива 2007/45/ЕО на Европейския парламент и на Съвета от 5 септември 2007 г. за определяне на правила за номиналните количества за предварително опаковани продукти, за отмяна на директиви 75/106/ЕИО и 80/232/ЕИО на Съвета и за изменение на Директива 76/211/ЕИО на Съвета (ОВ L 247, 21.9.2007 г., стр. 17).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Регламент (ЕО) № 110/2008 на Европейския парламент и на Съвета от 15 януари 2008 г.</w:t>
      </w:r>
    </w:p>
    <w:p>
      <w:pPr>
        <w:pStyle w:val="FootnoteText"/>
        <w:ind w:firstLine="0"/>
      </w:pPr>
      <w:r>
        <w:t>относно определението, описанието, представянето, етикетирането и защитата на географските указания</w:t>
      </w:r>
    </w:p>
    <w:p>
      <w:pPr>
        <w:pStyle w:val="FootnoteText"/>
        <w:ind w:firstLine="0"/>
      </w:pPr>
      <w:r>
        <w:t>на спиртните напитки и за отмяна на Регламент (ЕИО) № 1576/89 на Съвета (OВ L 39, 13.2.2008 г., стр. 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AA4E1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C0E1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B5CFD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B0E2C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E869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340F1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ECE1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D141A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IGBEDER Noemie (AGRI)">
    <w15:presenceInfo w15:providerId="None" w15:userId="BEIGBEDER Noemie (AGR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4-04 09:30:2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14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D38A901D-D0C7-4780-8F0F-62339FC08038"/>
    <w:docVar w:name="LW_COVERPAGE_TYPE" w:val="1"/>
    <w:docVar w:name="LW_CROSSREFERENCE" w:val="&lt;UNUSED&gt;"/>
    <w:docVar w:name="LW_DocType" w:val="COM"/>
    <w:docVar w:name="LW_EMISSION" w:val="18.4.2018"/>
    <w:docVar w:name="LW_EMISSION_ISODATE" w:val="2018-04-18"/>
    <w:docVar w:name="LW_EMISSION_LOCATION" w:val="BRX"/>
    <w:docVar w:name="LW_EMISSION_PREFIX" w:val="Брюксел, "/>
    <w:docVar w:name="LW_EMISSION_SUFFIX" w:val="&lt;EMPTY&gt;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97"/>
    <w:docVar w:name="LW_REF.II.NEW.CP_YEAR" w:val="2018"/>
    <w:docVar w:name="LW_REF.INST.NEW" w:val="COM"/>
    <w:docVar w:name="LW_REF.INST.NEW_ADOPTED" w:val="final"/>
    <w:docVar w:name="LW_REF.INST.NEW_TEXT" w:val="(2018) 19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 (\u1045?\u1054?) \u8470? 110/2008 \u1087?\u1086? \u1086?\u1090?\u1085?\u1086?\u1096?\u1077?\u1085?\u1080?\u1077? \u1085?\u1072? \u1085?\u1086?\u1084?\u1080?\u1085?\u1072?\u1083?\u1085?\u1080?\u1090?\u1077? \u1082?\u1086?\u1083?\u1080?\u1095?\u1077?\u1089?\u1090?\u1074?\u1072? \u1079?\u1072? \u1087?\u1091?\u1089?\u1082?\u1072?\u1085?\u1077? \u1085?\u1072? \u1087?\u1072?\u1079?\u1072?\u1088?\u1072? \u1074? \u1057?\u1098?\u1102?\u1079?\u1072? \u1085?\u1072? \u1077?\u1076?\u1085?\u1086?\u1082?\u1088?\u1072?\u1090?\u1085?\u1086? \u1076?\u1077?\u1089?\u1090?\u1080?\u1083?\u1080?\u1088?\u1072?\u1085?\u1086? &lt;FMT:Italic&gt;\u1096?\u1086?\u1095?\u1091?&lt;/FMT&gt;, \u1087?\u1088?\u1086?\u1080?\u1079?\u1074?\u1077?\u1076?\u1077?\u1085?\u1086? \u1089? \u1074?\u1077?\u1088?\u1090?\u1080?\u1082?\u1072?\u1083?\u1077?\u1085? \u1076?\u1077?\u1089?\u1090?\u1080?\u1083?\u1072?\u1094?\u1080?\u1086?\u1085?\u1077?\u1085? \u1089?\u1098?\u1076? \u1080? \u1073?\u1091?\u1090?\u1080?\u1083?\u1080?\u1088?\u1072?\u1085?\u1086? \u1074? \u1071?\u1087?\u1086?\u1085?\u1080?\u1103?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trade.ec.europa.eu/doclib/press/index.cfm?id=168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rade.ec.europa.eu/doclib/docs/2017/september/tradoc_156051.en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9BB2-21D3-4FD0-9DA8-2614823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8</Pages>
  <Words>1901</Words>
  <Characters>10570</Characters>
  <Application>Microsoft Office Word</Application>
  <DocSecurity>0</DocSecurity>
  <Lines>207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cp:lastPrinted>2018-02-12T14:56:00Z</cp:lastPrinted>
  <dcterms:created xsi:type="dcterms:W3CDTF">2018-04-04T07:30:00Z</dcterms:created>
  <dcterms:modified xsi:type="dcterms:W3CDTF">2018-04-17T07:32:00Z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Yellow (DQC version 03)</vt:lpwstr>
  </property>
</Properties>
</file>