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A6F09A-29E5-49EA-905E-B588D31B027D"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Accords mis en œuvre par le règlement et dispositions spécifiques à cet accord</w:t>
      </w:r>
    </w:p>
    <w:p>
      <w:pPr>
        <w:rPr>
          <w:b/>
          <w:noProof/>
          <w:sz w:val="20"/>
          <w:szCs w:val="20"/>
        </w:rPr>
      </w:pPr>
      <w:r>
        <w:rPr>
          <w:b/>
          <w:noProof/>
          <w:sz w:val="20"/>
        </w:rPr>
        <w:t>Accord de libre-échange entre l’Union européenne et la République de Singapour:</w:t>
      </w:r>
    </w:p>
    <w:p>
      <w:pPr>
        <w:rPr>
          <w:b/>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d’application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1380"/>
        </w:trPr>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Clause de sauvegarde bilatérale</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Disposition(s) spécifique(s) énoncée(s) dans l’accord:</w:t>
            </w:r>
          </w:p>
        </w:tc>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3.10 (clause de sauvegarde bilatérale)</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3.9, «période de transition»:</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 xml:space="preserve">«période de transition», une période de dix ans à compter de l’entrée en vigueur du présent accord» </w:t>
            </w:r>
          </w:p>
        </w:tc>
      </w:tr>
      <w:tr>
        <w:tc>
          <w:tcPr>
            <w:tcW w:w="4644" w:type="dxa"/>
          </w:tcPr>
          <w:p>
            <w:pPr>
              <w:pStyle w:val="Default"/>
              <w:jc w:val="both"/>
              <w:rPr>
                <w:rFonts w:ascii="Times New Roman" w:hAnsi="Times New Roman"/>
                <w:noProof/>
                <w:sz w:val="20"/>
                <w:szCs w:val="20"/>
                <w:lang w:val="fr-BE"/>
              </w:rPr>
            </w:pPr>
          </w:p>
        </w:tc>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3.11, paragraphe 5, point c):</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Une partie ne peut appliquer de mesure de sauvegarde bilatérale, telle que définie à l’article 3.10, paragraphe 1, au-delà de l’expiration de la période de transition, sauf si l’autre partie y consent.</w:t>
            </w:r>
          </w:p>
          <w:p>
            <w:pPr>
              <w:pStyle w:val="Default"/>
              <w:jc w:val="both"/>
              <w:rPr>
                <w:rFonts w:ascii="Times New Roman" w:hAnsi="Times New Roman"/>
                <w:noProof/>
                <w:sz w:val="20"/>
                <w:szCs w:val="20"/>
                <w:lang w:val="fr-BE"/>
              </w:rPr>
            </w:pPr>
          </w:p>
        </w:tc>
      </w:tr>
    </w:tbl>
    <w:p>
      <w:pPr>
        <w:rPr>
          <w:noProof/>
          <w:sz w:val="20"/>
          <w:u w:val="single"/>
          <w:lang w:val="fr-BE"/>
        </w:rPr>
      </w:pPr>
      <w:r>
        <w:rPr>
          <w:b/>
          <w:noProof/>
          <w:sz w:val="20"/>
        </w:rPr>
        <w:t>Accord de libre-échange entre l’Union européenne et la République socialiste du Viêt Nam</w:t>
      </w:r>
    </w:p>
    <w:p>
      <w:pPr>
        <w:rPr>
          <w:noProof/>
          <w:sz w:val="20"/>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d’application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920"/>
        </w:trPr>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Clause de sauvegarde bilatérale</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Disposition(s) spécifique(s) énoncée(s) dans l’accord:</w:t>
            </w:r>
          </w:p>
        </w:tc>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 xml:space="preserve">Article 3.11 (clause de sauvegarde bilatérale) </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3.9, «période de transition»:</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«période de transition», une période valable pour une marchandise depuis la date d’entrée en vigueur du présent accord jusqu’à dix ans après la date d’entrée en vigueur du présent accord.</w:t>
            </w:r>
          </w:p>
        </w:tc>
      </w:tr>
      <w:tr>
        <w:tc>
          <w:tcPr>
            <w:tcW w:w="4644" w:type="dxa"/>
          </w:tcPr>
          <w:p>
            <w:pPr>
              <w:pStyle w:val="Default"/>
              <w:jc w:val="both"/>
              <w:rPr>
                <w:rFonts w:ascii="Times New Roman" w:hAnsi="Times New Roman"/>
                <w:noProof/>
                <w:sz w:val="20"/>
                <w:szCs w:val="20"/>
                <w:lang w:val="fr-BE"/>
              </w:rPr>
            </w:pPr>
          </w:p>
        </w:tc>
        <w:tc>
          <w:tcPr>
            <w:tcW w:w="4644" w:type="dxa"/>
          </w:tcPr>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3.11, paragraphe 6, point c):</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Une partie ne peut appliquer de mesure de sauvegarde bilatérale au-delà de l’expiration de la période de transition, sauf si l’autre partie y consent.</w:t>
            </w:r>
          </w:p>
        </w:tc>
      </w:tr>
    </w:tbl>
    <w:p>
      <w:pPr>
        <w:rPr>
          <w:b/>
          <w:noProof/>
          <w:sz w:val="20"/>
          <w:lang w:val="fr-BE"/>
        </w:rPr>
      </w:pPr>
    </w:p>
    <w:p>
      <w:pPr>
        <w:rPr>
          <w:b/>
          <w:noProof/>
          <w:sz w:val="20"/>
          <w:szCs w:val="20"/>
        </w:rPr>
      </w:pPr>
      <w:r>
        <w:rPr>
          <w:b/>
          <w:noProof/>
          <w:sz w:val="20"/>
        </w:rPr>
        <w:t>Accord de libre-échange entre l’Union européenne et le Japon</w:t>
      </w:r>
    </w:p>
    <w:p>
      <w:pPr>
        <w:rPr>
          <w:noProof/>
          <w:sz w:val="20"/>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d’application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1610"/>
        </w:trPr>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Clause de sauvegarde bilatérale</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Disposition(s) spécifique(s) énoncée(s) dans l’accord:</w:t>
            </w:r>
          </w:p>
        </w:tc>
        <w:tc>
          <w:tcPr>
            <w:tcW w:w="4644" w:type="dxa"/>
          </w:tcPr>
          <w:p>
            <w:pPr>
              <w:pStyle w:val="Default"/>
              <w:jc w:val="both"/>
              <w:rPr>
                <w:rFonts w:ascii="Times New Roman" w:hAnsi="Times New Roman"/>
                <w:noProof/>
                <w:sz w:val="20"/>
                <w:szCs w:val="20"/>
                <w:lang w:val="fr-BE"/>
              </w:rPr>
            </w:pPr>
            <w:r>
              <w:rPr>
                <w:rFonts w:ascii="Times New Roman" w:hAnsi="Times New Roman"/>
                <w:noProof/>
                <w:sz w:val="20"/>
                <w:szCs w:val="20"/>
                <w:lang w:val="fr-BE"/>
              </w:rPr>
              <w:t xml:space="preserve">Articles 2.5 (clause de sauvegarde agricole), 5.2 </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 xml:space="preserve">(clause de sauvegarde bilatérale) </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5.1, point d):</w:t>
            </w:r>
          </w:p>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«période de transition», en rapport avec une marchandise originaire particulière, la période qui commence à la date d’entrée en vigueur du présent accord et se termine dix ans après la date d’achèvement de la réduction ou du démantèlement tarifaire pour cette marchandise, conformément à l’annexe 2-A.</w:t>
            </w:r>
          </w:p>
          <w:p>
            <w:pPr>
              <w:pStyle w:val="Default"/>
              <w:jc w:val="both"/>
              <w:rPr>
                <w:rFonts w:ascii="Times New Roman" w:hAnsi="Times New Roman"/>
                <w:noProof/>
                <w:sz w:val="20"/>
                <w:szCs w:val="20"/>
                <w:lang w:val="fr-BE"/>
              </w:rPr>
            </w:pPr>
          </w:p>
        </w:tc>
      </w:tr>
      <w:tr>
        <w:tc>
          <w:tcPr>
            <w:tcW w:w="4644" w:type="dxa"/>
          </w:tcPr>
          <w:p>
            <w:pPr>
              <w:pStyle w:val="Default"/>
              <w:jc w:val="both"/>
              <w:rPr>
                <w:rFonts w:ascii="Times New Roman" w:hAnsi="Times New Roman"/>
                <w:noProof/>
                <w:sz w:val="20"/>
                <w:szCs w:val="20"/>
                <w:lang w:val="fr-BE"/>
              </w:rPr>
            </w:pPr>
          </w:p>
        </w:tc>
        <w:tc>
          <w:tcPr>
            <w:tcW w:w="4644" w:type="dxa"/>
          </w:tcPr>
          <w:p>
            <w:pPr>
              <w:pStyle w:val="Default"/>
              <w:jc w:val="both"/>
              <w:rPr>
                <w:rFonts w:ascii="Times New Roman" w:hAnsi="Times New Roman"/>
                <w:noProof/>
                <w:sz w:val="20"/>
                <w:szCs w:val="20"/>
                <w:lang w:val="fr-BE"/>
              </w:rPr>
            </w:pPr>
          </w:p>
          <w:p>
            <w:pPr>
              <w:pStyle w:val="Default"/>
              <w:jc w:val="both"/>
              <w:rPr>
                <w:rFonts w:ascii="Times New Roman" w:hAnsi="Times New Roman"/>
                <w:noProof/>
                <w:sz w:val="20"/>
                <w:szCs w:val="20"/>
                <w:lang w:val="fr-BE"/>
              </w:rPr>
            </w:pPr>
            <w:r>
              <w:rPr>
                <w:rFonts w:ascii="Times New Roman" w:hAnsi="Times New Roman"/>
                <w:noProof/>
                <w:sz w:val="20"/>
                <w:szCs w:val="20"/>
                <w:lang w:val="fr-BE"/>
              </w:rPr>
              <w:t>Article 18 de l’annexe sur les véhicules à moteur et leurs pièces détachées:</w:t>
            </w:r>
          </w:p>
          <w:p>
            <w:pPr>
              <w:pStyle w:val="Default"/>
              <w:jc w:val="both"/>
              <w:rPr>
                <w:rFonts w:ascii="Times New Roman" w:hAnsi="Times New Roman"/>
                <w:noProof/>
                <w:sz w:val="20"/>
                <w:szCs w:val="20"/>
                <w:lang w:val="fr-BE"/>
              </w:rPr>
            </w:pPr>
          </w:p>
          <w:p>
            <w:pPr>
              <w:pStyle w:val="Default"/>
              <w:rPr>
                <w:rFonts w:ascii="Times New Roman" w:hAnsi="Times New Roman"/>
                <w:noProof/>
                <w:sz w:val="20"/>
                <w:szCs w:val="20"/>
                <w:lang w:val="fr-BE"/>
              </w:rPr>
            </w:pPr>
            <w:r>
              <w:rPr>
                <w:rFonts w:ascii="Times New Roman" w:hAnsi="Times New Roman"/>
                <w:noProof/>
                <w:sz w:val="20"/>
                <w:szCs w:val="20"/>
                <w:lang w:val="fr-BE"/>
              </w:rPr>
              <w:t>«Au cours des 10 années suivant l’entrée en vigueur du présent accord, chaque partie se réserve le droit de suspendre des concessions équivalentes ou d’autres obligations équivalentes au cas où l’autre partie:</w:t>
            </w:r>
          </w:p>
          <w:p>
            <w:pPr>
              <w:pStyle w:val="Default"/>
              <w:rPr>
                <w:rFonts w:ascii="Times New Roman" w:hAnsi="Times New Roman"/>
                <w:noProof/>
                <w:sz w:val="20"/>
                <w:szCs w:val="20"/>
                <w:lang w:val="fr-BE"/>
              </w:rPr>
            </w:pPr>
            <w:r>
              <w:rPr>
                <w:rFonts w:ascii="Times New Roman" w:hAnsi="Times New Roman"/>
                <w:noProof/>
                <w:sz w:val="20"/>
                <w:szCs w:val="20"/>
                <w:lang w:val="fr-BE"/>
              </w:rPr>
              <w:t>a)</w:t>
            </w:r>
            <w:r>
              <w:rPr>
                <w:rFonts w:ascii="Times New Roman" w:hAnsi="Times New Roman"/>
                <w:noProof/>
                <w:sz w:val="20"/>
                <w:szCs w:val="20"/>
                <w:lang w:val="fr-BE"/>
              </w:rPr>
              <w:tab/>
              <w:t>n’applique pas ou cesse d’appliquer un règlement de l’ONU tel que spécifié dans l’appendice 2-C-1 ou</w:t>
            </w:r>
          </w:p>
          <w:p>
            <w:pPr>
              <w:pStyle w:val="Default"/>
              <w:rPr>
                <w:rFonts w:ascii="Times New Roman" w:hAnsi="Times New Roman"/>
                <w:noProof/>
                <w:sz w:val="20"/>
                <w:szCs w:val="20"/>
                <w:lang w:val="fr-BE"/>
              </w:rPr>
            </w:pPr>
            <w:r>
              <w:rPr>
                <w:rFonts w:ascii="Times New Roman" w:hAnsi="Times New Roman"/>
                <w:noProof/>
                <w:sz w:val="20"/>
                <w:szCs w:val="20"/>
                <w:lang w:val="fr-BE"/>
              </w:rPr>
              <w:t>b)</w:t>
            </w:r>
            <w:r>
              <w:rPr>
                <w:rFonts w:ascii="Times New Roman" w:hAnsi="Times New Roman"/>
                <w:noProof/>
                <w:sz w:val="20"/>
                <w:szCs w:val="20"/>
                <w:lang w:val="fr-BE"/>
              </w:rPr>
              <w:tab/>
              <w:t>introduit ou modifie toute autre mesure réglementaire qui annule ou compromet les avantages de l’application d’un règlement de l’ONU, tel que spécifié dans l’appendice 2-C-1.</w:t>
            </w:r>
          </w:p>
          <w:p>
            <w:pPr>
              <w:pStyle w:val="Default"/>
              <w:jc w:val="both"/>
              <w:rPr>
                <w:rFonts w:ascii="Times New Roman" w:hAnsi="Times New Roman"/>
                <w:noProof/>
                <w:sz w:val="20"/>
                <w:szCs w:val="20"/>
                <w:lang w:val="fr-BE"/>
              </w:rPr>
            </w:pPr>
            <w:r>
              <w:rPr>
                <w:rFonts w:ascii="Times New Roman" w:hAnsi="Times New Roman"/>
                <w:noProof/>
                <w:sz w:val="20"/>
                <w:szCs w:val="20"/>
                <w:lang w:val="fr-BE"/>
              </w:rPr>
              <w:t>2.</w:t>
            </w:r>
            <w:r>
              <w:rPr>
                <w:rFonts w:ascii="Times New Roman" w:hAnsi="Times New Roman"/>
                <w:noProof/>
                <w:sz w:val="20"/>
                <w:szCs w:val="20"/>
                <w:lang w:val="fr-BE"/>
              </w:rPr>
              <w:tab/>
              <w:t>Les suspensions selon le paragraphe 1 ne restent en vigueur que jusqu’au moment où une décision est prise conformément à la procédure accélérée de règlement des litiges visée à l’article 19 de la présente annexe ou une solution mutuellement acceptable est trouvée, y compris par le biais de consultations conformément à l’article 19, point b), de la présente annexe, selon celle des deux éventualités qui intervient la première.»</w:t>
            </w:r>
          </w:p>
        </w:tc>
      </w:tr>
    </w:tbl>
    <w:p>
      <w:pPr>
        <w:rPr>
          <w:noProof/>
          <w:sz w:val="20"/>
          <w:szCs w:val="20"/>
          <w:lang w:val="fr-BE"/>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DC2E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70E4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AEE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AE70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BE93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6298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C64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7203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11:57: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D7A6F09A-29E5-49EA-905E-B588D31B027D"/>
    <w:docVar w:name="LW_COVERPAGE_TYPE" w:val="1"/>
    <w:docVar w:name="LW_CROSSREFERENCE" w:val="&lt;UNUSED&gt;"/>
    <w:docVar w:name="LW_DocType" w:val="ANNEX"/>
    <w:docVar w:name="LW_EMISSION" w:val="18.4.2018"/>
    <w:docVar w:name="LW_EMISSION_ISODATE" w:val="2018-04-18"/>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_x000b_portant mise en \u339?uvre des clauses de sauvegarde et autres mécanismes prévoyant le retrait temporaire des préférences tarifaires dans certains accords conclus entre l\u8217?Union européenne, d\u8217?une part, et certains pays tiers, d\u8217?autre part"/>
    <w:docVar w:name="LW_OBJETACTEPRINCIPAL.CP" w:val="_x000b_portant mise en \u339?uvre des clauses de sauvegarde et autres mécanismes prévoyant le retrait temporaire des préférences tarifaires dans certains accords conclus entre l\u8217?Union européenne, d\u8217?une part, et certains pays tiers, d\u8217?autre part"/>
    <w:docVar w:name="LW_PART_NBR" w:val="1"/>
    <w:docVar w:name="LW_PART_NBR_TOTAL" w:val="1"/>
    <w:docVar w:name="LW_REF.INST.NEW" w:val="COM"/>
    <w:docVar w:name="LW_REF.INST.NEW_ADOPTED" w:val="final"/>
    <w:docVar w:name="LW_REF.INST.NEW_TEXT" w:val="(2018)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bidi="ar-SA"/>
    </w:rPr>
  </w:style>
  <w:style w:type="table" w:styleId="TableGrid">
    <w:name w:val="Table Grid"/>
    <w:basedOn w:val="TableNormal"/>
    <w:uiPriority w:val="59"/>
    <w:pPr>
      <w:spacing w:after="0" w:line="240" w:lineRule="auto"/>
    </w:pPr>
    <w:rPr>
      <w:lang w:val="en-GB"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bidi="ar-SA"/>
    </w:rPr>
  </w:style>
  <w:style w:type="table" w:styleId="TableGrid">
    <w:name w:val="Table Grid"/>
    <w:basedOn w:val="TableNormal"/>
    <w:uiPriority w:val="59"/>
    <w:pPr>
      <w:spacing w:after="0" w:line="240" w:lineRule="auto"/>
    </w:pPr>
    <w:rPr>
      <w:lang w:val="en-GB"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443</Words>
  <Characters>2557</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2018-04-10T09:57:00Z</dcterms:created>
  <dcterms:modified xsi:type="dcterms:W3CDTF">2018-04-18T13:07:00Z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