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946F74A-6AA0-4F1C-A2CC-984E02070915"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b/>
          <w:noProof/>
        </w:rPr>
      </w:pPr>
      <w:r>
        <w:rPr>
          <w:b/>
          <w:noProof/>
        </w:rPr>
        <w:t>Agreements implemented by the Regulation and provisions specific to that agreement</w:t>
      </w:r>
    </w:p>
    <w:p>
      <w:pPr>
        <w:pStyle w:val="Default"/>
        <w:jc w:val="both"/>
        <w:rPr>
          <w:rFonts w:ascii="Times New Roman" w:hAnsi="Times New Roman" w:cs="Times New Roman"/>
          <w:b/>
          <w:bCs/>
          <w:noProof/>
          <w:sz w:val="20"/>
          <w:szCs w:val="20"/>
        </w:rPr>
      </w:pPr>
      <w:r>
        <w:rPr>
          <w:rFonts w:ascii="Times New Roman" w:hAnsi="Times New Roman" w:cs="Times New Roman"/>
          <w:b/>
          <w:bCs/>
          <w:noProof/>
          <w:sz w:val="20"/>
          <w:szCs w:val="20"/>
        </w:rPr>
        <w:t>Free Trade Agreement between the European Union and the Republic of Singapore:</w:t>
      </w:r>
    </w:p>
    <w:p>
      <w:pPr>
        <w:pStyle w:val="Default"/>
        <w:jc w:val="both"/>
        <w:rPr>
          <w:rFonts w:ascii="Times New Roman" w:hAnsi="Times New Roman" w:cs="Times New Roman"/>
          <w:bCs/>
          <w:noProof/>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pStyle w:val="Default"/>
              <w:jc w:val="both"/>
              <w:rPr>
                <w:rFonts w:ascii="Times New Roman" w:hAnsi="Times New Roman"/>
                <w:noProof/>
                <w:sz w:val="20"/>
                <w:szCs w:val="20"/>
              </w:rPr>
            </w:pPr>
            <w:r>
              <w:rPr>
                <w:rFonts w:ascii="Times New Roman" w:hAnsi="Times New Roman"/>
                <w:noProof/>
                <w:sz w:val="20"/>
                <w:szCs w:val="20"/>
              </w:rPr>
              <w:t>Date of Application</w:t>
            </w: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xx/xx/xxxx</w:t>
            </w:r>
          </w:p>
        </w:tc>
      </w:tr>
      <w:tr>
        <w:trPr>
          <w:trHeight w:val="1380"/>
        </w:trPr>
        <w:tc>
          <w:tcPr>
            <w:tcW w:w="4644" w:type="dxa"/>
          </w:tcPr>
          <w:p>
            <w:pPr>
              <w:pStyle w:val="Default"/>
              <w:jc w:val="both"/>
              <w:rPr>
                <w:rFonts w:ascii="Times New Roman" w:hAnsi="Times New Roman"/>
                <w:noProof/>
                <w:sz w:val="20"/>
                <w:szCs w:val="20"/>
              </w:rPr>
            </w:pPr>
            <w:r>
              <w:rPr>
                <w:rFonts w:ascii="Times New Roman" w:hAnsi="Times New Roman"/>
                <w:noProof/>
                <w:sz w:val="20"/>
                <w:szCs w:val="20"/>
              </w:rPr>
              <w:t>Bilateral safeguard clause</w:t>
            </w:r>
          </w:p>
          <w:p>
            <w:pPr>
              <w:pStyle w:val="Default"/>
              <w:jc w:val="both"/>
              <w:rPr>
                <w:rFonts w:ascii="Times New Roman" w:hAnsi="Times New Roman"/>
                <w:noProof/>
                <w:sz w:val="20"/>
                <w:szCs w:val="20"/>
              </w:rPr>
            </w:pPr>
            <w:r>
              <w:rPr>
                <w:rFonts w:ascii="Times New Roman" w:hAnsi="Times New Roman"/>
                <w:noProof/>
                <w:sz w:val="20"/>
                <w:szCs w:val="20"/>
              </w:rPr>
              <w:t>Specific provision(s) laid down in the Agreement:</w:t>
            </w: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Article 3.10 (Bilateral safeguard clause)</w:t>
            </w:r>
          </w:p>
          <w:p>
            <w:pPr>
              <w:pStyle w:val="Default"/>
              <w:jc w:val="both"/>
              <w:rPr>
                <w:rFonts w:ascii="Times New Roman" w:hAnsi="Times New Roman"/>
                <w:noProof/>
                <w:sz w:val="20"/>
                <w:szCs w:val="20"/>
              </w:rPr>
            </w:pPr>
            <w:r>
              <w:rPr>
                <w:rFonts w:ascii="Times New Roman" w:hAnsi="Times New Roman"/>
                <w:noProof/>
                <w:sz w:val="20"/>
                <w:szCs w:val="20"/>
              </w:rPr>
              <w:t>Article 3.9, “transition period”:</w:t>
            </w:r>
          </w:p>
          <w:p>
            <w:pPr>
              <w:pStyle w:val="Default"/>
              <w:jc w:val="both"/>
              <w:rPr>
                <w:rFonts w:ascii="Times New Roman" w:hAnsi="Times New Roman"/>
                <w:noProof/>
                <w:sz w:val="20"/>
                <w:szCs w:val="20"/>
              </w:rPr>
            </w:pPr>
          </w:p>
          <w:p>
            <w:pPr>
              <w:pStyle w:val="Default"/>
              <w:jc w:val="both"/>
              <w:rPr>
                <w:rFonts w:ascii="Times New Roman" w:hAnsi="Times New Roman"/>
                <w:noProof/>
                <w:sz w:val="20"/>
                <w:szCs w:val="20"/>
              </w:rPr>
            </w:pPr>
            <w:r>
              <w:rPr>
                <w:rFonts w:ascii="Times New Roman" w:hAnsi="Times New Roman"/>
                <w:noProof/>
                <w:sz w:val="20"/>
                <w:szCs w:val="20"/>
              </w:rPr>
              <w:t>“transition period” means a period of ten years from the entry into force of this Agreement”</w:t>
            </w:r>
          </w:p>
        </w:tc>
      </w:tr>
      <w:tr>
        <w:tc>
          <w:tcPr>
            <w:tcW w:w="4644" w:type="dxa"/>
          </w:tcPr>
          <w:p>
            <w:pPr>
              <w:pStyle w:val="Default"/>
              <w:jc w:val="both"/>
              <w:rPr>
                <w:rFonts w:ascii="Times New Roman" w:hAnsi="Times New Roman"/>
                <w:noProof/>
                <w:sz w:val="20"/>
                <w:szCs w:val="20"/>
              </w:rPr>
            </w:pP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Article 3.11(5)c:</w:t>
            </w:r>
          </w:p>
          <w:p>
            <w:pPr>
              <w:pStyle w:val="Default"/>
              <w:jc w:val="both"/>
              <w:rPr>
                <w:rFonts w:ascii="Times New Roman" w:hAnsi="Times New Roman"/>
                <w:noProof/>
                <w:sz w:val="20"/>
                <w:szCs w:val="20"/>
              </w:rPr>
            </w:pPr>
          </w:p>
          <w:p>
            <w:pPr>
              <w:pStyle w:val="Default"/>
              <w:jc w:val="both"/>
              <w:rPr>
                <w:rFonts w:ascii="Times New Roman" w:hAnsi="Times New Roman"/>
                <w:noProof/>
                <w:sz w:val="20"/>
                <w:szCs w:val="20"/>
              </w:rPr>
            </w:pPr>
            <w:r>
              <w:rPr>
                <w:rFonts w:ascii="Times New Roman" w:hAnsi="Times New Roman"/>
                <w:noProof/>
                <w:sz w:val="20"/>
                <w:szCs w:val="20"/>
              </w:rPr>
              <w:t>“Neither Party may apply a bilateral safeguard measure as set out in paragraph 1 of Article 3.10 beyond the expiration of the transition period, except with the consent of the other Party.”</w:t>
            </w:r>
          </w:p>
          <w:p>
            <w:pPr>
              <w:pStyle w:val="Default"/>
              <w:jc w:val="both"/>
              <w:rPr>
                <w:rFonts w:ascii="Times New Roman" w:hAnsi="Times New Roman"/>
                <w:noProof/>
                <w:sz w:val="20"/>
                <w:szCs w:val="20"/>
              </w:rPr>
            </w:pPr>
          </w:p>
        </w:tc>
      </w:tr>
    </w:tbl>
    <w:p>
      <w:pPr>
        <w:pStyle w:val="Default"/>
        <w:jc w:val="both"/>
        <w:rPr>
          <w:rFonts w:ascii="Times New Roman" w:hAnsi="Times New Roman"/>
          <w:noProof/>
          <w:sz w:val="20"/>
          <w:szCs w:val="20"/>
        </w:rPr>
      </w:pPr>
    </w:p>
    <w:p>
      <w:pPr>
        <w:pStyle w:val="Default"/>
        <w:jc w:val="both"/>
        <w:rPr>
          <w:rFonts w:ascii="Times New Roman" w:hAnsi="Times New Roman"/>
          <w:b/>
          <w:noProof/>
          <w:sz w:val="20"/>
          <w:szCs w:val="20"/>
        </w:rPr>
      </w:pPr>
      <w:r>
        <w:rPr>
          <w:rFonts w:ascii="Times New Roman" w:hAnsi="Times New Roman" w:cs="Times New Roman"/>
          <w:b/>
          <w:bCs/>
          <w:noProof/>
          <w:sz w:val="20"/>
          <w:szCs w:val="20"/>
        </w:rPr>
        <w:t>Free Trade Agreement between the European Union and the Socialist Republic of Vietnam</w:t>
      </w:r>
    </w:p>
    <w:p>
      <w:pPr>
        <w:pStyle w:val="Default"/>
        <w:jc w:val="both"/>
        <w:rPr>
          <w:rFonts w:ascii="Times New Roman" w:hAnsi="Times New Roman"/>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pStyle w:val="Default"/>
              <w:jc w:val="both"/>
              <w:rPr>
                <w:rFonts w:ascii="Times New Roman" w:hAnsi="Times New Roman"/>
                <w:noProof/>
                <w:sz w:val="20"/>
                <w:szCs w:val="20"/>
              </w:rPr>
            </w:pPr>
            <w:r>
              <w:rPr>
                <w:rFonts w:ascii="Times New Roman" w:hAnsi="Times New Roman"/>
                <w:noProof/>
                <w:sz w:val="20"/>
                <w:szCs w:val="20"/>
              </w:rPr>
              <w:t>Date of Application</w:t>
            </w: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xx/xx/xxxx</w:t>
            </w:r>
          </w:p>
        </w:tc>
      </w:tr>
      <w:tr>
        <w:trPr>
          <w:trHeight w:val="920"/>
        </w:trPr>
        <w:tc>
          <w:tcPr>
            <w:tcW w:w="4644" w:type="dxa"/>
          </w:tcPr>
          <w:p>
            <w:pPr>
              <w:pStyle w:val="Default"/>
              <w:jc w:val="both"/>
              <w:rPr>
                <w:rFonts w:ascii="Times New Roman" w:hAnsi="Times New Roman"/>
                <w:noProof/>
                <w:sz w:val="20"/>
                <w:szCs w:val="20"/>
              </w:rPr>
            </w:pPr>
            <w:r>
              <w:rPr>
                <w:rFonts w:ascii="Times New Roman" w:hAnsi="Times New Roman"/>
                <w:noProof/>
                <w:sz w:val="20"/>
                <w:szCs w:val="20"/>
              </w:rPr>
              <w:t>Bilateral safeguard clause</w:t>
            </w:r>
          </w:p>
          <w:p>
            <w:pPr>
              <w:pStyle w:val="Default"/>
              <w:jc w:val="both"/>
              <w:rPr>
                <w:rFonts w:ascii="Times New Roman" w:hAnsi="Times New Roman"/>
                <w:noProof/>
                <w:sz w:val="20"/>
                <w:szCs w:val="20"/>
              </w:rPr>
            </w:pPr>
            <w:r>
              <w:rPr>
                <w:rFonts w:ascii="Times New Roman" w:hAnsi="Times New Roman"/>
                <w:noProof/>
                <w:sz w:val="20"/>
                <w:szCs w:val="20"/>
              </w:rPr>
              <w:t>Specific provision(s) laid down in the Agreement:</w:t>
            </w: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 xml:space="preserve">Article 3.11 (Bilateral safeguard clause) </w:t>
            </w:r>
          </w:p>
          <w:p>
            <w:pPr>
              <w:pStyle w:val="Default"/>
              <w:jc w:val="both"/>
              <w:rPr>
                <w:rFonts w:ascii="Times New Roman" w:hAnsi="Times New Roman"/>
                <w:noProof/>
                <w:sz w:val="20"/>
                <w:szCs w:val="20"/>
              </w:rPr>
            </w:pPr>
            <w:r>
              <w:rPr>
                <w:rFonts w:ascii="Times New Roman" w:hAnsi="Times New Roman"/>
                <w:noProof/>
                <w:sz w:val="20"/>
                <w:szCs w:val="20"/>
              </w:rPr>
              <w:t>Article 3.9, “transition period”:</w:t>
            </w:r>
          </w:p>
          <w:p>
            <w:pPr>
              <w:pStyle w:val="Default"/>
              <w:jc w:val="both"/>
              <w:rPr>
                <w:rFonts w:ascii="Times New Roman" w:hAnsi="Times New Roman"/>
                <w:noProof/>
                <w:sz w:val="20"/>
                <w:szCs w:val="20"/>
              </w:rPr>
            </w:pPr>
          </w:p>
          <w:p>
            <w:pPr>
              <w:pStyle w:val="Default"/>
              <w:jc w:val="both"/>
              <w:rPr>
                <w:rFonts w:ascii="Times New Roman" w:hAnsi="Times New Roman"/>
                <w:noProof/>
                <w:sz w:val="20"/>
                <w:szCs w:val="20"/>
              </w:rPr>
            </w:pPr>
            <w:r>
              <w:rPr>
                <w:rFonts w:ascii="Times New Roman" w:hAnsi="Times New Roman"/>
                <w:noProof/>
                <w:sz w:val="20"/>
                <w:szCs w:val="20"/>
              </w:rPr>
              <w:t>“transition period means a period for a good from the date of entry into force of this Agreement until 10 years from the entry into force of this Agreement.”</w:t>
            </w:r>
          </w:p>
        </w:tc>
      </w:tr>
      <w:tr>
        <w:tc>
          <w:tcPr>
            <w:tcW w:w="4644" w:type="dxa"/>
          </w:tcPr>
          <w:p>
            <w:pPr>
              <w:pStyle w:val="Default"/>
              <w:jc w:val="both"/>
              <w:rPr>
                <w:rFonts w:ascii="Times New Roman" w:hAnsi="Times New Roman"/>
                <w:noProof/>
                <w:sz w:val="20"/>
                <w:szCs w:val="20"/>
              </w:rPr>
            </w:pPr>
          </w:p>
        </w:tc>
        <w:tc>
          <w:tcPr>
            <w:tcW w:w="4644" w:type="dxa"/>
          </w:tcPr>
          <w:p>
            <w:pPr>
              <w:pStyle w:val="Default"/>
              <w:jc w:val="both"/>
              <w:rPr>
                <w:rFonts w:ascii="Times New Roman" w:hAnsi="Times New Roman"/>
                <w:noProof/>
                <w:sz w:val="20"/>
                <w:szCs w:val="20"/>
              </w:rPr>
            </w:pPr>
          </w:p>
          <w:p>
            <w:pPr>
              <w:pStyle w:val="Default"/>
              <w:jc w:val="both"/>
              <w:rPr>
                <w:rFonts w:ascii="Times New Roman" w:hAnsi="Times New Roman"/>
                <w:noProof/>
                <w:sz w:val="20"/>
                <w:szCs w:val="20"/>
              </w:rPr>
            </w:pPr>
            <w:r>
              <w:rPr>
                <w:rFonts w:ascii="Times New Roman" w:hAnsi="Times New Roman"/>
                <w:noProof/>
                <w:sz w:val="20"/>
                <w:szCs w:val="20"/>
              </w:rPr>
              <w:t>Article 3.11(6)c:</w:t>
            </w:r>
          </w:p>
          <w:p>
            <w:pPr>
              <w:pStyle w:val="Default"/>
              <w:jc w:val="both"/>
              <w:rPr>
                <w:rFonts w:ascii="Times New Roman" w:hAnsi="Times New Roman"/>
                <w:noProof/>
                <w:sz w:val="20"/>
                <w:szCs w:val="20"/>
              </w:rPr>
            </w:pPr>
          </w:p>
          <w:p>
            <w:pPr>
              <w:pStyle w:val="Default"/>
              <w:jc w:val="both"/>
              <w:rPr>
                <w:rFonts w:ascii="Times New Roman" w:hAnsi="Times New Roman"/>
                <w:noProof/>
                <w:sz w:val="20"/>
                <w:szCs w:val="20"/>
              </w:rPr>
            </w:pPr>
            <w:r>
              <w:rPr>
                <w:rFonts w:ascii="Times New Roman" w:hAnsi="Times New Roman"/>
                <w:noProof/>
                <w:sz w:val="20"/>
                <w:szCs w:val="20"/>
              </w:rPr>
              <w:t>“A party shall not apply a bilateral safeguard measure, beyond the expiration of the transition period, except with the consent of the other Party.”</w:t>
            </w:r>
          </w:p>
        </w:tc>
      </w:tr>
    </w:tbl>
    <w:p>
      <w:pPr>
        <w:rPr>
          <w:noProof/>
        </w:rPr>
      </w:pPr>
    </w:p>
    <w:p>
      <w:pPr>
        <w:pStyle w:val="Default"/>
        <w:jc w:val="both"/>
        <w:rPr>
          <w:rFonts w:ascii="Times New Roman" w:hAnsi="Times New Roman"/>
          <w:b/>
          <w:noProof/>
          <w:sz w:val="20"/>
          <w:szCs w:val="20"/>
        </w:rPr>
      </w:pPr>
      <w:r>
        <w:rPr>
          <w:rFonts w:ascii="Times New Roman" w:hAnsi="Times New Roman" w:cs="Times New Roman"/>
          <w:b/>
          <w:bCs/>
          <w:noProof/>
          <w:sz w:val="20"/>
          <w:szCs w:val="20"/>
        </w:rPr>
        <w:t>Free Trade Agreement between the European Union and Japan</w:t>
      </w:r>
    </w:p>
    <w:p>
      <w:pPr>
        <w:pStyle w:val="Default"/>
        <w:jc w:val="both"/>
        <w:rPr>
          <w:rFonts w:ascii="Times New Roman" w:hAnsi="Times New Roman"/>
          <w:noProof/>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pStyle w:val="Default"/>
              <w:jc w:val="both"/>
              <w:rPr>
                <w:rFonts w:ascii="Times New Roman" w:hAnsi="Times New Roman"/>
                <w:noProof/>
                <w:sz w:val="20"/>
                <w:szCs w:val="20"/>
              </w:rPr>
            </w:pPr>
            <w:r>
              <w:rPr>
                <w:rFonts w:ascii="Times New Roman" w:hAnsi="Times New Roman"/>
                <w:noProof/>
                <w:sz w:val="20"/>
                <w:szCs w:val="20"/>
              </w:rPr>
              <w:t>Date of Application</w:t>
            </w: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xx/xx/xxxx</w:t>
            </w:r>
          </w:p>
        </w:tc>
      </w:tr>
      <w:tr>
        <w:trPr>
          <w:trHeight w:val="1610"/>
        </w:trPr>
        <w:tc>
          <w:tcPr>
            <w:tcW w:w="4644" w:type="dxa"/>
          </w:tcPr>
          <w:p>
            <w:pPr>
              <w:pStyle w:val="Default"/>
              <w:jc w:val="both"/>
              <w:rPr>
                <w:rFonts w:ascii="Times New Roman" w:hAnsi="Times New Roman"/>
                <w:noProof/>
                <w:sz w:val="20"/>
                <w:szCs w:val="20"/>
              </w:rPr>
            </w:pPr>
            <w:r>
              <w:rPr>
                <w:rFonts w:ascii="Times New Roman" w:hAnsi="Times New Roman"/>
                <w:noProof/>
                <w:sz w:val="20"/>
                <w:szCs w:val="20"/>
              </w:rPr>
              <w:t>Bilateral safeguard clause:</w:t>
            </w:r>
          </w:p>
          <w:p>
            <w:pPr>
              <w:pStyle w:val="Default"/>
              <w:jc w:val="both"/>
              <w:rPr>
                <w:rFonts w:ascii="Times New Roman" w:hAnsi="Times New Roman"/>
                <w:noProof/>
                <w:sz w:val="20"/>
                <w:szCs w:val="20"/>
              </w:rPr>
            </w:pPr>
          </w:p>
          <w:p>
            <w:pPr>
              <w:pStyle w:val="Default"/>
              <w:jc w:val="both"/>
              <w:rPr>
                <w:rFonts w:ascii="Times New Roman" w:hAnsi="Times New Roman"/>
                <w:noProof/>
                <w:sz w:val="20"/>
                <w:szCs w:val="20"/>
              </w:rPr>
            </w:pPr>
            <w:r>
              <w:rPr>
                <w:rFonts w:ascii="Times New Roman" w:hAnsi="Times New Roman"/>
                <w:noProof/>
                <w:sz w:val="20"/>
                <w:szCs w:val="20"/>
              </w:rPr>
              <w:t>Special provision(s) laid down in the Agreement:</w:t>
            </w:r>
          </w:p>
        </w:tc>
        <w:tc>
          <w:tcPr>
            <w:tcW w:w="4644" w:type="dxa"/>
          </w:tcPr>
          <w:p>
            <w:pPr>
              <w:pStyle w:val="Default"/>
              <w:jc w:val="both"/>
              <w:rPr>
                <w:rFonts w:ascii="Times New Roman" w:hAnsi="Times New Roman"/>
                <w:noProof/>
                <w:sz w:val="20"/>
                <w:szCs w:val="20"/>
              </w:rPr>
            </w:pPr>
            <w:r>
              <w:rPr>
                <w:rFonts w:ascii="Times New Roman" w:hAnsi="Times New Roman"/>
                <w:noProof/>
                <w:sz w:val="20"/>
                <w:szCs w:val="20"/>
              </w:rPr>
              <w:t xml:space="preserve">Article 2.5 (Agricultural safeguard clause), 5.2 </w:t>
            </w:r>
          </w:p>
          <w:p>
            <w:pPr>
              <w:pStyle w:val="Default"/>
              <w:jc w:val="both"/>
              <w:rPr>
                <w:rFonts w:ascii="Times New Roman" w:hAnsi="Times New Roman"/>
                <w:noProof/>
                <w:sz w:val="20"/>
                <w:szCs w:val="20"/>
              </w:rPr>
            </w:pPr>
            <w:r>
              <w:rPr>
                <w:rFonts w:ascii="Times New Roman" w:hAnsi="Times New Roman"/>
                <w:noProof/>
                <w:sz w:val="20"/>
                <w:szCs w:val="20"/>
              </w:rPr>
              <w:t xml:space="preserve">(Bilateral safeguard clause) </w:t>
            </w:r>
          </w:p>
          <w:p>
            <w:pPr>
              <w:pStyle w:val="Default"/>
              <w:jc w:val="both"/>
              <w:rPr>
                <w:rFonts w:ascii="Times New Roman" w:hAnsi="Times New Roman"/>
                <w:noProof/>
                <w:sz w:val="20"/>
                <w:szCs w:val="20"/>
              </w:rPr>
            </w:pPr>
            <w:r>
              <w:rPr>
                <w:rFonts w:ascii="Times New Roman" w:hAnsi="Times New Roman"/>
                <w:noProof/>
                <w:sz w:val="20"/>
                <w:szCs w:val="20"/>
              </w:rPr>
              <w:t>Article 5.1(d):</w:t>
            </w:r>
          </w:p>
          <w:p>
            <w:pPr>
              <w:pStyle w:val="Default"/>
              <w:jc w:val="both"/>
              <w:rPr>
                <w:rFonts w:ascii="Times New Roman" w:hAnsi="Times New Roman"/>
                <w:noProof/>
                <w:sz w:val="20"/>
                <w:szCs w:val="20"/>
              </w:rPr>
            </w:pPr>
          </w:p>
          <w:p>
            <w:pPr>
              <w:pStyle w:val="Default"/>
              <w:jc w:val="both"/>
              <w:rPr>
                <w:rFonts w:ascii="Times New Roman" w:hAnsi="Times New Roman"/>
                <w:noProof/>
                <w:sz w:val="20"/>
                <w:szCs w:val="20"/>
              </w:rPr>
            </w:pPr>
            <w:r>
              <w:rPr>
                <w:rFonts w:ascii="Times New Roman" w:hAnsi="Times New Roman"/>
                <w:noProof/>
                <w:sz w:val="20"/>
                <w:szCs w:val="20"/>
              </w:rPr>
              <w:t>“"transition period" means, in relation to a particular originating good, the period beginning on the date of entry into force of this Agreement and ending 10 years after the date of completion of tariff reduction or elimination on that good in accordance with Annex 2-A.”</w:t>
            </w:r>
          </w:p>
        </w:tc>
      </w:tr>
      <w:tr>
        <w:tc>
          <w:tcPr>
            <w:tcW w:w="4644" w:type="dxa"/>
          </w:tcPr>
          <w:p>
            <w:pPr>
              <w:pStyle w:val="Default"/>
              <w:jc w:val="both"/>
              <w:rPr>
                <w:rFonts w:ascii="Times New Roman" w:hAnsi="Times New Roman"/>
                <w:noProof/>
                <w:sz w:val="20"/>
                <w:szCs w:val="20"/>
              </w:rPr>
            </w:pPr>
          </w:p>
        </w:tc>
        <w:tc>
          <w:tcPr>
            <w:tcW w:w="4644" w:type="dxa"/>
          </w:tcPr>
          <w:p>
            <w:pPr>
              <w:pStyle w:val="Default"/>
              <w:jc w:val="both"/>
              <w:rPr>
                <w:rFonts w:ascii="Times New Roman" w:hAnsi="Times New Roman"/>
                <w:noProof/>
                <w:sz w:val="20"/>
                <w:szCs w:val="20"/>
              </w:rPr>
            </w:pPr>
          </w:p>
          <w:p>
            <w:pPr>
              <w:pStyle w:val="Default"/>
              <w:jc w:val="both"/>
              <w:rPr>
                <w:rFonts w:ascii="Times New Roman" w:hAnsi="Times New Roman"/>
                <w:noProof/>
                <w:sz w:val="20"/>
                <w:szCs w:val="20"/>
              </w:rPr>
            </w:pPr>
            <w:r>
              <w:rPr>
                <w:rFonts w:ascii="Times New Roman" w:hAnsi="Times New Roman"/>
                <w:noProof/>
                <w:sz w:val="20"/>
                <w:szCs w:val="20"/>
              </w:rPr>
              <w:t xml:space="preserve">Article 18 of the Annex on motor vehicles and parts: </w:t>
            </w:r>
          </w:p>
          <w:p>
            <w:pPr>
              <w:pStyle w:val="Default"/>
              <w:jc w:val="both"/>
              <w:rPr>
                <w:rFonts w:ascii="Times New Roman" w:hAnsi="Times New Roman"/>
                <w:noProof/>
                <w:sz w:val="20"/>
                <w:szCs w:val="20"/>
              </w:rPr>
            </w:pPr>
          </w:p>
          <w:p>
            <w:pPr>
              <w:pStyle w:val="Default"/>
              <w:rPr>
                <w:rFonts w:ascii="Times New Roman" w:hAnsi="Times New Roman"/>
                <w:noProof/>
                <w:sz w:val="20"/>
                <w:szCs w:val="20"/>
              </w:rPr>
            </w:pPr>
            <w:r>
              <w:rPr>
                <w:rFonts w:ascii="Times New Roman" w:hAnsi="Times New Roman"/>
                <w:noProof/>
                <w:sz w:val="20"/>
                <w:szCs w:val="20"/>
              </w:rPr>
              <w:t xml:space="preserve">“During the 10 years following the entry into force of this Agreement, each of the Parties reserves the right to suspend equivalent concessions or other equivalent obligations in the event that the other Party: </w:t>
            </w:r>
          </w:p>
          <w:p>
            <w:pPr>
              <w:pStyle w:val="Default"/>
              <w:rPr>
                <w:rFonts w:ascii="Times New Roman" w:hAnsi="Times New Roman"/>
                <w:noProof/>
                <w:sz w:val="20"/>
                <w:szCs w:val="20"/>
              </w:rPr>
            </w:pPr>
            <w:r>
              <w:rPr>
                <w:rFonts w:ascii="Times New Roman" w:hAnsi="Times New Roman"/>
                <w:noProof/>
                <w:sz w:val="20"/>
                <w:szCs w:val="20"/>
              </w:rPr>
              <w:t>(a)</w:t>
            </w:r>
            <w:r>
              <w:rPr>
                <w:rFonts w:ascii="Times New Roman" w:hAnsi="Times New Roman"/>
                <w:noProof/>
                <w:sz w:val="20"/>
                <w:szCs w:val="20"/>
              </w:rPr>
              <w:tab/>
              <w:t>does not apply or ceases applying a UN Regulation as specified in Appendix 2-C-1; or</w:t>
            </w:r>
          </w:p>
          <w:p>
            <w:pPr>
              <w:pStyle w:val="Default"/>
              <w:rPr>
                <w:rFonts w:ascii="Times New Roman" w:hAnsi="Times New Roman"/>
                <w:noProof/>
                <w:sz w:val="20"/>
                <w:szCs w:val="20"/>
              </w:rPr>
            </w:pPr>
            <w:r>
              <w:rPr>
                <w:rFonts w:ascii="Times New Roman" w:hAnsi="Times New Roman"/>
                <w:noProof/>
                <w:sz w:val="20"/>
                <w:szCs w:val="20"/>
              </w:rPr>
              <w:t>(b)</w:t>
            </w:r>
            <w:r>
              <w:rPr>
                <w:rFonts w:ascii="Times New Roman" w:hAnsi="Times New Roman"/>
                <w:noProof/>
                <w:sz w:val="20"/>
                <w:szCs w:val="20"/>
              </w:rPr>
              <w:tab/>
              <w:t>introduces or amends any other regulatory measure that nullifies or impairs the benefits of the application of a UN Regulation as specified in Appendix 2-C-1.</w:t>
            </w:r>
          </w:p>
          <w:p>
            <w:pPr>
              <w:pStyle w:val="Default"/>
              <w:jc w:val="both"/>
              <w:rPr>
                <w:rFonts w:ascii="Times New Roman" w:hAnsi="Times New Roman"/>
                <w:noProof/>
                <w:sz w:val="20"/>
                <w:szCs w:val="20"/>
              </w:rPr>
            </w:pPr>
            <w:r>
              <w:rPr>
                <w:rFonts w:ascii="Times New Roman" w:hAnsi="Times New Roman"/>
                <w:noProof/>
                <w:sz w:val="20"/>
                <w:szCs w:val="20"/>
              </w:rPr>
              <w:t>2.</w:t>
            </w:r>
            <w:r>
              <w:rPr>
                <w:rFonts w:ascii="Times New Roman" w:hAnsi="Times New Roman"/>
                <w:noProof/>
                <w:sz w:val="20"/>
                <w:szCs w:val="20"/>
              </w:rPr>
              <w:tab/>
              <w:t>Suspensions pursuant to paragraph 1 shall remain in force only until a decision is made in accordance with the accelerated dispute settlement procedure referred to in Article 19 of this Annex or a mutually acceptable solution is found, including through consultations under subparagraph 19(b) of this Annex, whichever is earlier.”</w:t>
            </w:r>
          </w:p>
        </w:tc>
      </w:tr>
    </w:tbl>
    <w:p>
      <w:pPr>
        <w:rPr>
          <w:noProof/>
          <w:sz w:val="20"/>
          <w:szCs w:val="20"/>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DC2E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70E4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AEEB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AE70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BE93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6298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C64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7203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0 10:52: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7"/>
    <w:docVar w:name="DQCStatus" w:val="Yellow"/>
    <w:docVar w:name="DQCVersion" w:val="3"/>
    <w:docVar w:name="DQCWithWarnings" w:val="0"/>
    <w:docVar w:name="LW_ACCOMPAGNANT" w:val="to the proposal for a"/>
    <w:docVar w:name="LW_ACCOMPAGNANT.CP" w:val="to the proposal for a"/>
    <w:docVar w:name="LW_ANNEX_NBR_FIRST" w:val="1"/>
    <w:docVar w:name="LW_ANNEX_NBR_LAST" w:val="1"/>
    <w:docVar w:name="LW_ANNEX_UNIQUE" w:val="1"/>
    <w:docVar w:name="LW_CORRIGENDUM" w:val="&lt;UNUSED&gt;"/>
    <w:docVar w:name="LW_COVERPAGE_EXISTS" w:val="True"/>
    <w:docVar w:name="LW_COVERPAGE_GUID" w:val="8946F74A-6AA0-4F1C-A2CC-984E02070915"/>
    <w:docVar w:name="LW_COVERPAGE_TYPE" w:val="1"/>
    <w:docVar w:name="LW_CROSSREFERENCE" w:val="&lt;UNUSED&gt;"/>
    <w:docVar w:name="LW_DocType" w:val="ANNEX"/>
    <w:docVar w:name="LW_EMISSION" w:val="18.4.2018"/>
    <w:docVar w:name="LW_EMISSION_ISODATE" w:val="2018-04-18"/>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implementing the safeguard clauses and other mechanisms allowing for the temporary withdrawal of preferences in certain agreements concluded between the European Union and certain third countries"/>
    <w:docVar w:name="LW_OBJETACTEPRINCIPAL.CP" w:val="implementing the safeguard clauses and other mechanisms allowing for the temporary withdrawal of preferences in certain agreements concluded between the European Union and certain third countries"/>
    <w:docVar w:name="LW_PART_NBR" w:val="1"/>
    <w:docVar w:name="LW_PART_NBR_TOTAL" w:val="1"/>
    <w:docVar w:name="LW_REF.INST.NEW" w:val="COM"/>
    <w:docVar w:name="LW_REF.INST.NEW_ADOPTED" w:val="final"/>
    <w:docVar w:name="LW_REF.INST.NEW_TEXT" w:val="(2018)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eastAsia="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eastAsia="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409</Words>
  <Characters>2258</Characters>
  <Application>Microsoft Office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cp:lastPrinted>2018-04-06T08:00:00Z</cp:lastPrinted>
  <dcterms:created xsi:type="dcterms:W3CDTF">2018-04-10T08:52:00Z</dcterms:created>
  <dcterms:modified xsi:type="dcterms:W3CDTF">2018-04-18T13:08:00Z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