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76C8CE9-06C3-4C08-B76E-B5543C6B0182" style="width:450.75pt;height:450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 xml:space="preserve">С проекта на решение на Съвместния комитет на ЕИП (приложен към предложението за решение на Съвета) се цели изменение на Протокол 31 към Споразумението за ЕИП, за да се продължи участието на членуващите в ЕИП държави от ЕАСТ (Норвегия) в подготвителното действие на Съюза за научни изследвания в областта на отбраната (наричано по-долу „подготвителното действие“) през финансовата 2018 година. </w:t>
      </w:r>
    </w:p>
    <w:p>
      <w:pPr>
        <w:rPr>
          <w:noProof/>
        </w:rPr>
      </w:pPr>
      <w:r>
        <w:rPr>
          <w:noProof/>
        </w:rPr>
        <w:t>Тъй като Лихтенщайн и Исландия не заявиха интерес за участие в това подготвително действие, проектът на решение на Съвместния комитет на ЕИП се отнася само до Норвегия.</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rPr>
      </w:pPr>
      <w:r>
        <w:rPr>
          <w:noProof/>
        </w:rPr>
        <w:t>Член 78 от Споразумението за ЕИП предвижда договарящите се страни да укрепват и разширяват сътрудничеството в рамките на дейностите на ЕС в сферата на научните изследвания и технологичното развитие. Комисията, която в момента финансира изключително научноизследователска и развойна дейност (НИРД) за граждански цели или с двойна употреба чрез програмата „Хоризонт 2020“, счита подготвителното действие за важен инструмент, чрез който да се провери каква е добавената стойност от свързаните с отбраната научни изследвания, финансирани от бюджета на ЕС. </w:t>
      </w:r>
    </w:p>
    <w:p>
      <w:pPr>
        <w:rPr>
          <w:noProof/>
        </w:rPr>
      </w:pPr>
      <w:r>
        <w:rPr>
          <w:noProof/>
        </w:rPr>
        <w:t xml:space="preserve">Норвегия вече участва в подготвителното действие през предишната 2017 година. Освен това Норвегия сключи споразумение за сътрудничество с Европейската агенция по отбрана, а свързаната Директива за възлагането на обществени поръчки в областта на отбраната и сигурността (2009/81/ЕО) бе включена в Споразумението за ЕИП още през 2014 г. </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rPr>
          <w:noProof/>
        </w:rPr>
      </w:pPr>
      <w:r>
        <w:rPr>
          <w:noProof/>
        </w:rPr>
        <w:t xml:space="preserve">Съвместните научни изследвания в областта на иновационните технологии, продукти и услуги в сферата на отбраната са от решаващо значение за гарантиране в дългосрочен план на конкурентоспособността на сектора на отбраната и, в крайна сметка, на стратегическата автономност на Европа. Следователно сътрудничеството с Норвегия ще допринесе положително за усилията на ЕС в тази област. </w:t>
      </w:r>
    </w:p>
    <w:p>
      <w:pPr>
        <w:rPr>
          <w:noProof/>
        </w:rPr>
      </w:pPr>
      <w:r>
        <w:rPr>
          <w:noProof/>
        </w:rPr>
        <w:t xml:space="preserve">Комисията отчита, че подготвителното действие е част от нейните политики, свързани с вътрешния пазар, промишлеността и научните изследвания. Ето защо по-нататъшното задълбочаване на сътрудничеството в тази област е в съответствие с целите на Споразумението за ЕИП. </w:t>
      </w:r>
    </w:p>
    <w:p>
      <w:pPr>
        <w:pStyle w:val="ManualHeading1"/>
        <w:rPr>
          <w:noProof/>
        </w:rPr>
      </w:pPr>
      <w:r>
        <w:rPr>
          <w:noProof/>
        </w:rPr>
        <w:t>2.</w:t>
      </w:r>
      <w:r>
        <w:rPr>
          <w:noProof/>
        </w:rPr>
        <w:tab/>
        <w:t>ПРАВНО ОСНОВАНИЕ, СУБИСИДИАРНОСТ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color w:val="000000"/>
        </w:rPr>
      </w:pPr>
      <w:r>
        <w:rPr>
          <w:noProof/>
        </w:rPr>
        <w:t>Правното основание са член 54, параграф 2, буква б), член 84, параграф 2 и член 124 от 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w:t>
      </w:r>
      <w:r>
        <w:rPr>
          <w:rStyle w:val="FootnoteReference"/>
          <w:noProof/>
        </w:rPr>
        <w:footnoteReference w:id="1"/>
      </w:r>
      <w:r>
        <w:rPr>
          <w:noProof/>
        </w:rPr>
        <w:t xml:space="preserve"> във връзка с </w:t>
      </w:r>
      <w:r>
        <w:rPr>
          <w:noProof/>
          <w:color w:val="000000"/>
        </w:rPr>
        <w:lastRenderedPageBreak/>
        <w:t>член 1, параграф 3 от Регламент (ЕО) № 2894/94 на Съвета</w:t>
      </w:r>
      <w:r>
        <w:rPr>
          <w:rStyle w:val="FootnoteReference"/>
          <w:noProof/>
        </w:rPr>
        <w:footnoteReference w:id="2"/>
      </w:r>
      <w:r>
        <w:rPr>
          <w:noProof/>
          <w:color w:val="000000"/>
        </w:rPr>
        <w:t xml:space="preserve"> относно условията за прилагане на Споразумението за ЕИП, в който се предвижда, че Съветът определя позицията, която трябва да се заеме от името на Съюза по отношение на подобни решения, въз основа на предложение на Комисията. </w:t>
      </w:r>
    </w:p>
    <w:p>
      <w:pPr>
        <w:rPr>
          <w:noProof/>
        </w:rPr>
      </w:pPr>
      <w:r>
        <w:rPr>
          <w:noProof/>
        </w:rPr>
        <w:t>В сътрудничество с ЕСВД Комисията представя проекта на решение на Съвместния комитет на ЕИП пред Съвета, който следва да го приеме като позиция на Съюза. Комисията се надява да има възможност да представи позицията на Съюза пред Съвместния комитет на ЕИП възможно най-скоро.</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rFonts w:cs="EUAlbertina"/>
          <w:noProof/>
          <w:color w:val="000000"/>
        </w:rPr>
      </w:pPr>
      <w:r>
        <w:rPr>
          <w:noProof/>
        </w:rPr>
        <w:t xml:space="preserve">Предложението е в съответствие с принципа на субсидиарност по следната причина. </w:t>
      </w:r>
    </w:p>
    <w:p>
      <w:pPr>
        <w:rPr>
          <w:rFonts w:cs="EUAlbertina"/>
          <w:noProof/>
          <w:color w:val="000000"/>
          <w:szCs w:val="24"/>
        </w:rPr>
      </w:pPr>
      <w:r>
        <w:rPr>
          <w:noProof/>
          <w:color w:val="000000"/>
        </w:rPr>
        <w:t xml:space="preserve">Целта на настоящото предложение, а именно установяването на сътрудничество в сферата на научните изследвания в областта на отбраната с членуващите в ЕИП държави от ЕАСТ чрез участието им в подготвително действие, финансирано от бюджета на ЕС, не може да бъде постигната в достатъчна степен от държавите членки и следователно, с оглед на въздействието, може да бъде постигната по-добре на равнището на Съюза. </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color w:val="000000"/>
        </w:rPr>
        <w:t>В съответствие с принципа на пропорционалност предложението не надхвърля необходимото за постигането на целта му — да се засили и разшири сътрудничеството в рамките на дейностите на ЕС в сферите на научните изследвания и технологичното развитие.</w:t>
      </w:r>
      <w:r>
        <w:t xml:space="preserve"> </w:t>
      </w:r>
    </w:p>
    <w:p>
      <w:pPr>
        <w:pStyle w:val="ManualHeading2"/>
        <w:rPr>
          <w:rFonts w:eastAsia="Arial Unicode MS"/>
          <w:noProof/>
          <w:u w:color="000000"/>
          <w:bdr w:val="nil"/>
        </w:rPr>
      </w:pPr>
      <w:r>
        <w:rPr>
          <w:noProof/>
        </w:rPr>
        <w:t>•</w:t>
      </w:r>
      <w:r>
        <w:rPr>
          <w:noProof/>
        </w:rPr>
        <w:tab/>
        <w:t>Избор на инструмент</w:t>
      </w:r>
    </w:p>
    <w:p>
      <w:pPr>
        <w:spacing w:before="0" w:after="240"/>
        <w:rPr>
          <w:bCs/>
          <w:noProof/>
          <w:szCs w:val="24"/>
        </w:rPr>
      </w:pPr>
      <w:r>
        <w:rPr>
          <w:noProof/>
        </w:rPr>
        <w:t xml:space="preserve">В съответствие с член 98 от Споразумението за ЕИП избраният инструмент е решение на Съвместния комитет на ЕИП. Съвместният комитет на ЕИП осигурява ефективното изпълнение и функциониране на Споразумението за ЕИП. За тази цел той взема решения в случаите, предвидени в това споразумение. </w:t>
      </w:r>
    </w:p>
    <w:p>
      <w:pPr>
        <w:pStyle w:val="ManualHeading1"/>
        <w:rPr>
          <w:noProof/>
        </w:rPr>
      </w:pPr>
      <w:r>
        <w:rPr>
          <w:noProof/>
        </w:rPr>
        <w:t>3.</w:t>
      </w:r>
      <w:r>
        <w:rPr>
          <w:noProof/>
        </w:rPr>
        <w:tab/>
        <w:t>РЕЗУЛТАТИ ОТ ПОСЛЕДВАЩИ ОЦЕНКИ, КОНСУЛТАЦИИ СЪС ЗАИНТЕРЕСОВАНИТЕ СТРАНИ И ОЦЕНКИ НА ВЪЗДЕЙСТВИЕТО</w:t>
      </w:r>
    </w:p>
    <w:p>
      <w:pPr>
        <w:pStyle w:val="ManualHeading2"/>
        <w:rPr>
          <w:rFonts w:eastAsia="Arial Unicode MS"/>
          <w:noProof/>
        </w:rPr>
      </w:pPr>
      <w:r>
        <w:rPr>
          <w:b w:val="0"/>
          <w:noProof/>
        </w:rPr>
        <w:t>Не се прилага.</w:t>
      </w:r>
      <w:r>
        <w:rPr>
          <w:noProof/>
        </w:rPr>
        <w:t xml:space="preserve">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Норвегия ще допринесе финансово в бюджетен ред 02 04 77 03: „Подготвително действие във връзка с научни изследвания в областта на отбраната“. Точният размер на участието ще бъде определен, след като настоящото решение на Съвета бъде прието.</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spacing w:before="0" w:after="240"/>
        <w:rPr>
          <w:noProof/>
        </w:rPr>
      </w:pPr>
      <w:r>
        <w:rPr>
          <w:noProof/>
        </w:rPr>
        <w:t xml:space="preserve">В съответствие с бюджетната политика на ЕС всяко участие в дейност на ЕС може да бъде осъществено само след като бъде изплатена съответната сума за финансово участие. Плащането обаче може да се извърши, след като настоящият проект на решение на Съвета бъде приет и последващата покана на ЕС за внасяне на средства, </w:t>
      </w:r>
      <w:r>
        <w:rPr>
          <w:noProof/>
        </w:rPr>
        <w:lastRenderedPageBreak/>
        <w:t>отправена от Европейската комисия, бъде представена на членуващите в ЕИП държави от ЕАСТ.</w:t>
      </w:r>
    </w:p>
    <w:p>
      <w:pPr>
        <w:spacing w:before="0" w:after="240"/>
        <w:rPr>
          <w:noProof/>
        </w:rPr>
      </w:pPr>
      <w:r>
        <w:rPr>
          <w:noProof/>
        </w:rPr>
        <w:t xml:space="preserve">Ето защо, за да се покрие периодът между януари 2018 г. и получаването на съответното плащане, проектът на решение на Съвместния комитет следва да се прилага с обратно действие от януари 2018 г. </w:t>
      </w:r>
    </w:p>
    <w:p>
      <w:pPr>
        <w:rPr>
          <w:noProof/>
        </w:rPr>
        <w:sectPr>
          <w:footerReference w:type="default" r:id="rId16"/>
          <w:footerReference w:type="first" r:id="rId17"/>
          <w:pgSz w:w="11907" w:h="16839"/>
          <w:pgMar w:top="1134" w:right="1417" w:bottom="1134" w:left="1417" w:header="709" w:footer="709" w:gutter="0"/>
          <w:cols w:space="708"/>
          <w:docGrid w:linePitch="360"/>
        </w:sectPr>
      </w:pPr>
      <w:r>
        <w:rPr>
          <w:noProof/>
        </w:rPr>
        <w:t xml:space="preserve">Обратното действие не засяга правата и задълженията на съответните лица и е в съответствие с принципа на оправданите правни очаквания. </w:t>
      </w:r>
    </w:p>
    <w:p>
      <w:pPr>
        <w:pStyle w:val="Rfrenceinterinstitutionnelle"/>
        <w:rPr>
          <w:noProof/>
        </w:rPr>
      </w:pPr>
      <w:r>
        <w:rPr>
          <w:noProof/>
        </w:rPr>
        <w:lastRenderedPageBreak/>
        <w:t>2018/0100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заета от името на Европейския съюз в рамките на Съвместния комитет на ЕИП по отношение на изменение на Протокол 31 към Споразумението за ЕИП</w:t>
      </w:r>
      <w:r>
        <w:rPr>
          <w:noProof/>
        </w:rPr>
        <w:br/>
      </w:r>
      <w:r>
        <w:rPr>
          <w:noProof/>
        </w:rPr>
        <w:br/>
        <w:t>(Подготвително действие във връзка с научни изследвания в областта на отбраната)</w:t>
      </w:r>
    </w:p>
    <w:p>
      <w:pPr>
        <w:pStyle w:val="IntrtEEE"/>
        <w:rPr>
          <w:noProof/>
        </w:rPr>
      </w:pPr>
      <w:r>
        <w:rPr>
          <w:noProof/>
        </w:rPr>
        <w:t>(текст от значение за ЕИП)</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218, параграф 9 от него,</w:t>
      </w:r>
    </w:p>
    <w:p>
      <w:pPr>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
          <w:noProof/>
        </w:rPr>
        <w:footnoteReference w:id="3"/>
      </w:r>
      <w:r>
        <w:rPr>
          <w:noProof/>
        </w:rPr>
        <w:t>, и по-специално член 1, параграф 3 от него,</w:t>
      </w:r>
    </w:p>
    <w:p>
      <w:pPr>
        <w:rPr>
          <w:noProof/>
        </w:rPr>
      </w:pPr>
      <w:r>
        <w:rPr>
          <w:noProof/>
        </w:rPr>
        <w:t>като взе предвид 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w:t>
      </w:r>
      <w:r>
        <w:rPr>
          <w:rStyle w:val="FootnoteReference"/>
          <w:noProof/>
        </w:rPr>
        <w:footnoteReference w:id="4"/>
      </w:r>
      <w:r>
        <w:rPr>
          <w:noProof/>
        </w:rPr>
        <w:t xml:space="preserve">, и по-специално член 54, параграф 2, буква б), член 84, параграф 2 и член 124 от него, </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w:t>
      </w:r>
      <w:r>
        <w:rPr>
          <w:rStyle w:val="FootnoteReference"/>
          <w:noProof/>
        </w:rPr>
        <w:footnoteReference w:id="5"/>
      </w:r>
      <w:r>
        <w:rPr>
          <w:noProof/>
        </w:rPr>
        <w:t xml:space="preserve"> („Споразумението за ЕИП“) влезе в сила на 1 януари 1994 г.</w:t>
      </w:r>
    </w:p>
    <w:p>
      <w:pPr>
        <w:pStyle w:val="ManualConsidrant"/>
        <w:rPr>
          <w:noProof/>
        </w:rPr>
      </w:pPr>
      <w:r>
        <w:t>(2)</w:t>
      </w:r>
      <w:r>
        <w:tab/>
      </w:r>
      <w:r>
        <w:rPr>
          <w:noProof/>
        </w:rPr>
        <w:t xml:space="preserve">Съгласно член 98 от Споразумението за ЕИП Съвместният комитет на ЕИП може да реши да измени, </w:t>
      </w:r>
      <w:r>
        <w:rPr>
          <w:i/>
          <w:noProof/>
        </w:rPr>
        <w:t>inter alia</w:t>
      </w:r>
      <w:r>
        <w:rPr>
          <w:noProof/>
        </w:rPr>
        <w:t xml:space="preserve">, протокол 31 към Споразумението за ЕИП. </w:t>
      </w:r>
    </w:p>
    <w:p>
      <w:pPr>
        <w:pStyle w:val="ManualConsidrant"/>
        <w:rPr>
          <w:noProof/>
        </w:rPr>
      </w:pPr>
      <w:r>
        <w:t>(3)</w:t>
      </w:r>
      <w:r>
        <w:tab/>
      </w:r>
      <w:r>
        <w:rPr>
          <w:noProof/>
        </w:rPr>
        <w:t>Протокол 31 към Споразумението за ЕИП съдържа разпоредби относно сътрудничеството в специфични области извън четирите свободи.</w:t>
      </w:r>
    </w:p>
    <w:p>
      <w:pPr>
        <w:pStyle w:val="ManualConsidrant"/>
        <w:rPr>
          <w:noProof/>
        </w:rPr>
      </w:pPr>
      <w:r>
        <w:t>(4)</w:t>
      </w:r>
      <w:r>
        <w:tab/>
      </w:r>
      <w:r>
        <w:rPr>
          <w:noProof/>
        </w:rPr>
        <w:t>Държавите от ЕАСТ продължават да участват в действията на Съюза, свързани с бюджетен ред 02 04 77 03 (Подготвително действие във връзка с научни изследвания в областта на отбраната), включени в общия бюджет на Европейския съюз за финансовата 2018 година.</w:t>
      </w:r>
    </w:p>
    <w:p>
      <w:pPr>
        <w:pStyle w:val="ManualConsidrant"/>
        <w:rPr>
          <w:noProof/>
        </w:rPr>
      </w:pPr>
      <w:r>
        <w:t>(5)</w:t>
      </w:r>
      <w:r>
        <w:tab/>
      </w:r>
      <w:r>
        <w:rPr>
          <w:noProof/>
        </w:rPr>
        <w:t>Поради това протокол 31 към Споразумението за ЕИП следва да бъде изменен, за да може това разширено сътрудничество да продължи и след 1 януари 2018 г.</w:t>
      </w:r>
    </w:p>
    <w:p>
      <w:pPr>
        <w:pStyle w:val="ManualConsidrant"/>
        <w:rPr>
          <w:noProof/>
        </w:rPr>
      </w:pPr>
      <w:r>
        <w:lastRenderedPageBreak/>
        <w:t>(6)</w:t>
      </w:r>
      <w:r>
        <w:tab/>
      </w:r>
      <w:r>
        <w:rPr>
          <w:noProof/>
        </w:rPr>
        <w:t>Позицията на Съюза в рамките на Съвместния комитет на ЕИП следва да се основава на приложения проект на решение,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трябва да бъде заета от името на Съюза в рамките на Съвместния комитет на ЕИП във връзка с предложеното изменение на Протокол 31 към Споразумението за ЕИП относно сътрудничеството в специфични области извън четирите свободи, се основава на проекта на решение на Съвместния комитет на ЕИП, приложен към настоящото решение.</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248, 16.9.2002 г., стр.1.</w:t>
      </w:r>
    </w:p>
  </w:footnote>
  <w:footnote w:id="2">
    <w:p>
      <w:pPr>
        <w:pStyle w:val="FootnoteText"/>
        <w:rPr>
          <w:lang w:val="pl-PL"/>
        </w:rPr>
      </w:pPr>
      <w:r>
        <w:rPr>
          <w:rStyle w:val="FootnoteReference"/>
        </w:rPr>
        <w:footnoteRef/>
      </w:r>
      <w:r>
        <w:tab/>
        <w:t>ОВ L 305, 30.11.1994 г., стр. 6—8.</w:t>
      </w:r>
    </w:p>
  </w:footnote>
  <w:footnote w:id="3">
    <w:p>
      <w:pPr>
        <w:pStyle w:val="FootnoteText"/>
        <w:rPr>
          <w:lang w:val="pl-PL"/>
        </w:rPr>
      </w:pPr>
      <w:r>
        <w:rPr>
          <w:rStyle w:val="FootnoteReference"/>
        </w:rPr>
        <w:footnoteRef/>
      </w:r>
      <w:r>
        <w:rPr>
          <w:lang w:val="pl-PL"/>
        </w:rPr>
        <w:tab/>
      </w:r>
      <w:r>
        <w:t>ОВ</w:t>
      </w:r>
      <w:r>
        <w:rPr>
          <w:lang w:val="pl-PL"/>
        </w:rPr>
        <w:t xml:space="preserve"> L 305, 30.11.1994 </w:t>
      </w:r>
      <w:r>
        <w:t>г</w:t>
      </w:r>
      <w:r>
        <w:rPr>
          <w:lang w:val="pl-PL"/>
        </w:rPr>
        <w:t xml:space="preserve">., </w:t>
      </w:r>
      <w:r>
        <w:t>стр</w:t>
      </w:r>
      <w:r>
        <w:rPr>
          <w:lang w:val="pl-PL"/>
        </w:rPr>
        <w:t>. 6—8.</w:t>
      </w:r>
    </w:p>
  </w:footnote>
  <w:footnote w:id="4">
    <w:p>
      <w:pPr>
        <w:pStyle w:val="FootnoteText"/>
        <w:rPr>
          <w:lang w:val="pl-PL"/>
        </w:rPr>
      </w:pPr>
      <w:r>
        <w:rPr>
          <w:rStyle w:val="FootnoteReference"/>
        </w:rPr>
        <w:footnoteRef/>
      </w:r>
      <w:r>
        <w:rPr>
          <w:lang w:val="pl-PL"/>
        </w:rPr>
        <w:tab/>
      </w:r>
      <w:r>
        <w:t>ОВ</w:t>
      </w:r>
      <w:r>
        <w:rPr>
          <w:lang w:val="pl-PL"/>
        </w:rPr>
        <w:t xml:space="preserve"> L 248, 16.9.2002 </w:t>
      </w:r>
      <w:r>
        <w:t>г</w:t>
      </w:r>
      <w:r>
        <w:rPr>
          <w:lang w:val="pl-PL"/>
        </w:rPr>
        <w:t xml:space="preserve">., </w:t>
      </w:r>
      <w:r>
        <w:t>стр</w:t>
      </w:r>
      <w:r>
        <w:rPr>
          <w:lang w:val="pl-PL"/>
        </w:rPr>
        <w:t>.1.</w:t>
      </w:r>
    </w:p>
  </w:footnote>
  <w:footnote w:id="5">
    <w:p>
      <w:pPr>
        <w:pStyle w:val="FootnoteText"/>
        <w:rPr>
          <w:lang w:val="pl-PL"/>
        </w:rPr>
      </w:pPr>
      <w:r>
        <w:rPr>
          <w:rStyle w:val="FootnoteReference"/>
        </w:rPr>
        <w:footnoteRef/>
      </w:r>
      <w:r>
        <w:tab/>
        <w:t xml:space="preserve">ОВ L 1, 3.1.1994 г., стр.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F34AA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4422B24"/>
    <w:lvl w:ilvl="0">
      <w:start w:val="1"/>
      <w:numFmt w:val="decimal"/>
      <w:pStyle w:val="ListNumber3"/>
      <w:lvlText w:val="%1."/>
      <w:lvlJc w:val="left"/>
      <w:pPr>
        <w:tabs>
          <w:tab w:val="num" w:pos="926"/>
        </w:tabs>
        <w:ind w:left="926" w:hanging="360"/>
      </w:pPr>
    </w:lvl>
  </w:abstractNum>
  <w:abstractNum w:abstractNumId="2">
    <w:nsid w:val="FFFFFF7F"/>
    <w:multiLevelType w:val="singleLevel"/>
    <w:tmpl w:val="75A82FB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A5C49A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2CE62C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704DE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A32F372"/>
    <w:lvl w:ilvl="0">
      <w:start w:val="1"/>
      <w:numFmt w:val="decimal"/>
      <w:pStyle w:val="ListNumber"/>
      <w:lvlText w:val="%1."/>
      <w:lvlJc w:val="left"/>
      <w:pPr>
        <w:tabs>
          <w:tab w:val="num" w:pos="360"/>
        </w:tabs>
        <w:ind w:left="360" w:hanging="360"/>
      </w:pPr>
    </w:lvl>
  </w:abstractNum>
  <w:abstractNum w:abstractNumId="7">
    <w:nsid w:val="FFFFFF89"/>
    <w:multiLevelType w:val="singleLevel"/>
    <w:tmpl w:val="A956C7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10 09:51:4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76C8CE9-06C3-4C08-B76E-B5543C6B0182"/>
    <w:docVar w:name="LW_COVERPAGE_TYPE" w:val="1"/>
    <w:docVar w:name="LW_CROSSREFERENCE" w:val="&lt;UNUSED&gt;"/>
    <w:docVar w:name="LW_DocType" w:val="COM"/>
    <w:docVar w:name="LW_EMISSION" w:val="19.4.2018"/>
    <w:docVar w:name="LW_EMISSION_ISODATE" w:val="2018-04-19"/>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00"/>
    <w:docVar w:name="LW_REF.II.NEW.CP_YEAR" w:val="2018"/>
    <w:docVar w:name="LW_REF.INST.NEW" w:val="COM"/>
    <w:docVar w:name="LW_REF.INST.NEW_ADOPTED" w:val="final"/>
    <w:docVar w:name="LW_REF.INST.NEW_TEXT" w:val="(2018) 2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57?\u1098?\u1074?\u1084?\u1077?\u1089?\u1090?\u1085?\u1080?\u1103? \u1082?\u1086?\u1084?\u1080?\u1090?\u1077?\u1090? \u1085?\u1072? \u1045?\u1048?\u1055? \u1087?\u1086? \u1086?\u1090?\u1085?\u1086?\u1096?\u1077?\u1085?\u1080?\u1077? \u1085?\u1072? \u1080?\u1079?\u1084?\u1077?\u1085?\u1077?\u1085?\u1080?\u1077? \u1085?\u1072? \u1055?\u1088?\u1086?\u1090?\u1086?\u1082?\u1086?\u1083? 31 \u1082?\u1098?\u1084? \u1057?\u1087?\u1086?\u1088?\u1072?\u1079?\u1091?\u1084?\u1077?\u1085?\u1080?\u1077?\u1090?\u1086? \u1079?\u1072? \u1045?\u1048?\u1055?_x000b__x000b_(\u1055?\u1086?\u1076?\u1075?\u1086?\u1090?\u1074?\u1080?\u1090?\u1077?\u1083?\u1085?\u1086? \u1076?\u1077?\u1081?\u1089?\u1090?\u1074?\u1080?\u1077? \u1074?\u1098?\u1074? \u1074?\u1088?\u1098?\u1079?\u1082?\u1072? \u1089? \u1085?\u1072?\u1091?\u1095?\u1085?\u1080? \u1080?\u1079?\u1089?\u1083?\u1077?\u1076?\u1074?\u1072?\u1085?\u1080?\u1103? \u1074? \u1086?\u1073?\u1083?\u1072?\u1089?\u1090?\u1090?\u1072? \u1085?\u1072? \u1086?\u1090?\u1073?\u1088?\u1072?\u1085?\u1072?\u1090?\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3A071-569C-4E66-B1ED-300C8539A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1231</Words>
  <Characters>6870</Characters>
  <Application>Microsoft Office Word</Application>
  <DocSecurity>0</DocSecurity>
  <Lines>140</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2018-03-02T09:30:00Z</cp:lastPrinted>
  <dcterms:created xsi:type="dcterms:W3CDTF">2018-04-09T14:30:00Z</dcterms:created>
  <dcterms:modified xsi:type="dcterms:W3CDTF">2018-04-10T07:51:00Z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