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532F14B-60D7-4FE2-9846-7ADFC69B38B3" style="width:450.75pt;height:422.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The draft Decision of the EEA Joint Committee (annexed to the proposed Council Decision) aims to amend Protocol 31 to the EEA Agreement in order to continue the participation of EEA EFTA States (Norway) in the Union’s Preparatory Action on Defence Research (henceforth "Preparatory Action") in </w:t>
      </w:r>
      <w:r>
        <w:rPr>
          <w:noProof/>
          <w:szCs w:val="24"/>
        </w:rPr>
        <w:t>the financial year 2018</w:t>
      </w:r>
      <w:r>
        <w:rPr>
          <w:noProof/>
        </w:rPr>
        <w:t xml:space="preserve">. </w:t>
      </w:r>
    </w:p>
    <w:p>
      <w:pPr>
        <w:rPr>
          <w:noProof/>
        </w:rPr>
      </w:pPr>
      <w:r>
        <w:rPr>
          <w:noProof/>
        </w:rPr>
        <w:t>As Liechtenstein and Iceland did not express their interest in participating in this Preparatory Action, the draft Decision of the EEA Joint Committee therefore concerns only Norway.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The EEA Agreement foresees in Article 78 that the Contracting Parties shall strengthen and broaden cooperation in the framework of the EU's activities in the fields of research and technological development. The Commission, which currently finances exclusively civilian or dual-use </w:t>
      </w:r>
      <w:r>
        <w:rPr>
          <w:bCs/>
          <w:noProof/>
        </w:rPr>
        <w:t>R&amp;D through its Horizon 2020 programme</w:t>
      </w:r>
      <w:r>
        <w:rPr>
          <w:noProof/>
        </w:rPr>
        <w:t xml:space="preserve">, considers the Preparatory Action as a </w:t>
      </w:r>
      <w:r>
        <w:rPr>
          <w:bCs/>
          <w:noProof/>
        </w:rPr>
        <w:t>major instrument</w:t>
      </w:r>
      <w:r>
        <w:rPr>
          <w:noProof/>
        </w:rPr>
        <w:t xml:space="preserve"> for testing the added-value of defence-related research from the EU budget. </w:t>
      </w:r>
    </w:p>
    <w:p>
      <w:pPr>
        <w:rPr>
          <w:noProof/>
        </w:rPr>
      </w:pPr>
      <w:r>
        <w:rPr>
          <w:noProof/>
        </w:rPr>
        <w:t xml:space="preserve">Norway already participated in the Preparatory Action in the previous year 2017. In addition, Norway had concluded a Cooperation Agreement with the European Defence Agency and the related Defence and Security Procurement Directive (2009/81/EC), had been incorporated into the EEA Agreement already in 2014.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Cooperative defence research in innovative technologies, products and services is key to safeguarding the long-term competitiveness of the defence sector and, ultimately, Europe's strategic autonomy. The cooperation with Norway therefore positively contributes to the EU's efforts in this field. </w:t>
      </w:r>
    </w:p>
    <w:p>
      <w:pPr>
        <w:rPr>
          <w:noProof/>
        </w:rPr>
      </w:pPr>
      <w:r>
        <w:rPr>
          <w:noProof/>
        </w:rPr>
        <w:t xml:space="preserve">The Commission recognises that the Preparatory Action is part of its policies related to the internal market, industry and research. Further deepening of cooperation in this area in this area is therefore in line with objectives of the EEA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color w:val="000000"/>
        </w:rPr>
      </w:pPr>
      <w:r>
        <w:rPr>
          <w:noProof/>
        </w:rPr>
        <w:t>The legal basis is Articles 54(2)(b), 84(2) and Article 124 of Regulation (EU, Euratom) No 966/2012 of the European Parliament and of the Council of 25 October 2012 on the financial rules applicable to the general budget of the Union and repealing Council Regulation (EC, Euratom) No 1605/2002</w:t>
      </w:r>
      <w:r>
        <w:rPr>
          <w:rStyle w:val="FootnoteReference"/>
          <w:noProof/>
        </w:rPr>
        <w:footnoteReference w:id="1"/>
      </w:r>
      <w:r>
        <w:rPr>
          <w:noProof/>
        </w:rPr>
        <w:t xml:space="preserve"> in conjunction with </w:t>
      </w:r>
      <w:r>
        <w:rPr>
          <w:noProof/>
          <w:color w:val="000000"/>
        </w:rPr>
        <w:t>Article 1(3) of Council Regulation (EC) No 2894/94</w:t>
      </w:r>
      <w:r>
        <w:rPr>
          <w:rStyle w:val="FootnoteReference"/>
          <w:noProof/>
        </w:rPr>
        <w:footnoteReference w:id="2"/>
      </w:r>
      <w:r>
        <w:rPr>
          <w:noProof/>
          <w:color w:val="000000"/>
        </w:rPr>
        <w:t xml:space="preserve"> concerning arrangements for implementing the EEA Agreement providing that the Council establishes the position to be adopted on the Union’s behalf on such Decisions, on a proposal from the Commission. </w:t>
      </w:r>
    </w:p>
    <w:p>
      <w:pPr>
        <w:rPr>
          <w:noProof/>
        </w:rPr>
      </w:pPr>
      <w:r>
        <w:rPr>
          <w:noProof/>
        </w:rPr>
        <w:t>The Commission in cooperation with the EEAS submits the draft Decision of the EEA Joint Committee for adoption by the Council as the Union’s position. The Commission would hope to be able to present it in the EEA Joint Committee at the earliest possible opportunity.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cs="EUAlbertina"/>
          <w:noProof/>
          <w:color w:val="000000"/>
        </w:rPr>
      </w:pPr>
      <w:r>
        <w:rPr>
          <w:noProof/>
        </w:rPr>
        <w:t xml:space="preserve">The proposal complies with the subsidiarity principle for the following reason. </w:t>
      </w:r>
    </w:p>
    <w:p>
      <w:pPr>
        <w:rPr>
          <w:rFonts w:cs="EUAlbertina"/>
          <w:noProof/>
          <w:color w:val="000000"/>
          <w:szCs w:val="24"/>
        </w:rPr>
      </w:pPr>
      <w:r>
        <w:rPr>
          <w:rFonts w:cs="EUAlbertina"/>
          <w:noProof/>
          <w:color w:val="000000"/>
          <w:szCs w:val="24"/>
        </w:rPr>
        <w:t xml:space="preserve">The objective of this proposal, namely to establishing cooperation in the area of defence research with EEA EFTA States through its participation in a Preparatory Action financed by the EU budget, cannot be sufficiently achieved by the Member States and can therefore, by reason of the effects, be better achieved at Union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rFonts w:cs="EUAlbertina"/>
          <w:noProof/>
          <w:color w:val="000000"/>
          <w:szCs w:val="24"/>
        </w:rPr>
        <w:t>In accordance with the principle of proportionality, the proposal does not go beyond what is necessary in order to achieve its objective – to strengthen and broaden cooperation in the framework of the EU's activities in the fields of research and technological development.</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bCs/>
          <w:noProof/>
          <w:szCs w:val="24"/>
        </w:rPr>
      </w:pPr>
      <w:r>
        <w:rPr>
          <w:bCs/>
          <w:noProof/>
          <w:szCs w:val="24"/>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rPr>
      </w:pPr>
      <w:r>
        <w:rPr>
          <w:b w:val="0"/>
          <w:bCs/>
          <w:noProof/>
          <w:szCs w:val="24"/>
        </w:rPr>
        <w:t>Not applicable</w:t>
      </w:r>
      <w:r>
        <w:rPr>
          <w:rFonts w:eastAsia="Arial Unicode MS"/>
          <w:noProof/>
          <w:u w:color="000000"/>
          <w:bdr w:val="nil"/>
          <w:lang w:val="en-US" w:eastAsia="en-GB"/>
        </w:rPr>
        <w:t xml:space="preserv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Norway shall financially contribute to Budget line 02 04 77 03: “Preparatory action on Defence research”. The exact amount shall be determined once this Council decision is adopted.</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spacing w:before="0" w:after="240"/>
        <w:rPr>
          <w:noProof/>
        </w:rPr>
      </w:pPr>
      <w:r>
        <w:rPr>
          <w:noProof/>
        </w:rPr>
        <w:t>In line with the EU budgetary policy, any participation in an EU activity can take place only once the corresponding financial contribution is paid. The payment can however take place once this draft Council Decision is adopted and the subsequent EU call for funds established by the European Commission is submitted to the EEA EFTA States.</w:t>
      </w:r>
    </w:p>
    <w:p>
      <w:pPr>
        <w:spacing w:before="0" w:after="240"/>
        <w:rPr>
          <w:noProof/>
        </w:rPr>
      </w:pPr>
      <w:r>
        <w:rPr>
          <w:noProof/>
        </w:rPr>
        <w:t xml:space="preserve">Therefore, in order to bridge the period between January 2018 and the reception of the respective payment, the draft Joint Committee Decision shall be retroactively applicable from January 2018. </w:t>
      </w:r>
    </w:p>
    <w:p>
      <w:pPr>
        <w:rPr>
          <w:noProof/>
        </w:rPr>
        <w:sectPr>
          <w:footerReference w:type="default" r:id="rId15"/>
          <w:footerReference w:type="first" r:id="rId16"/>
          <w:pgSz w:w="11907" w:h="16839"/>
          <w:pgMar w:top="1134" w:right="1417" w:bottom="1134" w:left="1417" w:header="709" w:footer="709" w:gutter="0"/>
          <w:cols w:space="708"/>
          <w:docGrid w:linePitch="360"/>
        </w:sectPr>
      </w:pPr>
      <w:r>
        <w:rPr>
          <w:noProof/>
        </w:rPr>
        <w:t xml:space="preserve">The retroactivity does not affect the rights and obligations of persons concerned and respects the principle of the legitimate expectations. </w:t>
      </w:r>
    </w:p>
    <w:p>
      <w:pPr>
        <w:pStyle w:val="Rfrenceinterinstitutionnelle"/>
        <w:rPr>
          <w:noProof/>
        </w:rPr>
      </w:pPr>
      <w:r>
        <w:rPr>
          <w:noProof/>
        </w:rPr>
        <w:t>2018/0100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Protocol 31 to the EEA Agreement</w:t>
      </w:r>
      <w:r>
        <w:rPr>
          <w:noProof/>
        </w:rPr>
        <w:br/>
      </w:r>
      <w:r>
        <w:rPr>
          <w:noProof/>
        </w:rPr>
        <w:br/>
        <w:t>(The Union's preparatory action on defence research)</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lang w:val="en"/>
        </w:rPr>
      </w:pPr>
      <w:r>
        <w:rPr>
          <w:noProof/>
          <w:lang w:val="en"/>
        </w:rPr>
        <w:t>Having regard to the Treaty on the Functioning of the European Union, and in particular Article 218(9) thereof,</w:t>
      </w:r>
    </w:p>
    <w:p>
      <w:pPr>
        <w:rPr>
          <w:noProof/>
          <w:lang w:val="en"/>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3"/>
      </w:r>
      <w:r>
        <w:rPr>
          <w:noProof/>
          <w:lang w:val="en"/>
        </w:rPr>
        <w:t>, and in particular Article 1(3) thereof,</w:t>
      </w:r>
    </w:p>
    <w:p>
      <w:pPr>
        <w:rPr>
          <w:noProof/>
          <w:lang w:val="en"/>
        </w:rPr>
      </w:pPr>
      <w:r>
        <w:rPr>
          <w:noProof/>
          <w:lang w:val="en"/>
        </w:rPr>
        <w:t xml:space="preserve">Having regard to </w:t>
      </w:r>
      <w:r>
        <w:rPr>
          <w:noProof/>
        </w:rPr>
        <w:t>Regulation (EU, Euratom) No 966/2012 of the European Parliament and of the Council of 25 October 2012 on the financial rules applicable to the general budget of the Union and repealing Council Regulation (EC, Euratom) No 1605/2002</w:t>
      </w:r>
      <w:r>
        <w:rPr>
          <w:rStyle w:val="FootnoteReference"/>
          <w:noProof/>
        </w:rPr>
        <w:footnoteReference w:id="4"/>
      </w:r>
      <w:r>
        <w:rPr>
          <w:noProof/>
        </w:rPr>
        <w:t xml:space="preserve"> and in particular Articles 54(2)(b), 84(2) and Article 124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5"/>
      </w:r>
      <w:r>
        <w:rPr>
          <w:noProof/>
        </w:rPr>
        <w:t xml:space="preserve"> ('the EEA Agreement') entered into force on 1 January 1994.</w:t>
      </w:r>
    </w:p>
    <w:p>
      <w:pPr>
        <w:pStyle w:val="ManualConsidrant"/>
        <w:rPr>
          <w:noProof/>
        </w:rPr>
      </w:pPr>
      <w:r>
        <w:t>(2)</w:t>
      </w:r>
      <w:r>
        <w:tab/>
      </w:r>
      <w:r>
        <w:rPr>
          <w:noProof/>
        </w:rPr>
        <w:t xml:space="preserve">Pursuant to Article 98 of the EEA Agreement, the EEA Joint Committee may decide to amend, </w:t>
      </w:r>
      <w:r>
        <w:rPr>
          <w:i/>
          <w:noProof/>
        </w:rPr>
        <w:t>inter alia</w:t>
      </w:r>
      <w:r>
        <w:rPr>
          <w:noProof/>
        </w:rPr>
        <w:t xml:space="preserve">, Protocol 31 to the EEA Agreement. </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The EFTA States shall continue to participate in Union activities related to budget line 02 04 77 03 (Preparatory action on defence research), entered into the general budget of the European Union for the financial year 2018.</w:t>
      </w:r>
    </w:p>
    <w:p>
      <w:pPr>
        <w:pStyle w:val="ManualConsidrant"/>
        <w:rPr>
          <w:noProof/>
        </w:rPr>
      </w:pPr>
      <w:r>
        <w:t>(5)</w:t>
      </w:r>
      <w:r>
        <w:tab/>
      </w:r>
      <w:r>
        <w:rPr>
          <w:noProof/>
        </w:rPr>
        <w:t>Protocol 31 to the EEA Agreement should therefore be amended in order to allow for this extended cooperation to continue from 1 January 2018.</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the Union's behalf,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248, 16.09.2002, p.1</w:t>
      </w:r>
    </w:p>
  </w:footnote>
  <w:footnote w:id="2">
    <w:p>
      <w:pPr>
        <w:pStyle w:val="FootnoteText"/>
        <w:rPr>
          <w:lang w:val="pl-PL"/>
        </w:rPr>
      </w:pPr>
      <w:r>
        <w:rPr>
          <w:rStyle w:val="FootnoteReference"/>
        </w:rPr>
        <w:footnoteRef/>
      </w:r>
      <w:r>
        <w:rPr>
          <w:lang w:val="pl-PL"/>
        </w:rPr>
        <w:tab/>
      </w:r>
      <w:r>
        <w:rPr>
          <w:iCs/>
          <w:lang w:val="pl-PL"/>
        </w:rPr>
        <w:t>OJ L 305, 30.11.1994, p. 6–8</w:t>
      </w:r>
    </w:p>
  </w:footnote>
  <w:footnote w:id="3">
    <w:p>
      <w:pPr>
        <w:pStyle w:val="FootnoteText"/>
        <w:rPr>
          <w:lang w:val="pl-PL"/>
        </w:rPr>
      </w:pPr>
      <w:r>
        <w:rPr>
          <w:rStyle w:val="FootnoteReference"/>
        </w:rPr>
        <w:footnoteRef/>
      </w:r>
      <w:r>
        <w:rPr>
          <w:lang w:val="pl-PL"/>
        </w:rPr>
        <w:tab/>
      </w:r>
      <w:r>
        <w:rPr>
          <w:iCs/>
          <w:lang w:val="pl-PL"/>
        </w:rPr>
        <w:t>OJ L 305, 30.11.1994, p. 6–8.</w:t>
      </w:r>
    </w:p>
  </w:footnote>
  <w:footnote w:id="4">
    <w:p>
      <w:pPr>
        <w:pStyle w:val="FootnoteText"/>
        <w:rPr>
          <w:lang w:val="pl-PL"/>
        </w:rPr>
      </w:pPr>
      <w:r>
        <w:rPr>
          <w:rStyle w:val="FootnoteReference"/>
        </w:rPr>
        <w:footnoteRef/>
      </w:r>
      <w:r>
        <w:rPr>
          <w:lang w:val="pl-PL"/>
        </w:rPr>
        <w:tab/>
        <w:t>OJ L 248, 16.09.2002, p.1</w:t>
      </w:r>
    </w:p>
  </w:footnote>
  <w:footnote w:id="5">
    <w:p>
      <w:pPr>
        <w:pStyle w:val="FootnoteText"/>
        <w:rPr>
          <w:lang w:val="pl-PL"/>
        </w:rPr>
      </w:pPr>
      <w:r>
        <w:rPr>
          <w:rStyle w:val="FootnoteReference"/>
        </w:rPr>
        <w:footnoteRef/>
      </w:r>
      <w:r>
        <w:rPr>
          <w:lang w:val="pl-PL"/>
        </w:rPr>
        <w:tab/>
        <w:t xml:space="preserve">OJ L 1,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34AA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4422B2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A82F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A5C49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2CE62C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04DE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2F372"/>
    <w:lvl w:ilvl="0">
      <w:start w:val="1"/>
      <w:numFmt w:val="decimal"/>
      <w:pStyle w:val="ListNumber"/>
      <w:lvlText w:val="%1."/>
      <w:lvlJc w:val="left"/>
      <w:pPr>
        <w:tabs>
          <w:tab w:val="num" w:pos="360"/>
        </w:tabs>
        <w:ind w:left="360" w:hanging="360"/>
      </w:pPr>
    </w:lvl>
  </w:abstractNum>
  <w:abstractNum w:abstractNumId="7">
    <w:nsid w:val="FFFFFF89"/>
    <w:multiLevelType w:val="singleLevel"/>
    <w:tmpl w:val="A956C7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0 09:50:2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532F14B-60D7-4FE2-9846-7ADFC69B38B3"/>
    <w:docVar w:name="LW_COVERPAGE_TYPE" w:val="1"/>
    <w:docVar w:name="LW_CROSSREFERENCE" w:val="&lt;UNUSED&gt;"/>
    <w:docVar w:name="LW_DocType" w:val="COM"/>
    <w:docVar w:name="LW_EMISSION" w:val="19.4.2018"/>
    <w:docVar w:name="LW_EMISSION_ISODATE" w:val="2018-04-19"/>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00"/>
    <w:docVar w:name="LW_REF.II.NEW.CP_YEAR" w:val="2018"/>
    <w:docVar w:name="LW_REF.INST.NEW" w:val="COM"/>
    <w:docVar w:name="LW_REF.INST.NEW_ADOPTED" w:val="final"/>
    <w:docVar w:name="LW_REF.INST.NEW_TEXT" w:val="(2018) 2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_x000b__x000b_(The Union's preparatory action on defence research)"/>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1142</Words>
  <Characters>6264</Characters>
  <Application>Microsoft Office Word</Application>
  <DocSecurity>0</DocSecurity>
  <Lines>120</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2018-03-02T09:30:00Z</cp:lastPrinted>
  <dcterms:created xsi:type="dcterms:W3CDTF">2018-04-09T11:30:00Z</dcterms:created>
  <dcterms:modified xsi:type="dcterms:W3CDTF">2018-04-10T07:50:00Z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