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3552BD7-6DE5-4CCF-885C-76504522DF51" style="width:450.8pt;height:433.9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both"/>
        <w:rPr>
          <w:rFonts w:ascii="Times New Roman" w:hAnsi="Times New Roman"/>
          <w:noProof/>
          <w:sz w:val="24"/>
          <w:szCs w:val="24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  <w:bookmarkStart w:id="1" w:name="_GoBack"/>
      <w:bookmarkEnd w:id="1"/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2862470" cy="412728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98" cy="412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2767054" cy="42878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45" cy="42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ind w:left="1134" w:hanging="1134"/>
        <w:jc w:val="both"/>
        <w:rPr>
          <w:noProof/>
        </w:rPr>
      </w:pPr>
      <w:r>
        <w:rPr>
          <w:rFonts w:ascii="Times New Roman" w:hAnsi="Times New Roman"/>
          <w:i/>
          <w:noProof/>
          <w:sz w:val="18"/>
        </w:rPr>
        <w:t>Source:</w:t>
      </w:r>
      <w:r>
        <w:rPr>
          <w:noProof/>
        </w:rPr>
        <w:tab/>
      </w:r>
      <w:r>
        <w:rPr>
          <w:rFonts w:ascii="Times New Roman" w:hAnsi="Times New Roman"/>
          <w:i/>
          <w:noProof/>
          <w:sz w:val="18"/>
        </w:rPr>
        <w:t>Calculs propres établis à partir d’informations recueillies auprès des États membres et sur la base d’études dédiées</w:t>
      </w: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5595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01254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3552BD7-6DE5-4CCF-885C-76504522DF51"/>
    <w:docVar w:name="LW_COVERPAGE_TYPE" w:val="1"/>
    <w:docVar w:name="LW_CROSSREFERENCE" w:val="{SWD(2018) 236 final}_x000b_{SWD(2018) 237 final}"/>
    <w:docVar w:name="LW_DocType" w:val="NORMAL"/>
    <w:docVar w:name="LW_EMISSION" w:val="19.4.2018"/>
    <w:docVar w:name="LW_EMISSION_ISODATE" w:val="2018-04-19"/>
    <w:docVar w:name="LW_EMISSION_LOCATION" w:val="BRX"/>
    <w:docVar w:name="LW_EMISSION_PREFIX" w:val="Bruxelles, le 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Adapter le commerce de détail de l\u8217?UE aux exigences du XXI&lt;FMT:Superscript&gt;e&lt;/FMT&gt; siècle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COMMUNICATION DE LA COMMISSION AU PARLEMENT EUROPÉEN, AU CONSEIL, AU COMITÉ ÉCONOMIQUE ET SOCIAL EUROPÉEN ET AU COMITÉ DES RÉ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</Words>
  <Characters>113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15</cp:revision>
  <dcterms:created xsi:type="dcterms:W3CDTF">2018-04-10T07:32:00Z</dcterms:created>
  <dcterms:modified xsi:type="dcterms:W3CDTF">2018-04-17T11:32:00Z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