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15F42FC-265A-4AE7-BB56-21D996930B9B" style="width:450.8pt;height:420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878455" cy="4317365"/>
            <wp:effectExtent l="0" t="0" r="0" b="698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846705" cy="4325620"/>
            <wp:effectExtent l="0" t="0" r="0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134" w:hanging="1134"/>
        <w:jc w:val="both"/>
        <w:rPr>
          <w:noProof/>
        </w:rPr>
      </w:pPr>
      <w:r>
        <w:rPr>
          <w:rFonts w:ascii="Times New Roman" w:hAnsi="Times New Roman"/>
          <w:i/>
          <w:noProof/>
          <w:sz w:val="18"/>
          <w:szCs w:val="18"/>
        </w:rPr>
        <w:t>Source:</w:t>
      </w:r>
      <w:r>
        <w:rPr>
          <w:rFonts w:ascii="Times New Roman" w:hAnsi="Times New Roman"/>
          <w:i/>
          <w:noProof/>
          <w:sz w:val="18"/>
          <w:szCs w:val="18"/>
        </w:rPr>
        <w:tab/>
        <w:t>Own calculations based on information collected from Member States and through dedicated studies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35595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15F42FC-265A-4AE7-BB56-21D996930B9B"/>
    <w:docVar w:name="LW_COVERPAGE_TYPE" w:val="1"/>
    <w:docVar w:name="LW_CROSSREFERENCE" w:val="{SWD(2018) 236 final}_x000b_{SWD(2018) 237 final}"/>
    <w:docVar w:name="LW_DocType" w:val="NORMAL"/>
    <w:docVar w:name="LW_EMISSION" w:val="19.4.2018"/>
    <w:docVar w:name="LW_EMISSION_ISODATE" w:val="2018-04-19"/>
    <w:docVar w:name="LW_EMISSION_LOCATION" w:val="BRX"/>
    <w:docVar w:name="LW_EMISSION_PREFIX" w:val="Brussels, 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&lt;FMT:Bold&gt;A European retail sector fit for the 21st century&lt;/FMT&gt;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21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UNICATION FROM THE COMMISSION TO THE EUROPEAN PARLIAMENT, THE COUNCIL, THE EUROPEAN ECONOMIC AND SOCIAL COMMITTEE AND THE COMMITTEE OF THE REG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9</cp:revision>
  <dcterms:created xsi:type="dcterms:W3CDTF">2018-04-10T07:32:00Z</dcterms:created>
  <dcterms:modified xsi:type="dcterms:W3CDTF">2018-04-17T11:31:00Z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