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963269-72E7-4045-AEFF-A9AE7424094A" style="width:450.8pt;height:463.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(Norvège, Islande et Liechtenstein) aux actions engagées par l’Union au titre de la ligne budgétaire 12 02 01: «Mise en œuvre et développement du marché unique des services financiers» du budget général de l’Union européenne pour l’exercice 2018.</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 projet de décision du Comité mixte joint en annexe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matérielle de la présente proposition présentée au Conseil est l’article 114 du traité sur le fonctionnement de l’Union européenne, en liaison avec l’article 218, paragraphe 9.</w:t>
      </w:r>
    </w:p>
    <w:p>
      <w:pPr>
        <w:rPr>
          <w:noProof/>
        </w:rPr>
      </w:pPr>
      <w:r>
        <w:rPr>
          <w:noProof/>
        </w:rPr>
        <w:t>La base juridique procédurale est 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1"/>
      </w:r>
      <w:r>
        <w:rPr>
          <w:noProof/>
        </w:rPr>
        <w:t>, qui prévoit que le Conseil arrête, sur proposition de la Commission, la position à prendre au nom de l’Union à l’égard de décisions de ce type.</w:t>
      </w:r>
    </w:p>
    <w:p>
      <w:pPr>
        <w:rPr>
          <w:noProof/>
        </w:rPr>
      </w:pPr>
      <w:r>
        <w:rPr>
          <w:noProof/>
        </w:rPr>
        <w:t>La Commission, en collaboration avec le SEAE, soumet le projet de décision du Comité mixte de l’EEE au Conseil pour adoption en tant que position de l’Union. Elle espère pouvoir présenter ce document au Comité mixte de l’EEE dès que possible.</w:t>
      </w:r>
    </w:p>
    <w:p>
      <w:pPr>
        <w:pStyle w:val="ManualHeading2"/>
        <w:rPr>
          <w:rFonts w:eastAsia="Arial Unicode MS"/>
          <w:noProof/>
          <w:u w:color="000000"/>
          <w:bdr w:val="nil"/>
        </w:rPr>
      </w:pPr>
      <w:r>
        <w:rPr>
          <w:noProof/>
        </w:rPr>
        <w:t>•</w:t>
      </w:r>
      <w:r>
        <w:rPr>
          <w:noProof/>
        </w:rPr>
        <w:tab/>
        <w:t>Subsidiarité (en cas de compétence non exclusive)</w:t>
      </w:r>
    </w:p>
    <w:p>
      <w:pPr>
        <w:rPr>
          <w:rFonts w:cs="EUAlbertina"/>
          <w:noProof/>
          <w:color w:val="000000"/>
        </w:rPr>
      </w:pPr>
      <w:r>
        <w:rPr>
          <w:noProof/>
        </w:rPr>
        <w:t>La proposition respecte le principe de subsidiarité pour la raison exposée ci-après.</w:t>
      </w:r>
    </w:p>
    <w:p>
      <w:pPr>
        <w:rPr>
          <w:rFonts w:cs="EUAlbertina"/>
          <w:noProof/>
          <w:color w:val="000000"/>
          <w:szCs w:val="24"/>
        </w:rPr>
      </w:pPr>
      <w:r>
        <w:rPr>
          <w:noProof/>
          <w:color w:val="000000"/>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rFonts w:cs="EUAlbertina"/>
          <w:noProof/>
          <w:color w:val="000000"/>
          <w:szCs w:val="24"/>
        </w:rPr>
      </w:pPr>
      <w:r>
        <w:rPr>
          <w:noProof/>
          <w:color w:val="000000"/>
        </w:rPr>
        <w:t>Conformément au principe de proportionnalité, la proposition ne va pas au-delà de ce qui est nécessaire pour atteindre son objectif (garantir l’homogénéité du marché intérieur).</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bCs/>
          <w:noProof/>
          <w:szCs w:val="24"/>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le présent accord.</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noProof/>
        </w:rPr>
      </w:pPr>
      <w:r>
        <w:rPr>
          <w:noProof/>
        </w:rPr>
        <w:t>Les États de l’AELE membres de l’EEE contribueront financièrement au budget de l’Union, ligne budgétaire 12 02 01: «Mise en œuvre et développement du marché unique des services financiers». Le montant exact sera déterminé en conformité avec les dispositions de l’accord EEE, dès que la présente proposition de décision du Conseil aura été adoptée.</w:t>
      </w:r>
    </w:p>
    <w:p>
      <w:pPr>
        <w:pStyle w:val="ManualHeading1"/>
        <w:rPr>
          <w:noProof/>
        </w:rPr>
      </w:pPr>
      <w:r>
        <w:rPr>
          <w:noProof/>
        </w:rPr>
        <w:t>4.</w:t>
      </w:r>
      <w:r>
        <w:rPr>
          <w:noProof/>
        </w:rPr>
        <w:tab/>
        <w:t>AUTRES ÉLÉMENTS</w:t>
      </w:r>
    </w:p>
    <w:p>
      <w:pPr>
        <w:spacing w:before="0" w:after="240"/>
        <w:rPr>
          <w:noProof/>
        </w:rPr>
      </w:pPr>
      <w:r>
        <w:rPr>
          <w:noProof/>
        </w:rPr>
        <w:t>Conformément à la politique budgétaire de l’UE, la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spacing w:before="0" w:after="240"/>
        <w:rPr>
          <w:rFonts w:eastAsia="Arial Unicode MS"/>
          <w:noProof/>
        </w:rPr>
      </w:pPr>
      <w:r>
        <w:rPr>
          <w:noProof/>
        </w:rPr>
        <w:t>Le caractère rétroactif ne porte pas atteinte aux droits et obligations des personnes concernées et respecte le principe de la confiance légitime.</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au sein du Comité mixte de l’EEE au sujet d’une modification du protocole 31 de l’accord EEE concernant la coopération dans des secteurs particuliers en dehors des quatre libertés</w:t>
      </w:r>
      <w:r>
        <w:rPr>
          <w:noProof/>
        </w:rPr>
        <w:br/>
      </w:r>
      <w:r>
        <w:rPr>
          <w:noProof/>
        </w:rPr>
        <w:br/>
        <w:t>(Ligne budgétaire 12.02.01: Mise en œuvre et développement du marché unique des services financiers)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l’Union européenne, relatives aux services financiers.</w:t>
      </w:r>
    </w:p>
    <w:p>
      <w:pPr>
        <w:pStyle w:val="ManualConsidrant"/>
        <w:rPr>
          <w:noProof/>
        </w:rPr>
      </w:pPr>
      <w:r>
        <w:t>(5)</w:t>
      </w:r>
      <w:r>
        <w:tab/>
      </w:r>
      <w:r>
        <w:rPr>
          <w:noProof/>
        </w:rPr>
        <w:t>Il convient, dès lors, de modifier le protocole 31 de l’accord EEE afin que cette coopération élargie puisse être poursuivie à compter du 1</w:t>
      </w:r>
      <w:r>
        <w:rPr>
          <w:noProof/>
          <w:vertAlign w:val="superscript"/>
        </w:rPr>
        <w:t>er</w:t>
      </w:r>
      <w:r>
        <w:rPr>
          <w:noProof/>
        </w:rPr>
        <w:t> janvier 2018.</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305 du 30.11.1994, p. 6.</w:t>
      </w:r>
    </w:p>
  </w:footnote>
  <w:footnote w:id="2">
    <w:p>
      <w:pPr>
        <w:pStyle w:val="FootnoteText"/>
      </w:pPr>
      <w:r>
        <w:rPr>
          <w:rStyle w:val="FootnoteReference"/>
        </w:rPr>
        <w:footnoteRef/>
      </w:r>
      <w:r>
        <w:tab/>
        <w:t>JO L 305 du 30.11.1994, p. 6.</w:t>
      </w:r>
    </w:p>
  </w:footnote>
  <w:footnote w:id="3">
    <w:p>
      <w:pPr>
        <w:pStyle w:val="FootnoteText"/>
      </w:pPr>
      <w:r>
        <w:rPr>
          <w:rStyle w:val="FootnoteReference"/>
        </w:rPr>
        <w:footnoteRef/>
      </w:r>
      <w:r>
        <w:tab/>
        <w:t>JO L 1 du 3.1.1994,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D029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3622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8CA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BC9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96BF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B9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E22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61BE4E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doNotDisplayPageBoundaries/>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2:0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B963269-72E7-4045-AEFF-A9AE7424094A"/>
    <w:docVar w:name="LW_COVERPAGE_TYPE" w:val="1"/>
    <w:docVar w:name="LW_CROSSREFERENCE" w:val="&lt;UNUSED&gt;"/>
    <w:docVar w:name="LW_DocType" w:val="COM"/>
    <w:docVar w:name="LW_EMISSION" w:val="19.4.2018"/>
    <w:docVar w:name="LW_EMISSION_ISODATE" w:val="2018-04-19"/>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9"/>
    <w:docVar w:name="LW_REF.II.NEW.CP_YEAR" w:val="2018"/>
    <w:docVar w:name="LW_REF.INST.NEW" w:val="COM"/>
    <w:docVar w:name="LW_REF.INST.NEW_ADOPTED" w:val="final"/>
    <w:docVar w:name="LW_REF.INST.NEW_TEXT" w:val="(2018)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_x000b_au sein du Comité mixte de l\u8217?EEE au sujet d\u8217?une modification du protocole 31 de l\u8217?accord EEE concernant la coopération dans des secteurs particuliers en dehors des quatre libertés_x000b__x000b_(Ligne budgétaire 12.02.01: Mise en \u339?uvre et développement du marché unique des services financie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1110</Words>
  <Characters>5900</Characters>
  <Application>Microsoft Office Word</Application>
  <DocSecurity>0</DocSecurity>
  <Lines>111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2018-03-02T16:01:00Z</cp:lastPrinted>
  <dcterms:created xsi:type="dcterms:W3CDTF">2018-04-11T10:02:00Z</dcterms:created>
  <dcterms:modified xsi:type="dcterms:W3CDTF">2018-04-19T05:54:00Z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