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BCDBC0-5F48-49B9-8FB8-7D4FF9B2E031" style="width:450.75pt;height:46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rPr>
          <w:noProof/>
        </w:rPr>
      </w:pPr>
      <w:r>
        <w:rPr>
          <w:noProof/>
        </w:rPr>
        <w:t>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позволи на членуващите в ЕИП държави от ЕАСТ (Норвегия, Исландия и Лихтенщайн) да участват в действията на Съюза, свързани с бюджетен ред 12 02 01 „Осъществяване и развитие на единния пазар на финансови услуги“, въведен в общия бюджет на Европейския съюз за 2018 финансова година.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същите правила за създаване на еднородно Европейско икономическо пространство.</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spacing w:val="-4"/>
        </w:rPr>
      </w:pPr>
      <w:r>
        <w:rPr>
          <w:noProof/>
          <w:spacing w:val="-4"/>
        </w:rPr>
        <w:t>2.</w:t>
      </w:r>
      <w:r>
        <w:rPr>
          <w:noProof/>
          <w:spacing w:val="-4"/>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Материалноправното основание за това предложение на Съвета е член 114 от Договора за функционирането на Европейския съюз във връзка с член 218, параграф 9 от него. </w:t>
      </w:r>
    </w:p>
    <w:p>
      <w:pPr>
        <w:rPr>
          <w:noProof/>
        </w:rPr>
      </w:pPr>
      <w:r>
        <w:rPr>
          <w:noProof/>
        </w:rPr>
        <w:t>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ЕИП Съветът определя въз основа на предложение на Комисията позицията, която трябва да се заеме от името на Съюза по отношение на подобни решения.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rPr>
          <w:rFonts w:cs="EUAlbertina"/>
          <w:noProof/>
          <w:color w:val="000000"/>
          <w:szCs w:val="24"/>
        </w:rPr>
      </w:pPr>
      <w:r>
        <w:rPr>
          <w:noProof/>
          <w:color w:val="000000"/>
        </w:rPr>
        <w:t xml:space="preserve">Целта на настоящото предложение, а именно да се осигури хомогенността на вътрешния пазар, не може да бъде постигната в достатъчна степен от държавите </w:t>
      </w:r>
      <w:r>
        <w:rPr>
          <w:noProof/>
          <w:color w:val="000000"/>
        </w:rPr>
        <w:lastRenderedPageBreak/>
        <w:t xml:space="preserve">членки, вследствие на което може, с оглед на последиците, да бъде постигната по-добре на равнището на Съюза.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cs="EUAlbertina"/>
          <w:noProof/>
          <w:color w:val="000000"/>
          <w:szCs w:val="24"/>
        </w:rPr>
      </w:pPr>
      <w:r>
        <w:rPr>
          <w:noProof/>
          <w:color w:val="000000"/>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Членуващите в ЕИП държави от ЕАСТ участват финансово в бюджета на Съюза, бюджетен ред 12 02 01 „Осъществяване и развитие на единния пазар на финансови услуги“.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 </w:t>
      </w:r>
    </w:p>
    <w:p>
      <w:pPr>
        <w:pStyle w:val="ManualHeading1"/>
        <w:rPr>
          <w:noProof/>
        </w:rPr>
      </w:pPr>
      <w:r>
        <w:rPr>
          <w:noProof/>
        </w:rPr>
        <w:t>4.</w:t>
      </w:r>
      <w:r>
        <w:rPr>
          <w:noProof/>
        </w:rPr>
        <w:tab/>
        <w:t>ДРУГИ ЕЛЕМЕНТИ</w:t>
      </w:r>
    </w:p>
    <w:p>
      <w:pP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 съответствие с Протокол 32 към Споразумението за ЕИП обаче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изготвена от Европейската комисия и представена на членуващите в ЕИП държави от ЕАСТ до 15 август.</w:t>
      </w:r>
    </w:p>
    <w:p>
      <w:pP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както е предвидено в Споразумението за ЕИП, през цялата календарна година.</w:t>
      </w:r>
    </w:p>
    <w:p>
      <w:pPr>
        <w:spacing w:before="0" w:after="240"/>
        <w:rPr>
          <w:rFonts w:eastAsia="Arial Unicode MS"/>
          <w:noProof/>
        </w:rPr>
      </w:pPr>
      <w:r>
        <w:rPr>
          <w:noProof/>
        </w:rPr>
        <w:t xml:space="preserve">Обратното действие не засяга правата и задълженията на съответните лица и е в съответствие с принципа на оправданите правни очаквания. </w:t>
      </w:r>
    </w:p>
    <w:p>
      <w:pPr>
        <w:pStyle w:val="ManualHeading2"/>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r>
      <w:r>
        <w:rPr>
          <w:noProof/>
        </w:rPr>
        <w:br/>
        <w:t>(Бюджетен ред 12 02 01 „Осъществяване и развитие на единния пазар на финансови услуги“)</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Протокол 31 към Споразумението за ЕИП.</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финансовите услуги.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от 1 януари 2018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305, 30.11.1994 г., стр. 6—8.</w:t>
      </w:r>
    </w:p>
  </w:footnote>
  <w:footnote w:id="2">
    <w:p>
      <w:pPr>
        <w:pStyle w:val="FootnoteText"/>
        <w:rPr>
          <w:lang w:val="pl-PL"/>
        </w:rPr>
      </w:pPr>
      <w:r>
        <w:rPr>
          <w:rStyle w:val="FootnoteReference"/>
        </w:rPr>
        <w:footnoteRef/>
      </w:r>
      <w:r>
        <w:tab/>
        <w:t>ОВ L 305, 30.11.1994 г., стр. 6.</w:t>
      </w:r>
    </w:p>
  </w:footnote>
  <w:footnote w:id="3">
    <w:p>
      <w:pPr>
        <w:pStyle w:val="FootnoteText"/>
        <w:rPr>
          <w:lang w:val="pl-PL"/>
        </w:rPr>
      </w:pPr>
      <w:r>
        <w:rPr>
          <w:rStyle w:val="FootnoteReference"/>
        </w:rPr>
        <w:footnoteRef/>
      </w:r>
      <w:r>
        <w:tab/>
        <w:t xml:space="preserve">ОВ L 1, 3.1.1994 г., стр.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D029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3622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E8CA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BC9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96BF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B9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E22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61BE4E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9 16:07: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BCDBC0-5F48-49B9-8FB8-7D4FF9B2E031"/>
    <w:docVar w:name="LW_COVERPAGE_TYPE" w:val="1"/>
    <w:docVar w:name="LW_CROSSREFERENCE" w:val="&lt;UNUSED&gt;"/>
    <w:docVar w:name="LW_DocType" w:val="COM"/>
    <w:docVar w:name="LW_EMISSION" w:val="19.4.2018"/>
    <w:docVar w:name="LW_EMISSION_ISODATE" w:val="2018-04-19"/>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9"/>
    <w:docVar w:name="LW_REF.II.NEW.CP_YEAR" w:val="2018"/>
    <w:docVar w:name="LW_REF.INST.NEW" w:val="COM"/>
    <w:docVar w:name="LW_REF.INST.NEW_ADOPTED" w:val="final"/>
    <w:docVar w:name="LW_REF.INST.NEW_TEXT" w:val="(2018)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_x000b_(\u1041?\u1102?\u1076?\u1078?\u1077?\u1090?\u1077?\u1085? \u1088?\u1077?\u1076? 12 02 01 \u8222?\u1054?\u1089?\u1098?\u1097?\u1077?\u1089?\u1090?\u1074?\u1103?\u1074?\u1072?\u1085?\u1077? \u1080? \u1088?\u1072?\u1079?\u1074?\u1080?\u1090?\u1080?\u1077? \u1085?\u1072? \u1077?\u1076?\u1080?\u1085?\u1085?\u1080?\u1103? \u1087?\u1072?\u1079?\u1072?\u1088? \u1085?\u1072? \u1092?\u1080?\u1085?\u1072?\u1085?\u1089?\u1086?\u1074?\u1080? \u1091?\u1089?\u1083?\u1091?\u1075?\u1080?\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AC4F-6A55-4067-9EF5-2AC0D221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1045</Words>
  <Characters>5761</Characters>
  <Application>Microsoft Office Word</Application>
  <DocSecurity>0</DocSecurity>
  <Lines>120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2018-03-02T16:01:00Z</cp:lastPrinted>
  <dcterms:created xsi:type="dcterms:W3CDTF">2018-04-19T07:45:00Z</dcterms:created>
  <dcterms:modified xsi:type="dcterms:W3CDTF">2018-04-19T14:07:00Z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