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6C78F4-47EF-4EE8-9365-DC6B0135B918"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rPr>
      </w:pPr>
      <w:bookmarkStart w:id="1" w:name="_GoBack"/>
      <w:bookmarkEnd w:id="1"/>
      <w:r>
        <w:rPr>
          <w:noProof/>
        </w:rPr>
        <w:lastRenderedPageBreak/>
        <w:t>ПРИЛОЖЕНИЕ II (</w:t>
      </w:r>
      <w:r>
        <w:rPr>
          <w:noProof/>
          <w:lang w:val="bg-BG"/>
        </w:rPr>
        <w:t>Част</w:t>
      </w:r>
      <w:r>
        <w:rPr>
          <w:noProof/>
        </w:rPr>
        <w:t xml:space="preserve"> 2)</w:t>
      </w:r>
    </w:p>
    <w:p>
      <w:pPr>
        <w:jc w:val="center"/>
        <w:rPr>
          <w:b/>
          <w:noProof/>
        </w:rPr>
      </w:pPr>
    </w:p>
    <w:p>
      <w:pPr>
        <w:jc w:val="center"/>
        <w:rPr>
          <w:b/>
          <w:noProof/>
        </w:rPr>
      </w:pPr>
    </w:p>
    <w:p>
      <w:pPr>
        <w:jc w:val="center"/>
        <w:rPr>
          <w:bCs/>
          <w:noProof/>
        </w:rPr>
      </w:pPr>
      <w:r>
        <w:rPr>
          <w:bCs/>
          <w:noProof/>
        </w:rPr>
        <w:t>ПРИТУРКА КЪМ ДОПЪЛНЕНИЕ 2-А-2 КЪМ ВТОРА ГЛАВА ОТНОСНО НАЦИОНАЛНОТО ТРЕТИРАНЕ И ДОСТЪПА НА СТОКИ ДО ПАЗАРА</w:t>
      </w:r>
    </w:p>
    <w:p>
      <w:pPr>
        <w:jc w:val="center"/>
        <w:rPr>
          <w:noProof/>
          <w:color w:val="000000"/>
          <w:sz w:val="22"/>
        </w:rPr>
      </w:pPr>
    </w:p>
    <w:p>
      <w:pPr>
        <w:jc w:val="center"/>
        <w:rPr>
          <w:noProof/>
          <w:color w:val="000000"/>
          <w:szCs w:val="24"/>
          <w:lang w:val="bg-BG"/>
        </w:rPr>
      </w:pPr>
      <w:r>
        <w:rPr>
          <w:noProof/>
          <w:color w:val="000000"/>
          <w:szCs w:val="24"/>
        </w:rPr>
        <w:t>МИТНИЧЕСКА ТАРИФА НА СЪЮЗА</w:t>
      </w:r>
    </w:p>
    <w:tbl>
      <w:tblPr>
        <w:tblW w:w="14175" w:type="dxa"/>
        <w:tblInd w:w="93" w:type="dxa"/>
        <w:tblLook w:val="04A0" w:firstRow="1" w:lastRow="0" w:firstColumn="1" w:lastColumn="0" w:noHBand="0" w:noVBand="1"/>
      </w:tblPr>
      <w:tblGrid>
        <w:gridCol w:w="1395"/>
        <w:gridCol w:w="5362"/>
        <w:gridCol w:w="3863"/>
        <w:gridCol w:w="1524"/>
        <w:gridCol w:w="2031"/>
      </w:tblGrid>
      <w:tr>
        <w:trPr>
          <w:trHeight w:val="855"/>
          <w:tblHeader/>
        </w:trPr>
        <w:tc>
          <w:tcPr>
            <w:tcW w:w="1395" w:type="dxa"/>
            <w:tcBorders>
              <w:top w:val="single" w:sz="4" w:space="0" w:color="auto"/>
              <w:left w:val="single" w:sz="4" w:space="0" w:color="auto"/>
              <w:bottom w:val="single" w:sz="4" w:space="0" w:color="auto"/>
              <w:right w:val="single" w:sz="4" w:space="0" w:color="auto"/>
            </w:tcBorders>
            <w:shd w:val="clear" w:color="auto" w:fill="auto"/>
            <w:hideMark/>
          </w:tcPr>
          <w:p>
            <w:pPr>
              <w:jc w:val="center"/>
              <w:rPr>
                <w:bCs/>
                <w:noProof/>
                <w:color w:val="000000"/>
                <w:szCs w:val="24"/>
              </w:rPr>
            </w:pPr>
            <w:r>
              <w:rPr>
                <w:noProof/>
                <w:color w:val="000000"/>
                <w:szCs w:val="24"/>
              </w:rPr>
              <w:t>КН 2013 г.</w:t>
            </w:r>
          </w:p>
        </w:tc>
        <w:tc>
          <w:tcPr>
            <w:tcW w:w="5362" w:type="dxa"/>
            <w:tcBorders>
              <w:top w:val="single" w:sz="4" w:space="0" w:color="auto"/>
              <w:left w:val="nil"/>
              <w:bottom w:val="single" w:sz="4" w:space="0" w:color="auto"/>
              <w:right w:val="single" w:sz="4" w:space="0" w:color="auto"/>
            </w:tcBorders>
            <w:shd w:val="clear" w:color="auto" w:fill="auto"/>
            <w:hideMark/>
          </w:tcPr>
          <w:p>
            <w:pPr>
              <w:jc w:val="center"/>
              <w:rPr>
                <w:bCs/>
                <w:noProof/>
                <w:color w:val="000000"/>
                <w:szCs w:val="24"/>
              </w:rPr>
            </w:pPr>
            <w:r>
              <w:rPr>
                <w:noProof/>
                <w:color w:val="000000"/>
                <w:szCs w:val="24"/>
              </w:rPr>
              <w:t>Описание</w:t>
            </w:r>
          </w:p>
        </w:tc>
        <w:tc>
          <w:tcPr>
            <w:tcW w:w="3863" w:type="dxa"/>
            <w:tcBorders>
              <w:top w:val="single" w:sz="4" w:space="0" w:color="auto"/>
              <w:left w:val="nil"/>
              <w:bottom w:val="single" w:sz="4" w:space="0" w:color="auto"/>
              <w:right w:val="single" w:sz="4" w:space="0" w:color="auto"/>
            </w:tcBorders>
            <w:shd w:val="clear" w:color="auto" w:fill="auto"/>
            <w:hideMark/>
          </w:tcPr>
          <w:p>
            <w:pPr>
              <w:jc w:val="center"/>
              <w:rPr>
                <w:bCs/>
                <w:noProof/>
                <w:color w:val="000000"/>
                <w:szCs w:val="24"/>
              </w:rPr>
            </w:pPr>
            <w:r>
              <w:rPr>
                <w:noProof/>
                <w:color w:val="000000"/>
                <w:szCs w:val="24"/>
              </w:rPr>
              <w:t>Базова ставка</w:t>
            </w:r>
          </w:p>
        </w:tc>
        <w:tc>
          <w:tcPr>
            <w:tcW w:w="1524" w:type="dxa"/>
            <w:tcBorders>
              <w:top w:val="single" w:sz="4" w:space="0" w:color="auto"/>
              <w:left w:val="nil"/>
              <w:bottom w:val="single" w:sz="4" w:space="0" w:color="auto"/>
              <w:right w:val="single" w:sz="4" w:space="0" w:color="auto"/>
            </w:tcBorders>
            <w:shd w:val="clear" w:color="auto" w:fill="auto"/>
            <w:hideMark/>
          </w:tcPr>
          <w:p>
            <w:pPr>
              <w:jc w:val="center"/>
              <w:rPr>
                <w:bCs/>
                <w:noProof/>
                <w:color w:val="000000"/>
                <w:szCs w:val="24"/>
              </w:rPr>
            </w:pPr>
            <w:r>
              <w:rPr>
                <w:noProof/>
                <w:color w:val="000000"/>
                <w:szCs w:val="24"/>
              </w:rPr>
              <w:t>Поетапна категория</w:t>
            </w:r>
          </w:p>
        </w:tc>
        <w:tc>
          <w:tcPr>
            <w:tcW w:w="2031" w:type="dxa"/>
            <w:tcBorders>
              <w:top w:val="single" w:sz="4" w:space="0" w:color="auto"/>
              <w:left w:val="nil"/>
              <w:bottom w:val="single" w:sz="4" w:space="0" w:color="auto"/>
              <w:right w:val="single" w:sz="4" w:space="0" w:color="auto"/>
            </w:tcBorders>
            <w:shd w:val="clear" w:color="auto" w:fill="auto"/>
            <w:hideMark/>
          </w:tcPr>
          <w:p>
            <w:pPr>
              <w:jc w:val="center"/>
              <w:rPr>
                <w:bCs/>
                <w:noProof/>
                <w:color w:val="000000"/>
                <w:szCs w:val="24"/>
              </w:rPr>
            </w:pPr>
            <w:r>
              <w:rPr>
                <w:noProof/>
                <w:color w:val="000000"/>
                <w:szCs w:val="24"/>
              </w:rPr>
              <w:t>Входна цена</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 непревишаващо 80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36"/>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клане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клане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0102 29 49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клане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клане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0102 29 69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клане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0102 29 99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0102 39 10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Домашни видове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lastRenderedPageBreak/>
              <w:t>0102 90 91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Домашни видове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+ 93,1 €/100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0103 91 10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Домашни видове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0103 92 11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Женски свине, които са се опрасили поне един път, с минимално тегло 160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0103 92 19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0104 10 30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Агнета (на възраст до 1 година)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0104 10 80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0104 20 90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Яйценосно направление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Яйценосно направление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Пуйки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0105 15 00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Токачки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0105 94 00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Петли и кокошки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0105 99 20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31,6 €/100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0105 99 30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Пуйки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0105 99 50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Токачки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0201 20 20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Компенсирани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четвъртинки, разфасовани или неразфасовани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+ 141,4 €/100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Задни четвъртинки, разфасовани или неразфасовани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+ 212,2 €/100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+ 265,2 €/100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0201 30 00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Компенсирани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четвъртинки, разфасовани или неразфасовани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+ 141,4 €/100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Задни четвъртинки, разфасовани или неразфасовани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+ 265,3 €/100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8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четвъртинки, цели или нарязани максимум на пет парчета, като всяка предна четвъртинка е замразена поотделно; „компенсирани“ четвъртинки, замразени на два блока, единият от които съдържа предната четвъртинка, цяла или нарязана на максимум пет парчета, а другият — задната четвъртинка без филето, в едно цяло парче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0202 30 50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Разфасовки от предни четвъртинки и от гърди, наречени „австралийски“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0202 30 90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+ 304,1 €/100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свине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Бутове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Плешки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части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0203 19 13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Котлети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0203 19 15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(шарено месо)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0203 19 55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0203 19 59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свине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Бутове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Плешки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части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0203 29 13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Котлети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0203 29 15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(шарено месо)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0203 29 55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0203 29 59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 половин трупове от агнета,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 част или половин предна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+ 119,9 €/100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0204 22 30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Карета и/или седло или половин каре и/или половин седло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+ 188,5 €/100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Задна част и половин задна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0204 23 00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+ 311,8 €/100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 половин трупове от агнета,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+ 128,8 €/100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+ 128,8 €/100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 част или половин предна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+ 90,2 €/100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0204 42 30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Карета и/или седло или половин каре и/или половин седло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+ 141,7 €/100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Задна част и половин задна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+ 167,5 €/100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+ 167,5 €/100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агнета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+ 234,5 €/100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0204 43 90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+ 234,5 €/100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+ 171,3 €/100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 част или половин предна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+ 119,9 €/100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Карета и/или седло или половин каре и/или половин седло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+ 188,5 €/100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Задна част и половин задна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Необезкостени разфасовки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 разфасовки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+ 311,8 €/100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или половин трупове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+ 128,8 €/100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0204 50 53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 част или половин предна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+ 90,2 €/100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Карета и/или седло или половин каре и/или половин седло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+ 141,7 €/100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Задна част и половин задна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+ 167,5 €/100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Необезкостени разфасовки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+ 167,5 €/100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0204 50 79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 разфасовки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+ 234,5 €/100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0206 10 95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Месести части от диафрагмата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0206 29 91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Месести части от диафрагмата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+ 304,1 €/100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0206 80 91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рода на конете, магаретата, мулетата или катърите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без черва, с глави и крака, наречени „пилета 83 %“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но с шийки, сърца, черен дроб и воденички, наречени „пилета 70 %“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29,9 €/100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и без шийки, сърца, черен дроб и воденички, наречени „пилета 65 %“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32,5 €/100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но с шийки, сърца, черен дроб и воденички, наречени „пилета 70 %“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29,9 €/100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и без шийки, сърца, черен дроб и воденички, наречени „пилета 65 %“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32,5 €/100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0207 13 99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Черен дроб</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0207 14 99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но с шийки, сърца, черен дроб и воденички, наречени „пуйки 80 %“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шийки, без крака, сърца, черен дроб и воденички, наречени „пуйки 73 %“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но с шийки, сърца, черен дроб и воденички, наречени „пуйки 80 %“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0207 25 90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шийки, без крака, сърца, черен дроб и воденички, наречени „пуйки 73 %“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Кълки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0207 26 99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Кълки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Черен дроб</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0207 27 99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обезкървени, но неизкормени, с главите и краката, наречени „патици 85 %“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но с шийки, сърца, черен дроб и воденички, наречени „патици 70 %“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и без шийки, сърца, черен дроб и воденички, наречени „патици 63 %“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0207 42 30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с шийки, сърца, черен дроб и воденички, наречени „патици 70 %“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0207 42 80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и без шийки, сърца, черен дроб и воденички, наречени „патици 63 %“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115,5 €/100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Разфасовки, наречени „палта от патици“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0207 44 99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115,5 €/100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Разфасовки, наречени „палта от патици“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0207 45 99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обезкървени, неизкормени, с глави и крака, наречени „гъски 82 %“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със или без сърца и воденички, наречени „гъски 75 %“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48,1 €/100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обезкървени, неизкормени, с глави и крака, наречени „гъски 82 %“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Оскубани, изкормени, без глави и без крака, със или без сърца и воденички, наречени „гъски 75 %“ или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48,1 €/100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Разфасовки, наречени „палта от гъски“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0207 54 99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Разфасовки, наречени „палта от гъски“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0207 55 99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Неразфасовани, пресни, охладени или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49,3 €/100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или четвъртинки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крилца, дори без връхчетата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Гръбчета, шийки, гръбчета с шийки, трътки, връхчета на крилца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Гърди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115,5 €/100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Бутчета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0207 60 99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0209 10 11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Прясна, охладена, замразена, осолена или в саламура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0209 10 19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Сушена или пушена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0209 10 90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Свинско сало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0209 90 00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Бутове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Плешки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0210 11 31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Бутове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0210 11 39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Плешки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Осолени или в саламура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Сушени или пушени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Половинки бекон или три четвърти предна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68,7 €/100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 четвърти задна част или средна част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части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60,1 €/100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Котлети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Предни части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Котлети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0210 19 89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+ 265,2 €/100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Меса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Брашна и прахове, годни за консумация, от меса или карантии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Обезкостени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311,8 €/100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Черен дроб</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0210 99 49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Диафрагма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0210 99 90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Брашна и прахове, годни за консумация, от меса или карантии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0303 23 00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0303 24 00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Сомоподобни (Pangasius spp., Silurus spp., Clarias spp., Ictalurus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Писия от вида Pleuronectes platessa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0303 45 18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0303 45 99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0303 46 90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0303 49 85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0303 53 10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Сардини от вида Sardina pilchardus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0303 53 30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Сардини от рода Sardinops; сардинели (Sardinella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0303 54 90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на австралийската скумрия (Scomber australasicus)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0303 57 00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Риба меч (Xiphias gladius)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вида Melanogrammus aeglefinus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Американска треска (Pollachius virens)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0303 66 11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Бяла мерлуза (Merluccius capensis) и черна мерлуза (Merluccius paradoxus)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0303 66 12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Аржентинска мерлуза (Merluccius hubbsi)</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0303 66 13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Австралийска мерлуза (Merluccius australis)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0303 66 19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0303 66 90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Мерлузи от рода Urophycis (налим)</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Селдова акула (Lamna nasus)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Кликач (Dissostichus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Европейски лаврак (Dicentrarchus labrax)</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Сладководни риби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0303 89 29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0303 90 90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Сомоподобни (Pangasius spp., Silurus spp., Clarias spp., Ictalurus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0304 33 00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Нилски костур (Lates niloticus)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Oncorhynchus mykiss, с единично тегло, по-голямо от 400 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видовете Oncorhynchus apache и Oncorhynchus chrysogaster</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Плоски риби (Pleuronectidae, Bothidae, Cynoglossidae, Soleidae, Scophthalmidae и Citharidae)</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(Gadus morhua, Gadus ogac, Gadus macrocephalus) и риби от вида Boreogadus saida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0304 44 30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Американска треска (Pollachius virens)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Риба меч (Xiphias gladius)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0304 46 00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Кликач (Dissostichus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Сладководни риби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Морски костур (Sebastes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0304 49 90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1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 сомоподобни (Pangasius spp., Silurus spp., Clarias spp., Ictalurus spp.), шарани (Cyprinus carpio, Carassius carassius, Ctenopharyngodon idellus, Hypophthalmichthys spp., Cirrhinus spp., Mylopharyngodon piceus), змиорки (Anguilla spp.), нилски костур (Lates niloticus) и змееглави (Channa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Пъстървови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Риби от семействата Bregmacerotidae, Euclichthyidae, Gadidae, Macrouridae, Melanonidae, Merlucciidae, Moridae и Muraenolepididae</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Риба меч (Xiphias gladius)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Кликач (Dissostichus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Сладководни риби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0304 59 90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0304 61 00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0304 62 00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Сомоподобни (Pangasius spp., Silurus spp., Clarias spp., Ictalurus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Риба меч (Xiphias gladius)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0304 87 00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Тон (от рода Thunnus), скокливи риби или риби с набразден корем [Euthynnus (Katsuwonus) pelamis]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Риби от рода Euthynnus, различни от скокливи риби или риби с набразден корем [Euthynnus (Katsuwonus) pelamis]) посочени в подпозиция 03048700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Обикновена бодлива акула и котешка акула (Squalus acanthias, Scylorhinus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0304 89 55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Селдова акула (Lamna nasus)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0304 89 59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акули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Кликач (Dissostichus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Сурими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Сурими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Сурими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видовете Gadus macrocephalus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0304 95 25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видовете Gadus morhua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вида Melanogrammus aeglefinus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Американска треска (Pollachius virens)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Мерлузи от рода Merluccius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Трескоподобни (Micromesistius poutassou или Gadus poutassou)</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0304 95 90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Сурими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Сладководни риби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Морски костур (Sebastes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Мегрим (Lepidorhombus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Платика (Brama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0304 99 65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Въдичари (Lophius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0304 99 99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Брашна, прахове и агломерати под форма на гранули, от риби, годни за консумация от човека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Черен дроб, хайвер и семенна течност, от риби, сушени, пушени, осолени или в саламура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1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 сомоподобни (Pangasius spp., Silurus spp., Clarias spp., Ictalurus spp.), шарани (Cyprinus carpio, Carassius carassius, Ctenopharyngodon idellus, Hypophthalmichthys spp., Cirrhinus spp., Mylopharyngodon piceus), змиорки (Anguilla spp.), нилски костур (Lates niloticus) и змееглави (Channa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вида Gadus macrocephalus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8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Тихоокеански сьомги (Oncorhynchus nerka, Oncorhynchus gorbuscha, Oncorhynchus keta, Oncorhynchus tschawytscha, Oncorhynchus kisutch, Oncorhynchus masou и Oncorhynchus rhodurus), от атлантически сьомги (Salmo salar) и дунавска пъстърва (Hucho hucho), осолени или в саламура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Черни писии (Reinhardtius hippoglossоides), осолени или в саламура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8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Тихоокеански сьомги (Oncorhynchus nerka, Oncorhynchus gorbuscha, Oncorhynchus keta, Oncorhynchus tschawytscha, Oncorhynchus kisutch, Oncorhynchus masou и Oncorhynchus rhodurus), атлантически сьомги (Salmo salar) и дунавски пъстърви (Hucho hucho)</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Херинги (Clupea harengus, Clupea pallasii)</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Пъстърви (Salmo trutta, Oncorhynchus mykiss, Oncorhynchus clarki, Oncorhynchus aguabonita, Oncorhynchus gilae, Oncorhynchus apache и Oncorhynchus chrysogaster)</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Змиорки (Anguilla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Черни писии (Reinhardtius hippoglossoides)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Атлантически писии (Hippoglossus hippoglossus)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Скумрии (Scomber scombrus, Scomber australasicus, Scomber japonicus)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0305 49 80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0305 51 10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Сушени, неосолени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0305 51 90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Сушени и осолени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Херинги (Clupea harengus, Clupea pallasii)</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видовете Gadus morhua, Gadus ogac, Gadus macrocephalus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Аншоа (Engraulis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1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Тилапия (Oreochromis spp.), сомоподобни (Pangasius spp., Silurus spp., Clarias spp., Ictalurus spp.), шарани (Cyprinus carpio, Carassius carassius, Ctenopharyngodon idellus, Hypophthalmichthys spp., Cirrhinus spp., Mylopharyngodon piceus), змиорки (Anguilla spp.), нилски костур (Lates niloticus) и змееглави (Channa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Полярна треска (Boreogadus saida)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Атлантически писии (Hippoglossus hippoglossus)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8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Тихоокеански сьомги (Oncorhynchus nerka, Oncorhynchus gorbuscha, Oncorhynchus keta, Oncorhynchus tschawytscha, Oncorhynchus kisutch, Oncorhynchus masou и Oncorhynchus rhodurus), атлантически сьомги (Salmo salar) и дунавски пъстърви (Hucho hucho)</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0305 69 80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0305 71 10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0306 11 05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Опашки от лангусти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Раци от видовете Paralithodes camchaticus, Chionоecetes spp. и Cаllinectes sapidus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0306 14 30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Раци от вида Cancer pagurus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0306 15 90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0306 16 91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Сиви скариди от вида Crangon crangon</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0306 16 99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0306 17 91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Дълбоководни розови скариди (Parapeneus longriostrus)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0306 17 92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Скариди от рода Penaeus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0306 17 93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Скариди от семейство Pandalidae, различни от тези от рода Pandalus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0306 17 94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Скариди от рода Crangon, различни от тези от вида Crangon crangon</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0306 17 99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0306 19 05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Речни раци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0306 24 30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Раци от вида Cancer pagurus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0306 24 80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0306 25 10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0306 25 90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0306 26 90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0306 27 99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0306 29 05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Пушени, дори без черупки, дори топло пушени, необработени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Речни раци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0306 29 90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Миди Сен Жак (Pecten maximus),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0307 31 10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Mytilus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0307 31 90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Perna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0307 39 10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Mytilus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Perna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0307 41 10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Сепия (Sepia officinalis, Rossia macrosoma) и сепиоли (Sepiola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0307 41 91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Loligo spp., Ommastrephes sagittatus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0307 41 99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0307 59 10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0307 59 90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0307 71 00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0307 79 30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Средиземноморски миди или други видове от семейство Veneridae,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0307 81 00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0307 99 11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видовете Illex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0308 11 00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0308 21 00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0308 30 10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0308 90 10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Живи,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0401 20 19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183,7 €/100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0401 50 99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182,8 €/100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0402 10 91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1,19 €/kg + 27,5 €/100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0402 10 99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1,19 €/kg + 21 €/100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0402 21 18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Специални млека за кърмачета, в херметически затворени съдове, с нетно съдържание, непревишаващо 500 g, с тегловно съдържание на мазнини, превишаващо 10 %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0402 29 15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 + 16,8 €/100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0402 29 99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 + 16,8 €/100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непревишаващо 8 %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34,7 €/100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превишаващо 8 %, но непревишаващо 10 %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183,7 €/100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182,8 €/100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непревишаващо 9,5 %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1,08 €/kg + 19,4 €/100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1,08 €/kg + 18,5 €/100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2,5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1,81 €/kg + 19,4 €/100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0402 99 99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1,81 €/kg + 18,5 €/100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59,2 €/100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0,17 €/kg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0,20 €/kg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0,54 €/kg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0403 10 53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+ 168,8 €/100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+ 17,1 €/100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0403 10 99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0,95 €/kg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0403 90 53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59,2 €/100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0,17 €/kg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0403 90 63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0,20 €/kg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0403 90 69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0,54 €/kg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0403 90 73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0403 90 79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+ 168,8 €/100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3 %, но непревишаващо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+ 17,1 €/100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0403 90 99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+ 26,6 €/100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0404 10 02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0404 10 04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0404 10 06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0404 10 12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0404 10 14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0404 10 26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0,07 €/kg/net + 16,8 €/100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0404 10 28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0404 10 32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0404 10 34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0,95 €/kg/net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0404 10 36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0404 10 38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0404 10 48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0,07 €/kg/net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0404 10 52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0404 10 54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0404 10 56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0404 10 58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0404 10 62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0404 10 72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0,07 €/kg/net + 16,8 €/100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0404 10 74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0404 10 76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0404 10 78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0,95 €/kg/net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0404 10 82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0404 10 84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0404 90 23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Непревишаващо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0,95 €/kg/net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0404 90 83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1,5 %, но непревишаващо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0404 90 89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27 %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1,62 €/kg/net + 22 €/100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1 кg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Възстановено масло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0405 10 50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Масло от суроватка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равно или по-голямо от 39 %, но по-малко от 60 %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равно или по-голямо от 60 %, но непревишаващо 75 %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по-голямо от 75 %, но по-малко от 80 %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равно или по-голямо от 99,3 % и с тегловно съдържание на вода, непревишаващо 0,5 %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0405 90 90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0406 90 86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47 %, но непревишаващо 52 %: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0406 90 87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52 %, но непревишаващо 62 %: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0406 90 88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62 %, но непревишаващо 72 %: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0406 90 93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Превишаващо 72 %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185,2 €/100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0406 90 99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кокошки (Gallus domesticus)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0407 19 11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пуйки или от гъски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0407 19 19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35 €/1 000 p/st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кокошки (Gallus domesticus)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птици, различни от кокошки (Gallus domesticus)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0407 90 10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птици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0408 11 80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0408 19 81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Течни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0408 19 89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включително замразените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66,3 €/100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0408 91 80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137,4 €/100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0408 99 80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35,3 €/100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0409 00 00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Естествен мед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0602 90 10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Гъбен мицел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0602 90 50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полски растения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0602 90 99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0604 90 99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0702 00 00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Домати, пресни или охладени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0703 20 00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Чесън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 + 120 €/100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0704 90 10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Бяло главесто зеле и червено главесто зеле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 MIN 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0707 00 05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Краставици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0709 91 00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Артишок (ангинарии)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0709 92 90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0709 93 10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Тиквички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0710 40 00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Сладка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0711 51 00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Гъби от рода Agaricus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 + 191 €/100 kg/net eda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0711 90 30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Сладка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0712 90 19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Корени от маниока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Игнам (индийски картоф) (Dioscorea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Таро (Colocasia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Yautia (Xanthosoma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0714 90 20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Корени от арарут и от салеп и подобни корени и грудки с високо съдържание на нишесте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0802 11 90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0803 90 10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Пресни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176 €/1 000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0805 10 20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Сладки портокали, пресни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Клементинки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Монреалски и сатсумаси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Мандарини и wilkings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0805 20 70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Тангерини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0805 50 10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Лимони (Citrus limon, Citrus limonum)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0806 10 10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Трапезно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0808 10 10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промишлени цели, в насипно състояние, в периода от 16 септември до 15 декември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 MIN 0,36 €/100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0808 10 80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0808 30 10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промишлени цели, в насипно състояние, в периода от 1 август до 31 декември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 MIN 0,36 €/100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0808 30 90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Кайсии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Вишни (Prunus cerasus)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Брюнони и нектарини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0809 40 05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Сливи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0811 10 11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20,8 + 8,4 €/100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0811 20 11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20,8 + 8,4 €/100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0811 90 11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Тропически плодове и черупкови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 + 5,3 €/100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0811 90 19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20,8 + 8,4 €/100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1001 19 00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1001 91 20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Мека пшеница и смес от пшеница и ръж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1001 91 90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1001 99 00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1003 90 00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1004 90 00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1005 10 90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1005 90 00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1006 10 23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1006 10 25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1006 10 27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1006 10 98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1006 20 17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1006 20 98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1006 30 23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1006 30 25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1006 30 27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1006 30 42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1006 30 44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1006 30 46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1006 30 48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1006 30 63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1006 30 65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1006 30 67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кръгли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средни зърна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по-голямо от 2, но по-малко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1006 30 98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съотношение дължина/широчина 3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1006 40 00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Ориз, натрошен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1007 10 90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1007 90 00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Елда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посев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Фонио (Digitaria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Киноа (Chenopodium quinoa)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1008 60 00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Тритикале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1008 90 00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житни растения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1101 00 11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твърда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1101 00 15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лимец и от мека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1101 00 90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смес от пшеница и ръж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по-малко или равно на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Ечемичено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Овесено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Оризово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1102 90 70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Ръжено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1102 90 90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твърда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лимец и от мека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мазнини, по-малко или равно на 1,5 %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ръж или ечемик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1103 19 40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овес</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1103 20 25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ръж или ечемик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овес</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1103 20 90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зърна, сплескани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люспи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ръж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зърна, сплескани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1104 19 69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люспи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Люспи от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1104 19 99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1104 22 40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Олющени или обелени, дори нарязани или натрошени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Закръглени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1104 22 95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1104 23 40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Олющени или обелени, дори нарязани или натрошени;  Закръглени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1104 23 98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1104 29 04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Олющени или обелени, дори нарязани или натрошени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Закръглени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1104 29 08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1104 29 17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Олющени или обелени, дори нарязани или натрошени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Закръглени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ръж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ръж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1104 29 89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1104 30 90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сухи бобови зеленчуци от № 0713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1106 20 10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Денатурирани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1106 20 90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1107 10 11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 под формата на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1107 10 19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1107 10 91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 под формата на брашно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1107 10 99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131 €/t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1107 20 00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Скорбяла от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Скорбяла от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Нишесте от картофи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Нишесте от маниока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Скорбяла от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1108 19 90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1109 00 00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Глутен от пшеница, дори в изсушено състояние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1209 10 00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Семена от захарно цвекло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1212 91 20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Сушено, дори на прах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1212 91 80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1212 93 00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Захарна тръстика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1212 99 49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1501 10 90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1501 20 90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1509 10 10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Необработено (Virgin) маслиново масло, за осветление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122,6 €/100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1509 10 90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1509 90 00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1510 00 10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Сурови масла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110,2 €/100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1510 00 90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160,3 €/100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1511 90 11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в директни опаковки, с нетно съдържание 1 kg или по-малко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1511 90 19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1511 90 91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технически или промишлени цели, различни от производството на хранителни продукти за човешка консумация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1511 90 99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в директни опаковки, с нетно съдържание 1 kg или по-малко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в директни опаковки, с нетно съдържание 1 kg или по-малко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Предназначени за технически или промишлени цели, различни от производството на хранителни продукти за човешка консумация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в директни опаковки, с нетно съдържание 1 kg или по-малко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1513 29 90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по друг начин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1517 10 10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мазнини, превишаващо 10 %, но непревишаващо 15%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1517 90 10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мазнини, превишаващо 10 %, но непревишаващо 15%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1522 00 31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Неутрализационни утайки (soap-stocks)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29,9 €/100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1522 00 39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1601 00 91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Колбаси, сухи или за намазване, без топлинна обработка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1601 00 99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Приготвени храни, хомогенизирани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гъски или от патици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изключително месо от пуйки без топлинна обработка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 топлинна обработка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1602 32 30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25% или повече, но по-малко от 57% месо или карантии от домашни птици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1602 39 21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 топлинна обработка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1602 39 29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1602 39 85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свине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домашни свине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Котлети (с изключение на врата) и разфасовки от тях, включително смеси от котлети и бутове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Врат и разфасовки от него, включително смесите от врат и плешки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смеси, съдържащи бутове, плешки, котлети или вратове и разфасовки от тях</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129,3 €/100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40% или повече, но по-малко от 80% месо или карантии от всякакви видове, включително сланината и мазнините от всякакъв вид или произход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1602 49 50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по-малко от 40% месо или карантии, от всякакви видове, включително сланината и мазнините от всякакъв вид или произход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54,3 €/100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1602 50 10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Необработени топлинно; смеси от топлинно обработени месо или карантии и топлинно необработени месо или карантии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месо или карантии от домашни свине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1602 90 61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Необработени топлинно; смеси от топлинно обработени месо или карантии и топлинно необработени месо или карантии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303,4 €/100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Сьомги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Филета, сурови, покрити с тесто или с галета, дори предварително пържени в олио,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херметически затворени опаковки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1604 13 11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зехтин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1604 14 11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растително масло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1604 14 16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Филета, наречени „карета“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1604 14 18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Паламуд (Sarda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1604 15 11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1604 15 19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1604 15 90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вида на австралийската скумрия Scomber australasicus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1604 16 00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Аншоа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1604 17 00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Змиорки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Пъстървови, различни от сьомгите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Филета, наречени „карета“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Риби от вида Orcynopsis unicolor</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Филета, сурови, покрити с тесто или с галета, дори предварително изпържени в олио, замразени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Треска от видовете Gadus morhua, Gadus ogac или Gadus macrocephalus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Американска треска (Pollachius virens)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Мерлузи (Merluccius spp., Urophycis spp.)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Минтай (Тhеragra chalcogramma) и люр от вида Pollachius pollachius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1604 19 97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1604 20 05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Приготвени храни от сурими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сьомга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1604 20 70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тон, скокливи риби и други риби от рода Euthynnus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Хайвер</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1604 32 00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Заместители на хайвер</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1605 40 00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ракообразни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Предназначена за рафиниране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Предназначена за рафиниране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Предназначена за рафиниране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1701 14 90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ароматизиращи или оцветяващи добавки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Бяла захар</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1701 99 90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99% или повече лактоза, изразена в безводна лактоза, изчислена върху сухо вещество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Захар от клен, в твърдо състояние, с ароматизиращи или оцветяващи добавки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Изоглюкоза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50,7 €/100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1702 30 50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Под формата на бял кристален прах, дори агломерирани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Изоглюкоза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50,7 €/100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Фруктоза, химически чиста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 + 50,7 €/100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1702 60 10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Изоглюкоза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50,7 €/100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1702 60 80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Сироп от инулин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1702 60 95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Изоглюкоза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50,7 €/100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Малтодекстрин и сироп от малтодекстрин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в сухо състояние 50% или повече захароза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1702 90 75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прах, дори агломерирани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27,7 €/100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1702 90 79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19,2 €/100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Сироп от инулин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1702 90 95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 (на 1 % от тегловното съдържание на захароза)</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по-малко от 60% (включително инвертната захар, изразена като захароза)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 + 27,1 €/100 kg/net MAX 17,9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равно или по-голямо от 60% (включително инвертната захар, изразена като захароза)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 + 30,9 €/100 kg/net MAX 18,2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Екстракт от сладник (liquorice), съдържащ тегловно повече от 10% захароза, но несъдържащ други добавки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Бял шоколад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lang w:val="nl-NL"/>
              </w:rPr>
            </w:pPr>
            <w:r>
              <w:rPr>
                <w:noProof/>
                <w:color w:val="000000"/>
                <w:szCs w:val="24"/>
                <w:lang w:val="nl-NL"/>
              </w:rPr>
              <w:t>9,1 + 45,1 €/100 kg/net MAX 18,9 + 16,5 €/100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Пасти, включително марципан, в директни опаковки, с нетно съдържание 1 kg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Пастили за гърло и бонбони против кашлица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Дражета и подобни захарни изделия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1704 90 65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Гумени бонбони, желирани захарни изделия, включително захарни изделия от плодова маса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Бонбони от стопена захар, дори пълнени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1704 90 75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Карамели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1704 90 81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Получени чрез пресоване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1704 90 99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Необезмаслена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1803 20 00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Напълно или частично обезмаслена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1804 00 00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Масло, мазнина и течно масло от какао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1805 00 00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Какао на прах, без прибавка на захар или други подсладители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1806 10 15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Несъдържащо или съдържащо тегловно по-малко от 5% захароза (включително инвертна захар, изразена като захароза) или изоглюкоза, също изразена като захароза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1806 10 20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или изоглюкоза, също изразена като захароза, равно или по-голямо от 5% и по-малко от 65%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 + 25,2 €/100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и по-малко от 80%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 + 31,4 €/100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или изоглюкоза, също изразена като захароза, равно или по -голямо от 80%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 + 41,9 €/100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какаово масло 31% или повече или с тегловно съдържание общо на какаово масло и млечни мазнини 31%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общо тегловно съдържание на какаово масло и млечни мазнини 25% или повече, но по-малко от 31%</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какаово масло 18%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Продукти, наречени „chocolate milk crumb“</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15,4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Шоколадова глазура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1806 20 95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пълнеж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добавка на зърнени храни, плодове или ядки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алкохол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пълнеж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 пълнеж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какао захарни изделия и изделия, произведени от заместители на захарта, съдържащи какао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Пасти за намазване, съдържащи какао (течен шоколад)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Препарати за приготвяне на напитки, съдържащи какао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1806 90 90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EA MAX 18,7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Детски храни, пригодени за продажба на дребно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7,6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Смеси и теста за приготвяне на хлебарски, сладкарски или бисквитни продукти от № 1905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7,6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сух екстракт 90%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+ 18 €/100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+ 14,7 €/100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8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мазнини, захароза, изоглюкоза, глюкоза, скорбяла или нишесте или съдържащи тегловно по-малко от 1,5% млечни мазнини, по-малко от 5% захароза (включително инвертна захар) или изоглюкоза, по-малко от 5% глюкоза или скорбяла или нишесте, различни от хранителните продукти на прах, приготвени от продуктите от № 0401 до 0404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1901 90 99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7,6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яйца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брашно или грис от мека пшеница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+ 21,1 €/100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повече от 20% риби и ракообразни, мекотели или други водни безгръбначни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повече от 20% салами, кренвирши или други подобни, месо или карантии от всякакъв вид, включително и мазнини от всякакъв вид или произход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54,3 €/100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Варени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+ 6,1 €/100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+ 17,1 €/100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Сухи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+ 24,6 €/100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+ 9,7 €/100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Неприготвен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1902 40 90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+ 9,7 €/100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1903 00 00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Тапиока и нейните заместители, приготвени от нишесте, под формата на люспи, зърна, заоблени зрънца, отсявки или подобни форми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+ 15,1 €/100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базата на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3,8 + 20 €/100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базата на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+ 33,6 €/100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Храни от вида Müsli на базата на непечени люспи от житни растения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базата на царевица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3,8 + 20 €/100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1904 20 95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базата на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+ 33,6 €/100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Пшеничен булгур</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базата на ориз</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1904 90 80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+ 25,7 €/100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Хрупкав хляб (кнекброт)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5,8 + 13 €/100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по-малко от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 + 18,3 €/100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30% или повече, но по-малко от 50%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9,8 + 24,6 €/100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захароза (включително инвертна захар, изразена като захароза) 50%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10,1 + 31,4 €/100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85 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мазнини 8%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Двойни бисквити с пълнеж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1905 32 05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вода, превишаващо 10%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20,7 + AD F/M</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85 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Солени, със или без пълнеж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20,7 + AD F/M</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1905 32 99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Сухари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Безквасен хляб</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3,8 + 15,9 €/100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Нафора, празни капсули от тесто от видовете, използвани за медикаменти, тесто за запечатване, сухи тестени листа от брашно, скорбяла или нишесте и подобни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4,5 + 60,5 €/100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Хляб без прибавка на мед, яйца, сирене или плодове и с тегловно съдържание на захар и мазнини в сухото вещество, всяко от тях, непревишаващо 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1905 90 45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Бисквити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20,7 + AD F/M</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Екструдирани или експандирани продукти, солени или ароматизирани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20,7 + AD F/M</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прибавка на подсладители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24,2 + AD S/Z</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1905 90 90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 MAX 20,7 + AD F/M</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2001 90 30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Сладка царевица (Zea mays var. saccharata)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2001 90 40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Игнам (индийски картоф), сладки картофи и други подобни, годни за консумация части от растения, с тегловно съдържание на скорбяла или нишесте 5%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2003 10 20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Временно консервирани, напълно сварени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18,4 + 191 €/100 kg/net eda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2003 10 30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18,4 + 222 €/100 kg/net eda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2004 90 10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Сладка царевица (Zea mays var. saccharata)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2005 80 00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Сладка царевица (Zea mays var. saccharata)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2006 00 31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Череши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+ 23,9 €/100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2006 00 35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Тропически плодове и черупкови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12,5 + 15 €/100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2006 00 38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+ 23,9 €/100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 но непревишаващо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Пюрета и каши от кестени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+ 19,7 €/100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череши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ягоди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малини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2007 99 50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 но непревишаващо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24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17%</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+ 2,5 €/100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2008 20 31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19%</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+ 2,5 €/100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2008 30 19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2008 40 19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2008 40 31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2008 50 19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2008 50 51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2008 60 19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2008 70 19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2008 70 51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2008 80 19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2008 93 99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 прибавка на захар</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2008 97 16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тропически плодове (включително смесите, съдържащи тегловно 50% или повече тропически плодове и тропически черупкови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 + 2,6 €/100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2008 97 18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2008 97 32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тропически плодове (включително смесите, съдържащи тегловно 50% или повече тропически плодове и тропически черупкови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захар, превишаващо 13%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 + 2,6 €/100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2008 99 34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25,6 + 4,2 €/100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Царевица, с изключение на сладката царевица (Zea mays var. saccharata)</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X</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Игнам (индийски картоф), сладки картофи и други подобни, годни за консумация части от растения, с тегловно съдържание на скорбяла или нишесте 5%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+ 3,8 €/100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2008 99 99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2009 11 11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2009 11 91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 и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2009 19 11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2009 19 91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 и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2009 29 91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 и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2009 39 11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2009 39 51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14,4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2009 39 91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14,4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2009 49 11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2009 49 91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превишаваща 18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18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22,4 + 27 €/hl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22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40 + 121 €/hl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Концентрирани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Концентрирани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22,4 + 131 €/hl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2009 69 79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22,4 + 27 €/hl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2009 69 90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22,4 + 27 €/hl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2009 79 11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22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30 + 18,4 €/100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2009 79 91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18 + 19,3 €/100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2009 81 51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22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2009 89 34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Сок от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21 + 12,9 €/100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2009 89 61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19,2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Сок от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 + 12,9 €/100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2009 89 86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22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30 EUR на 100 kg нетно тегло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33,6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стойност, непревишаваща 18 EUR на 100 kg нетно тегло и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прибавена захар, превишаващо 30%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15,2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Смеси от сокове от тропически плодове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 + 12,9 €/100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2009 90 94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 + 20,6 €/100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Екстракти, есенции и концентрати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2101 12 92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Препарати на базата на екстракти, на есенции или на концентрати от кафе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2101 12 98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2101 20 98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2101 30 19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 + 12,7 €/100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2101 30 99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10,8 + 22,7 €/100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Селекционирани щамови маи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2102 10 31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Сухи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 + 49,2 €/100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2102 10 39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 + 14,5 €/100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 таблетки, на кубчета или в подобни форми, или в директни опаковки, с нетно съдържание, непревишаващо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2102 20 19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2102 30 00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Набухватели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Сос от соя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2103 20 00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Кетчуп от домати и други сосове от домати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2103 30 90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Готова горчица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2103 90 90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Препарати за супи или бульони; готови супи или бульони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2104 20 00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Смесени хомогенизирани готови храни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2105 00 10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 или съдържащ тегловно по-малко от 3% млечни мазнини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lang w:val="nl-NL"/>
              </w:rPr>
            </w:pPr>
            <w:r>
              <w:rPr>
                <w:noProof/>
                <w:color w:val="000000"/>
                <w:szCs w:val="24"/>
                <w:lang w:val="nl-NL"/>
              </w:rPr>
              <w:t>8,6 + 20,2 €/100 kg/net MAX 19,4 + 9,4 €/100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2105 00 91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-- 3% или повече, но по-малко от 7%</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lang w:val="nl-NL"/>
              </w:rPr>
            </w:pPr>
            <w:r>
              <w:rPr>
                <w:noProof/>
                <w:color w:val="000000"/>
                <w:szCs w:val="24"/>
                <w:lang w:val="nl-NL"/>
              </w:rPr>
              <w:t>8 + 38,5 €/100 kg/net MAX 18,1 + 7 €/100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2105 00 99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-- 7%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lang w:val="nl-NL"/>
              </w:rPr>
            </w:pPr>
            <w:r>
              <w:rPr>
                <w:noProof/>
                <w:color w:val="000000"/>
                <w:szCs w:val="24"/>
                <w:lang w:val="nl-NL"/>
              </w:rPr>
              <w:t>7,9 + 54 €/100 kg/net MAX 17,8 + 6,9 €/100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2106 10 20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мазнини, захароза, изоглюкоза, глюкоза, скорбяла или нишесте или съдържащи тегловно по-малко от 1,5% млечни мазнини, по-малко от 5% захароза или изоглюкоза, по-малко от 5% глюкоза или нишесте или скорбяла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2106 10 80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Сложни алкохолни препарати, различни от тези на базата на ароматични вещества от видовете, използвани за производство на напитки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MIN 1 €/% vol/hl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изоглюкоза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42,7 €/100 kg/net mas</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лактоза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2106 90 55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глюкоза или от малтодекстрин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20 €/100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0,4 €/100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2106 90 98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2202 90 91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По-малко от 0,2%</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6,4 + 13,7 €/100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2202 90 95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--- 0,2% или повече, но по-малко от 2%</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 + 12,1 €/100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2202 90 99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--- 2%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5,4 + 21,2 €/100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2204 30 92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Концентрирани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2204 30 94</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2204 30 96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Концентрирани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2204 30 98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Вж. параграф 4 от приложение 2-А-2</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2207 10 00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Неденатуриран етилов алкохол с алкохолно съдържание по обем 80% vol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19,2 €/hl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2207 20 00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Етилов алкохол и дестилати, денатурирани, с всякакво алкохолно съдържание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2208 40 11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Ром, със съдържание на летливи съставки, различни от етилов или метилов алкохол, равно или по- голямо от 225 грама за хектолитър чист алкохол (с отклонение 10%)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0,6 €/% vol/hl + 3,2 €/hl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2208 40 39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0,6 €/% vol/hl + 3,2 €/hl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2208 40 51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Ром, със съдържание на летливи съставки, различни от етилов или метилов алкохол, равно или по- голямо от 225 грама за хектолитър чист алкохол (с отклонение 10%)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0,6 €/% vol/hl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2208 40 99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0,6 €/% vol/hl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1 €/% vol/hl + 6,4 €/hl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2208 90 99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Превишаваща 2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1 €/% vol/hl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нишесте, по-малко или равно на 35%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1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нишесте, по-малко или равно на 28%, като пропорцията на продукта, преминаващ през сито с широчина на отворите 0,2 mm, не превишава 10% тегловно, или, в обратен случай, продуктът, преминал през ситото е с тегловно съдържание на пепел, изчислено в сухо вещество, 1,5%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2302 40 02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нишесте, по-малко или равно на 35 %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2302 40 08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1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нишесте, по-малко или равно на 28%, като пропорцията на продукта, преминаващ през сито с широчина на отворите 0,2 mm, не превишава 10% тегловно, или, в обратен случай, продуктът, преминал през ситото е с тегловно съдържание на пепел, изчислено в сухо вещество, 1,5%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44 €/t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2302 40 90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89 €/t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2303 10 11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По-голямо от 40%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320 €/t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2306 90 19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маслиново масло, по-голямо от 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2307 00 19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1,62 €/kg/tot. alc.</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2308 00 19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1,62 €/kg/tot. alc.</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10% или повече, но по-малко от 50%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50% или повече, но по-малко от 75%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75% или повече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10 % или повече, но по-малко от 50 %</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50%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888 €/t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продукти или съдържащи тегловно по-малко от 10%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2309 10 53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10% или повече, но по-малко от 50%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50%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2309 10 70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скорбяла или нишесте, глюкоза или сироп от глюкоза, малтодекстрин или сироп от малтодекстрин и съдържащи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продукти или съдържащи тегловно по-малко от 10%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23 €/t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10% или повече, но по-малко от 50%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498 €/t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50% или повече, но по-малко от 75%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75% или повече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продукти или съдържащи тегловно по-малко от 10%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2309 90 43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10% или повече, но по-малко от 50%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2309 90 49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50%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888 €/t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продукти или съдържащи тегловно по-малко от 10%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102 €/t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2309 90 53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10% или повече, но по-малко от 50%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577 €/t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млечни продукти 50%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730 €/t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2309 90 70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скорбяла или нишесте, глюкоза или сироп от глюкоза, малтодекстрин или сироп от малтодекстрин и съдържащи млечни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948 €/t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2401 10 35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„светли въздушно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2401 10 60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„слънчево сушени“, тип Ориенталски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2401 10 70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„тъмни въздушно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2401 10 85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„тръбно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2401 10 95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2401 20 35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„светли въздушно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2401 20 60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„слънчево сушени“, тип Ориенталски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2401 20 70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„тъмни въздушно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2401 20 85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Тютюни, „тръбно сушени“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2401 20 95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2401 30 00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Отпадъци от тютюн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11,2 MIN 22 € MAX 56 €/100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Пури (включително тези с отрязани краища) и пурети, съдържащи тютюн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карамфил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 за наргиле, упоменат в забележка 1 към подпозициите към настоящата глава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74,9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 директни опаковки, с нетно съдържание, непревишаващо 500 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74,9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74,9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„Хомогенизирани“ или „възстановени“ тютюни (тютюнево фолио)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Тютюн за дъвчене и тютюн за смъркане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41,6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2403 99 90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Пропиленгликол (пропан-1,2-диол)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Манитол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9,6 + 125,8 €/100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2905 44 11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 тегловно 2% или по-малко D-манитол, изчислен върху съдържанието на D-глюцитола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+ 16,1 €/100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2905 44 19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+ 37,8 €/100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2905 44 91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 тегловно 2% или по-малко D-манитол, изчислен върху съдържанието на D-глюцитола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2905 44 99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+ 53,7 €/100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2917 36 00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Терефталова киселина и нейните соли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2917 39 95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2922 49 85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2922 50 00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Аминоалкохолфеноли, фенолни аминокиселини и други аминосъединения с кислородни функционални групи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2930 50 00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Каптафол (ISO) и метамидофос (ISO)</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2930 90 99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2932 19 00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2933 29 90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2933 39 99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2933 79 00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лактами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2934 99 90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3302 10 10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действително алкохолно съдържание по обем, превишаващо 0,5% vol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17,3 MIN 1 €/% vol/hl</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3302 10 21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Несъдържащи млечни мазнини, захароза, изоглюкоза, глюкоза, нишесте или скорбяла или съдържащи тегловно по-малко от 1,5% млечни мазнини, по-малко от 5% захароза или изоглюкоза, по -малко от 5% глюкоза, или нишесте или скорбяла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3302 10 29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EA</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3502 11 90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3502 19 90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3502 20 91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Изсушен (на листове, люспи, кристали, прах и т.н.)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123,5 €/100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3502 20 99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Декстрин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+ 17,7 €/100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+ 17,7 €/100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скорбяла или нишесте, на декстрин или на други модифицирани скорбяла или нишесте, по-малко от 25%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+ 4,5 €/100 kg/net MAX 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3505 20 30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скорбяла или нишесте, на декстрин или на други модифицирани скорбяла или нишесте, равно или по-голямо от 25%, но по-малко от 55%</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+ 8,9 €/100 kg/net MAX 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3505 20 50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скорбяла или нишесте, на декстрин или на други модифицирани скорбяла или нишесте, равно или по-голямо от 55%, но по-малко от 80%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+ 14,2 €/100 kg/net MAX 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3505 20 90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тегловно съдържание на скорбяла или нишесте, на декстрин или на други модифицирани скорбяла или нишесте, равно или по-голямо от 80%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+ 17,7 €/100 kg/net MAX 11,5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3603 00 90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3809 10 10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по-малко от 55%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+ 8,9 €/100 kg/net MAX 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3809 10 30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55% или повече, но по-малко от 70%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+ 12,4 €/100 kg/net MAX 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3809 10 50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70% или повече, но по-малко от 83%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+ 15,1 €/100 kg/net MAX 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3809 10 90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83% или повече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8,3 + 17,7 €/100 kg/net MAX 12,8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3824 60 11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 тегловно 2% или по-малко D-манитол, изчислен върху съдържанието на D-глюцитол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+ 16,1 €/100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3824 60 19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+ 37,8 €/100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3824 60 91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 тегловно 2% или по-малко D-манитол, изчислен върху съдържанието на D-глюцитол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 + 23 €/100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3824 60 99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 + 53,7 €/100 kg/net</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3902 90 90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Поли(метилметакрилат)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3906 90 90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Полиацетали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3907 20 20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Епоксидни смоли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Поликарбонати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3907 60 20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вискозитетен индекс 78 ml/g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3913 90 00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Подсилени само с метал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Подсилени само с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трансмисионни ремъци с трапецовидно напречно сечение, с V-жлебове, с дължина на обиколката от външната страна, превишаваща 60 сm, но непревишаваща 180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трансмисионни ремъци с трапецовидно напречно сечение, различни от тези с V-жлебове, с дължина на обиколката от външната страна, превишаваща 60 сm, но непревишаваща 180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трансмисионни ремъци с трапецовидно напречно сечение, с V-жлебове, с дължина на обиколката от външната страна, превишаваща 180 сm, но непревишаваща 240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трансмисионни ремъци с трапецовидно напречно сечение, различни от тези с V-жлебове, с дължина на обиколката от външната страна, превишаваща 180 сm, но непревишаваща 240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ремъци за зъбни трансмисии (синхронни), с дължина на обиколката от външната страна, превишаваща 60 сm, но непревишаваща 150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4010 36 00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Безконечни ремъци за зъбни трансмисии (синхронни), с дължина на обиколката от външната страна, превишаваща 150 сm, но непревишаваща 198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4010 39 00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4104 41 51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кожи, с единична повърхност, превишаваща 2,6 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4104 41 59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4104 49 51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Цели кожи, с единична повърхност, превишаваща 2,6 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4104 49 59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4104 49 90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Телешки бокс</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Телешки бокс</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Кожи от едър рогат добитък (включително биволските)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Кожи от еднокопитни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едър рогат добитък (включително биволските), с единична повърхност, непревишаваща 2,6 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ходила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4107 91 90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Кожи от едър рогат добитък (включително биволските)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4107 99 90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Кожи от еднокопитни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4202 12 11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Куфарчета за документи, папки, ученически чанти и други подобни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4202 12 19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4202 12 50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формован пластмасов материал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алуминий</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4202 92 11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Пътни чанти, тоалетни чантички, раници и чанти за спортни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4202 92 15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Калъфи за музикални инструменти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4202 92 19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4203 21 00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Специално предназначени за практикуване на спорт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4203 29 90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4411 12 90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4411 14 90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4411 92 10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Без механична обработка и без повърхностно покритие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4411 92 90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бамбук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5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4412 31 10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африканско акажу, тъмночервено меранти, светлочервено меранти, лимба, махагон (Swietenia spp.), обече, окуме, парски палисандър, палисандър от Рио, розов палисандър, сапели, сипо, вирола или бял лауан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4412 31 90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бреза, бряст, бук, габър, дъб, дървета от рода Carya, дървета от рода Platanus, дървета от рода Robinia, елша, кестен, клен, конски кестен, липа, лирово дърво (дърво лале), орех, топола, череша или ясен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4412 94 10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най-малко един външен пласт от дървен материал, различен от иглолистния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4412 99 40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бреза, бряст, бук, габър, дъб, дървета от рода Carya, дървета от рода Platanus, дървета от рода Robinia, елша, кестен, клен, конски кестен, липа, лирово дърво (дърво лале), орех, топола, череша или ясен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4412 99 50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4412 99 85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изварени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Рехави тъкани (несбито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5007 20 69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5007 20 71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изварени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5007 90 90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5111 11 00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тегло, непревишаващо 300 g/m²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5112 20 00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смесени предимно или само със синтетични или изкуствени нишки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5208 12 16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5208 12 96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5208 22 16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5208 22 96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5208 32 16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5208 32 96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5208 33 00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 с тегло, превишаващо 100 g/m²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 с тегло, превишаващо 100 g/m²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5208 59 90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5209 59 00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5210 49 00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5211 39 00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5212 14 90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Смесени с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5212 23 90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Смесени с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5212 24 90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Смесени с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5309 19 00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5309 29 00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5407 20 11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3 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5407 20 19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--- 3 m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5407 44 00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5407 53 00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5407 54 00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5407 61 10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5407 61 30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5407 61 90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5407 69 10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5407 69 90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5407 71 00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5407 72 00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5407 74 00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5407 81 00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5407 82 00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5407 83 00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5407 93 00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5408 23 00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5408 34 00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5512 11 00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5512 19 90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5513 11 20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широчина, непревишаваща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широчина, превишаваща 165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 от полиестерни щапелни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5513 23 10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5513 23 90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5513 49 00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лито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полиестерни щапелни влакна със сплитка кепър, включително равноличен кепър, чийто повтор не превишава 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5514 43 00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тъкани от полиестерни щапелни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5515 91 10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5516 11 00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5516 21 00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5516 41 00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Неизбелени или избелени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юта или от други текстилни ликови влакна от № 5303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5602 10 31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5602 10 38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Импрегнирани, промазани, покрити или ламинирани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Канапи за свързване или връзване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5607 49 11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5607 49 19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5607 50 11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5607 50 30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линейна плътност 50000 dtex (5 g/m) или по-малка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5607 50 90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абака (манилски коноп или Musa textilis Nee) или от други твърди влакна (от листове); от юта или от други ликови текстилни влакна от № 5303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5607 90 90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канапи, въжета или дебели въжета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5608 11 80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канапи, въжета или дебели въжета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5608 90 00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5701 10 10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повече от 10% общо коприна или копринен дреб (копринени отпадъци)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5701 10 90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 MAX 2,8 €/m</w:t>
            </w:r>
            <w:r>
              <w:rPr>
                <w:noProof/>
                <w:color w:val="000000"/>
                <w:szCs w:val="24"/>
                <w:vertAlign w:val="superscript"/>
              </w:rPr>
              <w:t>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5702 31 10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Килими, наречени „Axminster“</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5702 32 10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Килими, наречени „Axminster“</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5702 49 00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5702 99 00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5703 20 12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квадратна форма, с повърхност, непревишаваща 1 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5703 20 18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квадратна форма, с повърхност, непревишаваща 0,3 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5704 90 00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5705 00 80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5801 36 00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Тъкани от шенилна прежда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Гладки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5804 21 10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Изплетени с механични вретена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5804 21 90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Изплетени с механични вретена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5804 30 00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 дантели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Ленти от кадифе, от плюш, от тъкани от шенилна прежда или от хавлиени тъкани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ленти, съдържащи тегловно 5% или повече прежди от еластомери или каучукови нишки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истински иви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5806 40 00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Ленти, състоящи се само от основа без вътък, чиито паралелни нишки са свързани с лепило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5807 10 10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надписи или мотиви, получени чрез втъкаване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5807 10 90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5807 90 10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филц или от нетъкани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5807 90 90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5810 10 90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5810 91 90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5810 92 90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5901 90 00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5902 90 90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5903 20 90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Промазани, покрити или ламинирани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5903 90 10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Импрегнирани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5903 90 91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производни на целулозата или с други пластмаси, като текстилният материал съставлява лицето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5903 90 99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5905 00 90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5906 91 00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трикотаж</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5909 00 10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5909 00 90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5911 40 00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Филтриращи тъкани от видовете, използвани в пресите за масло или за аналогични технически приложения, включително тези от човешка коса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Платове, наречени „с дълъг влас“</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6001 92 00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6003 30 10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Дантели тип „Rachel“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5% или повече прежди от еластомери, но несъдържащи каучукови нишки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6004 90 00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6005 31 50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Дантели тип „Rachel“, различни от тези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6005 32 50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Дантели тип „Rachel“, различни от тези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6005 33 50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Дантели тип „Rachel“, различни от тези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6005 34 50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Дантели тип „Rachel“, различни от тези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Обагрени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6005 90 90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6006 31 10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завеси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6006 34 90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прежди с различни цветове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6006 44 00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Печатани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6006 90 00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6101 90 80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Палта, пелерини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6102 90 90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Анораци, якета, блузони 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6103 23 00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6103 33 00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6103 49 00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6104 19 20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6104 23 00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6104 33 00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6104 44 00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6104 53 00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6104 59 00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6104 61 00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6104 62 00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6104 63 00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6104 69 00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6105 10 00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6105 20 10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6105 20 90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6105 90 10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6105 90 90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6106 90 30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естествена коприна или от отпадъци от естествена коприна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6106 90 50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6106 90 90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6107 99 00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6108 32 00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6108 99 00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6109 10 00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6109 90 20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 или от синтетични или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6109 90 90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Фланели и пуловери, съдържащи тегловно най-малко 50% вълна и с тегло на артикула 600 g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Тънки пòла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6110 20 99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Тънки пòла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6110 30 91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6110 30 99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6110 90 90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6111 30 90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6111 90 19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6111 90 90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Комбинезони и ансамбли за 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6112 31 90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6112 41 90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6112 49 90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6113 00 90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6114 20 00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6114 30 00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6114 90 00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Чорапи за разширени вени,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 с линейна плътност на единичната прежда, по-малка от 67 dtex</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 с линейна плътност на единичната прежда 67 dtex или повече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6115 30 11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 четвърти чорапи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6115 30 19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6115 95 00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6115 96 10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 четвърти чорапи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6115 96 91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Дамски дълги чорапи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6115 96 99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6115 99 00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6117 10 00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Шалове, ешарпи, кърпи за глава, шалчета, мантили, була, воалетки и други подобни артикули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6117 80 80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6117 90 00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непревишаващо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непревишаващо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6201 93 00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6201 99 00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непревишаващо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непревишаващо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единично тегло, превишаващо 1 kg</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6202 93 00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6202 99 00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6203 19 30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6203 22 80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6203 23 80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6203 29 18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Панталони и панталони до под коляното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6203 41 30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Панталони с пластрон и презрамки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тъкани, наречени „деним“</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рипсени кадифета и рипсени плюшове, разрязани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6203 43 11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6203 43 31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6203 43 39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6203 49 90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6204 13 00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6204 22 80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6204 23 80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6204 29 18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6204 39 19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6204 44 00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естествена коприна или от отпадъци от естествена коприна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6204 49 90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6204 53 00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6204 59 10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6204 59 90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Панталони и панталони до под коляното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6204 61 85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тъкани, наречени „деним“</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рипсени кадифета и от рипсени плюшове, разрязани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6204 63 11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6204 63 18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6204 63 31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6204 63 39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6204 69 90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6205 20 00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6205 30 00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6205 90 10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6205 90 80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естествена коприна или от отпадъци от естествена коприна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6206 90 90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6207 99 90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6208 99 00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6209 20 00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6209 30 00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6209 90 10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вълна или от фини животински косми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6209 90 90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продукти от № 5602</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6210 10 92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Пресгилки за еднократна употреба, от вида използван от пациенти и хирурзи при хирургически процедури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6210 10 98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облекла от видовете, класирани в подпозиции от 620111 до 620119</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облекла от видовете, класирани в подпозиции от 620211 до 620219</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облекла,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6210 50 00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облекла,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 или момчета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 или момичета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Комбинезони и ансамбли за 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 облекла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6211 32 31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Чиято външна част е изработена от един и същи плат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6211 32 41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Горни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6211 32 42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Долни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Работни облекла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6211 33 31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Чиято външна част е изработена от един и същи плат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6211 33 41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Горни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6211 33 42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Долни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Престилки, престилки с ръкави и други работни облекла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6211 42 31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Чиято външна част е изработена от един и същи плат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6211 42 41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Горни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6211 42 42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Долни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Престилки, престилки с ръкави и други работни облекла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6211 43 31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Чиято външна част е изработена от един и същи плат</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6211 43 41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Горни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6211 43 42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Долни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6211 49 00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Представени в асортименти, пригодени за продажба на дребно и съдържащи сутиен или бюстие и бикини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6212 20 00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Ластични колани и колан-гащи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6212 30 00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Комбинации (от артикулите от подпозиции от 621210 и 621220)</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6213 20 00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6213 90 00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естествена коприна или от отпадъци от естествена коприна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6215 10 00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естествена коприна или от отпадъци от естествена коприна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6215 20 00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или от изкуствени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6215 90 00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6217 10 00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Допълнения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6217 90 00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Части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Електрически одеяла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6301 30 10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6301 30 90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6301 40 10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6301 40 90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6301 90 90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Спално бельо, трикотажно или плетено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6302 21 00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6302 22 90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6302 29 10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6302 29 90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6302 31 00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6302 39 20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6302 39 90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Покривки и кърпи за маса,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6302 53 10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6302 53 90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6302 59 10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6302 59 90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6302 60 00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Кърпи и други артикули за тоалет или кухня, от хавлиени или подобни тъкани,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6302 93 10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6302 93 90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6302 99 90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6303 92 10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нетъкан текстил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6303 99 90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6304 19 30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лен или от рами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6304 91 00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6304 92 00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 различни от трикотажните или плетените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6304 93 00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 различни от трикотажните или плетените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6304 99 00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 различни от трикотажните или плетените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памук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6305 32 11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6305 39 00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6305 90 00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6306 22 00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синтетични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други текстилни материали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Платна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Надуваеми дюшеци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6306 90 00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Спасителни колани и жилетки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6307 90 92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Чаршафи за еднократна употреба, конфекционирани от продуктите от № 5603, от вида използван при хирургически процедури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6307 90 98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5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6308 00 00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xml:space="preserve"> 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със защитно метално покритие отпред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6401 92 10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горна част от каучук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6401 92 90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горна част от пластмаси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6401 99 00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за ски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за сноуборд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6402 19 00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с горна част от ленти, ремъци или каишки, свързани към ходилото чрез цапфи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защитно метално покритие отпред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6402 99 05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Със защитно метално покритие отпред</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горна част от каучук</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Чиято най-голяма височина на тока, включително ходилото, превишава 3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Пантофи и други домашни обувки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от модела на които не може да се познае дали са за мъже или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6402 99 98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обувки, имащи отпред защитно метално покритие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6403 51 11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6403 51 15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6403 51 19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6403 59 91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6403 91 13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от модела на които не може да се познае дали са за мъже или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6403 91 93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от модела на които не може да се познае дали са за мъже или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6403 91 96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6403 99 31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24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6403 99 33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Обувки, от модела на които не може да се познае дали са за мъже или за жени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6403 99 36</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мъже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6404 11 00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Спортни обувки; обувки за тенис, баскетбол, гимнастика, за тренировки и други подобни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6404 19 10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Пантофи и други домашни обувки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6404 19 90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6404 20 10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Пантофи и други домашни обувки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6404 20 90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6405 90 10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външни ходила от каучук, пластмаси, естествена или възстановена кожа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повече от 50% графит или други форми на въглерода или смес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6903 20 10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по-малко от 45% диалуминиев триоксид (Al2O3)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6903 20 90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45% или повече диалуминиев триоксид (Al2O3)</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6903 90 10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Съдържащи тегловно повече от 25%, но не повече от 50% графит или други форми на въглерода или смес от тези продукти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6903 90 90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6907 10 00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Плочки, кубчета, парчета и подобни артикули, дори с форма, различна от квадратна или правоъгълна, чиято най -голяма повърхност може да се впише в квадрат със страна, по-малка от 7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6907 90 20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каменина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12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Плочки, кубчета, парчета и подобни артикули, дори с форма, различна от квадратна или правоъгълна, чиято най -голяма повърхност може да се впише в квадрат със страна, по-малка от 7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Двойни плочки от вида „Spaltplatten“</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Двойни плочки от вида „Spaltplatten“</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повърхност, непревишаваща 90 cm²</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каменина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6908 90 99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6909 11 00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порцелан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6909 90 00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6910 10 00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порцелан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6910 90 00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6911 10 00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Артикули за сервиране или за кухня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6911 90 00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6912 00 10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обикновена глина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6912 00 30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каменина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6912 00 50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фаянс или от фина керамика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6912 00 90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6913 90 93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фаянс или от фина керамика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6913 90 98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6914 10 00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порцелан</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Тапи, похлупаци и други средства за затваряне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7010 90 43</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Повече от 0,33 l, но по-малко от 1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7010 90 57</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По-малка от 0,15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7010 90 71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Превишаваща 0,055 l</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7010 90 91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неоцветено стъкло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7010 90 99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оцветено стъкло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Предмети от стъклокерамика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7013 22 90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Механично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7013 28 10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7013 28 90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Механично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7013 33 11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Гравирани или по друг начин декорирани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7013 33 91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Гравирани или по друг начин декорирани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7013 33 99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7013 37 10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закалено стъкло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7013 37 51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Гравирани или по друг начин декорирани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7013 37 59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7013 37 91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Гравирани или по друг начин декорирани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7013 37 99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Механично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стъкло, с коефициент на линейно разширение, непревишаващ 5 × 10–6 за градус по Келвин в температурен диапазон между 0°C и 300°C</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закалено стъкло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7013 49 91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7013 49 99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Механично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7013 91 10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Ръчно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7013 91 90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Механично изработени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7013 99 00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11</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7016 10 00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Кубчета, парчета и други стъкларски артикули, дори върху подложка, за мозайки или подобни декорации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7018 10 19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7018 90 90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Нарязани влакна, с дължина, непревишаваща 50 mm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7019 12 00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Ровинг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7019 19 10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нишки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7019 19 90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щапелни влакна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7019 32 10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нишки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Тъкани от ровинг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7019 51 00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широчина, непревишаваща 30 сm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7019 52 00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широчина, превишаваща 30 сm, със сплитка лито, с тегло, по-малко от 250 g/m², от нишки с линейна плътност на единочката 136 tex или по-малко</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7019 59 00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7020 00 08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Завършени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8482 10 10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Чийто най-голям външен диаметър не превишава 30 mm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8482 20 00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Лагери с конусни ролки, включително сглобките на конусите с конусните ролки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8482 30 00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Ролкови лагери с бъчвообразни ролки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8482 40 00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Иглени лагери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8482 50 00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Лагери с цилиндрични ролки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8482 80 00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 включително комбинираните лагери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8519 20 91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четяща система чрез сноп лазерни лъчи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8519 81 21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8519 81 31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От типа, използван в автомобилните превозни средства, за дискове с диаметър, непревишаващ 6,5 cm</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8519 81 35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8519 81 85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8521 10 20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широчина, непревишаваща 1,3 cm и позволяващи записването или възпроизвеждането със скорост на движение на лентата непревишаваща 50 mm/s</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8521 10 95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8521 90 00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13,9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8525 80 99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8527 12 10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8527 12 90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8527 13 10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четяща система чрез сноп лазерни лъчи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8527 13 91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касети и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8527 13 99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четяща система чрез сноп лазерни лъчи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8527 21 52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касети и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четяща система чрез сноп лазерни лъчи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касети и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8527 21 98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8527 29 00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8527 91 11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касети и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8527 91 35</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четяща система чрез сноп лазерни лъчи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касети и с аналогово-цифрова четяща система</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8527 99 00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8528 49 10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Монохромни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8528 49 80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Цветни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8528 59 10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Монохромни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8528 59 40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екран с течнокристална технология на изображението (LCD)</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8528 59 80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8528 69 99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Цветни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8528 71 19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Микропроцесорни апарати, съдържащи модем за достъп до Интернет, осигуряващи интерактивен обмен на информация, с възможност за приемане на телевизионни сигнали (т.нар. „set-top приставки с комуникационна функция“, включително такива, които включват средство за записване или възпроизводство, при условие че запазват основния си характер на приемник (set-top приставка), който изпълнява комуникационна функция)</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Телевизионни прожекционни апарати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8528 72 20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Апарати с вградено устройство за видеофонично записване или възпроизвеждане</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вграден кинескоп</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8528 72 40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екран с течнокристална технология на изображението (LCD)</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6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8528 72 60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 екран с технология на основата на плазмен екранен панел (PDP)</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8528 72 80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9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8529 90 92</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телевизионните камери от подпозиции 85258011 и 85258019 и апаратите от № 8527 и 8528</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8540 11 00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Цветни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8702 10 11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8702 10 19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16</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8702 10 91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8702 90 31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8702 90 39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8703 10 18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8703 22 10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8703 23 11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Самоходни каравани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8703 24 10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8703 24 90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8703 31 10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8703 31 90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8703 32 19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8703 32 90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8703 33 19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8703 33 90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8703 90 10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Превозни средства с електродвигател</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8703 90 90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8704 21 31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8704 21 39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8704 22 91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8704 22 99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22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8704 31 91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Нови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8704 31 99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Употребявани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8704 90 00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8706 00 11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За автомобилни превозни средства от № 8702 или от № 8704</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19</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8706 00 99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8711 20 98</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Превишаващ 125 сm³, но непревишаващ 250 сm³</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8</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8712 00 30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Велосипеди със сачмени лагери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14</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8712 00 70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9002 90 00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9011 10 90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9011 90 90</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6,7</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9619 00 41</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Трикотажни или плетени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12</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5</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300"/>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9619 00 49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6,3</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r>
        <w:trPr>
          <w:trHeight w:val="226"/>
        </w:trPr>
        <w:tc>
          <w:tcPr>
            <w:tcW w:w="1395" w:type="dxa"/>
            <w:tcBorders>
              <w:top w:val="nil"/>
              <w:left w:val="single" w:sz="4" w:space="0" w:color="auto"/>
              <w:bottom w:val="single" w:sz="4" w:space="0" w:color="auto"/>
              <w:right w:val="single" w:sz="4" w:space="0" w:color="auto"/>
            </w:tcBorders>
            <w:shd w:val="clear" w:color="auto" w:fill="auto"/>
            <w:hideMark/>
          </w:tcPr>
          <w:p>
            <w:pPr>
              <w:rPr>
                <w:noProof/>
                <w:color w:val="000000"/>
                <w:szCs w:val="24"/>
              </w:rPr>
            </w:pPr>
            <w:r>
              <w:rPr>
                <w:noProof/>
                <w:color w:val="000000"/>
                <w:szCs w:val="24"/>
              </w:rPr>
              <w:t>9619 00 59</w:t>
            </w:r>
          </w:p>
        </w:tc>
        <w:tc>
          <w:tcPr>
            <w:tcW w:w="5362" w:type="dxa"/>
            <w:tcBorders>
              <w:top w:val="nil"/>
              <w:left w:val="nil"/>
              <w:bottom w:val="single" w:sz="4" w:space="0" w:color="auto"/>
              <w:right w:val="single" w:sz="4" w:space="0" w:color="auto"/>
            </w:tcBorders>
            <w:shd w:val="clear" w:color="auto" w:fill="auto"/>
            <w:hideMark/>
          </w:tcPr>
          <w:p>
            <w:pPr>
              <w:rPr>
                <w:noProof/>
                <w:szCs w:val="24"/>
              </w:rPr>
            </w:pPr>
            <w:r>
              <w:rPr>
                <w:noProof/>
                <w:szCs w:val="24"/>
              </w:rPr>
              <w:t>--- Други</w:t>
            </w:r>
          </w:p>
        </w:tc>
        <w:tc>
          <w:tcPr>
            <w:tcW w:w="3863"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10,5</w:t>
            </w:r>
          </w:p>
        </w:tc>
        <w:tc>
          <w:tcPr>
            <w:tcW w:w="1524"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3</w:t>
            </w:r>
          </w:p>
        </w:tc>
        <w:tc>
          <w:tcPr>
            <w:tcW w:w="2031" w:type="dxa"/>
            <w:tcBorders>
              <w:top w:val="nil"/>
              <w:left w:val="nil"/>
              <w:bottom w:val="single" w:sz="4" w:space="0" w:color="auto"/>
              <w:right w:val="single" w:sz="4" w:space="0" w:color="auto"/>
            </w:tcBorders>
            <w:shd w:val="clear" w:color="auto" w:fill="auto"/>
            <w:hideMark/>
          </w:tcPr>
          <w:p>
            <w:pPr>
              <w:rPr>
                <w:noProof/>
                <w:color w:val="000000"/>
                <w:szCs w:val="24"/>
              </w:rPr>
            </w:pPr>
            <w:r>
              <w:rPr>
                <w:noProof/>
                <w:color w:val="000000"/>
                <w:szCs w:val="24"/>
              </w:rPr>
              <w:t> </w:t>
            </w:r>
          </w:p>
        </w:tc>
      </w:tr>
    </w:tbl>
    <w:p>
      <w:pPr>
        <w:rPr>
          <w:noProof/>
          <w:szCs w:val="24"/>
          <w:lang w:val="bg-BG"/>
        </w:rPr>
      </w:pPr>
    </w:p>
    <w:sectPr>
      <w:headerReference w:type="even" r:id="rId16"/>
      <w:headerReference w:type="default" r:id="rId17"/>
      <w:footerReference w:type="even" r:id="rId18"/>
      <w:footerReference w:type="default" r:id="rId19"/>
      <w:headerReference w:type="first" r:id="rId20"/>
      <w:footerReference w:type="first" r:id="rId21"/>
      <w:pgSz w:w="16839" w:h="11907" w:orient="landscape" w:code="9"/>
      <w:pgMar w:top="1134" w:right="1134" w:bottom="1134" w:left="1134"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8"/>
  </w:num>
  <w:num w:numId="3">
    <w:abstractNumId w:val="31"/>
  </w:num>
  <w:num w:numId="4">
    <w:abstractNumId w:val="10"/>
  </w:num>
  <w:num w:numId="5">
    <w:abstractNumId w:val="22"/>
  </w:num>
  <w:num w:numId="6">
    <w:abstractNumId w:val="17"/>
  </w:num>
  <w:num w:numId="7">
    <w:abstractNumId w:val="19"/>
  </w:num>
  <w:num w:numId="8">
    <w:abstractNumId w:val="30"/>
  </w:num>
  <w:num w:numId="9">
    <w:abstractNumId w:val="15"/>
  </w:num>
  <w:num w:numId="10">
    <w:abstractNumId w:val="8"/>
  </w:num>
  <w:num w:numId="11">
    <w:abstractNumId w:val="11"/>
  </w:num>
  <w:num w:numId="12">
    <w:abstractNumId w:val="11"/>
  </w:num>
  <w:num w:numId="13">
    <w:abstractNumId w:val="11"/>
  </w:num>
  <w:num w:numId="14">
    <w:abstractNumId w:val="1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7"/>
  </w:num>
  <w:num w:numId="24">
    <w:abstractNumId w:val="20"/>
  </w:num>
  <w:num w:numId="25">
    <w:abstractNumId w:val="29"/>
  </w:num>
  <w:num w:numId="26">
    <w:abstractNumId w:val="14"/>
  </w:num>
  <w:num w:numId="27">
    <w:abstractNumId w:val="21"/>
  </w:num>
  <w:num w:numId="28">
    <w:abstractNumId w:val="12"/>
  </w:num>
  <w:num w:numId="29">
    <w:abstractNumId w:val="28"/>
  </w:num>
  <w:num w:numId="30">
    <w:abstractNumId w:val="9"/>
  </w:num>
  <w:num w:numId="31">
    <w:abstractNumId w:val="23"/>
  </w:num>
  <w:num w:numId="32">
    <w:abstractNumId w:val="25"/>
  </w:num>
  <w:num w:numId="33">
    <w:abstractNumId w:val="26"/>
  </w:num>
  <w:num w:numId="34">
    <w:abstractNumId w:val="13"/>
  </w:num>
  <w:num w:numId="35">
    <w:abstractNumId w:val="24"/>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t-PT" w:vendorID="13"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2"/>
    <w:docVar w:name="LW_ANNEX_NBR_LAST" w:val="2"/>
    <w:docVar w:name="LW_ANNEX_UNIQUE" w:val="0"/>
    <w:docVar w:name="LW_CORRIGENDUM" w:val="&lt;UNUSED&gt;"/>
    <w:docVar w:name="LW_COVERPAGE_EXISTS" w:val="True"/>
    <w:docVar w:name="LW_COVERPAGE_GUID" w:val="D06C78F4-47EF-4EE8-9365-DC6B0135B918"/>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_x000b_"/>
    <w:docVar w:name="LW_PART_NBR" w:val="2"/>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 w:type="paragraph" w:customStyle="1" w:styleId="Declassification">
    <w:name w:val="Declassification"/>
    <w:basedOn w:val="Normal"/>
    <w:next w:val="Normal"/>
    <w:pPr>
      <w:widowControl/>
      <w:spacing w:line="240" w:lineRule="auto"/>
      <w:jc w:val="both"/>
    </w:pPr>
    <w:rPr>
      <w:rFonts w:eastAsiaTheme="minorHAnsi"/>
      <w:szCs w:val="22"/>
      <w:lang w:val="bg-BG" w:eastAsia="en-US"/>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 w:type="paragraph" w:customStyle="1" w:styleId="Declassification">
    <w:name w:val="Declassification"/>
    <w:basedOn w:val="Normal"/>
    <w:next w:val="Normal"/>
    <w:pPr>
      <w:widowControl/>
      <w:spacing w:line="240" w:lineRule="auto"/>
      <w:jc w:val="both"/>
    </w:pPr>
    <w:rPr>
      <w:rFonts w:eastAsiaTheme="minorHAnsi"/>
      <w:szCs w:val="22"/>
      <w:lang w:val="bg-BG" w:eastAsia="en-US"/>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88F7-8A84-41BF-9ADB-FB54570A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25281</Words>
  <Characters>98600</Characters>
  <Application>Microsoft Office Word</Application>
  <DocSecurity>0</DocSecurity>
  <Lines>12325</Lines>
  <Paragraphs>10323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45</cp:revision>
  <cp:lastPrinted>2004-04-02T13:43:00Z</cp:lastPrinted>
  <dcterms:created xsi:type="dcterms:W3CDTF">2017-10-26T09:32:00Z</dcterms:created>
  <dcterms:modified xsi:type="dcterms:W3CDTF">2018-04-20T09:00:00Z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ies>
</file>