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3C522E1-6954-428D-9732-E9931D5DDF44" style="width:451.35pt;height:3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before="0" w:after="240"/>
        <w:rPr>
          <w:noProof/>
        </w:rPr>
      </w:pPr>
      <w:r>
        <w:rPr>
          <w:noProof/>
        </w:rPr>
        <w:t xml:space="preserve">Със своите над 600 млн. потребители и бързо увеличаваща се средна класа динамично развиващите се икономики в Югоизточна Азия са основни пазари за износителите и инвеститорите от Европейския съюз. С общ размер на търговията със стоки от 208 млрд. евро и 77 млрд. евро на търговията с услуги (2016 г.) държавите от Асоциацията на народите от Югоизточна Азия (АСЕАН), взети в своята съвкупност, представляват третият най-голям търговски партньор на ЕС извън Европа, а именно след САЩ и Китай. Едновременно с това поради преките чуждестранни инвестиции в АСЕАН, възлизащи общо на 263 млрд. евро (2016 г.), ЕС е най-големият пряк чуждестранен инвеститор в АСЕАН, като на свой ред държавите от АСЕАН, взети в своята съвкупност, са вторият най-голям пряк чуждестранен инвеститор от Азия в ЕС — преките чуждестранни инвестиции са в общ размер на 116 млрд. евро (2016 г.). </w:t>
      </w:r>
    </w:p>
    <w:p>
      <w:pPr>
        <w:pBdr>
          <w:top w:val="nil"/>
          <w:left w:val="nil"/>
          <w:bottom w:val="nil"/>
          <w:right w:val="nil"/>
          <w:between w:val="nil"/>
          <w:bar w:val="nil"/>
        </w:pBdr>
        <w:spacing w:before="0" w:after="240"/>
        <w:rPr>
          <w:noProof/>
        </w:rPr>
      </w:pPr>
      <w:r>
        <w:rPr>
          <w:noProof/>
        </w:rPr>
        <w:t>В рамките на АСЕАН Сингапур е безспорно най-големият партньор на ЕС — малко по-малко от една трета от търговията със стоки и услуги между ЕС и АСЕАН и приблизително две трети от инвестициите между двата региона се дължат именно на него. Над 10 000 дружества от ЕС са установени в Сингапур и го използват като център за цялото Тихоокеанско крайбрежие.</w:t>
      </w:r>
    </w:p>
    <w:p>
      <w:pPr>
        <w:pBdr>
          <w:top w:val="nil"/>
          <w:left w:val="nil"/>
          <w:bottom w:val="nil"/>
          <w:right w:val="nil"/>
          <w:between w:val="nil"/>
          <w:bar w:val="nil"/>
        </w:pBdr>
        <w:spacing w:before="0" w:after="240"/>
        <w:rPr>
          <w:noProof/>
        </w:rPr>
      </w:pPr>
      <w:r>
        <w:rPr>
          <w:noProof/>
        </w:rPr>
        <w:t>На 23 април 2007 г. Съветът оправомощи Комисията да започне преговори за междурегионално споразумение за свободна търговия (ССТ) с държавите — членки на АСЕАН. Дори ако целта бяха преговори за междурегионално ССТ, при оправомощаването се предвиди възможността за двустранни преговори, ако не е възможно да се достигне до съгласие за общо преговаряне с група държави — членки на АСЕАН. С оглед на трудностите в междурегионалните преговори и двете страни признаха, че са стигнали до „задънена улица“ и постигнаха съгласие за временното им прекратяване.</w:t>
      </w:r>
    </w:p>
    <w:p>
      <w:pPr>
        <w:pBdr>
          <w:top w:val="nil"/>
          <w:left w:val="nil"/>
          <w:bottom w:val="nil"/>
          <w:right w:val="nil"/>
          <w:between w:val="nil"/>
          <w:bar w:val="nil"/>
        </w:pBdr>
        <w:spacing w:before="0" w:after="240"/>
        <w:rPr>
          <w:noProof/>
        </w:rPr>
      </w:pPr>
      <w:r>
        <w:rPr>
          <w:noProof/>
        </w:rPr>
        <w:t>На 22 декември 2009 г. Съветът изрази съгласие с подхода за започване на двустранни преговори с отделни държави — членки на АСЕАН, на базата на оправомощаването и указанията за водене на преговори от 2007 г., като едновременно с това се запази стратегическата цел за междурегионално споразумение. Също така Съветът оправомощи Комисията да започне двустранни преговори за ССТ със Сингапур, което да представлява първа стъпка към целта за своевременно започване на преговори с други съответни държави — членки на АСЕАН. Двустранните преговори със Сингапур започнаха през март 2010 г., като след това ЕС започна двустранни преговори за ССТ с други държави — членки на АСЕАН: Малайзия (2010 г.), Виетнам (2012 г.), Тайланд (2013 г.), Филипините (2015 г.) и Индонезия (2016 г.).</w:t>
      </w:r>
    </w:p>
    <w:p>
      <w:pPr>
        <w:pBdr>
          <w:top w:val="nil"/>
          <w:left w:val="nil"/>
          <w:bottom w:val="nil"/>
          <w:right w:val="nil"/>
          <w:between w:val="nil"/>
          <w:bar w:val="nil"/>
        </w:pBdr>
        <w:spacing w:before="0" w:after="240"/>
        <w:rPr>
          <w:noProof/>
        </w:rPr>
      </w:pPr>
      <w:r>
        <w:rPr>
          <w:noProof/>
        </w:rPr>
        <w:t>На 12 септември 2011 г. Съветът оправомощи Комисията да разшири текущите преговори със Сингапур, за да се обхване и защитата на инвестициите въз основа на новата компетентност на ЕС съгласно Договора от Лисабон.</w:t>
      </w:r>
    </w:p>
    <w:p>
      <w:pPr>
        <w:pBdr>
          <w:top w:val="nil"/>
          <w:left w:val="nil"/>
          <w:bottom w:val="nil"/>
          <w:right w:val="nil"/>
          <w:between w:val="nil"/>
          <w:bar w:val="nil"/>
        </w:pBdr>
        <w:spacing w:before="0" w:after="240"/>
        <w:rPr>
          <w:noProof/>
        </w:rPr>
      </w:pPr>
      <w:r>
        <w:rPr>
          <w:noProof/>
        </w:rPr>
        <w:t>Въз основа на указанията за водене на преговори, приети от Съвета през 2007 г. и допълнени през 2011 г., за да се включи защитата на инвестициите, Комисията преговаряше с Република Сингапур за амбициозно и всеобхватно ССТ и</w:t>
      </w:r>
      <w:r>
        <w:rPr>
          <w:noProof/>
        </w:rPr>
        <w:tab/>
        <w:t xml:space="preserve"> </w:t>
      </w:r>
      <w:r>
        <w:rPr>
          <w:noProof/>
        </w:rPr>
        <w:br/>
        <w:t xml:space="preserve">за споразумение за защита на инвестициите (СЗИ) с оглед на създаването на нови </w:t>
      </w:r>
      <w:r>
        <w:rPr>
          <w:noProof/>
        </w:rPr>
        <w:lastRenderedPageBreak/>
        <w:t>възможности и правна сигурност за търговията и инвестициите между двамата партньори. След правна редакция текстовете на споразуменията бяха направени обществено достояние и могат да се намерят на следния адрес:</w:t>
      </w:r>
    </w:p>
    <w:p>
      <w:pPr>
        <w:pBdr>
          <w:top w:val="nil"/>
          <w:left w:val="nil"/>
          <w:bottom w:val="nil"/>
          <w:right w:val="nil"/>
          <w:between w:val="nil"/>
          <w:bar w:val="nil"/>
        </w:pBdr>
        <w:spacing w:before="0" w:after="240"/>
        <w:rPr>
          <w:noProof/>
        </w:rPr>
      </w:pPr>
      <w:hyperlink r:id="rId16">
        <w:r>
          <w:rPr>
            <w:rStyle w:val="Hyperlink"/>
            <w:noProof/>
          </w:rPr>
          <w:t>http://ec.europa.eu/trade/policy/countries-and-regions/countries/singapore/</w:t>
        </w:r>
      </w:hyperlink>
    </w:p>
    <w:p>
      <w:pPr>
        <w:pBdr>
          <w:top w:val="nil"/>
          <w:left w:val="nil"/>
          <w:bottom w:val="nil"/>
          <w:right w:val="nil"/>
          <w:between w:val="nil"/>
          <w:bar w:val="nil"/>
        </w:pBdr>
        <w:spacing w:before="0" w:after="240"/>
        <w:rPr>
          <w:noProof/>
        </w:rPr>
      </w:pPr>
      <w:r>
        <w:rPr>
          <w:noProof/>
        </w:rPr>
        <w:t>Комисията представя следните предложения за решения на Съвета:</w:t>
      </w:r>
    </w:p>
    <w:p>
      <w:pPr>
        <w:pStyle w:val="Tiret0"/>
        <w:numPr>
          <w:ilvl w:val="0"/>
          <w:numId w:val="10"/>
        </w:numPr>
        <w:rPr>
          <w:noProof/>
        </w:rPr>
      </w:pPr>
      <w:r>
        <w:rPr>
          <w:noProof/>
        </w:rPr>
        <w:t>предложение за Решение на Съвета за подписване, от името на Европейския съюз, на Споразумението за свободна търговия между Европейския съюз и Република Сингапур;</w:t>
      </w:r>
    </w:p>
    <w:p>
      <w:pPr>
        <w:pStyle w:val="Tiret0"/>
        <w:rPr>
          <w:noProof/>
        </w:rPr>
      </w:pPr>
      <w:r>
        <w:rPr>
          <w:noProof/>
        </w:rPr>
        <w:t>предложение за Решение на Съвета за сключване на Споразумението за свободна търговия между Европейския съюз и Република Сингапур;</w:t>
      </w:r>
    </w:p>
    <w:p>
      <w:pPr>
        <w:pStyle w:val="Tiret0"/>
        <w:rPr>
          <w:noProof/>
        </w:rPr>
      </w:pPr>
      <w:r>
        <w:rPr>
          <w:noProof/>
        </w:rPr>
        <w:t>предложение за Решение на Съвета за подписване, от името на Европейския съюз, на Споразумението за защита на инвестициите между Европейския съюз и неговите държави членки, от една страна, и Република Сингапур, от друга страна;</w:t>
      </w:r>
    </w:p>
    <w:p>
      <w:pPr>
        <w:pStyle w:val="Tiret0"/>
        <w:rPr>
          <w:noProof/>
        </w:rPr>
      </w:pPr>
      <w:r>
        <w:rPr>
          <w:noProof/>
        </w:rPr>
        <w:t>предложение за Решение на Съвета за сключване на Споразумението за защита на инвестициите между Европейския съюз и неговите държави членки, от една страна, и Република Сингапур, от друга страна.</w:t>
      </w:r>
    </w:p>
    <w:p>
      <w:pPr>
        <w:pBdr>
          <w:top w:val="nil"/>
          <w:left w:val="nil"/>
          <w:bottom w:val="nil"/>
          <w:right w:val="nil"/>
          <w:between w:val="nil"/>
          <w:bar w:val="nil"/>
        </w:pBdr>
        <w:spacing w:before="0" w:after="240"/>
        <w:rPr>
          <w:noProof/>
        </w:rPr>
      </w:pPr>
      <w:r>
        <w:rPr>
          <w:noProof/>
        </w:rPr>
        <w:t>Успоредно с тези предложения Комисията ще представи предложение за хоризонтален регламент за защитните мерки, който, наред с други споразумения, ще обхване и ССТ между ЕС и Сингапур.</w:t>
      </w:r>
    </w:p>
    <w:p>
      <w:pPr>
        <w:pBdr>
          <w:top w:val="nil"/>
          <w:left w:val="nil"/>
          <w:bottom w:val="nil"/>
          <w:right w:val="nil"/>
          <w:between w:val="nil"/>
          <w:bar w:val="nil"/>
        </w:pBdr>
        <w:spacing w:before="0" w:after="240"/>
        <w:rPr>
          <w:noProof/>
        </w:rPr>
      </w:pPr>
      <w:r>
        <w:rPr>
          <w:noProof/>
        </w:rPr>
        <w:t>Европейската комисия ще провери дали преди влизането в сила на споразумението е постигнат задоволителен резултат по отношение на защитата на географските означения на ЕС в Сингапур съгласно принципите от писмото на министъра на търговията и промишлеността на Сингапур от 21 януари 2013 г.</w:t>
      </w:r>
      <w:r>
        <w:rPr>
          <w:rStyle w:val="FootnoteReference"/>
          <w:noProof/>
        </w:rPr>
        <w:footnoteReference w:id="1"/>
      </w:r>
      <w:r>
        <w:rPr>
          <w:noProof/>
        </w:rPr>
        <w:t xml:space="preserve"> и с оглед на резултата от неофициалната обществена консултация, извършена от сингапурските органи през 2012 г.</w:t>
      </w:r>
    </w:p>
    <w:p>
      <w:pPr>
        <w:pBdr>
          <w:top w:val="nil"/>
          <w:left w:val="nil"/>
          <w:bottom w:val="nil"/>
          <w:right w:val="nil"/>
          <w:between w:val="nil"/>
          <w:bar w:val="nil"/>
        </w:pBdr>
        <w:spacing w:before="0" w:after="240"/>
        <w:rPr>
          <w:noProof/>
        </w:rPr>
      </w:pPr>
      <w:r>
        <w:rPr>
          <w:noProof/>
        </w:rPr>
        <w:t>Приложеното предложение за решение на Съвета представлява правният инструмент за сключването на Споразумението за свободна търговия между Европейския съюз и Република Сингапур.</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Преговорите за ССТ и СЗИ бяха съчетани с паралелни преговори от страна на Европейската служба за външна дейност по Споразумение за партньорство и сътрудничество (СПС) между Европейския съюз и неговите държави членки и Република Сингапур, което беше парафирано през октомври 2013 г. След като влезе в сила, СПС ще осигури правната рамка за по-нататъшно развитие на дългогодишното стабилно партньорство между ЕС и Сингапур в многобройни сфери, в това число политическия диалог, търговията, енергетиката, транспорта, правата на човека, образованието, науката и технологиите, правосъдието, убежището и миграцията.</w:t>
      </w:r>
    </w:p>
    <w:p>
      <w:pPr>
        <w:pBdr>
          <w:top w:val="nil"/>
          <w:left w:val="nil"/>
          <w:bottom w:val="nil"/>
          <w:right w:val="nil"/>
          <w:between w:val="nil"/>
          <w:bar w:val="nil"/>
        </w:pBdr>
        <w:spacing w:before="0" w:after="240"/>
        <w:rPr>
          <w:noProof/>
        </w:rPr>
      </w:pPr>
      <w:r>
        <w:rPr>
          <w:noProof/>
        </w:rPr>
        <w:lastRenderedPageBreak/>
        <w:t>Дългогодишните търговски и икономически отношения между ЕС и Сингапур се развиваха досега в отсъствието на конкретна правна рамка. Договорените ССТ и СЗИ ще съставляват конкретни споразумения, привеждащи в изпълнение търговските и инвестиционните разпоредби от СПС, и ще представляват неразделна част от цялостните двустранни отношения между ЕС и Сингапур.</w:t>
      </w:r>
    </w:p>
    <w:p>
      <w:pPr>
        <w:pBdr>
          <w:top w:val="nil"/>
          <w:left w:val="nil"/>
          <w:bottom w:val="nil"/>
          <w:right w:val="nil"/>
          <w:between w:val="nil"/>
          <w:bar w:val="nil"/>
        </w:pBdr>
        <w:spacing w:before="0" w:after="240"/>
        <w:rPr>
          <w:noProof/>
        </w:rPr>
      </w:pPr>
      <w:r>
        <w:rPr>
          <w:noProof/>
        </w:rPr>
        <w:t xml:space="preserve">От датата на влизането си в сила СЗИ между ЕС и Сингапур ще замести и отмени двустранните инвестиционни договори между Република Сингапур и държавите — членки на ЕС, които са посочени в приложение 5 (споразумения, посочени в член 4.12) към СЗИ.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ССТ и СЗИ между ЕС и Сингапур са напълно съгласувани с политиките на Съюза и не налагат ЕС да изменя своите правила, нормативна уредба или стандарти в която и да е регулирана сфера (например технически правила и продуктови стандарти, санитарни или фитосанитарни правила, нормативна уредба за храните и безопасността, стандарти във връзка със здравето и безопасността, правила за ГМО, опазване на околната среда, защита на потребителите и др.).</w:t>
      </w:r>
    </w:p>
    <w:p>
      <w:pPr>
        <w:pBdr>
          <w:top w:val="nil"/>
          <w:left w:val="nil"/>
          <w:bottom w:val="nil"/>
          <w:right w:val="nil"/>
          <w:between w:val="nil"/>
          <w:bar w:val="nil"/>
        </w:pBdr>
        <w:spacing w:before="0" w:after="240"/>
        <w:rPr>
          <w:noProof/>
        </w:rPr>
      </w:pPr>
      <w:r>
        <w:rPr>
          <w:noProof/>
        </w:rPr>
        <w:t>Освен това, подобно на всички други търговски и инвестиционни споразумения, които Комисията договори, ССТ и СЗИ между ЕС и Сингапур напълно защитават обществените услуги и гарантират, че правото на правителствата да приемат разпоредби в защита на обществения интерес е изцяло съблюдавано в споразуменията и представлява основополагащ принцип в тях.</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През юли 2015 г. Комисията сезира Съда на ЕС за становище съгласно член 218, параграф 11 от ДФЕС по въпроса дали Съюзът притежава необходимата компетентност да подпише и сключи самостоятелно споразумението, което е договорено със Сингапур, или е необходимо участието на държавите — членки на ЕС, или поне то е възможно във връзка с някои въпроси.</w:t>
      </w:r>
    </w:p>
    <w:p>
      <w:pPr>
        <w:pBdr>
          <w:top w:val="nil"/>
          <w:left w:val="nil"/>
          <w:bottom w:val="nil"/>
          <w:right w:val="nil"/>
          <w:between w:val="nil"/>
          <w:bar w:val="nil"/>
        </w:pBdr>
        <w:spacing w:before="0" w:after="240"/>
        <w:rPr>
          <w:noProof/>
        </w:rPr>
      </w:pPr>
      <w:r>
        <w:rPr>
          <w:noProof/>
        </w:rPr>
        <w:t xml:space="preserve">В становището си 2/15 от 16 май 2017 г. Съдът потвърди изключителната компетентност на ЕС по отношение на всички въпроси, обхванати от споразумението, договорено със Сингапур, освен непреките инвестиции и уреждането на спорове между държава и инвеститор, по които държавите членки са ответници — сфери, за които Съдът счита, че са от споделена компетентност между ЕС и държавите членки. Впоследствие текстът за уреждането на спорове между държава и инвеститор беше заменен с инвестиционната съдебна система в СЗИ. Съдът стигна до заключението за изключителната компетентност на ЕС въз основа на обхвата на общата търговска политика по член 207, параграф 1 от ДФЕС и въз основа на член 3, параграф 2 от ДФЕС (на базата на факта, че са засегнати съществуващите общи правила, съдържащи се във вторичното законодателство). </w:t>
      </w:r>
    </w:p>
    <w:p>
      <w:pPr>
        <w:spacing w:before="0" w:after="240"/>
        <w:rPr>
          <w:noProof/>
        </w:rPr>
      </w:pPr>
      <w:r>
        <w:rPr>
          <w:noProof/>
        </w:rPr>
        <w:t>С оглед на становището на Съда и предвид на широкото обсъждане на структурата, което се проведе със Съвета и Европейския парламент впоследствие, първоначално договореният текст беше коригиран така, че да се създадат две самостоятелни споразумения: ССТ и СЗИ.</w:t>
      </w:r>
    </w:p>
    <w:p>
      <w:pPr>
        <w:spacing w:before="0" w:after="240"/>
        <w:rPr>
          <w:noProof/>
        </w:rPr>
      </w:pPr>
      <w:r>
        <w:rPr>
          <w:noProof/>
        </w:rPr>
        <w:lastRenderedPageBreak/>
        <w:t>Съгласно становище 2/15 всички сфери, обхванати от ССТ между ЕС и Сингапур, са в обхвата на компетентността на ЕС, и по-специално в обхвата на член 91, член 100, параграф 2 и член 207 от ДФЕС. Доколкото всички материалноправни разпоредби относно защитата на инвестициите по СЗИ се прилагат към преките чуждестранни инвестиции, те са в обхвата на член 207 от ДФЕС.</w:t>
      </w:r>
    </w:p>
    <w:p>
      <w:pPr>
        <w:spacing w:before="0" w:after="240"/>
        <w:rPr>
          <w:noProof/>
        </w:rPr>
      </w:pPr>
      <w:r>
        <w:rPr>
          <w:noProof/>
        </w:rPr>
        <w:t>ССТ между ЕС и Сингапур трябва да се подпише от Съюза по силата на решение на Съвета на основание член 218, параграф 5 от ДФЕС и трябва да се сключи от Съюза съгласно решение на Съвета на основание член 218, параграф 6 от ДФЕС, след като се получи съгласието на Европейския парламент.</w:t>
      </w:r>
    </w:p>
    <w:p>
      <w:pPr>
        <w:spacing w:before="0" w:after="240"/>
        <w:rPr>
          <w:noProof/>
        </w:rPr>
      </w:pPr>
      <w:r>
        <w:rPr>
          <w:noProof/>
        </w:rPr>
        <w:t>Освен това член 218, параграф 7 от ДФЕС се добави като правно основание, тъй като е целесъобразно Съветът да оправомощи Комисията да одобри позицията на Съюза по определени изменения на ССТ, предвид на факта че ССТ предвижда ускорени и/или опростени процедури за одобряването на такива изменения. Поради това Комисията следва да бъде оправомощена да одобри измененията или поправките, които да се приемат от Комитета по търговията съгласно член 9.18 (Изменение и поправка в обхвата) във връзка с приложения 9-A — 9-И и съгласно член 10.17 (Система за закрила на географските означения) и член 10.18 (Изменение на списъка на географските означения) от ССТ във връзка с приложения 10-A и 10-Б.</w:t>
      </w:r>
    </w:p>
    <w:p>
      <w:pPr>
        <w:spacing w:before="0" w:after="240"/>
        <w:rPr>
          <w:noProof/>
        </w:rPr>
      </w:pPr>
      <w:r>
        <w:rPr>
          <w:noProof/>
        </w:rPr>
        <w:t>СЗИ между ЕС и Сингапур трябва да се подпише от Съюза по силата на решение на Съвета на основание член 218, параграф 5 от ДФЕС и трябва да се сключи от Съюза съгласно решение на Съвета на основание член 218, параграф 6 от ДФЕС, след като се получи съгласието на Европейския парламент и след ратификация от държавите членки съгласно техните съответни вътрешни процедури.</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Както е потвърдено от становище 2/15, представеното пред Съвета ССТ между ЕС и Сингапур не обхваща аспекти, които са извън изключителната компетентност на ЕС.</w:t>
      </w:r>
    </w:p>
    <w:p>
      <w:pPr>
        <w:rPr>
          <w:noProof/>
        </w:rPr>
      </w:pPr>
      <w:r>
        <w:rPr>
          <w:noProof/>
        </w:rPr>
        <w:t>Във връзка със СЗИ Съдът потвърди, че съгласно член 207 от ДФЕС ЕС има изключителна компетентност по отношение на всички материалноправни разпоредби относно защитата на инвестициите, доколкото те се прилагат към преките чуждестранни инвестиции. Освен това Съдът потвърди изключителната компетентност на ЕС във връзка с механизма за уреждане на спорове между държави по отношение на защитата на инвестициите. На последно място, Съдът посочи, че ЕС има споделена компетентност във връзка с непреките инвестиции и уреждането на спорове между държава и инвеститор (по-късно заменено с инвестиционната съдебна система в СЗИ), където държавите членки са в качеството на ответници</w:t>
      </w:r>
      <w:r>
        <w:rPr>
          <w:rStyle w:val="FootnoteReference"/>
          <w:noProof/>
        </w:rPr>
        <w:footnoteReference w:id="2"/>
      </w:r>
      <w:r>
        <w:rPr>
          <w:noProof/>
        </w:rPr>
        <w:t>. Тези елементи не могат да се отделят по никакъв последователен начин от материалноправните разпоредбите или от уреждането на спорове между държави и поради това следва да се включат в споразумения на нивото на ЕС.</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 xml:space="preserve">Настоящото предложение е в съответствие с визията от стратегията „Европа 2020“ и допринася за целите на ЕС в областта на търговията и развитието. </w:t>
      </w:r>
    </w:p>
    <w:p>
      <w:pPr>
        <w:pStyle w:val="ManualHeading2"/>
        <w:rPr>
          <w:rFonts w:eastAsia="Arial Unicode MS"/>
          <w:noProof/>
          <w:u w:color="000000"/>
          <w:bdr w:val="nil"/>
        </w:rPr>
      </w:pPr>
      <w:r>
        <w:rPr>
          <w:noProof/>
        </w:rPr>
        <w:lastRenderedPageBreak/>
        <w:t>•</w:t>
      </w:r>
      <w:r>
        <w:rPr>
          <w:noProof/>
        </w:rPr>
        <w:tab/>
        <w:t>Избор на инструмент</w:t>
      </w:r>
    </w:p>
    <w:p>
      <w:pPr>
        <w:rPr>
          <w:noProof/>
        </w:rPr>
      </w:pPr>
      <w:r>
        <w:rPr>
          <w:noProof/>
        </w:rPr>
        <w:t xml:space="preserve">Настоящото предложение отговаря на член 218 от ДФЕС, съгласно който Съветът приема решения за международните споразумения. Не съществува друг правен инструмент, който би могъл да се използва за постигане на целта, изложена в настоящото предложение.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 xml:space="preserve">След като по-голямата част от преговорите със Сингапур бяха приключени, вътрешен екип, ръководен от главния икономист на ГД „Търговия“, извърши проучване на икономическите ползи, които могат да се очакват от споразумението. Според анализа износът на ЕС за Сингапур би могъл да се увеличи с около 1,4 млрд. евро за 10-годишен период, а експортът на Сингапур за ЕС — с 3,5 млрд. евро — стойност, която включва пратките от страна на многобройните дъщерни дружества от ЕС в Сингапур обратно към територията на ЕС. </w:t>
      </w:r>
    </w:p>
    <w:p>
      <w:pPr>
        <w:rPr>
          <w:noProof/>
        </w:rPr>
      </w:pPr>
      <w:r>
        <w:rPr>
          <w:noProof/>
        </w:rPr>
        <w:t xml:space="preserve">Предвид голямата разлика в размера на двете икономики, както и на факта, че икономиката на Сингапур е относително отворена, е неизбежно ползите от споразумението да са различни за партньорите по него. Прогнозите от анализа са, че реалният БВП на ЕС би могъл да се увеличи с около 550 млн. евро за 10-годишен период, а икономиката на Сингапур да нарасне с 2,7 млрд. евро за същия период. </w:t>
      </w:r>
    </w:p>
    <w:p>
      <w:pPr>
        <w:rPr>
          <w:noProof/>
        </w:rPr>
      </w:pPr>
      <w:r>
        <w:rPr>
          <w:noProof/>
        </w:rPr>
        <w:t xml:space="preserve">Тези оценки за евентуалното икономическо въздействие се считат за консервативни предвид трудността за точно количествено определяне на последиците от премахването на нетарифните бариери, което е ключов компонент от споразумението. </w:t>
      </w:r>
    </w:p>
    <w:p>
      <w:pPr>
        <w:rPr>
          <w:noProof/>
        </w:rPr>
      </w:pPr>
      <w:r>
        <w:rPr>
          <w:noProof/>
        </w:rPr>
        <w:t xml:space="preserve">Предвид ролята на Сингапур като център за търговията със стоки и услуги между Европа и Югоизточна Азия е също така вероятно ползите от споразумението да се увеличат, ако и когато ЕС сключи споразумения с други държави — членки на АСЕАН. </w:t>
      </w:r>
    </w:p>
    <w:p>
      <w:pPr>
        <w:rPr>
          <w:noProof/>
        </w:rPr>
      </w:pPr>
      <w:r>
        <w:rPr>
          <w:noProof/>
        </w:rPr>
        <w:t>Освен това при оценките въз основа на икономическото моделиране не може да се отчете стратегическата стойност за ЕС на ССТ и СЗИ между ЕС и Сингапур като основни споразумения от по-широката програма на ЕС за региона на АСЕАН и Азия като цяло. След ССТ между ЕС и Корея ССТ между ЕС и Сингапур ще бъде второто най-голямо търговско споразумение на ЕС с основен партньор от Азия, като на свой ред СЗИ между ЕС и Сингапур ще бъде първото споразумение за защита на инвестициите, което ЕС сключва с азиатски партньор.</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Преди да започнат двустранните преговори със Сингапур, външен изпълнител извърши оценка на въздействието на търговията върху устойчивото развитие (ОВТУР), което ще има ССТ между ЕС и АСЕАН</w:t>
      </w:r>
      <w:r>
        <w:rPr>
          <w:rStyle w:val="FootnoteReference"/>
          <w:noProof/>
        </w:rPr>
        <w:footnoteReference w:id="3"/>
      </w:r>
      <w:r>
        <w:rPr>
          <w:noProof/>
        </w:rPr>
        <w:t>, с оглед на евентуалните икономически, социални и екологични последици от по-тясно икономическо партньорство между двата региона.</w:t>
      </w:r>
    </w:p>
    <w:p>
      <w:pPr>
        <w:rPr>
          <w:noProof/>
        </w:rPr>
      </w:pPr>
      <w:r>
        <w:rPr>
          <w:noProof/>
        </w:rPr>
        <w:t xml:space="preserve">В рамките на подготовката на ОВТУР изпълнителят се консултира с вътрешни и външни експерти, организира публични консултации в Брюксел и Банкок и проведе двустранни срещи и интервюта с гражданското общество в ЕС и АСЕАН. Консултациите в рамките на ОВТУР осигуриха платформа за участието на основните </w:t>
      </w:r>
      <w:r>
        <w:rPr>
          <w:noProof/>
        </w:rPr>
        <w:lastRenderedPageBreak/>
        <w:t>заинтересовани страни и гражданското общество в диалога по търговската политика спрямо Югоизточна Азия.</w:t>
      </w:r>
    </w:p>
    <w:p>
      <w:pPr>
        <w:rPr>
          <w:noProof/>
        </w:rPr>
      </w:pPr>
      <w:r>
        <w:rPr>
          <w:noProof/>
        </w:rPr>
        <w:t>Докладът от ОВТУР и консултациите във връзка с подготовката му осигуриха материал от голямо значение за Комисията с оглед на всички двустранни търговски и инвестиционни преговори, започнати след това с отделни държави — членки на АСЕАН.</w:t>
      </w:r>
    </w:p>
    <w:p>
      <w:pPr>
        <w:rPr>
          <w:noProof/>
        </w:rPr>
      </w:pPr>
      <w:r>
        <w:rPr>
          <w:noProof/>
        </w:rPr>
        <w:t>Освен това, преди да се започнат двустранните преговори със Сингапур, Комисията проведе обществена консултация във връзка с бъдещото споразумение, включваща въпросник, за да се получи информация от заинтересованите страни, която впоследствие послужи на Комисията при определяне на приоритетите и вземане на решенията в рамките на преговорния процес. Обобщението на резултатите от консултацията беше представено на обществеността</w:t>
      </w:r>
      <w:r>
        <w:rPr>
          <w:rStyle w:val="FootnoteReference"/>
          <w:noProof/>
        </w:rPr>
        <w:footnoteReference w:id="4"/>
      </w:r>
      <w:r>
        <w:rPr>
          <w:noProof/>
        </w:rPr>
        <w:t>.</w:t>
      </w:r>
    </w:p>
    <w:p>
      <w:pPr>
        <w:rPr>
          <w:noProof/>
        </w:rPr>
      </w:pPr>
      <w:r>
        <w:rPr>
          <w:noProof/>
        </w:rPr>
        <w:t xml:space="preserve">Също така преди и по време на преговорите държавите — членки на ЕС, бяха редовно информирани и консултирани в устна и писмена форма по различни аспекти от преговорите чрез комитета „Търговска политика“ на Съвета. Европейският парламент беше също редовно информиран и консултиран посредством неговата Комисия по международна търговия (КМТ), и по-специално групата за мониторинг на ССТ между ЕС и Сингапур. Текстовете, по които постепенно се постигаше съгласие при преговорите, бяха предоставяни на двете институции в хода на целия процес.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ОВТУР на ССТ между ЕС и АСЕАН беше извършена от външния изпълнител „Ecorys“.</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При извършената от външен изпълнител ОВТУР (приключена през 2009 г.) се достигна до заключението, че едно амбициозно ССТ между ЕС и АСЕАН ще има значително положително въздействие (по отношение на БВП, доходи, търговия и заетост) за ЕС и Сингапур. Отражението върху националните доходи в рамките на ЕС беше изчислено на 13 млрд. евро, а за Сингапур — на 7,5 млрд. евро. При тези стойности е възможно да не е дооценено въздействието, тъй като те се основават на структурата на търговията през 2007 г., а и обемът ѝ нарасна значително оттогава (+ 32 %).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rPr>
      </w:pPr>
      <w:r>
        <w:rPr>
          <w:noProof/>
        </w:rPr>
        <w:t>ССТ и СЗИ между ЕС и Сингапур не подлежат на процедурите по REFIT. Независимо от това те съдържат известен брой разпоредби, които ще опростят търговските и инвестиционните процедури, ще намалят експортните и инвестиционните разходи и по този начин ще дадат възможност на повече малки предприятия да осъществяват стопанска дейност на двата пазара. Измежду очакваните ползи са облекчаване както на техническите правила и изискванията за съответствие, така и на митническите процедури и правилата за произход, защитата на правата върху интелектуална собственост или намалението на разходите при спорове в рамките на инвестиционната съдебна система за ищци, които са МСП.</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Предложението не засяга защитата на основните права в Съюза.</w:t>
      </w:r>
    </w:p>
    <w:p>
      <w:pPr>
        <w:pStyle w:val="ManualHeading1"/>
        <w:rPr>
          <w:noProof/>
        </w:rPr>
      </w:pPr>
      <w:r>
        <w:rPr>
          <w:noProof/>
        </w:rPr>
        <w:lastRenderedPageBreak/>
        <w:t>4.</w:t>
      </w:r>
      <w:r>
        <w:rPr>
          <w:noProof/>
        </w:rPr>
        <w:tab/>
        <w:t>ОТРАЖЕНИЕ ВЪРХУ БЮДЖЕТА</w:t>
      </w:r>
    </w:p>
    <w:p>
      <w:pPr>
        <w:rPr>
          <w:noProof/>
        </w:rPr>
      </w:pPr>
      <w:r>
        <w:rPr>
          <w:noProof/>
        </w:rPr>
        <w:t xml:space="preserve">ССТ между ЕС и Сингапур ще има финансово отражение върху бюджета на ЕС по отношение на </w:t>
      </w:r>
      <w:r>
        <w:rPr>
          <w:b/>
          <w:noProof/>
        </w:rPr>
        <w:t>приходите</w:t>
      </w:r>
      <w:r>
        <w:rPr>
          <w:noProof/>
        </w:rPr>
        <w:t>. Според оценките несъбраните мита могат да достигнат размер от 248,8 млн. евро, когато споразумението се прилага в целия си обхват. Оценките се базират на прогнозен среден обем на вноса за 2025 г. при липса на споразумение и представляват годишният размер на нереализираните приходи в резултат на премахването на митата на ЕС при вноса от Сингапур.</w:t>
      </w:r>
    </w:p>
    <w:p>
      <w:pPr>
        <w:rPr>
          <w:noProof/>
        </w:rPr>
      </w:pPr>
      <w:r>
        <w:rPr>
          <w:noProof/>
        </w:rPr>
        <w:t xml:space="preserve">Очаква се СЗИ между ЕС и Сингапур да има финансово отражение върху бюджета на ЕС по отношение на </w:t>
      </w:r>
      <w:r>
        <w:rPr>
          <w:b/>
          <w:noProof/>
        </w:rPr>
        <w:t>разходите</w:t>
      </w:r>
      <w:r>
        <w:rPr>
          <w:noProof/>
        </w:rPr>
        <w:t>. Споразумението ще бъде второто за ЕС (след Всеобхватното икономическо и търговско споразумение Канада — Европейски съюз), което включва инвестиционната съдебна система (ИСС) за уреждане на споровете между инвеститори и държави. Предвидени са 200 000 евро допълнителни годишни разходи за периода от 2018 г. нататък (при условие че споразумението влезе в сила) за финансиране на постоянната структура, която включва първоинстанционен съд и апелативен съд. В същото време споразумението води до използването на административни ресурси по бюджетен ред XX 01 01 01 (Разходи, свързани с длъжностните лица и срочно наетите служители, работещи в институцията), тъй като се счита, че ще се отдели един администратор като еквивалент на пълно работно време за задачите, свързани със споразумението. Това е посочено в законодателната финансова обосновка и подлежи на указаните в нея условия.</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rPr>
          <w:noProof/>
        </w:rPr>
      </w:pPr>
      <w:r>
        <w:rPr>
          <w:noProof/>
        </w:rPr>
        <w:t>ССТ и СЗИ между ЕС и Сингапур включват институционални разпоредби, които създават структура от изпълнителни органи за непрекъснатия мониторинг на изпълнението, действието и отражението на споразуменията. Тъй като те са неразделна част от цялостните двустранни отношения между ЕС и Сингапур, както са уредени със СПС, тези структури ще са част от общата институционална рамка със СПС.</w:t>
      </w:r>
    </w:p>
    <w:p>
      <w:pPr>
        <w:rPr>
          <w:noProof/>
        </w:rPr>
      </w:pPr>
      <w:r>
        <w:rPr>
          <w:noProof/>
        </w:rPr>
        <w:t>С институционалната глава от ССТ се създава Комитет по търговията, чиято основна задача е да осъществява надзор и да улеснява изпълнението и прилагането на споразумението. Комитетът по търговията е съставен от представители на ЕС и Сингапур, които ще се срещат на всеки две години или по искане на една от страните. Комитетът по търговията ще отговаря за надзора върху работата на всички специализирани комитети по споразумението (Комитет по търговията със стоки, Комитет по санитарните и фитосанитарните мерки, Комитет по митническите въпроси и Комитет по търговията с услуги, инвестициите и обществените поръчки).</w:t>
      </w:r>
    </w:p>
    <w:p>
      <w:pPr>
        <w:rPr>
          <w:noProof/>
        </w:rPr>
      </w:pPr>
      <w:r>
        <w:rPr>
          <w:noProof/>
        </w:rPr>
        <w:t>Комитетът по търговията също така има задачата да осъществява връзката с всички заинтересовани страни, в това число от частния сектор и гражданското общество, по отношение на действието и изпълнението на споразумението. В споразумението двете страни признават значението на прозрачността и откритостта и се ангажират да разглеждат мненията на обществеността с цел използване на широк набор от гледни точки при изпълнение на настоящото споразумение.</w:t>
      </w:r>
    </w:p>
    <w:p>
      <w:pPr>
        <w:rPr>
          <w:noProof/>
        </w:rPr>
      </w:pPr>
      <w:r>
        <w:rPr>
          <w:noProof/>
        </w:rPr>
        <w:t xml:space="preserve">С институционалната глава от СЗИ се създава Комитет, чиято основна задача е да осъществява надзор и да улеснява изпълнението и прилагането на споразумението. Наред с другите задачи, при условие че всяка страна спази съответните си правни изисквания и процедури, Комитетът може да реши да определи членовете на </w:t>
      </w:r>
      <w:r>
        <w:rPr>
          <w:noProof/>
        </w:rPr>
        <w:lastRenderedPageBreak/>
        <w:t>съдилищата от ИСС, да фиксира месечното им възнаграждение и хонорари и да приеме задължителни тълкувания на споразумението.</w:t>
      </w:r>
    </w:p>
    <w:p>
      <w:pPr>
        <w:rPr>
          <w:noProof/>
        </w:rPr>
      </w:pPr>
      <w:r>
        <w:rPr>
          <w:noProof/>
        </w:rPr>
        <w:t>Както е подчертано в съобщението „Търговията — за всички“, Комисията отделя все повече ресурси за ефективното изпълнение и прилагане на търговските и инвестиционните споразумения. През 2017 г. Комисията публикува първия годишен доклад за изпълнението на ССТ. Основната цел на този доклад е да даде обективна картина на изпълнението на ССТ на ЕС, като се откроят постигнатият напредък и недостатъците, които трябва да се отстранят. Целта на доклада е да послужи като основа за открит дебат и ангажимент за държавите членки, Европейския парламент и гражданското общество като цяло за действието на ССТ и тяхното изпълнение. Тъй като този доклад е годишен, публикуването му ще даде възможност за редовен мониторинг на развитието, като също така се отбелязва как са решени набелязаните приоритетни въпроси. Докладът ще обхване ССТ между ЕС и Сингапур, след като то влезе в сила.</w:t>
      </w:r>
    </w:p>
    <w:p>
      <w:pPr>
        <w:pStyle w:val="ManualHeading2"/>
        <w:rPr>
          <w:rFonts w:eastAsia="Arial Unicode MS"/>
          <w:noProof/>
          <w:u w:color="000000"/>
          <w:bdr w:val="nil"/>
        </w:rPr>
      </w:pPr>
      <w:r>
        <w:rPr>
          <w:noProof/>
        </w:rPr>
        <w:t>•</w:t>
      </w:r>
      <w:r>
        <w:rPr>
          <w:noProof/>
        </w:rPr>
        <w:tab/>
        <w:t>Обяснителни документи (за директивите)</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noProof/>
        </w:rPr>
      </w:pPr>
      <w:r>
        <w:rPr>
          <w:noProof/>
        </w:rPr>
        <w:t xml:space="preserve">Със </w:t>
      </w:r>
      <w:r>
        <w:rPr>
          <w:b/>
          <w:noProof/>
        </w:rPr>
        <w:t>ССТ между ЕС и Сингапур</w:t>
      </w:r>
      <w:r>
        <w:rPr>
          <w:noProof/>
        </w:rPr>
        <w:t xml:space="preserve"> се определят условията за икономическите оператори от ЕС, за да се възползват в пълна степен от възможностите, създадени в Сингапур като бизнес и транспортен център в Югоизточна Азия.</w:t>
      </w:r>
    </w:p>
    <w:p>
      <w:pPr>
        <w:rPr>
          <w:noProof/>
        </w:rPr>
      </w:pPr>
      <w:r>
        <w:rPr>
          <w:noProof/>
        </w:rPr>
        <w:t xml:space="preserve">При преговорите по това споразумение Комисията имаше две основни цели: първо, да осигури възможно най-добрите условия за достъп за операторите от ЕС до пазара на Сингапур; и второ, да създаде ценна референтна база за другите преговори на ЕС в региона. </w:t>
      </w:r>
    </w:p>
    <w:p>
      <w:pPr>
        <w:rPr>
          <w:noProof/>
        </w:rPr>
      </w:pPr>
      <w:r>
        <w:rPr>
          <w:noProof/>
        </w:rPr>
        <w:t xml:space="preserve">И двете цели бяха изцяло изпълнени: споразумението надхвърля съществуващите по СТО ангажименти в много сфери, като услуги, обществени поръчки, нетарифни бариери и защита на интелектуалната собственост, в това число географски означения (ГО). Във всички тези сфери Сингапур се съгласи също така да поеме нови ангажименти, които значително надминават това, което Сингапур е бил склонен дотогава да приеме, включително в своето ССТ със САЩ. </w:t>
      </w:r>
    </w:p>
    <w:p>
      <w:pPr>
        <w:rPr>
          <w:noProof/>
        </w:rPr>
      </w:pPr>
      <w:r>
        <w:rPr>
          <w:noProof/>
        </w:rPr>
        <w:t xml:space="preserve">Споразумението отговаря на критериите по член ХХІV от ГАТТ (за премахване на митата и другите ограничаващи търговията разпоредби практически за цялата търговия със стоки между страните по споразумението) и по член V от ГАТС, който предвижда подобен подход към услугите. </w:t>
      </w:r>
    </w:p>
    <w:p>
      <w:pPr>
        <w:rPr>
          <w:noProof/>
        </w:rPr>
      </w:pPr>
      <w:r>
        <w:rPr>
          <w:noProof/>
        </w:rPr>
        <w:t>В съответствие с целите по указанията за водене на преговори Комисията гарантира:</w:t>
      </w:r>
    </w:p>
    <w:p>
      <w:pPr>
        <w:pStyle w:val="Point0"/>
        <w:rPr>
          <w:noProof/>
          <w:color w:val="000000"/>
        </w:rPr>
      </w:pPr>
      <w:r>
        <w:rPr>
          <w:noProof/>
        </w:rPr>
        <w:t>(1)</w:t>
      </w:r>
      <w:r>
        <w:rPr>
          <w:noProof/>
        </w:rPr>
        <w:tab/>
        <w:t xml:space="preserve">цялостната либерализация на пазарите на услугите и инвестициите, включително хоризонталните правила за лицензирането и взаимното признаване на дипломите и секторните правила за осигуряване на еднакви условия на конкуренция за предприятията от ЕС; </w:t>
      </w:r>
    </w:p>
    <w:p>
      <w:pPr>
        <w:pStyle w:val="Point0"/>
        <w:rPr>
          <w:noProof/>
          <w:color w:val="000000"/>
        </w:rPr>
      </w:pPr>
      <w:r>
        <w:rPr>
          <w:noProof/>
        </w:rPr>
        <w:t>(2)</w:t>
      </w:r>
      <w:r>
        <w:rPr>
          <w:noProof/>
        </w:rPr>
        <w:tab/>
        <w:t xml:space="preserve">нови тръжни възможности за оферентите от ЕС, особено на пазарите на обществените услуги, където ЕС има много водещи доставчици; </w:t>
      </w:r>
    </w:p>
    <w:p>
      <w:pPr>
        <w:pStyle w:val="Point0"/>
        <w:rPr>
          <w:noProof/>
          <w:color w:val="000000"/>
        </w:rPr>
      </w:pPr>
      <w:r>
        <w:rPr>
          <w:noProof/>
        </w:rPr>
        <w:t>(3)</w:t>
      </w:r>
      <w:r>
        <w:rPr>
          <w:noProof/>
        </w:rPr>
        <w:tab/>
        <w:t xml:space="preserve">премахването на технически и регулаторни пречки пред търговията със стоки, като повтарящите се изпитвания, особено чрез насърчаване на използването на технически и регулаторни стандарти, познати в ЕС в секторите на моторните </w:t>
      </w:r>
      <w:r>
        <w:rPr>
          <w:noProof/>
        </w:rPr>
        <w:lastRenderedPageBreak/>
        <w:t>превозни средства, електрониката, фармацевтичните продукти, медицинските изделия и екологосъобразните технологии;</w:t>
      </w:r>
    </w:p>
    <w:p>
      <w:pPr>
        <w:pStyle w:val="Point0"/>
        <w:rPr>
          <w:noProof/>
          <w:color w:val="000000"/>
        </w:rPr>
      </w:pPr>
      <w:r>
        <w:rPr>
          <w:noProof/>
        </w:rPr>
        <w:t>(4)</w:t>
      </w:r>
      <w:r>
        <w:rPr>
          <w:noProof/>
        </w:rPr>
        <w:tab/>
        <w:t>въз основа на международни стандарти да се създаде режим, който благоприятства в по-голяма степен търговията, за одобряване на износа на европейско месо за Сингапур;</w:t>
      </w:r>
    </w:p>
    <w:p>
      <w:pPr>
        <w:pStyle w:val="Point0"/>
        <w:rPr>
          <w:noProof/>
          <w:color w:val="000000"/>
        </w:rPr>
      </w:pPr>
      <w:r>
        <w:rPr>
          <w:noProof/>
        </w:rPr>
        <w:t>(5)</w:t>
      </w:r>
      <w:r>
        <w:rPr>
          <w:noProof/>
        </w:rPr>
        <w:tab/>
        <w:t>ангажимента на Сингапур да не увеличава митата си (които понастоящем в по-голямата си част не се прилагат на доброволна основа) върху вноса от ЕС, както и по-евтин достъп на европейските предприятия и потребители до произведени в Сингапур продукти;</w:t>
      </w:r>
    </w:p>
    <w:p>
      <w:pPr>
        <w:pStyle w:val="Point0"/>
        <w:rPr>
          <w:noProof/>
          <w:color w:val="000000"/>
        </w:rPr>
      </w:pPr>
      <w:r>
        <w:rPr>
          <w:noProof/>
        </w:rPr>
        <w:t>(6)</w:t>
      </w:r>
      <w:r>
        <w:rPr>
          <w:noProof/>
        </w:rPr>
        <w:tab/>
        <w:t>високо равнище на защита на правата върху интелектуална собственост, включително по отношение на прилагането им, в това число и на границите;</w:t>
      </w:r>
    </w:p>
    <w:p>
      <w:pPr>
        <w:pStyle w:val="Point0"/>
        <w:rPr>
          <w:noProof/>
          <w:color w:val="000000"/>
        </w:rPr>
      </w:pPr>
      <w:r>
        <w:rPr>
          <w:noProof/>
        </w:rPr>
        <w:t>(7)</w:t>
      </w:r>
      <w:r>
        <w:rPr>
          <w:noProof/>
        </w:rPr>
        <w:tab/>
        <w:t>ниво на защита на ГО на ЕС, надхвърлящо това от Споразумението за свързаните с търговията аспекти на правата върху интелектуалната собственост, след тяхната регистрация в Сингапур, когато той създаде регистър за ГО (за което пое ангажимент вследствие на съгласието на Европейския парламент по ССТ);</w:t>
      </w:r>
    </w:p>
    <w:p>
      <w:pPr>
        <w:pStyle w:val="Point0"/>
        <w:rPr>
          <w:noProof/>
          <w:color w:val="000000"/>
        </w:rPr>
      </w:pPr>
      <w:r>
        <w:rPr>
          <w:noProof/>
          <w:color w:val="000000"/>
        </w:rPr>
        <w:t>(8)</w:t>
      </w:r>
      <w:r>
        <w:rPr>
          <w:noProof/>
        </w:rPr>
        <w:tab/>
      </w:r>
      <w:r>
        <w:rPr>
          <w:noProof/>
          <w:color w:val="000000"/>
        </w:rPr>
        <w:t>всеобхватна глава за търговията и устойчивото развитие, която цели да гарантира, че търговията спомага за опазването на околната среда и за социалното развитие и насърчава устойчивото управление на горите и рибарството. В главата също така са определени параметрите на участието на социалните партньори и гражданското общество в изпълнението и мониторинга ѝ;</w:t>
      </w:r>
    </w:p>
    <w:p>
      <w:pPr>
        <w:pStyle w:val="Point0"/>
        <w:rPr>
          <w:noProof/>
          <w:color w:val="000000"/>
        </w:rPr>
      </w:pPr>
      <w:r>
        <w:rPr>
          <w:noProof/>
          <w:color w:val="000000"/>
        </w:rPr>
        <w:t>(9)</w:t>
      </w:r>
      <w:r>
        <w:rPr>
          <w:noProof/>
        </w:rPr>
        <w:tab/>
      </w:r>
      <w:r>
        <w:rPr>
          <w:noProof/>
          <w:color w:val="000000"/>
        </w:rPr>
        <w:t>бързи механизми за уреждане на споровете чрез арбитражен комитет или с помощта на медиатор; и</w:t>
      </w:r>
    </w:p>
    <w:p>
      <w:pPr>
        <w:pStyle w:val="Point0"/>
        <w:rPr>
          <w:noProof/>
          <w:color w:val="000000"/>
        </w:rPr>
      </w:pPr>
      <w:r>
        <w:rPr>
          <w:noProof/>
          <w:color w:val="000000"/>
        </w:rPr>
        <w:t>(10)</w:t>
      </w:r>
      <w:r>
        <w:rPr>
          <w:noProof/>
        </w:rPr>
        <w:tab/>
        <w:t>всеобхватна и нова глава за насърчаване на новите възможности в сектора на екологосъобразния растеж в съответствие със стратегията „ЕС 2020“.</w:t>
      </w:r>
    </w:p>
    <w:p>
      <w:pPr>
        <w:rPr>
          <w:noProof/>
        </w:rPr>
      </w:pPr>
      <w:r>
        <w:rPr>
          <w:b/>
          <w:noProof/>
        </w:rPr>
        <w:t>СЗИ между ЕС и Сингапур</w:t>
      </w:r>
      <w:r>
        <w:rPr>
          <w:noProof/>
        </w:rPr>
        <w:t xml:space="preserve"> ще осигури високо ниво на защита на инвестициите, като се гарантират правата на ЕС и Сингапур да уреждат отношенията и да преследват легитимните цели на обществените политики, като защита на общественото здраве, безопасност и опазване на околната среда.</w:t>
      </w:r>
    </w:p>
    <w:p>
      <w:pPr>
        <w:rPr>
          <w:noProof/>
        </w:rPr>
      </w:pPr>
      <w:r>
        <w:rPr>
          <w:noProof/>
        </w:rPr>
        <w:t xml:space="preserve">Споразумението съдържа всички иновативни аспекти от новия подход на ЕС за защита на инвестициите и механизмите за прилагането му, които не присъстват в 12-те съществуващи двустранни инвестиционни договора между Сингапур и държави — членки на ЕС. Това е много важна характеристика на СЗИ, а именно, че то замества и следователно усъвършенства 12-те съществуващи двустранни инвестиционни договора. </w:t>
      </w:r>
    </w:p>
    <w:p>
      <w:pPr>
        <w:rPr>
          <w:noProof/>
        </w:rPr>
      </w:pPr>
      <w:r>
        <w:rPr>
          <w:noProof/>
        </w:rPr>
        <w:t>В съответствие с целите по указанията за водене на преговори Комисията гарантира, че инвеститорите от ЕС и техните инвестиции в Сингапур ще се ползват със справедливо и обективно третиране и няма да са дискриминирани в сравнение със сингапурските инвестиции при сходни ситуации. В същото време СЗИ защитава инвеститорите от ЕС и техните инвестиции в Сингапур срещу отнемане, освен за обществени цели, съгласно законосъобразна процедура, на недискриминационна база и срещу заплащане на бърза, адекватна и ефективна компенсация със справедлива пазарна стойност на отнетия инвестиционен ресурс.</w:t>
      </w:r>
    </w:p>
    <w:p>
      <w:pPr>
        <w:rPr>
          <w:noProof/>
        </w:rPr>
      </w:pPr>
      <w:r>
        <w:rPr>
          <w:noProof/>
        </w:rPr>
        <w:t xml:space="preserve">Също в съответствие с указанията за водене на преговори договореното от Комисията СЗИ ще предостави на инвеститорите възможността за модерен и реформиран механизъм за уреждане на спорове във връзка с инвестиции. Тази система гарантира, че </w:t>
      </w:r>
      <w:r>
        <w:rPr>
          <w:noProof/>
        </w:rPr>
        <w:lastRenderedPageBreak/>
        <w:t>правилата за защита на инвестициите се спазват, и тя се стреми да осигури баланс между защитата на инвеститорите по прозрачен начин и запазването на правото на държавата да приема разпоредби, като преследва цели на обществените политики. Със споразумението се създава постоянна международна и напълно независима система за уреждане на спорове, състояща се от постоянен първоинстанционен съд и апелативен съд, пред които по прозрачен и безпристрастен начин ще се провеждат производствата по уреждане на споровете.</w:t>
      </w:r>
    </w:p>
    <w:p>
      <w:pPr>
        <w:rPr>
          <w:noProof/>
        </w:rPr>
      </w:pPr>
      <w:r>
        <w:rPr>
          <w:noProof/>
        </w:rPr>
        <w:t>Комисията следи внимателно за баланса, който трябва да се постигне между развитието на реформираната инвестиционна политика на ЕС и чувствителността на държавите членки по отношение на възможното упражняване на споделената компетентност по тези въпроси. Поради това Комисията не изготви предложение за временно прилагане на споразумението за защита на инвестициите. Независимо от това, ако държавите членки искат предложение за временно прилагане на споразумението за защита на инвестициите, Комисията изразява готовност да го изготви.</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2018/0093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Споразумението за свободна търговия между Европейския съюз и Република Сингапур</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член 100, параграф 2 и член 207 във връзка с член 218, параграф 6, буква а), подточка v) и член 218, параграф 7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t>(1)</w:t>
      </w:r>
      <w:r>
        <w:tab/>
      </w:r>
      <w:r>
        <w:rPr>
          <w:noProof/>
        </w:rPr>
        <w:t>В съответствие с Решение № [XX] на Съвета Споразумението за свободна търговия между Европейския съюз и Република Сингапур („Сингапур“), наричано по-нататък „Споразумението“, беше подписано на [XX XXX 2018 г].</w:t>
      </w:r>
    </w:p>
    <w:p>
      <w:pPr>
        <w:pStyle w:val="ManualConsidrant"/>
        <w:rPr>
          <w:noProof/>
        </w:rPr>
      </w:pPr>
      <w:r>
        <w:t>(2)</w:t>
      </w:r>
      <w:r>
        <w:tab/>
      </w:r>
      <w:r>
        <w:rPr>
          <w:noProof/>
        </w:rPr>
        <w:t>Съгласно член 218, параграф 7 от ДФЕС е целесъобразно Съветът да оправомощи Комисията да одобри, от името на Съюза, позицията, която да се приеме в Комитета по търговията по определени изменения на Споразумението, които се приемат по опростена процедура. Комисията следва да бъде оправомощена да одобри измененията, които да се приемат от Комитета по търговията съгласно член 9.18 (Изменение и поправка в обхвата) във връзка с приложения 9-A — 9-И към Споразумението и съгласно член 10.17 (Система за закрила на географските означения) и член 10.18 (Изменение на списъка на географските означения) във връзка с приложения 10-A и 10-Б към Споразумението.</w:t>
      </w:r>
    </w:p>
    <w:p>
      <w:pPr>
        <w:pStyle w:val="ManualConsidrant"/>
        <w:rPr>
          <w:noProof/>
        </w:rPr>
      </w:pPr>
      <w:r>
        <w:t>(3)</w:t>
      </w:r>
      <w:r>
        <w:tab/>
      </w:r>
      <w:r>
        <w:rPr>
          <w:noProof/>
        </w:rPr>
        <w:t>Споразумението следва да се одобри от името на Европейския съюз.</w:t>
      </w:r>
    </w:p>
    <w:p>
      <w:pPr>
        <w:pStyle w:val="ManualConsidrant"/>
        <w:rPr>
          <w:noProof/>
        </w:rPr>
      </w:pPr>
      <w:r>
        <w:t>(4)</w:t>
      </w:r>
      <w:r>
        <w:tab/>
      </w:r>
      <w:r>
        <w:rPr>
          <w:noProof/>
        </w:rPr>
        <w:t>Съгласно член 16.16 (Липса на непосредствено действие) от Споразумението то следва да не предоставя права или да налага задължения на лица, различни от правата и задълженията, възникнали между страните по силата на международното публично право,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 настоящото се сключва Споразумението за свободна търговия между Европейския съюз и Република Сингапур.</w:t>
      </w:r>
    </w:p>
    <w:p>
      <w:pPr>
        <w:pStyle w:val="Titrearticle"/>
        <w:rPr>
          <w:noProof/>
        </w:rPr>
      </w:pPr>
      <w:r>
        <w:rPr>
          <w:noProof/>
        </w:rPr>
        <w:lastRenderedPageBreak/>
        <w:t>Член 2</w:t>
      </w:r>
    </w:p>
    <w:p>
      <w:pPr>
        <w:rPr>
          <w:noProof/>
        </w:rPr>
      </w:pPr>
      <w:r>
        <w:rPr>
          <w:noProof/>
        </w:rPr>
        <w:t>За целите на член 9.18 (Изменение и поправка в обхвата) позицията на Съюза по измененията или поправките на приложения 9-A — 9-И към Споразумението се одобрява от Комисията.</w:t>
      </w:r>
    </w:p>
    <w:p>
      <w:pPr>
        <w:pStyle w:val="Titrearticle"/>
        <w:rPr>
          <w:noProof/>
        </w:rPr>
      </w:pPr>
      <w:r>
        <w:rPr>
          <w:noProof/>
        </w:rPr>
        <w:t>Член 3</w:t>
      </w:r>
    </w:p>
    <w:p>
      <w:pPr>
        <w:rPr>
          <w:noProof/>
        </w:rPr>
      </w:pPr>
      <w:r>
        <w:rPr>
          <w:noProof/>
        </w:rPr>
        <w:t xml:space="preserve">За целите на член 10.17 (Система за закрила на географските означения) и член 10.18 (Изменение на списъка на географските означения) от Споразумението позицията на Съюза по измененията на приложения 10-A и 10-Б към Споразумението се одобрява от Комисията. </w:t>
      </w:r>
    </w:p>
    <w:p>
      <w:pPr>
        <w:pStyle w:val="Titrearticle"/>
        <w:rPr>
          <w:noProof/>
        </w:rPr>
      </w:pPr>
      <w:r>
        <w:rPr>
          <w:noProof/>
        </w:rPr>
        <w:t>Член 4</w:t>
      </w:r>
    </w:p>
    <w:p>
      <w:pPr>
        <w:rPr>
          <w:noProof/>
        </w:rPr>
      </w:pPr>
      <w:r>
        <w:rPr>
          <w:noProof/>
        </w:rPr>
        <w:t>Председателят на Съвета посочва лицето, оправомощено да извърши от името на Европейския съюз изпращането на уведомлението, предвидено в член 16.13, параграф 2 от Споразумението, за да се изрази съгласието на Европейския съюз да бъде обвързан със Споразумението</w:t>
      </w:r>
      <w:r>
        <w:rPr>
          <w:rStyle w:val="FootnoteReference"/>
          <w:noProof/>
        </w:rPr>
        <w:footnoteReference w:id="5"/>
      </w:r>
      <w:r>
        <w:rPr>
          <w:noProof/>
        </w:rPr>
        <w:t>.</w:t>
      </w:r>
    </w:p>
    <w:p>
      <w:pPr>
        <w:pStyle w:val="Titrearticle"/>
        <w:rPr>
          <w:noProof/>
        </w:rPr>
      </w:pPr>
      <w:r>
        <w:rPr>
          <w:noProof/>
        </w:rPr>
        <w:t>Член 5</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r>
          <w:rPr>
            <w:rStyle w:val="Hyperlink"/>
          </w:rPr>
          <w:t>http://trade.ec.europa.eu/doclib/docs/2013/september/tradoc_151779.pdf</w:t>
        </w:r>
      </w:hyperlink>
      <w:r>
        <w:t>.</w:t>
      </w:r>
    </w:p>
  </w:footnote>
  <w:footnote w:id="2">
    <w:p>
      <w:pPr>
        <w:pStyle w:val="FootnoteText"/>
      </w:pPr>
      <w:r>
        <w:rPr>
          <w:rStyle w:val="FootnoteReference"/>
        </w:rPr>
        <w:footnoteRef/>
      </w:r>
      <w:r>
        <w:tab/>
        <w:t>Вж. разясненията в решението на Съда на Европейския съюз по дело С-600/14 Германия/Съвет (Решение от 5 декември 2017 г.), точка 69.</w:t>
      </w:r>
    </w:p>
  </w:footnote>
  <w:footnote w:id="3">
    <w:p>
      <w:pPr>
        <w:pStyle w:val="FootnoteText"/>
      </w:pPr>
      <w:r>
        <w:rPr>
          <w:rStyle w:val="FootnoteReference"/>
        </w:rPr>
        <w:footnoteRef/>
      </w:r>
      <w:r>
        <w:tab/>
      </w:r>
      <w:hyperlink r:id="rId2">
        <w:r>
          <w:rPr>
            <w:rStyle w:val="Hyperlink"/>
          </w:rPr>
          <w:t>http://trade.ec.europa.eu/doclib/html/145989.htm</w:t>
        </w:r>
      </w:hyperlink>
      <w:r>
        <w:t>.</w:t>
      </w:r>
    </w:p>
  </w:footnote>
  <w:footnote w:id="4">
    <w:p>
      <w:pPr>
        <w:pStyle w:val="FootnoteText"/>
      </w:pPr>
      <w:r>
        <w:rPr>
          <w:rStyle w:val="FootnoteReference"/>
        </w:rPr>
        <w:footnoteRef/>
      </w:r>
      <w:r>
        <w:tab/>
      </w:r>
      <w:hyperlink r:id="rId3">
        <w:r>
          <w:rPr>
            <w:rStyle w:val="Hyperlink"/>
          </w:rPr>
          <w:t>http://trade.ec.europa.eu/doclib/html/153666.htm</w:t>
        </w:r>
      </w:hyperlink>
      <w:r>
        <w:t>.</w:t>
      </w:r>
    </w:p>
  </w:footnote>
  <w:footnote w:id="5">
    <w:p>
      <w:pPr>
        <w:pStyle w:val="FootnoteText"/>
      </w:pPr>
      <w:r>
        <w:rPr>
          <w:rStyle w:val="FootnoteReference"/>
        </w:rPr>
        <w:footnoteRef/>
      </w:r>
      <w:r>
        <w:tab/>
        <w:t>Датата на влизане в сила на Споразумението се публикува в Официален вестник на Европейския съюз от Генералния секретариат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584AC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D4E62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8AC8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2EE8B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B82D9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BBC40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E32A6D6"/>
    <w:lvl w:ilvl="0">
      <w:start w:val="1"/>
      <w:numFmt w:val="decimal"/>
      <w:pStyle w:val="ListNumber"/>
      <w:lvlText w:val="%1."/>
      <w:lvlJc w:val="left"/>
      <w:pPr>
        <w:tabs>
          <w:tab w:val="num" w:pos="360"/>
        </w:tabs>
        <w:ind w:left="360" w:hanging="360"/>
      </w:pPr>
    </w:lvl>
  </w:abstractNum>
  <w:abstractNum w:abstractNumId="7">
    <w:nsid w:val="FFFFFF89"/>
    <w:multiLevelType w:val="singleLevel"/>
    <w:tmpl w:val="20EA0D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0 10:51:2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3C522E1-6954-428D-9732-E9931D5DDF44"/>
    <w:docVar w:name="LW_COVERPAGE_TYPE" w:val="1"/>
    <w:docVar w:name="LW_CROSSREFERENCE" w:val="&lt;UNUSED&gt;"/>
    <w:docVar w:name="LW_DocType" w:val="COM"/>
    <w:docVar w:name="LW_EMISSION" w:val="18.4.2018"/>
    <w:docVar w:name="LW_EMISSION_ISODATE" w:val="2018-04-18"/>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93"/>
    <w:docVar w:name="LW_REF.II.NEW.CP_YEAR" w:val="2018"/>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6?\u1077?\u1087?\u1091?\u1073?\u1083?\u1080?\u1082?\u1072? \u1057?\u1080?\u1085?\u1075?\u1072?\u1087?\u1091?\u1088?"/>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PlainText">
    <w:name w:val="Plain Text"/>
    <w:basedOn w:val="Normal"/>
    <w:link w:val="PlainTextChar"/>
    <w:uiPriority w:val="99"/>
    <w:semiHidden/>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semiHidden/>
    <w:rPr>
      <w:rFonts w:ascii="Calibri" w:hAnsi="Calibri" w:cs="Consolas"/>
      <w:szCs w:val="21"/>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PlainText">
    <w:name w:val="Plain Text"/>
    <w:basedOn w:val="Normal"/>
    <w:link w:val="PlainTextChar"/>
    <w:uiPriority w:val="99"/>
    <w:semiHidden/>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semiHidden/>
    <w:rPr>
      <w:rFonts w:ascii="Calibri" w:hAnsi="Calibri" w:cs="Consolas"/>
      <w:szCs w:val="21"/>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440572">
      <w:bodyDiv w:val="1"/>
      <w:marLeft w:val="0"/>
      <w:marRight w:val="0"/>
      <w:marTop w:val="0"/>
      <w:marBottom w:val="0"/>
      <w:divBdr>
        <w:top w:val="none" w:sz="0" w:space="0" w:color="auto"/>
        <w:left w:val="none" w:sz="0" w:space="0" w:color="auto"/>
        <w:bottom w:val="none" w:sz="0" w:space="0" w:color="auto"/>
        <w:right w:val="none" w:sz="0" w:space="0" w:color="auto"/>
      </w:divBdr>
    </w:div>
    <w:div w:id="714163871">
      <w:bodyDiv w:val="1"/>
      <w:marLeft w:val="0"/>
      <w:marRight w:val="0"/>
      <w:marTop w:val="0"/>
      <w:marBottom w:val="0"/>
      <w:divBdr>
        <w:top w:val="none" w:sz="0" w:space="0" w:color="auto"/>
        <w:left w:val="none" w:sz="0" w:space="0" w:color="auto"/>
        <w:bottom w:val="none" w:sz="0" w:space="0" w:color="auto"/>
        <w:right w:val="none" w:sz="0" w:space="0" w:color="auto"/>
      </w:divBdr>
    </w:div>
    <w:div w:id="1160462520">
      <w:bodyDiv w:val="1"/>
      <w:marLeft w:val="0"/>
      <w:marRight w:val="0"/>
      <w:marTop w:val="0"/>
      <w:marBottom w:val="0"/>
      <w:divBdr>
        <w:top w:val="none" w:sz="0" w:space="0" w:color="auto"/>
        <w:left w:val="none" w:sz="0" w:space="0" w:color="auto"/>
        <w:bottom w:val="none" w:sz="0" w:space="0" w:color="auto"/>
        <w:right w:val="none" w:sz="0" w:space="0" w:color="auto"/>
      </w:divBdr>
    </w:div>
    <w:div w:id="1188593661">
      <w:bodyDiv w:val="1"/>
      <w:marLeft w:val="0"/>
      <w:marRight w:val="0"/>
      <w:marTop w:val="0"/>
      <w:marBottom w:val="0"/>
      <w:divBdr>
        <w:top w:val="none" w:sz="0" w:space="0" w:color="auto"/>
        <w:left w:val="none" w:sz="0" w:space="0" w:color="auto"/>
        <w:bottom w:val="none" w:sz="0" w:space="0" w:color="auto"/>
        <w:right w:val="none" w:sz="0" w:space="0" w:color="auto"/>
      </w:divBdr>
    </w:div>
    <w:div w:id="14495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c.europa.eu/trade/policy/countries-and-regions/countries/singapo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trade.ec.europa.eu/doclib/html/153666.htm" TargetMode="External"/><Relationship Id="rId2" Type="http://schemas.openxmlformats.org/officeDocument/2006/relationships/hyperlink" Target="http://trade.ec.europa.eu/doclib/html/145989.htm" TargetMode="External"/><Relationship Id="rId1" Type="http://schemas.openxmlformats.org/officeDocument/2006/relationships/hyperlink" Target="http://trade.ec.europa.eu/doclib/docs/2013/september/tradoc_15177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E86F0-66DD-47B5-B4BE-1620C8CA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4553</Words>
  <Characters>26046</Characters>
  <Application>Microsoft Office Word</Application>
  <DocSecurity>0</DocSecurity>
  <Lines>465</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2018-04-18T13:15:00Z</dcterms:created>
  <dcterms:modified xsi:type="dcterms:W3CDTF">2018-04-20T08:51:00Z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