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1E62D78-9F6B-4DB5-906B-DDE15F0C1E26" style="width:450pt;height:379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bCs/>
          <w:iCs/>
          <w:noProof/>
          <w:u w:val="single"/>
        </w:rPr>
      </w:pPr>
      <w:bookmarkStart w:id="1" w:name="_GoBack"/>
      <w:bookmarkEnd w:id="1"/>
      <w:r>
        <w:rPr>
          <w:b/>
          <w:bCs/>
          <w:iCs/>
          <w:noProof/>
          <w:u w:val="single"/>
        </w:rPr>
        <w:lastRenderedPageBreak/>
        <w:t>ПРИЛОЖЕНИЕ 5-</w:t>
      </w:r>
      <w:r>
        <w:rPr>
          <w:b/>
          <w:bCs/>
          <w:iCs/>
          <w:noProof/>
          <w:u w:val="single"/>
          <w:lang w:val="bg-BG"/>
        </w:rPr>
        <w:t>А</w:t>
      </w: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КОМПЕТЕНТНИ ОРГАНИ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1</w:t>
      </w:r>
    </w:p>
    <w:p>
      <w:pPr>
        <w:jc w:val="center"/>
        <w:rPr>
          <w:noProof/>
        </w:rPr>
      </w:pPr>
    </w:p>
    <w:p>
      <w:pPr>
        <w:tabs>
          <w:tab w:val="left" w:pos="709"/>
        </w:tabs>
        <w:jc w:val="center"/>
        <w:outlineLvl w:val="0"/>
        <w:rPr>
          <w:noProof/>
        </w:rPr>
      </w:pPr>
      <w:r>
        <w:rPr>
          <w:noProof/>
        </w:rPr>
        <w:t>Компетентни органи на Съюза</w:t>
      </w:r>
    </w:p>
    <w:p>
      <w:pPr>
        <w:tabs>
          <w:tab w:val="left" w:pos="709"/>
        </w:tabs>
        <w:jc w:val="center"/>
        <w:outlineLvl w:val="0"/>
        <w:rPr>
          <w:noProof/>
          <w:u w:val="single"/>
        </w:rPr>
      </w:pPr>
    </w:p>
    <w:p>
      <w:pPr>
        <w:rPr>
          <w:noProof/>
        </w:rPr>
      </w:pPr>
      <w:r>
        <w:rPr>
          <w:noProof/>
        </w:rPr>
        <w:t>Компетентните органи на Съюза включват администрациите на държавите членки и Европейската комисия. В това отношение се прилагат следните правила:</w:t>
      </w:r>
    </w:p>
    <w:p>
      <w:pPr>
        <w:rPr>
          <w:noProof/>
        </w:rPr>
      </w:pPr>
    </w:p>
    <w:p>
      <w:pPr>
        <w:ind w:left="600" w:hanging="60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по отношение на износа за Сингапур администрациите на държавите членки отговарят за контрола по спазването на условията и изискванията за производство, включително за извършването на задължителните проверки и издаването на здравните сертификати (или на сертификатите за хуманно отношение към животните), удостоверяващи спазването на договорените стандарти и изисквания;</w:t>
      </w:r>
    </w:p>
    <w:p>
      <w:pPr>
        <w:rPr>
          <w:noProof/>
        </w:rPr>
      </w:pPr>
    </w:p>
    <w:p>
      <w:pPr>
        <w:ind w:left="600" w:hanging="60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 отношение на вноса от Сингапур администрациите на държавите членки отговарят за контрола при вноса по спазването на условията за внос в Съюза;</w:t>
      </w:r>
    </w:p>
    <w:p>
      <w:pPr>
        <w:rPr>
          <w:noProof/>
        </w:rPr>
      </w:pPr>
    </w:p>
    <w:p>
      <w:pPr>
        <w:ind w:left="600" w:hanging="600"/>
        <w:rPr>
          <w:noProof/>
        </w:rPr>
      </w:pPr>
      <w:r>
        <w:rPr>
          <w:noProof/>
        </w:rPr>
        <w:t>в)</w:t>
      </w:r>
      <w:r>
        <w:rPr>
          <w:noProof/>
        </w:rPr>
        <w:tab/>
        <w:t>Европейската комисия отговаря за общото координиране, за проверките и одитите на системите за проверки и за необходимите законодателни действия за осигуряването на единното прилагане на стандартите и изискванията в европейския вътрешен пазар.</w:t>
      </w:r>
    </w:p>
    <w:p>
      <w:pPr>
        <w:rPr>
          <w:noProof/>
        </w:rPr>
      </w:pPr>
    </w:p>
    <w:p>
      <w:pPr>
        <w:rPr>
          <w:noProof/>
        </w:rPr>
      </w:pPr>
    </w:p>
    <w:p>
      <w:pPr>
        <w:widowControl/>
        <w:spacing w:line="240" w:lineRule="auto"/>
        <w:rPr>
          <w:noProof/>
          <w:szCs w:val="22"/>
          <w:lang w:eastAsia="en-GB"/>
        </w:rPr>
      </w:pPr>
      <w:r>
        <w:rPr>
          <w:i/>
          <w:noProof/>
        </w:rPr>
        <w:br w:type="page"/>
      </w:r>
    </w:p>
    <w:p>
      <w:pPr>
        <w:jc w:val="center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</w:p>
    <w:p>
      <w:pPr>
        <w:tabs>
          <w:tab w:val="left" w:pos="567"/>
        </w:tabs>
        <w:jc w:val="center"/>
        <w:outlineLvl w:val="0"/>
        <w:rPr>
          <w:noProof/>
        </w:rPr>
      </w:pPr>
      <w:r>
        <w:rPr>
          <w:noProof/>
        </w:rPr>
        <w:t>Компетентни органи на Сингапур</w:t>
      </w:r>
    </w:p>
    <w:p>
      <w:pPr>
        <w:tabs>
          <w:tab w:val="left" w:pos="567"/>
        </w:tabs>
        <w:outlineLvl w:val="0"/>
        <w:rPr>
          <w:iCs/>
          <w:noProof/>
        </w:rPr>
      </w:pPr>
    </w:p>
    <w:p>
      <w:pPr>
        <w:rPr>
          <w:noProof/>
        </w:rPr>
      </w:pPr>
      <w:r>
        <w:rPr>
          <w:noProof/>
        </w:rPr>
        <w:t xml:space="preserve">Органът по хранително-вкусовите и ветеринарните въпроси (Agri-Food and Veterinary Authority, наричан по-долу „AVA“) отговаря за осигуряване на надеждни доставки на безопасна и здравословна храна, за опазване здравето на животните, рибите и растенията и за улесняване на търговията с хранителни и селскостопански продукти. </w:t>
      </w:r>
    </w:p>
    <w:p>
      <w:pPr>
        <w:rPr>
          <w:noProof/>
        </w:rPr>
      </w:pPr>
      <w:r>
        <w:rPr>
          <w:noProof/>
        </w:rPr>
        <w:t>В това отношение се прилагат следните правила:</w:t>
      </w:r>
    </w:p>
    <w:p>
      <w:pPr>
        <w:rPr>
          <w:noProof/>
        </w:rPr>
      </w:pPr>
    </w:p>
    <w:p>
      <w:pPr>
        <w:ind w:left="600" w:hanging="600"/>
        <w:rPr>
          <w:noProof/>
        </w:rPr>
      </w:pPr>
      <w:r>
        <w:rPr>
          <w:noProof/>
        </w:rPr>
        <w:t>а)</w:t>
      </w:r>
      <w:r>
        <w:rPr>
          <w:noProof/>
        </w:rPr>
        <w:tab/>
        <w:t>AVA е компетентният орган, отговарящ за извършването на проверки при внос и износ и за поставянето под карантина;</w:t>
      </w:r>
    </w:p>
    <w:p>
      <w:pPr>
        <w:ind w:left="600" w:hanging="600"/>
        <w:rPr>
          <w:noProof/>
        </w:rPr>
      </w:pPr>
    </w:p>
    <w:p>
      <w:pPr>
        <w:ind w:left="600" w:hanging="600"/>
        <w:rPr>
          <w:noProof/>
        </w:rPr>
      </w:pPr>
      <w:r>
        <w:rPr>
          <w:noProof/>
        </w:rPr>
        <w:t>б)</w:t>
      </w:r>
      <w:r>
        <w:rPr>
          <w:noProof/>
        </w:rPr>
        <w:tab/>
        <w:t>AVA е националният орган, отговарящ за безопасността както на непреработените, така и на преработените храни. AVA гарантира безопасността на всички видове храни от етапа на производство до този непосредствено преди продажбата на дребно. AVA прилага научнообоснован анализ на риска и управленски подход, основани на международните стандарти за оценяване и гарантиране на безопасността на храните;</w:t>
      </w:r>
    </w:p>
    <w:p>
      <w:pPr>
        <w:ind w:left="600" w:hanging="600"/>
        <w:rPr>
          <w:noProof/>
        </w:rPr>
      </w:pPr>
    </w:p>
    <w:p>
      <w:pPr>
        <w:ind w:left="600" w:hanging="600"/>
        <w:rPr>
          <w:noProof/>
        </w:rPr>
      </w:pPr>
      <w:r>
        <w:rPr>
          <w:noProof/>
        </w:rPr>
        <w:t>в)</w:t>
      </w:r>
      <w:r>
        <w:rPr>
          <w:noProof/>
        </w:rPr>
        <w:tab/>
        <w:t>AVA е националният орган, отговарящ за здравето на животните и растенията. Той прилага широкообхватна програма за предотвратяване на внасянето на болести по животните от значение за селското стопанство, икономиката и общественото здраве, както и широкообхватна програма за контрол и предотвратяване на появата на болести и вредители от значение за икономиката и за здравето на растенията.</w:t>
      </w:r>
    </w:p>
    <w:p>
      <w:pPr>
        <w:ind w:left="600" w:hanging="600"/>
        <w:rPr>
          <w:noProof/>
        </w:rPr>
      </w:pPr>
    </w:p>
    <w:p>
      <w:pPr>
        <w:ind w:left="600" w:hanging="600"/>
        <w:rPr>
          <w:noProof/>
        </w:rPr>
      </w:pPr>
    </w:p>
    <w:p>
      <w:pPr>
        <w:ind w:left="567" w:hanging="567"/>
        <w:jc w:val="center"/>
        <w:rPr>
          <w:noProof/>
          <w:lang w:val="en-SG"/>
        </w:rPr>
      </w:pPr>
      <w:r>
        <w:rPr>
          <w:noProof/>
          <w:lang w:val="en-SG"/>
        </w:rPr>
        <w:t>________________</w:t>
      </w:r>
    </w:p>
    <w:p>
      <w:pPr>
        <w:jc w:val="right"/>
        <w:rPr>
          <w:b/>
          <w:bCs/>
          <w:noProof/>
          <w:u w:val="single"/>
        </w:rPr>
      </w:pPr>
    </w:p>
    <w:p>
      <w:pPr>
        <w:jc w:val="right"/>
        <w:rPr>
          <w:b/>
          <w:bCs/>
          <w:noProof/>
          <w:u w:val="singl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134" w:right="1134" w:bottom="1134" w:left="1134" w:header="1134" w:footer="1134" w:gutter="0"/>
          <w:cols w:space="720"/>
          <w:docGrid w:linePitch="360"/>
        </w:sectPr>
      </w:pPr>
    </w:p>
    <w:p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 5-Б</w:t>
      </w:r>
    </w:p>
    <w:p>
      <w:pPr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noProof/>
        </w:rPr>
      </w:pPr>
      <w:r>
        <w:rPr>
          <w:noProof/>
        </w:rPr>
        <w:t>ИЗИСКВАНИЯ И РАЗПОРЕДБИ ЗА ОДОБРЯВАНЕ НА ПРЕДПРИЯТИЯ ЗА ПРОДУКТИ ОТ ЖИВОТИНСКИ ПРОИЗХОД</w:t>
      </w:r>
    </w:p>
    <w:p>
      <w:pPr>
        <w:rPr>
          <w:noProof/>
        </w:rPr>
      </w:pPr>
    </w:p>
    <w:p>
      <w:pPr>
        <w:ind w:left="600" w:hanging="600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Компетентният орган на страната вносител съставя публично достъпни списъци на одобрените предприятия.</w:t>
      </w:r>
    </w:p>
    <w:p>
      <w:pPr>
        <w:ind w:left="600" w:hanging="600"/>
        <w:rPr>
          <w:rFonts w:eastAsia="Malgun Gothic"/>
          <w:noProof/>
          <w:lang w:eastAsia="en-GB"/>
        </w:rPr>
      </w:pPr>
    </w:p>
    <w:p>
      <w:pPr>
        <w:ind w:left="600" w:hanging="600"/>
        <w:rPr>
          <w:noProof/>
        </w:rPr>
      </w:pPr>
      <w:r>
        <w:rPr>
          <w:noProof/>
        </w:rPr>
        <w:t>2.</w:t>
      </w:r>
      <w:r>
        <w:rPr>
          <w:noProof/>
        </w:rPr>
        <w:tab/>
        <w:t>Изискванията и процедурите за одобряване на предприятията от страната вносител са следните:</w:t>
      </w:r>
    </w:p>
    <w:p>
      <w:pPr>
        <w:rPr>
          <w:rFonts w:eastAsia="Malgun Gothic"/>
          <w:noProof/>
          <w:lang w:eastAsia="en-GB"/>
        </w:rPr>
      </w:pPr>
    </w:p>
    <w:p>
      <w:pPr>
        <w:ind w:left="1200" w:hanging="600"/>
        <w:rPr>
          <w:noProof/>
        </w:rPr>
      </w:pPr>
      <w:r>
        <w:rPr>
          <w:noProof/>
        </w:rPr>
        <w:t>а)</w:t>
      </w:r>
      <w:r>
        <w:rPr>
          <w:noProof/>
        </w:rPr>
        <w:tab/>
        <w:t>животинският продукт, който предприятието възнамерява да изнесе за страната вносител, трябва да е получил разрешение от компетентния орган на страната вносител. В това разрешение се посочват изискванията по отношение на извършването на вноса и издаването на сертификати;</w:t>
      </w:r>
    </w:p>
    <w:p>
      <w:pPr>
        <w:ind w:left="1200" w:hanging="600"/>
        <w:rPr>
          <w:rFonts w:eastAsia="Malgun Gothic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компетентният орган на страната износител трябва да е одобрил предприятията, възнамеряващи да извършват износ на съответния животински продукт, и да е предоставил на страната вносител изискваните от страната вносител санитарни гаранции, че предприятията отговарят на съответните изисквания на страната вносител;</w:t>
      </w:r>
    </w:p>
    <w:p>
      <w:pPr>
        <w:ind w:left="1200" w:hanging="600"/>
        <w:rPr>
          <w:rFonts w:eastAsia="Malgun Gothic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в)</w:t>
      </w:r>
      <w:r>
        <w:rPr>
          <w:noProof/>
        </w:rPr>
        <w:tab/>
        <w:t>компетентният орган на страната износител има правомощия да спре действието на одобрението за износ на дадено предприятие или да отнеме такова одобрение в случай на неспазване на изискванията; и</w:t>
      </w:r>
    </w:p>
    <w:p>
      <w:pPr>
        <w:ind w:left="1200" w:hanging="600"/>
        <w:rPr>
          <w:noProof/>
        </w:rPr>
      </w:pPr>
    </w:p>
    <w:p>
      <w:pPr>
        <w:ind w:left="1200" w:hanging="600"/>
        <w:rPr>
          <w:rFonts w:eastAsia="Malgun Gothic"/>
          <w:noProof/>
          <w:szCs w:val="22"/>
          <w:lang w:eastAsia="en-GB"/>
        </w:rPr>
      </w:pPr>
      <w:r>
        <w:rPr>
          <w:rFonts w:eastAsia="Malgun Gothic"/>
          <w:noProof/>
        </w:rPr>
        <w:br w:type="page"/>
      </w:r>
    </w:p>
    <w:p>
      <w:pPr>
        <w:ind w:left="1200" w:hanging="600"/>
        <w:rPr>
          <w:noProof/>
        </w:rPr>
      </w:pPr>
      <w:r>
        <w:rPr>
          <w:noProof/>
        </w:rPr>
        <w:lastRenderedPageBreak/>
        <w:t>г)</w:t>
      </w:r>
      <w:r>
        <w:rPr>
          <w:noProof/>
        </w:rPr>
        <w:tab/>
        <w:t>страната вносител може да извършва проверки в съответствие с член 5.8 (Проверки) като част от процедурата за одобряване.</w:t>
      </w:r>
    </w:p>
    <w:p>
      <w:pPr>
        <w:ind w:left="1200" w:hanging="600"/>
        <w:rPr>
          <w:rFonts w:eastAsia="Malgun Gothic"/>
          <w:noProof/>
        </w:rPr>
      </w:pPr>
    </w:p>
    <w:p>
      <w:pPr>
        <w:ind w:left="1200"/>
        <w:rPr>
          <w:noProof/>
        </w:rPr>
      </w:pPr>
      <w:r>
        <w:rPr>
          <w:noProof/>
        </w:rPr>
        <w:t xml:space="preserve">Проверките като част от процедурата за одобряване се отнасят до структурата, организацията и правомощията на компетентния орган, отговарящ за одобряването на предприятието и за санитарните гаранции по отношение на спазването на изискванията на страната вносител. </w:t>
      </w:r>
    </w:p>
    <w:p>
      <w:pPr>
        <w:ind w:left="1200"/>
        <w:rPr>
          <w:rFonts w:eastAsia="Malgun Gothic"/>
          <w:noProof/>
        </w:rPr>
      </w:pPr>
    </w:p>
    <w:p>
      <w:pPr>
        <w:ind w:left="1200"/>
        <w:rPr>
          <w:noProof/>
        </w:rPr>
      </w:pPr>
      <w:r>
        <w:rPr>
          <w:noProof/>
        </w:rPr>
        <w:t xml:space="preserve">Извършваните проверки могат да включват проверки на място на определен брой представителни предприятия, които фигурират в предоставен(и) от страната износител списък или списъци. </w:t>
      </w:r>
    </w:p>
    <w:p>
      <w:pPr>
        <w:ind w:left="1200"/>
        <w:rPr>
          <w:rFonts w:eastAsia="Malgun Gothic"/>
          <w:noProof/>
        </w:rPr>
      </w:pPr>
    </w:p>
    <w:p>
      <w:pPr>
        <w:ind w:left="1200"/>
        <w:rPr>
          <w:noProof/>
        </w:rPr>
      </w:pPr>
      <w:r>
        <w:rPr>
          <w:noProof/>
        </w:rPr>
        <w:t>Като се вземат предвид специфичната структура и отговорностите в рамките на Съюза, тази проверка в Съюза може да се отнася до отделни държави членки.</w:t>
      </w:r>
    </w:p>
    <w:p>
      <w:pPr>
        <w:ind w:left="1200"/>
        <w:rPr>
          <w:rFonts w:eastAsia="Malgun Gothic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страната вносител може да извършва проверки в съответствие с член 5.8 (Проверки) по всяко време. Въз основа на резултатите от проверките страната вносител може да измени съставените от нея списъци на одобрени предприятия по параграф 1 от настоящото приложение.</w:t>
      </w:r>
    </w:p>
    <w:p>
      <w:pPr>
        <w:ind w:left="1200" w:hanging="600"/>
        <w:rPr>
          <w:noProof/>
        </w:rPr>
      </w:pPr>
    </w:p>
    <w:p>
      <w:pPr>
        <w:widowControl/>
        <w:spacing w:line="240" w:lineRule="auto"/>
        <w:rPr>
          <w:noProof/>
          <w:szCs w:val="22"/>
          <w:lang w:eastAsia="en-GB"/>
        </w:rPr>
      </w:pPr>
      <w:r>
        <w:rPr>
          <w:noProof/>
        </w:rPr>
        <w:br w:type="page"/>
      </w:r>
    </w:p>
    <w:p>
      <w:pPr>
        <w:ind w:left="600" w:hanging="600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Разпоредбите на параграфи 1 и 2 първоначално се отнасят само до следните категории предприятия:</w:t>
      </w:r>
    </w:p>
    <w:p>
      <w:pPr>
        <w:ind w:left="600" w:hanging="600"/>
        <w:rPr>
          <w:rFonts w:eastAsia="Batang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а)</w:t>
      </w:r>
      <w:r>
        <w:rPr>
          <w:noProof/>
        </w:rPr>
        <w:tab/>
        <w:t>всички предприятия за прясно месо от домашни животни;</w:t>
      </w:r>
    </w:p>
    <w:p>
      <w:pPr>
        <w:ind w:left="1200" w:hanging="600"/>
        <w:rPr>
          <w:rFonts w:eastAsia="Batang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б)</w:t>
      </w:r>
      <w:r>
        <w:rPr>
          <w:noProof/>
        </w:rPr>
        <w:tab/>
        <w:t>всички предприятия за прясно месо от дивеч и отглеждан в стопанства дивеч;</w:t>
      </w:r>
    </w:p>
    <w:p>
      <w:pPr>
        <w:ind w:left="1200" w:hanging="600"/>
        <w:rPr>
          <w:rFonts w:eastAsia="Batang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в)</w:t>
      </w:r>
      <w:r>
        <w:rPr>
          <w:noProof/>
        </w:rPr>
        <w:tab/>
        <w:t>всички предприятия за месо от домашни птици;</w:t>
      </w:r>
    </w:p>
    <w:p>
      <w:pPr>
        <w:ind w:left="1200" w:hanging="600"/>
        <w:rPr>
          <w:rFonts w:eastAsia="Batang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г)</w:t>
      </w:r>
      <w:r>
        <w:rPr>
          <w:noProof/>
        </w:rPr>
        <w:tab/>
        <w:t>всички предприятия за месни продукти от всички видове животни;</w:t>
      </w:r>
    </w:p>
    <w:p>
      <w:pPr>
        <w:ind w:left="1200" w:hanging="600"/>
        <w:rPr>
          <w:rFonts w:eastAsia="Batang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д)</w:t>
      </w:r>
      <w:r>
        <w:rPr>
          <w:noProof/>
        </w:rPr>
        <w:tab/>
        <w:t>всички предприятия за други продукти от животински произход за консумация от човека (напр. черва, месни заготовки, кайма);</w:t>
      </w:r>
    </w:p>
    <w:p>
      <w:pPr>
        <w:ind w:left="1200" w:hanging="600"/>
        <w:rPr>
          <w:rFonts w:eastAsia="Batang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е)</w:t>
      </w:r>
      <w:r>
        <w:rPr>
          <w:noProof/>
        </w:rPr>
        <w:tab/>
        <w:t>всички предприятия за мляко и млечни продукти за консумация от човека; и</w:t>
      </w:r>
    </w:p>
    <w:p>
      <w:pPr>
        <w:ind w:left="1200" w:hanging="600"/>
        <w:rPr>
          <w:rFonts w:eastAsia="Batang"/>
          <w:noProof/>
        </w:rPr>
      </w:pPr>
    </w:p>
    <w:p>
      <w:pPr>
        <w:ind w:left="1200" w:hanging="600"/>
        <w:rPr>
          <w:noProof/>
        </w:rPr>
      </w:pPr>
      <w:r>
        <w:rPr>
          <w:noProof/>
        </w:rPr>
        <w:t>ж)</w:t>
      </w:r>
      <w:r>
        <w:rPr>
          <w:noProof/>
        </w:rPr>
        <w:tab/>
        <w:t>преработвателни предприятия и кораби фабрики/хладилни кораби за рибни продукти за консумация от човека, включително двучерупчести мекотели и ракообразни</w:t>
      </w:r>
      <w:r>
        <w:rPr>
          <w:rFonts w:eastAsia="Malgun Gothic"/>
          <w:noProof/>
          <w:kern w:val="2"/>
        </w:rPr>
        <w:t>.</w:t>
      </w:r>
    </w:p>
    <w:p>
      <w:pPr>
        <w:spacing w:line="240" w:lineRule="auto"/>
        <w:ind w:left="1134" w:hanging="567"/>
        <w:jc w:val="center"/>
        <w:rPr>
          <w:noProof/>
          <w:szCs w:val="23"/>
        </w:rPr>
      </w:pPr>
    </w:p>
    <w:p>
      <w:pPr>
        <w:spacing w:line="240" w:lineRule="auto"/>
        <w:ind w:left="1134" w:hanging="567"/>
        <w:jc w:val="center"/>
        <w:rPr>
          <w:noProof/>
          <w:szCs w:val="23"/>
        </w:rPr>
      </w:pPr>
    </w:p>
    <w:p>
      <w:pPr>
        <w:spacing w:line="240" w:lineRule="auto"/>
        <w:ind w:left="1134" w:hanging="567"/>
        <w:jc w:val="center"/>
        <w:rPr>
          <w:noProof/>
          <w:szCs w:val="23"/>
        </w:rPr>
      </w:pPr>
      <w:r>
        <w:rPr>
          <w:noProof/>
          <w:szCs w:val="23"/>
        </w:rPr>
        <w:t>________________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XX/xx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XX/xx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pStyle w:val="FootnoteText"/>
      </w:pPr>
      <w:r>
        <w:separator/>
      </w:r>
    </w:p>
  </w:footnote>
  <w:footnote w:type="continuationSeparator" w:id="0">
    <w:p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Num" w:val="0"/>
    <w:docVar w:name="DocStatus" w:val="Green"/>
    <w:docVar w:name="DW_DocType" w:val="_GENEN"/>
    <w:docVar w:name="LW_ACCOMPAGNANT.CP" w:val="\u1082?\u1098?\u1084? "/>
    <w:docVar w:name="LW_ANNEX_NBR_FIRST" w:val="4"/>
    <w:docVar w:name="LW_ANNEX_NBR_LAST" w:val="4"/>
    <w:docVar w:name="LW_ANNEX_UNIQUE" w:val="0"/>
    <w:docVar w:name="LW_CORRIGENDUM" w:val="&lt;UNUSED&gt;"/>
    <w:docVar w:name="LW_COVERPAGE_EXISTS" w:val="True"/>
    <w:docVar w:name="LW_COVERPAGE_GUID" w:val="21E62D78-9F6B-4DB5-906B-DDE15F0C1E26"/>
    <w:docVar w:name="LW_COVERPAGE_TYPE" w:val="1"/>
    <w:docVar w:name="LW_CROSSREFERENCE" w:val="&lt;UNUSED&gt;"/>
    <w:docVar w:name="LW_DocType" w:val="_GENEN"/>
    <w:docVar w:name="LW_EMISSION" w:val="18.4.2018"/>
    <w:docVar w:name="LW_EMISSION_ISODATE" w:val="2018-04-18"/>
    <w:docVar w:name="LW_EMISSION_LOCATION" w:val="BRX"/>
    <w:docVar w:name="LW_EMISSION_PREFIX" w:val="Брюксел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\u1090?\u1086? \u1079?\u1072? \u1089?\u1074?\u1086?\u1073?\u1086?\u1076?\u1085?\u1072? \u1090?\u1098?\u1088?\u1075?\u1086?\u1074?\u1080?\u1103? \u1084?\u1077?\u1078?\u1076?\u1091? \u1045?\u1074?\u1088?\u1086?\u1087?\u1077?\u1081?\u1089?\u1082?\u1080?\u1103? \u1089?\u1098?\u1102?\u1079? \u1080? \u1056?\u1077?\u1087?\u1091?\u1073?\u1083?\u1080?\u1082?\u1072? \u1057?\u1080?\u1085?\u1075?\u1072?\u1087?\u1091?\u1088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lang w:eastAsia="fr-BE"/>
    </w:rPr>
  </w:style>
  <w:style w:type="paragraph" w:customStyle="1" w:styleId="Text2">
    <w:name w:val="Text 2"/>
    <w:basedOn w:val="Normal"/>
    <w:pPr>
      <w:widowControl/>
      <w:spacing w:before="120" w:after="120" w:line="240" w:lineRule="auto"/>
      <w:ind w:left="1417"/>
      <w:jc w:val="both"/>
    </w:pPr>
    <w:rPr>
      <w:szCs w:val="22"/>
      <w:lang w:eastAsia="en-GB"/>
    </w:rPr>
  </w:style>
  <w:style w:type="paragraph" w:customStyle="1" w:styleId="Point0">
    <w:name w:val="Point 0"/>
    <w:basedOn w:val="Normal"/>
    <w:pPr>
      <w:widowControl/>
      <w:spacing w:before="120" w:after="120" w:line="240" w:lineRule="auto"/>
      <w:ind w:left="850" w:hanging="850"/>
      <w:jc w:val="both"/>
    </w:pPr>
    <w:rPr>
      <w:szCs w:val="22"/>
      <w:lang w:eastAsia="en-GB"/>
    </w:rPr>
  </w:style>
  <w:style w:type="paragraph" w:customStyle="1" w:styleId="Point1">
    <w:name w:val="Point 1"/>
    <w:basedOn w:val="Normal"/>
    <w:pPr>
      <w:widowControl/>
      <w:spacing w:before="120" w:after="120" w:line="240" w:lineRule="auto"/>
      <w:ind w:left="1417" w:hanging="567"/>
      <w:jc w:val="both"/>
    </w:pPr>
    <w:rPr>
      <w:szCs w:val="22"/>
      <w:lang w:eastAsia="en-GB"/>
    </w:rPr>
  </w:style>
  <w:style w:type="paragraph" w:customStyle="1" w:styleId="ManualNumPar1">
    <w:name w:val="Manual NumPar 1"/>
    <w:basedOn w:val="Normal"/>
    <w:next w:val="Normal"/>
    <w:pPr>
      <w:widowControl/>
      <w:spacing w:before="120" w:after="120" w:line="240" w:lineRule="auto"/>
      <w:ind w:left="850" w:hanging="850"/>
      <w:jc w:val="both"/>
    </w:pPr>
    <w:rPr>
      <w:szCs w:val="22"/>
      <w:lang w:eastAsia="en-GB"/>
    </w:rPr>
  </w:style>
  <w:style w:type="paragraph" w:customStyle="1" w:styleId="Annexetitre">
    <w:name w:val="Annexe titre"/>
    <w:basedOn w:val="Normal"/>
    <w:next w:val="Normal"/>
    <w:pPr>
      <w:widowControl/>
      <w:spacing w:before="120" w:after="120" w:line="240" w:lineRule="auto"/>
      <w:jc w:val="center"/>
    </w:pPr>
    <w:rPr>
      <w:b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pPr>
      <w:keepNext/>
      <w:widowControl/>
      <w:spacing w:before="360" w:after="120" w:line="240" w:lineRule="auto"/>
      <w:jc w:val="center"/>
    </w:pPr>
    <w:rPr>
      <w:i/>
      <w:szCs w:val="22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Pr>
      <w:color w:val="auto"/>
    </w:rPr>
  </w:style>
  <w:style w:type="paragraph" w:customStyle="1" w:styleId="AddReference">
    <w:name w:val="Add Referenc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lang w:eastAsia="fr-BE"/>
    </w:rPr>
  </w:style>
  <w:style w:type="paragraph" w:customStyle="1" w:styleId="Text2">
    <w:name w:val="Text 2"/>
    <w:basedOn w:val="Normal"/>
    <w:pPr>
      <w:widowControl/>
      <w:spacing w:before="120" w:after="120" w:line="240" w:lineRule="auto"/>
      <w:ind w:left="1417"/>
      <w:jc w:val="both"/>
    </w:pPr>
    <w:rPr>
      <w:szCs w:val="22"/>
      <w:lang w:eastAsia="en-GB"/>
    </w:rPr>
  </w:style>
  <w:style w:type="paragraph" w:customStyle="1" w:styleId="Point0">
    <w:name w:val="Point 0"/>
    <w:basedOn w:val="Normal"/>
    <w:pPr>
      <w:widowControl/>
      <w:spacing w:before="120" w:after="120" w:line="240" w:lineRule="auto"/>
      <w:ind w:left="850" w:hanging="850"/>
      <w:jc w:val="both"/>
    </w:pPr>
    <w:rPr>
      <w:szCs w:val="22"/>
      <w:lang w:eastAsia="en-GB"/>
    </w:rPr>
  </w:style>
  <w:style w:type="paragraph" w:customStyle="1" w:styleId="Point1">
    <w:name w:val="Point 1"/>
    <w:basedOn w:val="Normal"/>
    <w:pPr>
      <w:widowControl/>
      <w:spacing w:before="120" w:after="120" w:line="240" w:lineRule="auto"/>
      <w:ind w:left="1417" w:hanging="567"/>
      <w:jc w:val="both"/>
    </w:pPr>
    <w:rPr>
      <w:szCs w:val="22"/>
      <w:lang w:eastAsia="en-GB"/>
    </w:rPr>
  </w:style>
  <w:style w:type="paragraph" w:customStyle="1" w:styleId="ManualNumPar1">
    <w:name w:val="Manual NumPar 1"/>
    <w:basedOn w:val="Normal"/>
    <w:next w:val="Normal"/>
    <w:pPr>
      <w:widowControl/>
      <w:spacing w:before="120" w:after="120" w:line="240" w:lineRule="auto"/>
      <w:ind w:left="850" w:hanging="850"/>
      <w:jc w:val="both"/>
    </w:pPr>
    <w:rPr>
      <w:szCs w:val="22"/>
      <w:lang w:eastAsia="en-GB"/>
    </w:rPr>
  </w:style>
  <w:style w:type="paragraph" w:customStyle="1" w:styleId="Annexetitre">
    <w:name w:val="Annexe titre"/>
    <w:basedOn w:val="Normal"/>
    <w:next w:val="Normal"/>
    <w:pPr>
      <w:widowControl/>
      <w:spacing w:before="120" w:after="120" w:line="240" w:lineRule="auto"/>
      <w:jc w:val="center"/>
    </w:pPr>
    <w:rPr>
      <w:b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pPr>
      <w:keepNext/>
      <w:widowControl/>
      <w:spacing w:before="360" w:after="120" w:line="240" w:lineRule="auto"/>
      <w:jc w:val="center"/>
    </w:pPr>
    <w:rPr>
      <w:i/>
      <w:szCs w:val="22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widowControl/>
      <w:spacing w:line="240" w:lineRule="auto"/>
      <w:jc w:val="both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eastAsia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eastAsia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1673-3698-4228-AE26-B6D9CDE0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723</Words>
  <Characters>4439</Characters>
  <Application>Microsoft Office Word</Application>
  <DocSecurity>0</DocSecurity>
  <Lines>130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Manager/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/>
  <cp:lastModifiedBy>DIGIT/A3</cp:lastModifiedBy>
  <cp:revision>32</cp:revision>
  <cp:lastPrinted>2004-04-02T13:43:00Z</cp:lastPrinted>
  <dcterms:created xsi:type="dcterms:W3CDTF">2017-10-31T15:41:00Z</dcterms:created>
  <dcterms:modified xsi:type="dcterms:W3CDTF">2018-04-20T09:01:00Z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