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3FB1979-5BD4-4EFA-97FD-845F0C1ECBC5" style="width:451pt;height:379.8pt">
            <v:imagedata r:id="rId9" o:title=""/>
          </v:shape>
        </w:pict>
      </w:r>
    </w:p>
    <w:bookmarkEnd w:id="0"/>
    <w:p>
      <w:pPr>
        <w:rPr>
          <w:rFonts w:eastAsia="Gulim"/>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0"/>
          <w:cols w:space="720"/>
          <w:docGrid w:linePitch="360"/>
        </w:sectPr>
      </w:pPr>
    </w:p>
    <w:p>
      <w:pPr>
        <w:jc w:val="right"/>
        <w:rPr>
          <w:rFonts w:eastAsia="Gulim"/>
          <w:b/>
          <w:bCs/>
          <w:noProof/>
          <w:u w:val="single"/>
        </w:rPr>
      </w:pPr>
      <w:bookmarkStart w:id="1" w:name="_GoBack"/>
      <w:bookmarkEnd w:id="1"/>
      <w:r>
        <w:rPr>
          <w:rFonts w:eastAsia="Gulim"/>
          <w:b/>
          <w:bCs/>
          <w:noProof/>
          <w:u w:val="single"/>
          <w:lang w:val="bg-BG"/>
        </w:rPr>
        <w:lastRenderedPageBreak/>
        <w:t>ПРИЛОЖЕНИЕ</w:t>
      </w:r>
      <w:r>
        <w:rPr>
          <w:rFonts w:eastAsia="Gulim"/>
          <w:b/>
          <w:bCs/>
          <w:noProof/>
          <w:u w:val="single"/>
        </w:rPr>
        <w:t xml:space="preserve"> 4-A</w:t>
      </w:r>
    </w:p>
    <w:p>
      <w:pPr>
        <w:jc w:val="center"/>
        <w:rPr>
          <w:rFonts w:eastAsia="Gulim"/>
          <w:b/>
          <w:caps/>
          <w:noProof/>
        </w:rPr>
      </w:pPr>
    </w:p>
    <w:p>
      <w:pPr>
        <w:jc w:val="center"/>
        <w:rPr>
          <w:rFonts w:eastAsia="Gulim"/>
          <w:b/>
          <w:caps/>
          <w:noProof/>
        </w:rPr>
      </w:pPr>
    </w:p>
    <w:p>
      <w:pPr>
        <w:jc w:val="center"/>
        <w:rPr>
          <w:rFonts w:eastAsia="Gulim"/>
          <w:caps/>
          <w:noProof/>
        </w:rPr>
      </w:pPr>
      <w:r>
        <w:rPr>
          <w:caps/>
          <w:noProof/>
        </w:rPr>
        <w:t>Електроника</w:t>
      </w:r>
    </w:p>
    <w:p>
      <w:pPr>
        <w:rPr>
          <w:noProof/>
        </w:rPr>
      </w:pPr>
    </w:p>
    <w:p>
      <w:pPr>
        <w:jc w:val="center"/>
        <w:rPr>
          <w:noProof/>
        </w:rPr>
      </w:pPr>
      <w:r>
        <w:rPr>
          <w:noProof/>
        </w:rPr>
        <w:t>ЧЛЕН 1</w:t>
      </w:r>
    </w:p>
    <w:p>
      <w:pPr>
        <w:jc w:val="center"/>
        <w:rPr>
          <w:rFonts w:eastAsia="Gulim"/>
          <w:noProof/>
        </w:rPr>
      </w:pPr>
    </w:p>
    <w:p>
      <w:pPr>
        <w:jc w:val="center"/>
        <w:rPr>
          <w:noProof/>
        </w:rPr>
      </w:pPr>
      <w:r>
        <w:rPr>
          <w:noProof/>
        </w:rPr>
        <w:t>Общи разпоредби</w:t>
      </w:r>
    </w:p>
    <w:p>
      <w:pPr>
        <w:rPr>
          <w:noProof/>
        </w:rPr>
      </w:pPr>
    </w:p>
    <w:p>
      <w:pPr>
        <w:ind w:left="480" w:hanging="480"/>
        <w:rPr>
          <w:noProof/>
        </w:rPr>
      </w:pPr>
      <w:r>
        <w:rPr>
          <w:noProof/>
        </w:rPr>
        <w:t>1.</w:t>
      </w:r>
      <w:r>
        <w:rPr>
          <w:noProof/>
        </w:rPr>
        <w:tab/>
        <w:t>Страните потвърждават следните общи цели и принципи:</w:t>
      </w:r>
    </w:p>
    <w:p>
      <w:pPr>
        <w:ind w:left="480" w:hanging="480"/>
        <w:rPr>
          <w:noProof/>
        </w:rPr>
      </w:pPr>
    </w:p>
    <w:p>
      <w:pPr>
        <w:ind w:left="1080" w:hanging="600"/>
        <w:rPr>
          <w:noProof/>
        </w:rPr>
      </w:pPr>
      <w:r>
        <w:rPr>
          <w:noProof/>
        </w:rPr>
        <w:t>a)</w:t>
      </w:r>
      <w:r>
        <w:rPr>
          <w:noProof/>
        </w:rPr>
        <w:tab/>
        <w:t xml:space="preserve">премахване и предотвратяване на нетарифните пречки пред двустранната търговия; </w:t>
      </w:r>
    </w:p>
    <w:p>
      <w:pPr>
        <w:ind w:left="1080" w:hanging="600"/>
        <w:rPr>
          <w:noProof/>
        </w:rPr>
      </w:pPr>
    </w:p>
    <w:p>
      <w:pPr>
        <w:ind w:left="1080" w:hanging="600"/>
        <w:rPr>
          <w:noProof/>
        </w:rPr>
      </w:pPr>
      <w:r>
        <w:rPr>
          <w:noProof/>
        </w:rPr>
        <w:t>б)</w:t>
      </w:r>
      <w:r>
        <w:rPr>
          <w:noProof/>
        </w:rPr>
        <w:tab/>
        <w:t>използване, когато е уместно, на съответните международни стандарти като основа за своите стандарти, технически регламенти и процедури за оценяване на съответствието;</w:t>
      </w:r>
    </w:p>
    <w:p>
      <w:pPr>
        <w:ind w:left="1080" w:hanging="600"/>
        <w:rPr>
          <w:noProof/>
        </w:rPr>
      </w:pPr>
    </w:p>
    <w:p>
      <w:pPr>
        <w:ind w:left="1080" w:hanging="600"/>
        <w:rPr>
          <w:noProof/>
        </w:rPr>
      </w:pPr>
      <w:r>
        <w:rPr>
          <w:noProof/>
        </w:rPr>
        <w:t>в)</w:t>
      </w:r>
      <w:r>
        <w:rPr>
          <w:noProof/>
        </w:rPr>
        <w:tab/>
        <w:t>премахване на дублиращите се и прекомерно обременяващите процедури за оценяване на съответствието; и</w:t>
      </w:r>
    </w:p>
    <w:p>
      <w:pPr>
        <w:ind w:left="1080" w:hanging="600"/>
        <w:rPr>
          <w:noProof/>
        </w:rPr>
      </w:pPr>
    </w:p>
    <w:p>
      <w:pPr>
        <w:ind w:left="1080" w:hanging="600"/>
        <w:rPr>
          <w:noProof/>
        </w:rPr>
      </w:pPr>
      <w:r>
        <w:rPr>
          <w:noProof/>
        </w:rPr>
        <w:t>г)</w:t>
      </w:r>
      <w:r>
        <w:rPr>
          <w:noProof/>
        </w:rPr>
        <w:tab/>
        <w:t>засилване на сътрудничеството с цел поощряване на развитието на двустранната търговия между тях в областта на електрониката.</w:t>
      </w:r>
    </w:p>
    <w:p>
      <w:pPr>
        <w:ind w:left="480" w:hanging="480"/>
        <w:rPr>
          <w:noProof/>
        </w:rPr>
      </w:pPr>
    </w:p>
    <w:p>
      <w:pPr>
        <w:ind w:left="480" w:hanging="480"/>
        <w:rPr>
          <w:noProof/>
        </w:rPr>
      </w:pPr>
    </w:p>
    <w:p>
      <w:pPr>
        <w:ind w:left="480" w:hanging="480"/>
        <w:rPr>
          <w:noProof/>
        </w:rPr>
      </w:pPr>
      <w:r>
        <w:rPr>
          <w:noProof/>
        </w:rPr>
        <w:t>2.</w:t>
      </w:r>
      <w:r>
        <w:rPr>
          <w:noProof/>
        </w:rPr>
        <w:tab/>
        <w:t>Настоящото приложение се прилага само за стандартите, техническите регламенти и процедурите за оценяване на съответствието на всяка от страните, свързани с безопасността и електромагнитната съвместимост (наричана по-долу „ЕМС“) на електрическото и електронно оборудване, битовите електроуреди и битовата електроника, определени в допълнение 4-А-1 (наричани по-долу „обхванати продукти“).</w:t>
      </w:r>
    </w:p>
    <w:p>
      <w:pPr>
        <w:rPr>
          <w:noProof/>
        </w:rPr>
      </w:pPr>
    </w:p>
    <w:p>
      <w:pPr>
        <w:rPr>
          <w:noProof/>
        </w:rPr>
      </w:pPr>
    </w:p>
    <w:p>
      <w:pPr>
        <w:widowControl/>
        <w:spacing w:line="240" w:lineRule="auto"/>
        <w:rPr>
          <w:noProof/>
          <w:szCs w:val="22"/>
          <w:lang w:eastAsia="en-GB"/>
        </w:rPr>
      </w:pPr>
      <w:r>
        <w:rPr>
          <w:noProof/>
        </w:rPr>
        <w:br w:type="page"/>
      </w:r>
    </w:p>
    <w:p>
      <w:pPr>
        <w:jc w:val="center"/>
        <w:rPr>
          <w:noProof/>
        </w:rPr>
      </w:pPr>
      <w:r>
        <w:rPr>
          <w:noProof/>
        </w:rPr>
        <w:lastRenderedPageBreak/>
        <w:t>ЧЛЕН 2</w:t>
      </w:r>
    </w:p>
    <w:p>
      <w:pPr>
        <w:jc w:val="center"/>
        <w:rPr>
          <w:rFonts w:eastAsia="Gulim"/>
          <w:b/>
          <w:noProof/>
          <w:lang w:eastAsia="en-GB"/>
        </w:rPr>
      </w:pPr>
    </w:p>
    <w:p>
      <w:pPr>
        <w:jc w:val="center"/>
        <w:rPr>
          <w:bCs/>
          <w:smallCaps/>
          <w:noProof/>
          <w:sz w:val="28"/>
          <w:szCs w:val="28"/>
        </w:rPr>
      </w:pPr>
      <w:r>
        <w:rPr>
          <w:noProof/>
        </w:rPr>
        <w:t>Международни стандарти и органи по стандартизация</w:t>
      </w:r>
    </w:p>
    <w:p>
      <w:pPr>
        <w:rPr>
          <w:noProof/>
        </w:rPr>
      </w:pPr>
    </w:p>
    <w:p>
      <w:pPr>
        <w:ind w:left="480" w:hanging="480"/>
        <w:rPr>
          <w:noProof/>
        </w:rPr>
      </w:pPr>
      <w:r>
        <w:rPr>
          <w:noProof/>
        </w:rPr>
        <w:t>1.</w:t>
      </w:r>
      <w:r>
        <w:rPr>
          <w:noProof/>
        </w:rPr>
        <w:tab/>
        <w:t>Страните приемат, че Международната организация по стандартизация (наричана по-долу „ISO“), Международната електротехническа комисия (наричана по-долу „IEC“) и Международният съюз по далекосъобщения (наричан по-долу „ITU“) са компетентните международни органи по стандартизация относно ЕМС и безопасността на продуктите, обхванати от настоящото приложение.</w:t>
      </w:r>
      <w:r>
        <w:rPr>
          <w:rStyle w:val="FootnoteReference"/>
          <w:noProof/>
        </w:rPr>
        <w:footnoteReference w:id="1"/>
      </w:r>
      <w:r>
        <w:rPr>
          <w:noProof/>
        </w:rPr>
        <w:t xml:space="preserve"> </w:t>
      </w:r>
    </w:p>
    <w:p>
      <w:pPr>
        <w:ind w:left="480" w:hanging="480"/>
        <w:rPr>
          <w:noProof/>
        </w:rPr>
      </w:pPr>
    </w:p>
    <w:p>
      <w:pPr>
        <w:ind w:left="480" w:hanging="480"/>
        <w:rPr>
          <w:noProof/>
        </w:rPr>
      </w:pPr>
      <w:r>
        <w:rPr>
          <w:noProof/>
        </w:rPr>
        <w:t>2.</w:t>
      </w:r>
      <w:r>
        <w:rPr>
          <w:noProof/>
        </w:rPr>
        <w:tab/>
        <w:t>Когато съществуват съответни международни стандарти, установени от ISO, IEC и ITU, страните използват тези международни стандарти или съответните техни части като основа за всички стандарти, технически регламенти или процедури за оценяване на съответствието, освен когато тези международни стандарти или съответните им части биха били неефективно или неподходящо средство за постигане на преследвани законни цели. В тези случаи съответната страна посочва по искане на другата страна частите на съответния стандарт или технически регламенти или съответната процедура за оценяване на съответствието, които значително се отклоняват от съответния международен стандарт, и представя обосновка за причините за това отклонение.</w:t>
      </w:r>
    </w:p>
    <w:p>
      <w:pPr>
        <w:ind w:left="480" w:hanging="480"/>
        <w:rPr>
          <w:noProof/>
        </w:rPr>
      </w:pPr>
    </w:p>
    <w:p>
      <w:pPr>
        <w:ind w:left="480" w:hanging="480"/>
        <w:rPr>
          <w:noProof/>
          <w:szCs w:val="22"/>
          <w:lang w:eastAsia="en-GB"/>
        </w:rPr>
      </w:pPr>
      <w:r>
        <w:rPr>
          <w:noProof/>
        </w:rPr>
        <w:br w:type="page"/>
      </w:r>
    </w:p>
    <w:p>
      <w:pPr>
        <w:ind w:left="480" w:hanging="480"/>
        <w:rPr>
          <w:noProof/>
        </w:rPr>
      </w:pPr>
      <w:r>
        <w:rPr>
          <w:noProof/>
        </w:rPr>
        <w:lastRenderedPageBreak/>
        <w:t>3.</w:t>
      </w:r>
      <w:r>
        <w:rPr>
          <w:noProof/>
        </w:rPr>
        <w:tab/>
        <w:t>Без да се засягат разпоредбите на член 2.3 от Споразумението за ТПТ, когато някоя от страните прилага технически регламенти, които се отклоняват от съответните съществуващи международни стандарти, посочени в параграф 2, страната преглежда тези технически регламенти редовно, не по-рядко от веднъж на всеки пет години, за да прецени дали обстоятелствата, които са дали основание за отклонението от съответния международен стандарт, са все още налице. Резултатите от тези прегледи се съобщават на другата страна при поискване.</w:t>
      </w:r>
    </w:p>
    <w:p>
      <w:pPr>
        <w:ind w:left="480" w:hanging="480"/>
        <w:rPr>
          <w:noProof/>
        </w:rPr>
      </w:pPr>
    </w:p>
    <w:p>
      <w:pPr>
        <w:ind w:left="480" w:hanging="480"/>
        <w:rPr>
          <w:noProof/>
        </w:rPr>
      </w:pPr>
      <w:r>
        <w:rPr>
          <w:noProof/>
        </w:rPr>
        <w:t>4.</w:t>
      </w:r>
      <w:r>
        <w:rPr>
          <w:noProof/>
        </w:rPr>
        <w:tab/>
        <w:t>Страните насърчават своите органи по стандартизация да участват в разработването на международни стандарти в ISO, IEC и ITU и в консултации в рамките на тези международни органи по стандартизация с оглед установяването на общи подходи.</w:t>
      </w:r>
    </w:p>
    <w:p>
      <w:pPr>
        <w:rPr>
          <w:noProof/>
        </w:rPr>
      </w:pPr>
    </w:p>
    <w:p>
      <w:pPr>
        <w:rPr>
          <w:noProof/>
        </w:rPr>
      </w:pPr>
    </w:p>
    <w:p>
      <w:pPr>
        <w:jc w:val="center"/>
        <w:rPr>
          <w:noProof/>
        </w:rPr>
      </w:pPr>
      <w:r>
        <w:rPr>
          <w:noProof/>
        </w:rPr>
        <w:t>ЧЛЕН 3</w:t>
      </w:r>
    </w:p>
    <w:p>
      <w:pPr>
        <w:jc w:val="center"/>
        <w:rPr>
          <w:rFonts w:eastAsia="Gulim"/>
          <w:b/>
          <w:noProof/>
          <w:lang w:eastAsia="en-GB"/>
        </w:rPr>
      </w:pPr>
    </w:p>
    <w:p>
      <w:pPr>
        <w:jc w:val="center"/>
        <w:rPr>
          <w:bCs/>
          <w:smallCaps/>
          <w:noProof/>
          <w:sz w:val="28"/>
          <w:szCs w:val="28"/>
        </w:rPr>
      </w:pPr>
      <w:r>
        <w:rPr>
          <w:noProof/>
        </w:rPr>
        <w:t>Иновации</w:t>
      </w:r>
    </w:p>
    <w:p>
      <w:pPr>
        <w:rPr>
          <w:noProof/>
        </w:rPr>
      </w:pPr>
    </w:p>
    <w:p>
      <w:pPr>
        <w:ind w:left="480" w:hanging="480"/>
        <w:rPr>
          <w:noProof/>
        </w:rPr>
      </w:pPr>
      <w:r>
        <w:rPr>
          <w:noProof/>
        </w:rPr>
        <w:t>1.</w:t>
      </w:r>
      <w:r>
        <w:rPr>
          <w:noProof/>
        </w:rPr>
        <w:tab/>
        <w:t>Никоя страна не може да възпрепятства или забавя неоснователно пускането на своя пазар на продукт, на основание на факта, че той включва нова технология или нова характеристика, която все още не е регулирана.</w:t>
      </w:r>
    </w:p>
    <w:p>
      <w:pPr>
        <w:ind w:left="480" w:hanging="480"/>
        <w:rPr>
          <w:noProof/>
        </w:rPr>
      </w:pPr>
    </w:p>
    <w:p>
      <w:pPr>
        <w:ind w:left="480" w:hanging="480"/>
        <w:rPr>
          <w:noProof/>
        </w:rPr>
      </w:pPr>
      <w:r>
        <w:rPr>
          <w:noProof/>
        </w:rPr>
        <w:t>2.</w:t>
      </w:r>
      <w:r>
        <w:rPr>
          <w:noProof/>
        </w:rPr>
        <w:tab/>
        <w:t>Параграф 1 не засяга правото на страната вносител, при положение че тя надлежно обоснове своите опасения пред доставчика, да поиска доказателства, че съответната нова технология или характеристика не създава риск за безопасността или за ЕМС или за всяка друга законна цел, посочена в член 2.2 от Споразумението за ТПТ.</w:t>
      </w:r>
    </w:p>
    <w:p>
      <w:pPr>
        <w:rPr>
          <w:noProof/>
        </w:rPr>
      </w:pPr>
    </w:p>
    <w:p>
      <w:pPr>
        <w:rPr>
          <w:noProof/>
        </w:rPr>
      </w:pPr>
    </w:p>
    <w:p>
      <w:pPr>
        <w:widowControl/>
        <w:spacing w:line="240" w:lineRule="auto"/>
        <w:rPr>
          <w:noProof/>
          <w:szCs w:val="22"/>
          <w:lang w:eastAsia="en-GB"/>
        </w:rPr>
      </w:pPr>
      <w:r>
        <w:rPr>
          <w:noProof/>
        </w:rPr>
        <w:br w:type="page"/>
      </w:r>
    </w:p>
    <w:p>
      <w:pPr>
        <w:jc w:val="center"/>
        <w:rPr>
          <w:noProof/>
        </w:rPr>
      </w:pPr>
      <w:r>
        <w:rPr>
          <w:noProof/>
        </w:rPr>
        <w:lastRenderedPageBreak/>
        <w:t>ЧЛЕН 4</w:t>
      </w:r>
    </w:p>
    <w:p>
      <w:pPr>
        <w:jc w:val="center"/>
        <w:rPr>
          <w:rFonts w:eastAsia="Gulim"/>
          <w:noProof/>
          <w:lang w:eastAsia="en-GB"/>
        </w:rPr>
      </w:pPr>
    </w:p>
    <w:p>
      <w:pPr>
        <w:jc w:val="center"/>
        <w:rPr>
          <w:noProof/>
        </w:rPr>
      </w:pPr>
      <w:r>
        <w:rPr>
          <w:noProof/>
        </w:rPr>
        <w:t>Процедури за оценяване на съответствието</w:t>
      </w:r>
    </w:p>
    <w:p>
      <w:pPr>
        <w:rPr>
          <w:noProof/>
        </w:rPr>
      </w:pPr>
    </w:p>
    <w:p>
      <w:pPr>
        <w:ind w:left="480" w:hanging="480"/>
        <w:rPr>
          <w:noProof/>
        </w:rPr>
      </w:pPr>
      <w:r>
        <w:rPr>
          <w:noProof/>
        </w:rPr>
        <w:t>1.</w:t>
      </w:r>
      <w:r>
        <w:rPr>
          <w:noProof/>
        </w:rPr>
        <w:tab/>
        <w:t xml:space="preserve">Страните не изготвят, приемат или прилагат процедури за оценяване на съответствието, които имат за цел или водят до създаване на ненужни препятствия пред търговията с другата страна. Като принцип страните следва да избягват налагането на изискване за задължително оценяване на съответствието от трета страна, за да се докаже съответствие с приложимите технически регламенти за безопасност и/или за ЕМС на обхванатите продукти, като вместо това следва да разгледат възможността за използване на декларация за съответствие на доставчика и/или механизми за надзор след пускане на пазара, за да се гарантира, че продуктите отговарят на съответните стандарти или технически изисквания. </w:t>
      </w:r>
    </w:p>
    <w:p>
      <w:pPr>
        <w:ind w:left="480" w:hanging="480"/>
        <w:rPr>
          <w:noProof/>
        </w:rPr>
      </w:pPr>
    </w:p>
    <w:p>
      <w:pPr>
        <w:ind w:left="480" w:hanging="480"/>
        <w:rPr>
          <w:noProof/>
        </w:rPr>
      </w:pPr>
      <w:r>
        <w:rPr>
          <w:noProof/>
        </w:rPr>
        <w:t>2.</w:t>
      </w:r>
      <w:r>
        <w:rPr>
          <w:noProof/>
        </w:rPr>
        <w:tab/>
        <w:t>Освен в случаите, предвидени в член 5 (Защитни мерки) и член 6 (Изключения), както и в допълнение 4-А-2, когато някоя от страните изисква гаранция за съответствие с националните технически регламенти за безопасност и/или за ЕМС на обхванатите продукти, всяка от страните приема на своя пазар продукти въз основа на една или повече от следните процедури:</w:t>
      </w:r>
    </w:p>
    <w:p>
      <w:pPr>
        <w:ind w:left="480" w:hanging="480"/>
        <w:rPr>
          <w:noProof/>
        </w:rPr>
      </w:pPr>
    </w:p>
    <w:p>
      <w:pPr>
        <w:ind w:left="1080" w:hanging="600"/>
        <w:rPr>
          <w:noProof/>
        </w:rPr>
      </w:pPr>
      <w:r>
        <w:rPr>
          <w:noProof/>
        </w:rPr>
        <w:t>а)</w:t>
      </w:r>
      <w:r>
        <w:rPr>
          <w:noProof/>
        </w:rPr>
        <w:tab/>
        <w:t>декларация за съответствие на доставчика, когато намесата на орган за оценяване на съответствието или изпитването на съответния продукт от призната изпитвателна лаборатория не са задължителни, а ако се предвижда изпитване, то трябва да може да бъде извършено от самия производител или от компетентен орган по негов избор; или</w:t>
      </w:r>
    </w:p>
    <w:p>
      <w:pPr>
        <w:ind w:left="1080" w:hanging="600"/>
        <w:rPr>
          <w:noProof/>
        </w:rPr>
      </w:pPr>
    </w:p>
    <w:p>
      <w:pPr>
        <w:ind w:left="1080" w:hanging="600"/>
        <w:rPr>
          <w:noProof/>
          <w:szCs w:val="22"/>
          <w:lang w:eastAsia="en-GB"/>
        </w:rPr>
      </w:pPr>
      <w:r>
        <w:rPr>
          <w:noProof/>
        </w:rPr>
        <w:br w:type="page"/>
      </w:r>
    </w:p>
    <w:p>
      <w:pPr>
        <w:ind w:left="1080" w:hanging="600"/>
        <w:rPr>
          <w:noProof/>
        </w:rPr>
      </w:pPr>
      <w:r>
        <w:rPr>
          <w:noProof/>
        </w:rPr>
        <w:t>б)</w:t>
      </w:r>
      <w:r>
        <w:rPr>
          <w:noProof/>
        </w:rPr>
        <w:tab/>
        <w:t>декларация за съответствие на доставчика, основана на протокол от изпитване, издаден от изпитвателна лаборатория на сертифициращ орган („CО“) на другата страна по СО схемата на световна система за изпитване за съответствие и сертифициране на електротехническо оборудване и компоненти (IECEE) (наричана по-долу „СО схемата на IECEE“), и придружена от валиден СО сертификат за изпитване, в съответствие с правилата и процедурите на СО схемата на IECEE и с ангажиментите на страните по тази схема; или</w:t>
      </w:r>
    </w:p>
    <w:p>
      <w:pPr>
        <w:ind w:left="1080" w:hanging="600"/>
        <w:rPr>
          <w:noProof/>
        </w:rPr>
      </w:pPr>
    </w:p>
    <w:p>
      <w:pPr>
        <w:ind w:left="1080" w:hanging="600"/>
        <w:rPr>
          <w:noProof/>
        </w:rPr>
      </w:pPr>
      <w:r>
        <w:rPr>
          <w:noProof/>
        </w:rPr>
        <w:t>в)</w:t>
      </w:r>
      <w:r>
        <w:rPr>
          <w:noProof/>
        </w:rPr>
        <w:tab/>
        <w:t>декларация за съответствие на доставчика, основана на протокол от изпитване, издаден от всяка от изпитвателните лаборатории, или сертификат, издаден от всеки от сертифициращите органи в другата страна, които имат доброволни договорености за взаимно признаване на протоколи от изпитвания или сертификати с един или повече органи за оценяване на съответствието, определени от страната вносител.</w:t>
      </w:r>
    </w:p>
    <w:p>
      <w:pPr>
        <w:ind w:left="480" w:hanging="480"/>
        <w:rPr>
          <w:noProof/>
        </w:rPr>
      </w:pPr>
    </w:p>
    <w:p>
      <w:pPr>
        <w:ind w:left="1080" w:hanging="600"/>
        <w:rPr>
          <w:noProof/>
        </w:rPr>
      </w:pPr>
      <w:r>
        <w:rPr>
          <w:noProof/>
        </w:rPr>
        <w:t xml:space="preserve">Доставчикът има право да избере измежду посочените в настоящия параграф процедури. </w:t>
      </w:r>
    </w:p>
    <w:p>
      <w:pPr>
        <w:ind w:left="480" w:hanging="480"/>
        <w:rPr>
          <w:noProof/>
        </w:rPr>
      </w:pPr>
    </w:p>
    <w:p>
      <w:pPr>
        <w:ind w:left="480" w:hanging="480"/>
        <w:rPr>
          <w:noProof/>
        </w:rPr>
      </w:pPr>
      <w:r>
        <w:rPr>
          <w:noProof/>
        </w:rPr>
        <w:t>3.</w:t>
      </w:r>
      <w:r>
        <w:rPr>
          <w:noProof/>
        </w:rPr>
        <w:tab/>
        <w:t xml:space="preserve">Декларацията за съответствие на доставчика трябва да отговаря на стандарт ISO/IEC 17050. Страните приемат, че доставчикът носи цялата отговорност за издаването, коригирането или оттеглянето на декларацията за съответствие, за определянето на техническата документация, която да дава възможност за оценяване на съответствието на обхванатите продукти с приложимите технически регламенти, както и за поставянето на всички изисквани маркировки. Страните могат да поискат в декларацията за съответствие да бъдат посочени датата и доставчикът или упълномощен представител на доставчика на техните територии, лицето, упълномощено от производителя или от негов упълномощен представител да подпише декларацията, обхванатите от декларацията продукти и приложените технически регламенти, спрямо които се декларира съответствие. </w:t>
      </w:r>
    </w:p>
    <w:p>
      <w:pPr>
        <w:ind w:left="480" w:hanging="480"/>
        <w:rPr>
          <w:noProof/>
        </w:rPr>
      </w:pPr>
    </w:p>
    <w:p>
      <w:pPr>
        <w:ind w:left="480" w:hanging="480"/>
        <w:rPr>
          <w:noProof/>
          <w:szCs w:val="22"/>
          <w:lang w:eastAsia="en-GB"/>
        </w:rPr>
      </w:pPr>
      <w:r>
        <w:rPr>
          <w:noProof/>
        </w:rPr>
        <w:br w:type="page"/>
      </w:r>
    </w:p>
    <w:p>
      <w:pPr>
        <w:ind w:left="480" w:hanging="480"/>
        <w:rPr>
          <w:noProof/>
        </w:rPr>
      </w:pPr>
      <w:r>
        <w:rPr>
          <w:noProof/>
        </w:rPr>
        <w:t>4.</w:t>
      </w:r>
      <w:r>
        <w:rPr>
          <w:noProof/>
        </w:rPr>
        <w:tab/>
        <w:t xml:space="preserve">Освен определеното в параграфи 1 — 3 никоя от страните няма право да изисква каквато и да е форма на регистрация на продукти или на доставчици, която може да възпрепятства или по друг начин да забави пускането на пазара на продукти, които отговарят на техническите регламенти на страната. Когато някоя от страните преглежда декларацията на доставчика, прегледът се ограничава само до проверка въз основа на представената документация на това дали изпитването е проведено в съответствие с приложимите технически регламенти на страната и дали съдържащата се в документацията информация е пълна. Не е допустимо тези прегледи да причиняват необосновано забавяне на пускането на продуктите на пазара на страната, а декларацията се приема без изключения, ако продуктите съответстват на техническите регламенти на страната и представената документацията е пълна. В случай че дадена декларация бъде отхвърлена, страната съобщава решението си на доставчика, като представя и обяснение на основанията за отхвърлянето. По искане на доставчика страната предоставя информация или указания според случая за това как проблемите могат да бъдат коригирани, както </w:t>
      </w:r>
      <w:r>
        <w:rPr>
          <w:rFonts w:hint="eastAsia"/>
          <w:noProof/>
        </w:rPr>
        <w:t>и</w:t>
      </w:r>
      <w:r>
        <w:rPr>
          <w:noProof/>
        </w:rPr>
        <w:t xml:space="preserve"> </w:t>
      </w:r>
      <w:r>
        <w:rPr>
          <w:rFonts w:hint="eastAsia"/>
          <w:noProof/>
        </w:rPr>
        <w:t>обяснение</w:t>
      </w:r>
      <w:r>
        <w:rPr>
          <w:noProof/>
        </w:rPr>
        <w:t xml:space="preserve"> на възможностите за обжалване на решението.</w:t>
      </w:r>
    </w:p>
    <w:p>
      <w:pPr>
        <w:rPr>
          <w:noProof/>
        </w:rPr>
      </w:pPr>
    </w:p>
    <w:p>
      <w:pPr>
        <w:rPr>
          <w:noProof/>
        </w:rPr>
      </w:pPr>
    </w:p>
    <w:p>
      <w:pPr>
        <w:jc w:val="center"/>
        <w:rPr>
          <w:rFonts w:eastAsia="Gulim"/>
          <w:noProof/>
        </w:rPr>
      </w:pPr>
      <w:r>
        <w:rPr>
          <w:noProof/>
        </w:rPr>
        <w:t>ЧЛЕН 5</w:t>
      </w:r>
    </w:p>
    <w:p>
      <w:pPr>
        <w:jc w:val="center"/>
        <w:rPr>
          <w:noProof/>
        </w:rPr>
      </w:pPr>
    </w:p>
    <w:p>
      <w:pPr>
        <w:jc w:val="center"/>
        <w:rPr>
          <w:bCs/>
          <w:smallCaps/>
          <w:noProof/>
          <w:sz w:val="28"/>
          <w:szCs w:val="28"/>
        </w:rPr>
      </w:pPr>
      <w:r>
        <w:rPr>
          <w:noProof/>
        </w:rPr>
        <w:t>Защитни мерки</w:t>
      </w:r>
    </w:p>
    <w:p>
      <w:pPr>
        <w:rPr>
          <w:noProof/>
        </w:rPr>
      </w:pPr>
    </w:p>
    <w:p>
      <w:pPr>
        <w:rPr>
          <w:noProof/>
        </w:rPr>
      </w:pPr>
      <w:r>
        <w:rPr>
          <w:noProof/>
        </w:rPr>
        <w:t>Независимо от разпоредбите на член 4 (Процедури за оценяване на съответствието) всяка от страните може да въведе изисквания за задължителни изпитвания от трета страна или за сертифициране за ЕМС или за безопасност на обхванатите продукти, или да въведе административни процедури за одобрение или преразглеждане на протоколите от изпитвания за определени обхванати продукти при следните условия:</w:t>
      </w:r>
    </w:p>
    <w:p>
      <w:pPr>
        <w:ind w:left="480" w:hanging="480"/>
        <w:rPr>
          <w:noProof/>
        </w:rPr>
      </w:pPr>
    </w:p>
    <w:p>
      <w:pPr>
        <w:ind w:left="480" w:hanging="480"/>
        <w:rPr>
          <w:noProof/>
        </w:rPr>
      </w:pPr>
      <w:r>
        <w:rPr>
          <w:noProof/>
        </w:rPr>
        <w:t>а)</w:t>
      </w:r>
      <w:r>
        <w:rPr>
          <w:noProof/>
        </w:rPr>
        <w:tab/>
        <w:t xml:space="preserve">съществуват убедителни основания, свързани с опазването на здравето или безопасността на човека, за въвеждането на такива изисквания или процедури, които са подкрепени с доказателствена информация от технически или научен характер; </w:t>
      </w:r>
    </w:p>
    <w:p>
      <w:pPr>
        <w:ind w:left="480" w:hanging="480"/>
        <w:rPr>
          <w:noProof/>
        </w:rPr>
      </w:pPr>
    </w:p>
    <w:p>
      <w:pPr>
        <w:ind w:left="480" w:hanging="480"/>
        <w:rPr>
          <w:noProof/>
          <w:szCs w:val="22"/>
          <w:lang w:eastAsia="en-GB"/>
        </w:rPr>
      </w:pPr>
      <w:r>
        <w:rPr>
          <w:noProof/>
        </w:rPr>
        <w:br w:type="page"/>
      </w:r>
    </w:p>
    <w:p>
      <w:pPr>
        <w:ind w:left="480" w:hanging="480"/>
        <w:rPr>
          <w:noProof/>
        </w:rPr>
      </w:pPr>
      <w:r>
        <w:rPr>
          <w:noProof/>
        </w:rPr>
        <w:t>б)</w:t>
      </w:r>
      <w:r>
        <w:rPr>
          <w:noProof/>
        </w:rPr>
        <w:tab/>
        <w:t>тези изисквания или процедури не ограничават търговията повече от необходимото за постигането на законната цел на страната, като се вземат предвид рисковете, до които би довело тяхното неизпълнение; и</w:t>
      </w:r>
    </w:p>
    <w:p>
      <w:pPr>
        <w:ind w:left="480" w:hanging="480"/>
        <w:rPr>
          <w:noProof/>
        </w:rPr>
      </w:pPr>
    </w:p>
    <w:p>
      <w:pPr>
        <w:ind w:left="480" w:hanging="480"/>
        <w:rPr>
          <w:noProof/>
        </w:rPr>
      </w:pPr>
      <w:r>
        <w:rPr>
          <w:noProof/>
        </w:rPr>
        <w:t>в)</w:t>
      </w:r>
      <w:r>
        <w:rPr>
          <w:noProof/>
        </w:rPr>
        <w:tab/>
        <w:t>няма достатъчни основания да се смята, че страната е можела да предвиди необходимостта от въвеждането на такива изисквания и процедури към датата на влизане в сила на настоящото споразумение.</w:t>
      </w:r>
    </w:p>
    <w:p>
      <w:pPr>
        <w:rPr>
          <w:noProof/>
        </w:rPr>
      </w:pPr>
    </w:p>
    <w:p>
      <w:pPr>
        <w:rPr>
          <w:noProof/>
        </w:rPr>
      </w:pPr>
      <w:r>
        <w:rPr>
          <w:noProof/>
        </w:rPr>
        <w:t>Без да се засягат разпоредбите на член 2.10 от Споразумението за ТПТ, преди да въведе изискванията или процедурите, страната уведомява другата страна и след провеждане на консултации взема под внимание във възможно най-голяма степен нейните коментари при изготвянето на тези изисквания или процедури. Всички въвеждани изисквания трябва да са съобразени във възможно най-голяма степен с настоящото приложение. След като бъдат приети, въведените изисквания или процедури редовно се преразглеждат и се отменят, ако основанията за въвеждането им вече не са налице.</w:t>
      </w:r>
    </w:p>
    <w:p>
      <w:pPr>
        <w:rPr>
          <w:noProof/>
        </w:rPr>
      </w:pPr>
    </w:p>
    <w:p>
      <w:pPr>
        <w:rPr>
          <w:noProof/>
        </w:rPr>
      </w:pPr>
    </w:p>
    <w:p>
      <w:pPr>
        <w:jc w:val="center"/>
        <w:rPr>
          <w:noProof/>
        </w:rPr>
      </w:pPr>
      <w:r>
        <w:rPr>
          <w:noProof/>
        </w:rPr>
        <w:t>ЧЛЕН 6</w:t>
      </w:r>
    </w:p>
    <w:p>
      <w:pPr>
        <w:jc w:val="center"/>
        <w:rPr>
          <w:rFonts w:eastAsia="Gulim"/>
          <w:noProof/>
          <w:lang w:eastAsia="en-GB"/>
        </w:rPr>
      </w:pPr>
    </w:p>
    <w:p>
      <w:pPr>
        <w:jc w:val="center"/>
        <w:rPr>
          <w:bCs/>
          <w:smallCaps/>
          <w:noProof/>
          <w:sz w:val="28"/>
          <w:szCs w:val="28"/>
        </w:rPr>
      </w:pPr>
      <w:r>
        <w:rPr>
          <w:noProof/>
        </w:rPr>
        <w:t>Изключения</w:t>
      </w:r>
    </w:p>
    <w:p>
      <w:pPr>
        <w:rPr>
          <w:noProof/>
        </w:rPr>
      </w:pPr>
    </w:p>
    <w:p>
      <w:pPr>
        <w:ind w:left="480" w:hanging="480"/>
        <w:rPr>
          <w:noProof/>
        </w:rPr>
      </w:pPr>
      <w:r>
        <w:rPr>
          <w:noProof/>
        </w:rPr>
        <w:t>1.</w:t>
      </w:r>
      <w:r>
        <w:rPr>
          <w:noProof/>
        </w:rPr>
        <w:tab/>
        <w:t xml:space="preserve">В съответствие със съгласието на Сингапур значително да съкрати списъка на продуктите, за които изисква гаранция за съответствие със своите задължителни изисквания за безопасност и/или за ЕМС под формата на сертифициране от трета страна, към момента на влизане в сила на настоящото споразумение Сингапур изисква такова сертифициране от трета страна само за продуктите, изброени в допълнение 4-А-2. </w:t>
      </w:r>
    </w:p>
    <w:p>
      <w:pPr>
        <w:ind w:left="480" w:hanging="480"/>
        <w:rPr>
          <w:noProof/>
        </w:rPr>
      </w:pPr>
    </w:p>
    <w:p>
      <w:pPr>
        <w:ind w:left="480" w:hanging="480"/>
        <w:rPr>
          <w:noProof/>
          <w:szCs w:val="22"/>
          <w:lang w:eastAsia="en-GB"/>
        </w:rPr>
      </w:pPr>
      <w:r>
        <w:rPr>
          <w:noProof/>
        </w:rPr>
        <w:br w:type="page"/>
      </w:r>
    </w:p>
    <w:p>
      <w:pPr>
        <w:ind w:left="480" w:hanging="480"/>
        <w:rPr>
          <w:noProof/>
        </w:rPr>
      </w:pPr>
      <w:r>
        <w:rPr>
          <w:noProof/>
        </w:rPr>
        <w:t>2.</w:t>
      </w:r>
      <w:r>
        <w:rPr>
          <w:noProof/>
        </w:rPr>
        <w:tab/>
        <w:t>Към датата на влизане в сила на настоящото споразумение Сингапур трябва да е предприела преглед на своята Регистрационна схема за защита на потребителите (Изисквания за безопасност) с оглед на намаляване на броя на обхванатите от схемата продукти, които са изброени в допълнение 4-А-2. При прегледа ще бъде разгледан въпросът доколко необходимо е схемата да бъде запазена в сегашния ѝ вид и дали желаните резултати от нейното прилагане в Сингапур за гарантиране на здравето и безопасността на човека могат да бъдат постигнати с опростени процедури, които да подпомагат търговията в по-голяма степен.</w:t>
      </w:r>
      <w:r>
        <w:rPr>
          <w:rStyle w:val="FootnoteReference"/>
          <w:noProof/>
        </w:rPr>
        <w:footnoteReference w:id="2"/>
      </w:r>
    </w:p>
    <w:p>
      <w:pPr>
        <w:ind w:left="480" w:hanging="480"/>
        <w:rPr>
          <w:noProof/>
        </w:rPr>
      </w:pPr>
    </w:p>
    <w:p>
      <w:pPr>
        <w:ind w:left="480" w:hanging="480"/>
        <w:rPr>
          <w:noProof/>
        </w:rPr>
      </w:pPr>
      <w:r>
        <w:rPr>
          <w:noProof/>
        </w:rPr>
        <w:t>3.</w:t>
      </w:r>
      <w:r>
        <w:rPr>
          <w:noProof/>
        </w:rPr>
        <w:tab/>
        <w:t xml:space="preserve">Прегледът ще включва и оценка на риска за всеки продукт, включен в обхвата на Регистрационната схема за защита на потребителите (Изисквания за безопасност), с цел да се провери дали преминаването към надзор след пускане на пазара в съответствие с параграф 1 на член 4 (Процедури за оценяване на съответствието) или приемането на гаранция за съответствие по параграф 2 на член 4 (Процедури за оценяване на съответствието) би създало неоправдани рискове за здравето и безопасността на човека. Оценката на риска ще се извършва въз основа на наличната техническа и научна информация, като например потребителски доклади относно свързани с безопасността инциденти и процента на несъответствие при проверка на продуктите. При оценката на риска ще бъде също преценено дали продуктите се били използвани по своето предназначение и с грижата на добър стопанин. </w:t>
      </w:r>
    </w:p>
    <w:p>
      <w:pPr>
        <w:ind w:left="480" w:hanging="480"/>
        <w:rPr>
          <w:noProof/>
        </w:rPr>
      </w:pPr>
    </w:p>
    <w:p>
      <w:pPr>
        <w:ind w:left="480" w:hanging="480"/>
        <w:rPr>
          <w:noProof/>
          <w:szCs w:val="22"/>
          <w:lang w:eastAsia="en-GB"/>
        </w:rPr>
      </w:pPr>
      <w:r>
        <w:rPr>
          <w:noProof/>
        </w:rPr>
        <w:br w:type="page"/>
      </w:r>
    </w:p>
    <w:p>
      <w:pPr>
        <w:ind w:left="480" w:hanging="480"/>
        <w:rPr>
          <w:noProof/>
        </w:rPr>
      </w:pPr>
      <w:r>
        <w:rPr>
          <w:noProof/>
        </w:rPr>
        <w:t>4.</w:t>
      </w:r>
      <w:r>
        <w:rPr>
          <w:noProof/>
        </w:rPr>
        <w:tab/>
        <w:t xml:space="preserve">В зависимост от резултата от прегледа Сингапур може да запази своите изисквания за представяне на гаранция за съответствие посредством сертифициране от трета страна за продуктите, обхванати от Регистрационната схема за защита на потребителите (Изисквания за безопасност) и изброени в допълнение 4-А-2, за които резултатите от оценката на риска по параграф 3 показват, че приемането на процедурите по параграф 2 на член 4 (Процедури за оценяване на съответствието) би създало неоправдани рискове за здравето и безопасността на човека и/или въведената система за надзор след пускане на пазара не може да отстрани тези рискове по ефективен начин. </w:t>
      </w:r>
    </w:p>
    <w:p>
      <w:pPr>
        <w:ind w:left="480" w:hanging="480"/>
        <w:rPr>
          <w:noProof/>
        </w:rPr>
      </w:pPr>
    </w:p>
    <w:p>
      <w:pPr>
        <w:ind w:left="480" w:hanging="480"/>
        <w:rPr>
          <w:noProof/>
        </w:rPr>
      </w:pPr>
      <w:r>
        <w:rPr>
          <w:noProof/>
        </w:rPr>
        <w:t>5.</w:t>
      </w:r>
      <w:r>
        <w:rPr>
          <w:noProof/>
        </w:rPr>
        <w:tab/>
        <w:t xml:space="preserve">Сингапур представя оценката на риска за обсъждане на първото заседание на Комитета по търговията със стоки. В резултат на извършения от Сингапур преглед страните могат, ако счетат за уместно, да изменят допълнение 4-А-2 с решение на Комитета по търговията със стоки. </w:t>
      </w:r>
    </w:p>
    <w:p>
      <w:pPr>
        <w:ind w:left="480" w:hanging="480"/>
        <w:rPr>
          <w:noProof/>
        </w:rPr>
      </w:pPr>
    </w:p>
    <w:p>
      <w:pPr>
        <w:ind w:left="480" w:hanging="480"/>
        <w:rPr>
          <w:noProof/>
        </w:rPr>
      </w:pPr>
      <w:r>
        <w:rPr>
          <w:noProof/>
        </w:rPr>
        <w:t>6.</w:t>
      </w:r>
      <w:r>
        <w:rPr>
          <w:noProof/>
        </w:rPr>
        <w:tab/>
        <w:t>В случай че Сингапур продължи да изисква гаранция за съответствие със своите задължителни изисквания за безопасност и/или ЕМС под формата на сертифициране от трета страна по отношение на обхванати продукти, Сингапур ще приема сертификат за съответствие със своите технически регламенти, издаден от орган за оценяване на съответствието в Съюза, който е определен от Сингапур.</w:t>
      </w:r>
      <w:r>
        <w:rPr>
          <w:rStyle w:val="FootnoteReference"/>
          <w:noProof/>
        </w:rPr>
        <w:footnoteReference w:id="3"/>
      </w:r>
      <w:r>
        <w:rPr>
          <w:noProof/>
        </w:rPr>
        <w:t xml:space="preserve"> Сингапур също така гарантира, че за целите на издаването на такъв сертификат определените от нея органи за оценяване на съответствието приемат протоколи от изпитване, издадени от:</w:t>
      </w:r>
    </w:p>
    <w:p>
      <w:pPr>
        <w:ind w:left="480" w:hanging="480"/>
        <w:rPr>
          <w:noProof/>
        </w:rPr>
      </w:pPr>
    </w:p>
    <w:p>
      <w:pPr>
        <w:ind w:left="1080" w:hanging="600"/>
        <w:rPr>
          <w:noProof/>
        </w:rPr>
      </w:pPr>
      <w:r>
        <w:rPr>
          <w:noProof/>
        </w:rPr>
        <w:t>а)</w:t>
      </w:r>
      <w:r>
        <w:rPr>
          <w:noProof/>
        </w:rPr>
        <w:tab/>
        <w:t xml:space="preserve">от една от признатите изпитвателни лаборатории на СО или на СО производител на Съюза в съответствие с правилата и процедурите на СО схемата на IECEE и с ангажиментите на страните по тази схема; </w:t>
      </w:r>
    </w:p>
    <w:p>
      <w:pPr>
        <w:ind w:left="1080" w:hanging="600"/>
        <w:rPr>
          <w:noProof/>
        </w:rPr>
      </w:pPr>
    </w:p>
    <w:p>
      <w:pPr>
        <w:ind w:left="1080" w:hanging="600"/>
        <w:rPr>
          <w:noProof/>
          <w:szCs w:val="22"/>
          <w:lang w:eastAsia="en-GB"/>
        </w:rPr>
      </w:pPr>
      <w:r>
        <w:rPr>
          <w:noProof/>
        </w:rPr>
        <w:br w:type="page"/>
      </w:r>
    </w:p>
    <w:p>
      <w:pPr>
        <w:ind w:left="1080" w:hanging="600"/>
        <w:rPr>
          <w:noProof/>
        </w:rPr>
      </w:pPr>
      <w:r>
        <w:rPr>
          <w:noProof/>
        </w:rPr>
        <w:t>б)</w:t>
      </w:r>
      <w:r>
        <w:rPr>
          <w:noProof/>
        </w:rPr>
        <w:tab/>
        <w:t>в съответствие с приложимите международни стандарти, насоки и препоръки (включително ISO/IEC 17025) — от която и да било изпитвателна лаборатория на Съюза, получила акредитация от орган по акредитация, който е подписал Договореността за взаимно признаване на Международната организация за сътрудничество в областта на акредитацията на лаборатории или споразумения за взаимно признаване на един от регионалните органи на тази организация, по които Сингапур е страна; или</w:t>
      </w:r>
    </w:p>
    <w:p>
      <w:pPr>
        <w:ind w:left="1080" w:hanging="600"/>
        <w:rPr>
          <w:noProof/>
        </w:rPr>
      </w:pPr>
    </w:p>
    <w:p>
      <w:pPr>
        <w:ind w:left="1080" w:hanging="600"/>
        <w:rPr>
          <w:noProof/>
        </w:rPr>
      </w:pPr>
      <w:r>
        <w:rPr>
          <w:noProof/>
        </w:rPr>
        <w:t>в)</w:t>
      </w:r>
      <w:r>
        <w:rPr>
          <w:noProof/>
        </w:rPr>
        <w:tab/>
        <w:t xml:space="preserve">от която и да било изпитвателна лаборатория в Съюза, която е сключила доброволни споразумения за взаимно признаване на протоколи от изпитвания с един или повече органи за оценяване на съответствието, определени от Сингапур. </w:t>
      </w:r>
    </w:p>
    <w:p>
      <w:pPr>
        <w:ind w:left="480" w:hanging="480"/>
        <w:rPr>
          <w:noProof/>
        </w:rPr>
      </w:pPr>
    </w:p>
    <w:p>
      <w:pPr>
        <w:ind w:left="480" w:hanging="480"/>
        <w:rPr>
          <w:noProof/>
        </w:rPr>
      </w:pPr>
      <w:r>
        <w:rPr>
          <w:noProof/>
        </w:rPr>
        <w:t>7.</w:t>
      </w:r>
      <w:r>
        <w:rPr>
          <w:noProof/>
        </w:rPr>
        <w:tab/>
        <w:t>Пет години след влизането в сила на настоящото споразумение и редовно след това, но не по-рядко от веднъж на всеки пет години, Сингапур преглежда отново допълнение 4-А-2, с цел да намали броя на изброените в него продукти. Този и другите последващи прегледи се извършват в съответствие с оценката на риска, посочена в параграф 3. Сингапур представя оценката на риска за обсъждане в Комитета по търговията със стоки.</w:t>
      </w:r>
    </w:p>
    <w:p>
      <w:pPr>
        <w:ind w:left="480" w:hanging="480"/>
        <w:rPr>
          <w:noProof/>
        </w:rPr>
      </w:pPr>
    </w:p>
    <w:p>
      <w:pPr>
        <w:ind w:left="480" w:hanging="480"/>
        <w:rPr>
          <w:noProof/>
        </w:rPr>
      </w:pPr>
      <w:r>
        <w:rPr>
          <w:noProof/>
        </w:rPr>
        <w:t>8.</w:t>
      </w:r>
      <w:r>
        <w:rPr>
          <w:noProof/>
        </w:rPr>
        <w:tab/>
        <w:t xml:space="preserve">В резултат на извършения от Сингапур преглед страните могат, ако счетат за уместно, да изменят допълнение 4-А-2 с решение на Комитета по търговията със стоки. </w:t>
      </w:r>
    </w:p>
    <w:p>
      <w:pPr>
        <w:rPr>
          <w:noProof/>
        </w:rPr>
      </w:pPr>
    </w:p>
    <w:p>
      <w:pPr>
        <w:rPr>
          <w:noProof/>
        </w:rPr>
      </w:pPr>
    </w:p>
    <w:p>
      <w:pPr>
        <w:widowControl/>
        <w:spacing w:line="240" w:lineRule="auto"/>
        <w:rPr>
          <w:noProof/>
          <w:szCs w:val="22"/>
          <w:lang w:eastAsia="en-GB"/>
        </w:rPr>
      </w:pPr>
      <w:r>
        <w:rPr>
          <w:noProof/>
        </w:rPr>
        <w:br w:type="page"/>
      </w:r>
    </w:p>
    <w:p>
      <w:pPr>
        <w:jc w:val="center"/>
        <w:rPr>
          <w:noProof/>
        </w:rPr>
      </w:pPr>
      <w:r>
        <w:rPr>
          <w:noProof/>
        </w:rPr>
        <w:t>ЧЛЕН 7</w:t>
      </w:r>
    </w:p>
    <w:p>
      <w:pPr>
        <w:jc w:val="center"/>
        <w:rPr>
          <w:rFonts w:eastAsia="Gulim"/>
          <w:b/>
          <w:noProof/>
          <w:lang w:eastAsia="en-GB"/>
        </w:rPr>
      </w:pPr>
    </w:p>
    <w:p>
      <w:pPr>
        <w:jc w:val="center"/>
        <w:rPr>
          <w:bCs/>
          <w:smallCaps/>
          <w:noProof/>
          <w:sz w:val="28"/>
          <w:szCs w:val="28"/>
        </w:rPr>
      </w:pPr>
      <w:r>
        <w:rPr>
          <w:noProof/>
        </w:rPr>
        <w:t>Съвместно сътрудничество</w:t>
      </w:r>
    </w:p>
    <w:p>
      <w:pPr>
        <w:ind w:left="480" w:hanging="480"/>
        <w:rPr>
          <w:noProof/>
        </w:rPr>
      </w:pPr>
    </w:p>
    <w:p>
      <w:pPr>
        <w:ind w:left="480" w:hanging="480"/>
        <w:rPr>
          <w:noProof/>
        </w:rPr>
      </w:pPr>
      <w:r>
        <w:rPr>
          <w:noProof/>
        </w:rPr>
        <w:t>1.</w:t>
      </w:r>
      <w:r>
        <w:rPr>
          <w:noProof/>
        </w:rPr>
        <w:tab/>
        <w:t>Страните си сътрудничат тясно за насърчаване на общото разбиране по регулаторните въпроси и вземат под внимание всяко искане на другата страна по отношение на прилагането на настоящото приложение.</w:t>
      </w:r>
    </w:p>
    <w:p>
      <w:pPr>
        <w:ind w:left="480" w:hanging="480"/>
        <w:rPr>
          <w:noProof/>
        </w:rPr>
      </w:pPr>
    </w:p>
    <w:p>
      <w:pPr>
        <w:ind w:left="480" w:hanging="480"/>
        <w:rPr>
          <w:rStyle w:val="CommentReference"/>
          <w:noProof/>
        </w:rPr>
      </w:pPr>
      <w:r>
        <w:rPr>
          <w:noProof/>
        </w:rPr>
        <w:t>2.</w:t>
      </w:r>
      <w:r>
        <w:rPr>
          <w:noProof/>
        </w:rPr>
        <w:tab/>
        <w:t>Това сътрудничество се осъществява в рамките на Комитета по търговията със стоки.</w:t>
      </w:r>
      <w:r>
        <w:rPr>
          <w:rStyle w:val="CommentReference"/>
          <w:noProof/>
        </w:rPr>
        <w:t xml:space="preserve"> </w:t>
      </w:r>
    </w:p>
    <w:p>
      <w:pPr>
        <w:kinsoku w:val="0"/>
        <w:overflowPunct w:val="0"/>
        <w:autoSpaceDE w:val="0"/>
        <w:autoSpaceDN w:val="0"/>
        <w:adjustRightInd w:val="0"/>
        <w:snapToGrid w:val="0"/>
        <w:rPr>
          <w:i/>
          <w:noProof/>
          <w:color w:val="000000"/>
        </w:rPr>
      </w:pPr>
    </w:p>
    <w:p>
      <w:pPr>
        <w:kinsoku w:val="0"/>
        <w:overflowPunct w:val="0"/>
        <w:autoSpaceDE w:val="0"/>
        <w:autoSpaceDN w:val="0"/>
        <w:adjustRightInd w:val="0"/>
        <w:snapToGrid w:val="0"/>
        <w:rPr>
          <w:i/>
          <w:noProof/>
          <w:color w:val="000000"/>
        </w:rPr>
      </w:pPr>
    </w:p>
    <w:p>
      <w:pPr>
        <w:widowControl/>
        <w:spacing w:line="240" w:lineRule="auto"/>
        <w:rPr>
          <w:i/>
          <w:noProof/>
          <w:color w:val="000000"/>
        </w:rPr>
      </w:pPr>
      <w:r>
        <w:rPr>
          <w:i/>
          <w:noProof/>
          <w:color w:val="000000"/>
        </w:rPr>
        <w:br w:type="page"/>
      </w:r>
    </w:p>
    <w:p>
      <w:pPr>
        <w:kinsoku w:val="0"/>
        <w:overflowPunct w:val="0"/>
        <w:autoSpaceDE w:val="0"/>
        <w:autoSpaceDN w:val="0"/>
        <w:adjustRightInd w:val="0"/>
        <w:snapToGrid w:val="0"/>
        <w:jc w:val="right"/>
        <w:rPr>
          <w:b/>
          <w:noProof/>
          <w:color w:val="000000"/>
          <w:u w:val="single"/>
        </w:rPr>
      </w:pPr>
      <w:r>
        <w:rPr>
          <w:b/>
          <w:noProof/>
          <w:color w:val="000000"/>
          <w:u w:val="single"/>
        </w:rPr>
        <w:t>Допълнение 4-А-1</w:t>
      </w:r>
    </w:p>
    <w:p>
      <w:pPr>
        <w:kinsoku w:val="0"/>
        <w:overflowPunct w:val="0"/>
        <w:autoSpaceDE w:val="0"/>
        <w:autoSpaceDN w:val="0"/>
        <w:adjustRightInd w:val="0"/>
        <w:snapToGrid w:val="0"/>
        <w:rPr>
          <w:b/>
          <w:i/>
          <w:noProof/>
          <w:color w:val="000000"/>
        </w:rPr>
      </w:pPr>
    </w:p>
    <w:p>
      <w:pPr>
        <w:kinsoku w:val="0"/>
        <w:overflowPunct w:val="0"/>
        <w:autoSpaceDE w:val="0"/>
        <w:autoSpaceDN w:val="0"/>
        <w:adjustRightInd w:val="0"/>
        <w:snapToGrid w:val="0"/>
        <w:jc w:val="center"/>
        <w:rPr>
          <w:noProof/>
          <w:color w:val="000000"/>
        </w:rPr>
      </w:pPr>
      <w:r>
        <w:rPr>
          <w:noProof/>
          <w:color w:val="000000"/>
        </w:rPr>
        <w:t>ОБХВАТ</w:t>
      </w:r>
    </w:p>
    <w:p>
      <w:pPr>
        <w:rPr>
          <w:noProof/>
        </w:rPr>
      </w:pPr>
    </w:p>
    <w:p>
      <w:pPr>
        <w:ind w:left="480" w:hanging="480"/>
        <w:rPr>
          <w:noProof/>
        </w:rPr>
      </w:pPr>
      <w:r>
        <w:rPr>
          <w:noProof/>
        </w:rPr>
        <w:t>1.</w:t>
      </w:r>
      <w:r>
        <w:rPr>
          <w:noProof/>
        </w:rPr>
        <w:tab/>
        <w:t>Приложение 4-А обхваща продуктите, изброени в параграф 2 на член 1 (Общи разпоредби) от приложение 4-А, които:</w:t>
      </w:r>
    </w:p>
    <w:p>
      <w:pPr>
        <w:rPr>
          <w:noProof/>
        </w:rPr>
      </w:pPr>
    </w:p>
    <w:p>
      <w:pPr>
        <w:ind w:left="1080" w:hanging="600"/>
        <w:rPr>
          <w:noProof/>
        </w:rPr>
      </w:pPr>
      <w:r>
        <w:rPr>
          <w:noProof/>
        </w:rPr>
        <w:t>а)</w:t>
      </w:r>
      <w:r>
        <w:rPr>
          <w:noProof/>
        </w:rPr>
        <w:tab/>
        <w:t xml:space="preserve">що се отнася до задълженията на Съюза — към датата на подписване на настоящото споразумение попадат в обхвата на Директива 2006/95/ЕО на Европейския парламент и на Съвета от 12 декември 2006 г. за сближаване на законодателствата на държавите членки относно електрически съоръжения, предназначени за използване при някои ограничения на напрежението (кодифицирана версия) или Директива 2004/108/ЕО на Европейския парламент и на Съвета от 15 декември 2004 г. относно сближаването на законодателствата на държавите членки относно електромагнитната съвместимост и за отмяна на Директива 89/336/ЕИО, или на разпоредбите относно безопасността или електромагнитната съвместимост на Директива 1999/5/ЕО на Европейския парламент и на Съвета от 9 март 1999 г. (кодифицирана версия) относно радионавигационното оборудване и далекосъобщителното крайно оборудване и взаимното признаване на тяхното съответствие. </w:t>
      </w:r>
    </w:p>
    <w:p>
      <w:pPr>
        <w:ind w:left="1080" w:hanging="600"/>
        <w:rPr>
          <w:noProof/>
        </w:rPr>
      </w:pPr>
    </w:p>
    <w:p>
      <w:pPr>
        <w:ind w:left="1080" w:hanging="600"/>
        <w:rPr>
          <w:noProof/>
          <w:szCs w:val="22"/>
          <w:lang w:eastAsia="en-GB"/>
        </w:rPr>
      </w:pPr>
      <w:r>
        <w:rPr>
          <w:noProof/>
        </w:rPr>
        <w:br w:type="page"/>
      </w:r>
    </w:p>
    <w:p>
      <w:pPr>
        <w:ind w:left="1080"/>
        <w:rPr>
          <w:noProof/>
        </w:rPr>
      </w:pPr>
      <w:r>
        <w:rPr>
          <w:noProof/>
        </w:rPr>
        <w:t>За продукти, които попадат в обхвата на Директива 1999/5/ЕО, Съюзът има правото да поставя допълнителни изисквания, освен отнасящите се до безопасността и до ЕМС, в съответствие с член 3 от посочената директива.</w:t>
      </w:r>
    </w:p>
    <w:p>
      <w:pPr>
        <w:ind w:left="1080"/>
        <w:rPr>
          <w:noProof/>
        </w:rPr>
      </w:pPr>
    </w:p>
    <w:p>
      <w:pPr>
        <w:ind w:left="1080"/>
        <w:rPr>
          <w:noProof/>
        </w:rPr>
      </w:pPr>
      <w:r>
        <w:rPr>
          <w:noProof/>
        </w:rPr>
        <w:t>Когато даден доставчик не е приложил или е приложил само частично хармонизираните стандарти, посочени в член 5, параграф 1 от Директива 1999/5/ЕО, радиооборудването, което попада в обхвата на член 10, параграф 5 от посочената директива, е предмет на процедурите, описани в приложение ІV или V, по избор на производителя, към същата директива. Когато декларацията за съответствие на доставчика трябва да бъде придружена от протоколи от изпитвания, доставчикът може да използва процедурите, описани в параграф 2, букви б) и в) на член 4 (Процедури за оценяване на съответствието) от приложение 4-А;</w:t>
      </w:r>
    </w:p>
    <w:p>
      <w:pPr>
        <w:rPr>
          <w:noProof/>
        </w:rPr>
      </w:pPr>
    </w:p>
    <w:p>
      <w:pPr>
        <w:ind w:left="480"/>
        <w:rPr>
          <w:noProof/>
        </w:rPr>
      </w:pPr>
      <w:r>
        <w:rPr>
          <w:noProof/>
        </w:rPr>
        <w:t>и</w:t>
      </w:r>
    </w:p>
    <w:p>
      <w:pPr>
        <w:rPr>
          <w:noProof/>
        </w:rPr>
      </w:pPr>
    </w:p>
    <w:p>
      <w:pPr>
        <w:ind w:left="1080" w:hanging="600"/>
        <w:rPr>
          <w:noProof/>
        </w:rPr>
      </w:pPr>
      <w:r>
        <w:rPr>
          <w:noProof/>
        </w:rPr>
        <w:t>б)</w:t>
      </w:r>
      <w:r>
        <w:rPr>
          <w:noProof/>
        </w:rPr>
        <w:tab/>
        <w:t>що се отнася до задълженията на Сингапур — към датата на подписване на настоящото споразумение попадат в обхвата на Регламенти 2011 за защита на потребителите (Изисквания за безопасност на потребителските стоки), Регламенти 2004 за защита на потребителите (Изисквания за безопасност), Закона за далекосъобщенията, глава 323 (Cap. 323) и Регламенти 2004 относно далекосъобщенията (Дилъри).</w:t>
      </w:r>
    </w:p>
    <w:p>
      <w:pPr>
        <w:rPr>
          <w:noProof/>
        </w:rPr>
      </w:pPr>
    </w:p>
    <w:p>
      <w:pPr>
        <w:ind w:left="1080"/>
        <w:rPr>
          <w:noProof/>
        </w:rPr>
      </w:pPr>
      <w:r>
        <w:rPr>
          <w:noProof/>
        </w:rPr>
        <w:t xml:space="preserve">По отношение на продуктите в обхвата на Закона за далекосъобщенията, глава 323 (Cap. 323) и Регламенти 2004 относно далекосъобщенията (Дилъри) Сингапур има правото да поставя допълнителни изисквания освен отнасящите се до безопасността и до ЕМС. </w:t>
      </w:r>
    </w:p>
    <w:p>
      <w:pPr>
        <w:rPr>
          <w:noProof/>
        </w:rPr>
      </w:pPr>
    </w:p>
    <w:p>
      <w:pPr>
        <w:rPr>
          <w:noProof/>
          <w:szCs w:val="22"/>
          <w:lang w:eastAsia="en-GB"/>
        </w:rPr>
      </w:pPr>
      <w:r>
        <w:rPr>
          <w:noProof/>
        </w:rPr>
        <w:br w:type="page"/>
      </w:r>
    </w:p>
    <w:p>
      <w:pPr>
        <w:rPr>
          <w:rStyle w:val="CommentReference"/>
          <w:noProof/>
        </w:rPr>
      </w:pPr>
      <w:r>
        <w:rPr>
          <w:noProof/>
        </w:rPr>
        <w:t>2.</w:t>
      </w:r>
      <w:r>
        <w:rPr>
          <w:noProof/>
        </w:rPr>
        <w:tab/>
        <w:t>Страните разбират, че е предвидено продуктите, обхванати от националните законодателни актове, посочени в настоящото допълнение, които включват всички продукти, за които се прилага приложение 4-А, да обхващат всички продукти от сферата на електрониката. Приема се, че ако даден продукт не попада в обхвата на приложение 4-А за една от страните, но попада в обхвата за другата страна, или към момента на подписване на настоящото споразумение или на по-късен етап бива подложен на задължително сертифициране от трета страна от една от страните, но не и от другата, то другата страна може да подложи такъв продукт на подобно третиране, доколкото това е необходимо за опазването на здравето и безопасността на човека. Преди такива мерки да бъдат приложени, страната, която желае да ги въведе, уведомява другата страна за своите намерения и предоставя срок от три месеца за консултации.</w:t>
      </w:r>
      <w:r>
        <w:rPr>
          <w:rStyle w:val="CommentReference"/>
          <w:noProof/>
        </w:rPr>
        <w:t xml:space="preserve"> </w:t>
      </w:r>
    </w:p>
    <w:p>
      <w:pPr>
        <w:kinsoku w:val="0"/>
        <w:overflowPunct w:val="0"/>
        <w:autoSpaceDE w:val="0"/>
        <w:autoSpaceDN w:val="0"/>
        <w:adjustRightInd w:val="0"/>
        <w:snapToGrid w:val="0"/>
        <w:rPr>
          <w:i/>
          <w:noProof/>
          <w:color w:val="000000"/>
        </w:rPr>
      </w:pPr>
    </w:p>
    <w:p>
      <w:pPr>
        <w:kinsoku w:val="0"/>
        <w:overflowPunct w:val="0"/>
        <w:autoSpaceDE w:val="0"/>
        <w:autoSpaceDN w:val="0"/>
        <w:adjustRightInd w:val="0"/>
        <w:snapToGrid w:val="0"/>
        <w:rPr>
          <w:i/>
          <w:noProof/>
          <w:color w:val="000000"/>
        </w:rPr>
      </w:pPr>
    </w:p>
    <w:p>
      <w:pPr>
        <w:widowControl/>
        <w:spacing w:line="240" w:lineRule="auto"/>
        <w:rPr>
          <w:i/>
          <w:noProof/>
          <w:color w:val="000000"/>
        </w:rPr>
      </w:pPr>
      <w:r>
        <w:rPr>
          <w:i/>
          <w:noProof/>
          <w:color w:val="000000"/>
        </w:rPr>
        <w:br w:type="page"/>
      </w:r>
    </w:p>
    <w:p>
      <w:pPr>
        <w:jc w:val="right"/>
        <w:rPr>
          <w:b/>
          <w:noProof/>
          <w:u w:val="single"/>
        </w:rPr>
      </w:pPr>
      <w:r>
        <w:rPr>
          <w:b/>
          <w:noProof/>
          <w:u w:val="single"/>
        </w:rPr>
        <w:t>Допълнение 4-A-2</w:t>
      </w:r>
    </w:p>
    <w:p>
      <w:pPr>
        <w:kinsoku w:val="0"/>
        <w:overflowPunct w:val="0"/>
        <w:autoSpaceDE w:val="0"/>
        <w:autoSpaceDN w:val="0"/>
        <w:adjustRightInd w:val="0"/>
        <w:snapToGrid w:val="0"/>
        <w:jc w:val="center"/>
        <w:rPr>
          <w:noProof/>
          <w:color w:val="000000"/>
        </w:rPr>
      </w:pPr>
    </w:p>
    <w:p>
      <w:pPr>
        <w:kinsoku w:val="0"/>
        <w:overflowPunct w:val="0"/>
        <w:autoSpaceDE w:val="0"/>
        <w:autoSpaceDN w:val="0"/>
        <w:adjustRightInd w:val="0"/>
        <w:snapToGrid w:val="0"/>
        <w:jc w:val="center"/>
        <w:rPr>
          <w:noProof/>
          <w:color w:val="000000"/>
        </w:rPr>
      </w:pPr>
      <w:r>
        <w:rPr>
          <w:noProof/>
          <w:color w:val="000000"/>
        </w:rPr>
        <w:t>КАТЕГОРИИ ПРОДУКТИ</w:t>
      </w:r>
    </w:p>
    <w:p>
      <w:pPr>
        <w:rPr>
          <w:noProof/>
        </w:rPr>
      </w:pPr>
    </w:p>
    <w:p>
      <w:pPr>
        <w:rPr>
          <w:noProof/>
        </w:rPr>
      </w:pPr>
      <w:r>
        <w:rPr>
          <w:noProof/>
        </w:rPr>
        <w:t>Печка за готвене, предназначена за битови нужди — уред за готвене, който включва отделни неподвижни фурни и скари, настолни готварски печки, нагревателни елементи на печка, скари и тигани, които представляват част от печки за готвене, и фурни и скари за вграждане в стени, с изключение на печки за готвене с маса, по-малка от 18 kg.</w:t>
      </w:r>
    </w:p>
    <w:p>
      <w:pPr>
        <w:rPr>
          <w:noProof/>
        </w:rPr>
      </w:pPr>
    </w:p>
    <w:p>
      <w:pPr>
        <w:rPr>
          <w:noProof/>
        </w:rPr>
      </w:pPr>
      <w:r>
        <w:rPr>
          <w:noProof/>
        </w:rPr>
        <w:t>Сешоар — електрически уред, предназначен за сушене на човешка коса и съдържащ нагревателни елементи.</w:t>
      </w:r>
    </w:p>
    <w:p>
      <w:pPr>
        <w:rPr>
          <w:noProof/>
        </w:rPr>
      </w:pPr>
    </w:p>
    <w:p>
      <w:pPr>
        <w:rPr>
          <w:noProof/>
        </w:rPr>
      </w:pPr>
      <w:r>
        <w:rPr>
          <w:noProof/>
        </w:rPr>
        <w:t>Hi-fi уредба — електронно устройство за възпроизвеждане на звук, с нисък клирфактор, свързано към електрическата мрежа като единствен източник на енергия, предназначено за битова и подобна обща употреба в помещения, с номинално захранващо напрежение, непревишаващо 250 V (еф. ст-т).</w:t>
      </w:r>
    </w:p>
    <w:p>
      <w:pPr>
        <w:rPr>
          <w:noProof/>
        </w:rPr>
      </w:pPr>
    </w:p>
    <w:p>
      <w:pPr>
        <w:widowControl/>
        <w:spacing w:line="240" w:lineRule="auto"/>
        <w:rPr>
          <w:noProof/>
        </w:rPr>
      </w:pPr>
      <w:r>
        <w:rPr>
          <w:noProof/>
        </w:rPr>
        <w:br w:type="page"/>
      </w:r>
    </w:p>
    <w:p>
      <w:pPr>
        <w:rPr>
          <w:noProof/>
        </w:rPr>
      </w:pPr>
      <w:r>
        <w:rPr>
          <w:noProof/>
        </w:rPr>
        <w:t>Звукотехнически продукт (с изключение на hi-fi уредба) — електронно устройство за възпроизвеждане на звук, свързано към електрическата мрежа, пряко или непряко.</w:t>
      </w:r>
    </w:p>
    <w:p>
      <w:pPr>
        <w:rPr>
          <w:noProof/>
        </w:rPr>
      </w:pPr>
    </w:p>
    <w:p>
      <w:pPr>
        <w:rPr>
          <w:noProof/>
        </w:rPr>
      </w:pPr>
      <w:r>
        <w:rPr>
          <w:noProof/>
        </w:rPr>
        <w:t>Ютия — електрически уред с нагреваема плоскост за гладене на дрехи, за домакински и подобни цели.</w:t>
      </w:r>
    </w:p>
    <w:p>
      <w:pPr>
        <w:rPr>
          <w:noProof/>
        </w:rPr>
      </w:pPr>
    </w:p>
    <w:p>
      <w:pPr>
        <w:rPr>
          <w:noProof/>
        </w:rPr>
      </w:pPr>
      <w:r>
        <w:rPr>
          <w:noProof/>
        </w:rPr>
        <w:t>Чайник — електрически домакински уред за загряване на вода за консумация с номинална мощност, непревишаваща 10 литра.</w:t>
      </w:r>
    </w:p>
    <w:p>
      <w:pPr>
        <w:rPr>
          <w:noProof/>
        </w:rPr>
      </w:pPr>
    </w:p>
    <w:p>
      <w:pPr>
        <w:rPr>
          <w:noProof/>
        </w:rPr>
      </w:pPr>
      <w:r>
        <w:rPr>
          <w:noProof/>
        </w:rPr>
        <w:t>Микровълнова печка — електрически уред за загряване на храна и напитки посредством електромагнитна енергия (микровълни) в една или повече ISM честотни ленти между 300 MHz и 30 GHz, предназначен за битови нужди. Тези уреди могат да имат и функция за пържене.</w:t>
      </w:r>
    </w:p>
    <w:p>
      <w:pPr>
        <w:rPr>
          <w:noProof/>
        </w:rPr>
      </w:pPr>
    </w:p>
    <w:p>
      <w:pPr>
        <w:rPr>
          <w:noProof/>
        </w:rPr>
      </w:pPr>
      <w:r>
        <w:rPr>
          <w:noProof/>
        </w:rPr>
        <w:t>Тенджера за ориз — електрически домакински уреди за готвене на ориз.</w:t>
      </w:r>
    </w:p>
    <w:p>
      <w:pPr>
        <w:rPr>
          <w:noProof/>
        </w:rPr>
      </w:pPr>
    </w:p>
    <w:p>
      <w:pPr>
        <w:rPr>
          <w:noProof/>
        </w:rPr>
      </w:pPr>
      <w:r>
        <w:rPr>
          <w:noProof/>
        </w:rPr>
        <w:t>Хладилник — автономно устройство, състоящо се от термично изолирано отделение за съхраняване и запазване на хранителни продукти над 0°C (32°F) и от хладилен агрегат, работещ на принципа на сгъстяване на пара и настроен да извлича топлината от вътрешността на отделението, дори с едно или повече отделения за замразяване.</w:t>
      </w:r>
    </w:p>
    <w:p>
      <w:pPr>
        <w:rPr>
          <w:noProof/>
        </w:rPr>
      </w:pPr>
    </w:p>
    <w:p>
      <w:pPr>
        <w:rPr>
          <w:noProof/>
        </w:rPr>
      </w:pPr>
      <w:r>
        <w:rPr>
          <w:noProof/>
        </w:rPr>
        <w:t>Стаен климатизатор — автономно устройство, създадено като отделен агрегат, основно за монтиране в прозорец или през стена или като конзола. Основното му предназначение е да осигурява свободен приток на кондициониран въздух до затворено помещение, стая или пространство (климатизирано пространство). Климатизаторът включва основен хладилен източник за охлаждане и изсушаване и средство за циркулиране и пречистване на въздуха, както и дренажен модул за събиране или отвеждане на кондензат. Той може да включва и средство за овлажняване, вентилиране или издъхване на въздух.</w:t>
      </w:r>
    </w:p>
    <w:p>
      <w:pPr>
        <w:rPr>
          <w:noProof/>
        </w:rPr>
      </w:pPr>
    </w:p>
    <w:p>
      <w:pPr>
        <w:widowControl/>
        <w:spacing w:line="240" w:lineRule="auto"/>
        <w:rPr>
          <w:noProof/>
        </w:rPr>
      </w:pPr>
      <w:r>
        <w:rPr>
          <w:noProof/>
        </w:rPr>
        <w:br w:type="page"/>
      </w:r>
    </w:p>
    <w:p>
      <w:pPr>
        <w:rPr>
          <w:noProof/>
        </w:rPr>
      </w:pPr>
      <w:r>
        <w:rPr>
          <w:noProof/>
        </w:rPr>
        <w:t>Настолен вентилатор или вентилатор със стойка — електрически уред за раздвижване на въздуха и неговото регулиращо устройство, предназначен за използване в монофазни вериги за постоянен и променлив ток с напрежение, непревишаващо 250 V, за битови и подобни нужди.</w:t>
      </w:r>
    </w:p>
    <w:p>
      <w:pPr>
        <w:rPr>
          <w:noProof/>
        </w:rPr>
      </w:pPr>
    </w:p>
    <w:p>
      <w:pPr>
        <w:rPr>
          <w:noProof/>
        </w:rPr>
      </w:pPr>
      <w:r>
        <w:rPr>
          <w:noProof/>
        </w:rPr>
        <w:t>Телевизор или видеодисплей — електронно устройство за получаване и показване на информация от предаваща станция или местен източник, свързано към електрическата мрежа, пряко или непряко, и предназначено за битова и подобни обща употреба в закрити помещения, различно от телевизионен приемник с елекроннолъчева тръба.</w:t>
      </w:r>
    </w:p>
    <w:p>
      <w:pPr>
        <w:rPr>
          <w:noProof/>
        </w:rPr>
      </w:pPr>
    </w:p>
    <w:p>
      <w:pPr>
        <w:rPr>
          <w:noProof/>
        </w:rPr>
      </w:pPr>
      <w:r>
        <w:rPr>
          <w:noProof/>
        </w:rPr>
        <w:t>Прахосмукачка — машина, която отстранява мръсотия и прах чрез смукателното действие на задвижвана от двигател въздушна помпа и е предназначена за битова употреба и подобни цели.</w:t>
      </w:r>
    </w:p>
    <w:p>
      <w:pPr>
        <w:rPr>
          <w:noProof/>
        </w:rPr>
      </w:pPr>
    </w:p>
    <w:p>
      <w:pPr>
        <w:rPr>
          <w:noProof/>
        </w:rPr>
      </w:pPr>
      <w:r>
        <w:rPr>
          <w:noProof/>
        </w:rPr>
        <w:t>Перална машина — електрически уред, предназначен за пране на облекло и други текстилни материали (дори със средства за загряване на вода), за изстискване на вода или за сушене.</w:t>
      </w:r>
    </w:p>
    <w:p>
      <w:pPr>
        <w:rPr>
          <w:noProof/>
        </w:rPr>
      </w:pPr>
    </w:p>
    <w:p>
      <w:pPr>
        <w:rPr>
          <w:noProof/>
        </w:rPr>
      </w:pPr>
      <w:r>
        <w:rPr>
          <w:noProof/>
        </w:rPr>
        <w:t>Настолна лампа или лампа със стойка — преносимо осветително тяло с общо предназначение, различно от ръчни фенерчета, за използване с лампи с волфрамова жичка, лампи с луминесцентни тръби и други газоразрядни лампи, свързано към електрическата мрежа, пряко или непряко.</w:t>
      </w:r>
    </w:p>
    <w:p>
      <w:pPr>
        <w:rPr>
          <w:noProof/>
        </w:rPr>
      </w:pPr>
    </w:p>
    <w:p>
      <w:pPr>
        <w:rPr>
          <w:noProof/>
        </w:rPr>
      </w:pPr>
      <w:r>
        <w:rPr>
          <w:noProof/>
        </w:rPr>
        <w:t>Тостер, скара, пещ за пържене, котлон и подобни уреди — електрически уреди, свързани към електрическата мрежа, които използват пряко или непряко (например нагрята среда като въздух и олио за готвене) топлина за приготвяне на храна и са предназначени за битова употреба.</w:t>
      </w:r>
    </w:p>
    <w:p>
      <w:pPr>
        <w:rPr>
          <w:noProof/>
        </w:rPr>
      </w:pPr>
    </w:p>
    <w:p>
      <w:pPr>
        <w:rPr>
          <w:noProof/>
        </w:rPr>
      </w:pPr>
      <w:r>
        <w:rPr>
          <w:noProof/>
        </w:rPr>
        <w:t>Вентилатор за монтиране на стена или таван — електрически вентилатор и неговото регулиращо устройство, предназначен за монтиране на стена или таван и за използване в монофазни вериги за постоянен и променлив ток с напрежение, непревишаващо 250 V, за битови и подобни нужди.</w:t>
      </w:r>
    </w:p>
    <w:p>
      <w:pPr>
        <w:rPr>
          <w:noProof/>
        </w:rPr>
      </w:pPr>
    </w:p>
    <w:p>
      <w:pPr>
        <w:widowControl/>
        <w:spacing w:line="240" w:lineRule="auto"/>
        <w:rPr>
          <w:noProof/>
        </w:rPr>
      </w:pPr>
      <w:r>
        <w:rPr>
          <w:noProof/>
        </w:rPr>
        <w:br w:type="page"/>
      </w:r>
    </w:p>
    <w:p>
      <w:pPr>
        <w:rPr>
          <w:noProof/>
        </w:rPr>
      </w:pPr>
      <w:r>
        <w:rPr>
          <w:noProof/>
        </w:rPr>
        <w:t>Адаптор — устройство, предназначено за електрическо захранване от източник за постоянен или променлив ток автономно или като част от принадлежност, за приложения като компютри, далекосъобщително оборудване, домашно развлекателно оборудване или детски играчки.</w:t>
      </w:r>
    </w:p>
    <w:p>
      <w:pPr>
        <w:rPr>
          <w:noProof/>
        </w:rPr>
      </w:pPr>
    </w:p>
    <w:p>
      <w:pPr>
        <w:rPr>
          <w:noProof/>
        </w:rPr>
      </w:pPr>
      <w:r>
        <w:rPr>
          <w:noProof/>
        </w:rPr>
        <w:t>Кафе машина, тенджера за бавно готвене, тенджера за готвене на пара и подобни уреди — електрически уреди, които загряват вода до висока температура в процеса на приготвяне на храна и напитки.</w:t>
      </w:r>
    </w:p>
    <w:p>
      <w:pPr>
        <w:rPr>
          <w:noProof/>
        </w:rPr>
      </w:pPr>
    </w:p>
    <w:p>
      <w:pPr>
        <w:rPr>
          <w:noProof/>
        </w:rPr>
      </w:pPr>
      <w:r>
        <w:rPr>
          <w:noProof/>
        </w:rPr>
        <w:t>Уредба с лазерен диск — електронно устройство за видеозапис и възпроизвеждане или само за възпроизвеждане, свързана към електрическата мрежа, пряко или непряко, предназначено за битова и подобна обща употреба в закрити помещения, различно от възпроизвеждащо или видео устройство с лазерен диск (LD).</w:t>
      </w:r>
    </w:p>
    <w:p>
      <w:pPr>
        <w:rPr>
          <w:noProof/>
        </w:rPr>
      </w:pPr>
    </w:p>
    <w:p>
      <w:pPr>
        <w:rPr>
          <w:noProof/>
        </w:rPr>
      </w:pPr>
      <w:r>
        <w:rPr>
          <w:noProof/>
        </w:rPr>
        <w:t>Миксер, бъркалка, месомелачка и подобни уреди — машини с електрическо задвижване за приготвяне на храни и напитки, предназначени за битова употреба.</w:t>
      </w:r>
    </w:p>
    <w:p>
      <w:pPr>
        <w:rPr>
          <w:noProof/>
        </w:rPr>
      </w:pPr>
    </w:p>
    <w:p>
      <w:pPr>
        <w:rPr>
          <w:noProof/>
        </w:rPr>
      </w:pPr>
      <w:r>
        <w:rPr>
          <w:noProof/>
        </w:rPr>
        <w:t>Охладител на въздуха — електрически уред за раздвижване на въздуха с възможност да използва вода като охладително средство и неговото регулиращо устройство, предназначен за използване в монофазни вериги за постоянен и променлив ток с напрежение, непревишаващо 250 V, за битови и подобни нужди.</w:t>
      </w:r>
    </w:p>
    <w:p>
      <w:pPr>
        <w:rPr>
          <w:noProof/>
        </w:rPr>
      </w:pPr>
    </w:p>
    <w:p>
      <w:pPr>
        <w:rPr>
          <w:noProof/>
        </w:rPr>
      </w:pPr>
      <w:r>
        <w:rPr>
          <w:noProof/>
        </w:rPr>
        <w:t>Домашна компютърна система (включително монитор, печатащо устройство, говорител и други захранвани от електрическата мрежа принадлежности) — основана на микропроцесор информационна система с възможност за компактна локална обработка на данни и изчисляване въз основа на графики с висока разделителна способност и с гъвкав интерфейс за предаване на данни.</w:t>
      </w:r>
    </w:p>
    <w:p>
      <w:pPr>
        <w:rPr>
          <w:noProof/>
        </w:rPr>
      </w:pPr>
    </w:p>
    <w:p>
      <w:pPr>
        <w:rPr>
          <w:noProof/>
        </w:rPr>
      </w:pPr>
      <w:r>
        <w:rPr>
          <w:noProof/>
        </w:rPr>
        <w:t>Декоративно осветително приспособление — светлинни гирлянди, снабдени с набор от паралелно свързани лампи с нажежаема жичка за използване на открито или закрито, захранвани с напрежение, непревишаващо 250 V.</w:t>
      </w:r>
    </w:p>
    <w:p>
      <w:pPr>
        <w:rPr>
          <w:noProof/>
        </w:rPr>
      </w:pPr>
    </w:p>
    <w:p>
      <w:pPr>
        <w:widowControl/>
        <w:spacing w:line="240" w:lineRule="auto"/>
        <w:rPr>
          <w:noProof/>
        </w:rPr>
      </w:pPr>
      <w:r>
        <w:rPr>
          <w:noProof/>
        </w:rPr>
        <w:br w:type="page"/>
      </w:r>
    </w:p>
    <w:p>
      <w:pPr>
        <w:rPr>
          <w:noProof/>
        </w:rPr>
      </w:pPr>
      <w:r>
        <w:rPr>
          <w:noProof/>
        </w:rPr>
        <w:t>Щепсел с три щифта от правоъгълен вид за ток 13 ампера — портативно устройство с предпазител и с издадени щифтове, предназначено да осъществи контакт със съответната щепселна кутия. Щепселът включва и подходящ гъвкав шнур за електрическа връзка и механична изолация.</w:t>
      </w:r>
    </w:p>
    <w:p>
      <w:pPr>
        <w:rPr>
          <w:noProof/>
        </w:rPr>
      </w:pPr>
    </w:p>
    <w:p>
      <w:pPr>
        <w:rPr>
          <w:noProof/>
        </w:rPr>
      </w:pPr>
      <w:r>
        <w:rPr>
          <w:noProof/>
        </w:rPr>
        <w:t>Предпазител (13 ампера или по-малко) за използване в щепсел — устройство, което чрез стопяване на един или повече от неговите специално проектирани и оразмерени компоненти отваря веригата, в която е включено, и прекъсва тока, когато той превиши определена стойност за достатъчно дълъг период от време. Предпазителят включва всички части, които образуват завършеното устройство.</w:t>
      </w:r>
    </w:p>
    <w:p>
      <w:pPr>
        <w:rPr>
          <w:noProof/>
        </w:rPr>
      </w:pPr>
    </w:p>
    <w:p>
      <w:pPr>
        <w:rPr>
          <w:noProof/>
        </w:rPr>
      </w:pPr>
      <w:r>
        <w:rPr>
          <w:noProof/>
        </w:rPr>
        <w:t>Щепсел с три щифта от кръгъл вид за ток 15 ампера — устройство с 3 метални контактни щифта с основно цилиндрична форма, предназначено да осъществи контакт със съответната щепселна кутия за свързване с подходящ гъвкав шнур.</w:t>
      </w:r>
    </w:p>
    <w:p>
      <w:pPr>
        <w:rPr>
          <w:noProof/>
        </w:rPr>
      </w:pPr>
    </w:p>
    <w:p>
      <w:pPr>
        <w:rPr>
          <w:noProof/>
        </w:rPr>
      </w:pPr>
      <w:r>
        <w:rPr>
          <w:noProof/>
        </w:rPr>
        <w:t>Многоканален адаптор — адаптор с повече от един комплект щепселни контакти (допустимо е, но не е задължително щепселните контакти да бъдат от същия вид или същото номинално напрежение като тези на частта на контактните щифтове).</w:t>
      </w:r>
    </w:p>
    <w:p>
      <w:pPr>
        <w:rPr>
          <w:noProof/>
        </w:rPr>
      </w:pPr>
    </w:p>
    <w:p>
      <w:pPr>
        <w:rPr>
          <w:noProof/>
        </w:rPr>
      </w:pPr>
      <w:r>
        <w:rPr>
          <w:noProof/>
        </w:rPr>
        <w:t>Преносима щепселна кутия за щепсел с 3 щифта — принадлежност с комплект от 3 щепселни контакта, която е предназначена да осъществи контакт с щифтовете на съответния щепсел и може да осигури електрическа връзка с подходящи кабели или гъвкави шнурове, предназначена е за свързване към гъвкав шнур или е интегрално свързана с такъв шнур и лесно може да бъде местена от едно място до друго, докато е свързана към електрическата мрежа.</w:t>
      </w:r>
    </w:p>
    <w:p>
      <w:pPr>
        <w:rPr>
          <w:noProof/>
        </w:rPr>
      </w:pPr>
    </w:p>
    <w:p>
      <w:pPr>
        <w:rPr>
          <w:noProof/>
        </w:rPr>
      </w:pPr>
      <w:r>
        <w:rPr>
          <w:noProof/>
        </w:rPr>
        <w:t>Преносима макара за кабели — устройство, което се състои от прикрепен към макара гъвкав кабел или шнур, конструирано е така, че да дава възможност гъвкавият кабел да бъде изцяло навит на макарата, и разполага с щепсел и една или повече щепселни кутии.</w:t>
      </w:r>
    </w:p>
    <w:p>
      <w:pPr>
        <w:rPr>
          <w:noProof/>
        </w:rPr>
      </w:pPr>
    </w:p>
    <w:p>
      <w:pPr>
        <w:widowControl/>
        <w:spacing w:line="240" w:lineRule="auto"/>
        <w:rPr>
          <w:noProof/>
        </w:rPr>
      </w:pPr>
      <w:r>
        <w:rPr>
          <w:noProof/>
        </w:rPr>
        <w:br w:type="page"/>
      </w:r>
    </w:p>
    <w:p>
      <w:pPr>
        <w:rPr>
          <w:noProof/>
        </w:rPr>
      </w:pPr>
      <w:r>
        <w:rPr>
          <w:noProof/>
        </w:rPr>
        <w:t>Електрически нагревател за бързо загряване на вода — стационарен електрически уред за битови и подобни нужди, предназначен за загряване на вода, без да се достига температурата на кипене, с номинално напрежение, непревишаващо 250 V, за уреди за монофазни вериги и 480 V за други уреди.</w:t>
      </w:r>
    </w:p>
    <w:p>
      <w:pPr>
        <w:rPr>
          <w:noProof/>
        </w:rPr>
      </w:pPr>
    </w:p>
    <w:p>
      <w:pPr>
        <w:rPr>
          <w:noProof/>
        </w:rPr>
      </w:pPr>
      <w:r>
        <w:rPr>
          <w:noProof/>
        </w:rPr>
        <w:t>Електрически нагревател за съхраняване под налягане и загряване на вода със захранване от електрическата мрежа — стационарен електрически уред за битови и подобни нужди, предназначен за съхраняване и загряване на вода, без да се достига температурата на кипене, с номинално напрежение, непревишаващо 250 V, за уреди за монофазни вериги и 480 V за други уреди.</w:t>
      </w:r>
    </w:p>
    <w:p>
      <w:pPr>
        <w:rPr>
          <w:noProof/>
        </w:rPr>
      </w:pPr>
    </w:p>
    <w:p>
      <w:pPr>
        <w:rPr>
          <w:noProof/>
        </w:rPr>
      </w:pPr>
      <w:r>
        <w:rPr>
          <w:noProof/>
        </w:rPr>
        <w:t>Дефектнотоков изключвател (ДТЗ) — устройство, предназначено за предпазване на хората от непряк допир, като незащитените проводими части на инсталацията са свързани към подходящ заземяващ електрод.</w:t>
      </w:r>
    </w:p>
    <w:p>
      <w:pPr>
        <w:rPr>
          <w:noProof/>
        </w:rPr>
      </w:pPr>
    </w:p>
    <w:p>
      <w:pPr>
        <w:rPr>
          <w:noProof/>
        </w:rPr>
      </w:pPr>
      <w:r>
        <w:rPr>
          <w:noProof/>
        </w:rPr>
        <w:t>Щепселна кутия за щепсел с 3 щифта за ток 13 ампера — щепселна кутия с капак, за ток 13 ампера, с единична или многогнездова конфигурация и съответните прекъсвачи, предназначена за вграждане в съответната повърхност в подходяща кутия или за монтаж върху повърхност или на табло. Щепселната кутия трябва да е подходяща за свързване на преносими уреди, аудио-визуално оборудване, осветителни тела и т.н. във вериги за променлив ток, работещи само с напрежение, непревишаващо 250 V (еф. ст-т), при честота 50 Hz.</w:t>
      </w:r>
    </w:p>
    <w:p>
      <w:pPr>
        <w:rPr>
          <w:noProof/>
        </w:rPr>
      </w:pPr>
    </w:p>
    <w:p>
      <w:pPr>
        <w:rPr>
          <w:noProof/>
        </w:rPr>
      </w:pPr>
      <w:r>
        <w:rPr>
          <w:noProof/>
        </w:rPr>
        <w:t>Щепсел с три щифта от кръгъл вид за ток 15 ампера — щепселна кутия с капак, за ток 15 ампера, която съдържа прекъсвач, свързан между тоководещия контакт на щепселната кутия и съответния захранващ извод, и е предназначена за вграждане в съответната повърхност в подходяща кутия или за монтаж върху повърхност или на табло. Щепселната кутия трябва да е подходяща за свързване на електрически уреди във вериги за променлив ток, работещи само с напрежение, непревишаващо 250 V (ефективна стойност), при честота 50 Hz.</w:t>
      </w:r>
    </w:p>
    <w:p>
      <w:pPr>
        <w:rPr>
          <w:noProof/>
        </w:rPr>
      </w:pPr>
    </w:p>
    <w:p>
      <w:pPr>
        <w:widowControl/>
        <w:spacing w:line="240" w:lineRule="auto"/>
        <w:rPr>
          <w:noProof/>
        </w:rPr>
      </w:pPr>
      <w:r>
        <w:rPr>
          <w:noProof/>
        </w:rPr>
        <w:br w:type="page"/>
      </w:r>
    </w:p>
    <w:p>
      <w:pPr>
        <w:rPr>
          <w:noProof/>
        </w:rPr>
      </w:pPr>
      <w:r>
        <w:rPr>
          <w:noProof/>
        </w:rPr>
        <w:t>Домакински електрически прекъсвач за монтаж на стена — ръчно задействан прекъсвач с общо предназначение само за номинално променливо напрежение, непревишаващо 440 V, и за номинален ток, непревишаващ 63 A, предназначен за битови и подобни постоянни електрически инсталации в закрити помещения или на открито.</w:t>
      </w:r>
    </w:p>
    <w:p>
      <w:pPr>
        <w:rPr>
          <w:noProof/>
        </w:rPr>
      </w:pPr>
    </w:p>
    <w:p>
      <w:pPr>
        <w:rPr>
          <w:noProof/>
        </w:rPr>
      </w:pPr>
      <w:r>
        <w:rPr>
          <w:noProof/>
        </w:rPr>
        <w:t>Баласт за луминесцентна тръба — елемент, свързан между източника на захранване и една или повече луминесцентни лампи, който чрез индуктивност, капацитет или комбинация от индуктивност и капацитет или електронни схеми служи главно за ограничаване на тока към лампата (лампите) до необходимата стойност.</w:t>
      </w:r>
    </w:p>
    <w:p>
      <w:pPr>
        <w:rPr>
          <w:noProof/>
        </w:rPr>
      </w:pPr>
    </w:p>
    <w:p>
      <w:pPr>
        <w:rPr>
          <w:noProof/>
        </w:rPr>
      </w:pPr>
      <w:r>
        <w:rPr>
          <w:noProof/>
        </w:rPr>
        <w:t>Разделителен трансформатор за приспособление за вграждане на осветително тяло в таван — трансформатор с входни и изходни намотки, които са галванично разделени, за да се ограничат рисковете от случаен едновременен контакт със земята и допир до части под напрежение или метални части, които могат да попаднат под напрежение в случай на пробив в изолацията.</w:t>
      </w:r>
    </w:p>
    <w:p>
      <w:pPr>
        <w:kinsoku w:val="0"/>
        <w:overflowPunct w:val="0"/>
        <w:autoSpaceDE w:val="0"/>
        <w:autoSpaceDN w:val="0"/>
        <w:adjustRightInd w:val="0"/>
        <w:snapToGrid w:val="0"/>
        <w:rPr>
          <w:i/>
          <w:noProof/>
          <w:color w:val="000000"/>
        </w:rPr>
      </w:pPr>
    </w:p>
    <w:p>
      <w:pPr>
        <w:kinsoku w:val="0"/>
        <w:overflowPunct w:val="0"/>
        <w:autoSpaceDE w:val="0"/>
        <w:autoSpaceDN w:val="0"/>
        <w:adjustRightInd w:val="0"/>
        <w:snapToGrid w:val="0"/>
        <w:rPr>
          <w:i/>
          <w:noProof/>
          <w:color w:val="000000"/>
        </w:rPr>
      </w:pPr>
    </w:p>
    <w:p>
      <w:pPr>
        <w:widowControl/>
        <w:spacing w:line="240" w:lineRule="auto"/>
        <w:rPr>
          <w:i/>
          <w:noProof/>
          <w:color w:val="000000"/>
        </w:rPr>
      </w:pPr>
      <w:r>
        <w:rPr>
          <w:i/>
          <w:noProof/>
          <w:color w:val="000000"/>
        </w:rPr>
        <w:br w:type="page"/>
      </w:r>
    </w:p>
    <w:p>
      <w:pPr>
        <w:kinsoku w:val="0"/>
        <w:overflowPunct w:val="0"/>
        <w:autoSpaceDE w:val="0"/>
        <w:autoSpaceDN w:val="0"/>
        <w:adjustRightInd w:val="0"/>
        <w:snapToGrid w:val="0"/>
        <w:jc w:val="right"/>
        <w:rPr>
          <w:b/>
          <w:noProof/>
          <w:color w:val="000000"/>
          <w:u w:val="single"/>
        </w:rPr>
      </w:pPr>
      <w:r>
        <w:rPr>
          <w:b/>
          <w:noProof/>
          <w:color w:val="000000"/>
          <w:u w:val="single"/>
        </w:rPr>
        <w:t>Допълнение 4-А-3</w:t>
      </w:r>
    </w:p>
    <w:p>
      <w:pPr>
        <w:rPr>
          <w:noProof/>
        </w:rPr>
      </w:pPr>
    </w:p>
    <w:p>
      <w:pPr>
        <w:rPr>
          <w:noProof/>
        </w:rPr>
      </w:pPr>
    </w:p>
    <w:p>
      <w:pPr>
        <w:jc w:val="center"/>
        <w:rPr>
          <w:noProof/>
        </w:rPr>
      </w:pPr>
      <w:r>
        <w:rPr>
          <w:noProof/>
        </w:rPr>
        <w:t>ОПРЕДЕЛЕНИЯ</w:t>
      </w:r>
    </w:p>
    <w:p>
      <w:pPr>
        <w:rPr>
          <w:noProof/>
        </w:rPr>
      </w:pPr>
    </w:p>
    <w:p>
      <w:pPr>
        <w:rPr>
          <w:noProof/>
        </w:rPr>
      </w:pPr>
      <w:r>
        <w:rPr>
          <w:noProof/>
        </w:rPr>
        <w:t xml:space="preserve">За целите на приложение 4-А се прилагат следните определения: </w:t>
      </w:r>
    </w:p>
    <w:p>
      <w:pPr>
        <w:rPr>
          <w:noProof/>
        </w:rPr>
      </w:pPr>
    </w:p>
    <w:p>
      <w:pPr>
        <w:rPr>
          <w:noProof/>
        </w:rPr>
      </w:pPr>
      <w:r>
        <w:rPr>
          <w:noProof/>
        </w:rPr>
        <w:t xml:space="preserve">„безопасност на електрическото оборудване“ означава, че оборудването, което е конструирано в съответствие с добрата инженерна практика, не застрашава безопасността на хората, домашните животни, както и имущество, когато е правилно въведено в експлоатация и поддържано и се използва по предназначението, за което е произведено; </w:t>
      </w:r>
    </w:p>
    <w:p>
      <w:pPr>
        <w:rPr>
          <w:noProof/>
        </w:rPr>
      </w:pPr>
    </w:p>
    <w:p>
      <w:pPr>
        <w:rPr>
          <w:noProof/>
        </w:rPr>
      </w:pPr>
      <w:r>
        <w:rPr>
          <w:noProof/>
        </w:rPr>
        <w:t>„електромагнитна съвместимост“ означава, че оборудването се конструира и произвежда при придържане към актуалните постижения в тази област така, че да се обезпечава следното:</w:t>
      </w:r>
    </w:p>
    <w:p>
      <w:pPr>
        <w:ind w:left="480" w:hanging="480"/>
        <w:rPr>
          <w:noProof/>
        </w:rPr>
      </w:pPr>
    </w:p>
    <w:p>
      <w:pPr>
        <w:ind w:left="480" w:hanging="480"/>
        <w:rPr>
          <w:noProof/>
        </w:rPr>
      </w:pPr>
      <w:r>
        <w:rPr>
          <w:noProof/>
        </w:rPr>
        <w:t>а)</w:t>
      </w:r>
      <w:r>
        <w:rPr>
          <w:noProof/>
        </w:rPr>
        <w:tab/>
        <w:t>генерираните електромагнитни смущения не надвишават нивото, над което радио и телекомуникационно оборудване или друго оборудване не работи както е предвидено; и</w:t>
      </w:r>
    </w:p>
    <w:p>
      <w:pPr>
        <w:rPr>
          <w:noProof/>
        </w:rPr>
      </w:pPr>
    </w:p>
    <w:p>
      <w:pPr>
        <w:ind w:left="480" w:hanging="480"/>
        <w:rPr>
          <w:noProof/>
        </w:rPr>
      </w:pPr>
      <w:r>
        <w:rPr>
          <w:noProof/>
        </w:rPr>
        <w:t>б)</w:t>
      </w:r>
      <w:r>
        <w:rPr>
          <w:noProof/>
        </w:rPr>
        <w:tab/>
        <w:t>оборудването се отличава с ниво на устойчивост на електромагнитни смущения, които може да се очакват при експлоатацията му по предназначение, което позволява използването му без неприемливо влошаване на предвидените му функции.</w:t>
      </w:r>
    </w:p>
    <w:p>
      <w:pPr>
        <w:rPr>
          <w:noProof/>
        </w:rPr>
      </w:pPr>
    </w:p>
    <w:p>
      <w:pPr>
        <w:rPr>
          <w:noProof/>
        </w:rPr>
      </w:pPr>
      <w:r>
        <w:rPr>
          <w:noProof/>
        </w:rPr>
        <w:t>„електромагнитно смущение“ означава всяко електромагнитно явление, което може да влоши техническите характеристики на оборудването, включително електромагнитен шум, нежелан сигнал или изменение в самата среда на разпространение;</w:t>
      </w:r>
    </w:p>
    <w:p>
      <w:pPr>
        <w:rPr>
          <w:noProof/>
        </w:rPr>
      </w:pPr>
    </w:p>
    <w:p>
      <w:pPr>
        <w:widowControl/>
        <w:spacing w:line="240" w:lineRule="auto"/>
        <w:rPr>
          <w:noProof/>
        </w:rPr>
      </w:pPr>
      <w:r>
        <w:rPr>
          <w:noProof/>
        </w:rPr>
        <w:br w:type="page"/>
      </w:r>
    </w:p>
    <w:p>
      <w:pPr>
        <w:rPr>
          <w:noProof/>
        </w:rPr>
      </w:pPr>
      <w:r>
        <w:rPr>
          <w:noProof/>
        </w:rPr>
        <w:t>„устойчивост“ означава способността на оборудването да работи според предназначението си без влошаване при наличието на електромагнитно смущение;</w:t>
      </w:r>
    </w:p>
    <w:p>
      <w:pPr>
        <w:rPr>
          <w:noProof/>
        </w:rPr>
      </w:pPr>
    </w:p>
    <w:p>
      <w:pPr>
        <w:rPr>
          <w:noProof/>
        </w:rPr>
      </w:pPr>
      <w:r>
        <w:rPr>
          <w:noProof/>
        </w:rPr>
        <w:t>„декларация за съответствие“ означава издаване на декларация въз основа на решение вследствие на проверка, че е доказано съответствието с определени изисквания;</w:t>
      </w:r>
    </w:p>
    <w:p>
      <w:pPr>
        <w:rPr>
          <w:noProof/>
        </w:rPr>
      </w:pPr>
    </w:p>
    <w:p>
      <w:pPr>
        <w:rPr>
          <w:noProof/>
        </w:rPr>
      </w:pPr>
      <w:r>
        <w:rPr>
          <w:noProof/>
        </w:rPr>
        <w:t>„доставчик“ означава производител или упълномощен негов/неин представител, установен на територията на страната вносител. Когато на територията на страната вносител няма такива, представянето на декларация на доставчика е задължение на вносителя;</w:t>
      </w:r>
    </w:p>
    <w:p>
      <w:pPr>
        <w:rPr>
          <w:noProof/>
        </w:rPr>
      </w:pPr>
    </w:p>
    <w:p>
      <w:pPr>
        <w:rPr>
          <w:noProof/>
        </w:rPr>
      </w:pPr>
    </w:p>
    <w:p>
      <w:pPr>
        <w:rPr>
          <w:noProof/>
        </w:rPr>
      </w:pPr>
      <w:r>
        <w:rPr>
          <w:noProof/>
        </w:rPr>
        <w:t>„изпитвателна лаборатория“ означава орган за оценяване на съответствието, който извършва услуги по изпитване и е получил атестация, представляваща официално доказателство за компетентността му да изпълнява специфичните задачи по оценка на съответствието.</w:t>
      </w:r>
    </w:p>
    <w:p>
      <w:pPr>
        <w:rPr>
          <w:noProof/>
        </w:rPr>
      </w:pPr>
    </w:p>
    <w:p>
      <w:pPr>
        <w:rPr>
          <w:noProof/>
        </w:rPr>
      </w:pPr>
      <w:r>
        <w:rPr>
          <w:noProof/>
        </w:rPr>
        <w:t>Определенията за „стандарт“, „технически регламент“ и „процедури за оценяване на съответствието“ са предвидените в Приложение I към Споразумението за ТПТ.</w:t>
      </w:r>
    </w:p>
    <w:p>
      <w:pPr>
        <w:rPr>
          <w:noProof/>
        </w:rPr>
      </w:pPr>
    </w:p>
    <w:p>
      <w:pPr>
        <w:rPr>
          <w:noProof/>
        </w:rPr>
      </w:pPr>
    </w:p>
    <w:p>
      <w:pPr>
        <w:jc w:val="center"/>
        <w:rPr>
          <w:noProof/>
        </w:rPr>
      </w:pPr>
      <w:r>
        <w:rPr>
          <w:noProof/>
        </w:rPr>
        <w:t>________________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color w:val="FF0000"/>
        </w:rPr>
      </w:pPr>
      <w:r>
        <w:rPr>
          <w:rStyle w:val="FootnoteReference"/>
        </w:rPr>
        <w:footnoteRef/>
      </w:r>
      <w:r>
        <w:tab/>
        <w:t xml:space="preserve">С решение на Комитета по търговията със стоки страните могат да се споразумеят за всякакви други международни органи по стандартизация, които считат за компетентни за целите на прилагането на настоящото приложение. </w:t>
      </w:r>
    </w:p>
  </w:footnote>
  <w:footnote w:id="2">
    <w:p>
      <w:pPr>
        <w:pStyle w:val="FootnoteText"/>
      </w:pPr>
      <w:r>
        <w:rPr>
          <w:rStyle w:val="FootnoteReference"/>
        </w:rPr>
        <w:footnoteRef/>
      </w:r>
      <w:r>
        <w:tab/>
        <w:t>Сингапур например ще направи преглед на административните процедури, свързани с Регистрационната схема за защита на потребителите (Изисквания за безопасност), включително процедурите за приемане и преглед на протоколите от изпитванията и сертификатите за съответствие.</w:t>
      </w:r>
    </w:p>
  </w:footnote>
  <w:footnote w:id="3">
    <w:p>
      <w:pPr>
        <w:pStyle w:val="FootnoteText"/>
        <w:spacing w:after="120"/>
      </w:pPr>
      <w:r>
        <w:rPr>
          <w:rStyle w:val="FootnoteReference"/>
        </w:rPr>
        <w:footnoteRef/>
      </w:r>
      <w:r>
        <w:tab/>
        <w:t xml:space="preserve">Сингапур трябва да изпълни това изискване в срок от три години след влизането в сила на настоящото споразумение.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u1082?\u1098?\u1084? "/>
    <w:docVar w:name="LW_ANNEX_NBR_FIRST" w:val="3"/>
    <w:docVar w:name="LW_ANNEX_NBR_LAST" w:val="3"/>
    <w:docVar w:name="LW_ANNEX_UNIQUE" w:val="0"/>
    <w:docVar w:name="LW_CORRIGENDUM" w:val="&lt;UNUSED&gt;"/>
    <w:docVar w:name="LW_COVERPAGE_EXISTS" w:val="True"/>
    <w:docVar w:name="LW_COVERPAGE_GUID" w:val="F3FB1979-5BD4-4EFA-97FD-845F0C1ECBC5"/>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6?\u1077?\u1087?\u1091?\u1073?\u1083?\u1080?\u1082?\u1072? \u1057?\u1080?\u1085?\u1075?\u1072?\u1087?\u1091?\u1088?"/>
    <w:docVar w:name="LW_PART_NBR" w:val="1"/>
    <w:docVar w:name="LW_PART_NBR_TOTAL" w:val="1"/>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45?_x000b_"/>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Text2">
    <w:name w:val="Text 2"/>
    <w:basedOn w:val="Normal"/>
    <w:pPr>
      <w:widowControl/>
      <w:spacing w:before="120" w:after="120" w:line="240" w:lineRule="auto"/>
      <w:ind w:left="1417"/>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Text2">
    <w:name w:val="Text 2"/>
    <w:basedOn w:val="Normal"/>
    <w:pPr>
      <w:widowControl/>
      <w:spacing w:before="120" w:after="120" w:line="240" w:lineRule="auto"/>
      <w:ind w:left="1417"/>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65DE2-ED62-419E-B094-0F0DBDAB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24</Pages>
  <Words>4415</Words>
  <Characters>26447</Characters>
  <Application>Microsoft Office Word</Application>
  <DocSecurity>0</DocSecurity>
  <Lines>601</Lines>
  <Paragraphs>138</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30724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46</cp:revision>
  <cp:lastPrinted>2004-04-02T13:43:00Z</cp:lastPrinted>
  <dcterms:created xsi:type="dcterms:W3CDTF">2017-10-31T10:37:00Z</dcterms:created>
  <dcterms:modified xsi:type="dcterms:W3CDTF">2018-04-20T09:00:00Z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