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6C248759-6358-41FC-A14E-BC8B126EEC4E" style="width:450.75pt;height:379.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right"/>
        <w:rPr>
          <w:b/>
          <w:bCs/>
          <w:noProof/>
          <w:u w:val="single"/>
          <w:lang w:val="bg-BG"/>
        </w:rPr>
      </w:pPr>
      <w:bookmarkStart w:id="1" w:name="_GoBack"/>
      <w:bookmarkEnd w:id="1"/>
      <w:r>
        <w:rPr>
          <w:b/>
          <w:bCs/>
          <w:noProof/>
          <w:u w:val="single"/>
          <w:lang w:val="bg-BG"/>
        </w:rPr>
        <w:lastRenderedPageBreak/>
        <w:t>ПРИЛОЖЕНИЕ</w:t>
      </w:r>
      <w:r>
        <w:rPr>
          <w:b/>
          <w:bCs/>
          <w:noProof/>
          <w:u w:val="single"/>
        </w:rPr>
        <w:t xml:space="preserve"> 2-</w:t>
      </w:r>
      <w:r>
        <w:rPr>
          <w:b/>
          <w:bCs/>
          <w:noProof/>
          <w:u w:val="single"/>
          <w:lang w:val="bg-BG"/>
        </w:rPr>
        <w:t>А</w:t>
      </w:r>
    </w:p>
    <w:p>
      <w:pPr>
        <w:rPr>
          <w:b/>
          <w:noProof/>
        </w:rPr>
      </w:pPr>
    </w:p>
    <w:p>
      <w:pPr>
        <w:rPr>
          <w:b/>
          <w:noProof/>
        </w:rPr>
      </w:pPr>
    </w:p>
    <w:p>
      <w:pPr>
        <w:jc w:val="center"/>
        <w:rPr>
          <w:noProof/>
          <w:lang w:val="bg-BG"/>
        </w:rPr>
      </w:pPr>
      <w:r>
        <w:rPr>
          <w:noProof/>
        </w:rPr>
        <w:t>ПРЕМАХВАНЕ НА МИТАТА</w:t>
      </w:r>
    </w:p>
    <w:p>
      <w:pPr>
        <w:rPr>
          <w:noProof/>
          <w:lang w:val="bg-BG"/>
        </w:rPr>
      </w:pPr>
    </w:p>
    <w:p>
      <w:pPr>
        <w:ind w:left="600" w:hanging="600"/>
        <w:rPr>
          <w:noProof/>
          <w:lang w:val="bg-BG"/>
        </w:rPr>
      </w:pPr>
      <w:r>
        <w:rPr>
          <w:noProof/>
          <w:lang w:val="bg-BG"/>
        </w:rPr>
        <w:t>1.</w:t>
      </w:r>
      <w:r>
        <w:rPr>
          <w:noProof/>
          <w:lang w:val="bg-BG"/>
        </w:rPr>
        <w:tab/>
        <w:t>Всички мита, наложени от някоя от страните върху стоки с произход от другата страна, се премахват от датата на влизане в сила на настоящото споразумение, освен ако е предвидено друго в графиците на съответната страна, включени в настоящото приложение.</w:t>
      </w:r>
    </w:p>
    <w:p>
      <w:pPr>
        <w:ind w:left="600" w:hanging="600"/>
        <w:rPr>
          <w:noProof/>
          <w:lang w:val="bg-BG" w:eastAsia="en-GB"/>
        </w:rPr>
      </w:pPr>
    </w:p>
    <w:p>
      <w:pPr>
        <w:ind w:left="600" w:hanging="600"/>
        <w:rPr>
          <w:noProof/>
          <w:lang w:val="bg-BG"/>
        </w:rPr>
      </w:pPr>
      <w:r>
        <w:rPr>
          <w:noProof/>
          <w:lang w:val="bg-BG"/>
        </w:rPr>
        <w:t>2.</w:t>
      </w:r>
      <w:r>
        <w:rPr>
          <w:noProof/>
          <w:lang w:val="bg-BG"/>
        </w:rPr>
        <w:tab/>
        <w:t>По отношение на премахването на митата от всяка от страните се прилагат следните поетапни категории в съответствие с член 2.6 (Намаляване и/или премахване на митата върху вноса) за митата, които не се премахват към датата на влизане в сила на настоящото споразумение:</w:t>
      </w:r>
    </w:p>
    <w:p>
      <w:pPr>
        <w:ind w:left="600" w:hanging="600"/>
        <w:rPr>
          <w:noProof/>
          <w:lang w:val="bg-BG" w:eastAsia="en-GB"/>
        </w:rPr>
      </w:pPr>
    </w:p>
    <w:p>
      <w:pPr>
        <w:ind w:left="1200" w:hanging="600"/>
        <w:rPr>
          <w:noProof/>
          <w:lang w:val="bg-BG"/>
        </w:rPr>
      </w:pPr>
      <w:r>
        <w:rPr>
          <w:noProof/>
          <w:lang w:val="bg-BG"/>
        </w:rPr>
        <w:t>а)</w:t>
      </w:r>
      <w:r>
        <w:rPr>
          <w:noProof/>
          <w:lang w:val="bg-BG"/>
        </w:rPr>
        <w:tab/>
        <w:t>митата върху стоките с произход, посочени в позициите от поетапна категория „3“ в графика на някоя от страните, отпадат на четири равни по размер годишни етапа с начало датата, на която настоящото споразумение влиза в сила, като след тази дата посочените стоки се освобождават от всякакви мита;</w:t>
      </w:r>
    </w:p>
    <w:p>
      <w:pPr>
        <w:ind w:left="1200" w:hanging="600"/>
        <w:rPr>
          <w:noProof/>
          <w:spacing w:val="-1"/>
          <w:lang w:val="bg-BG"/>
        </w:rPr>
      </w:pPr>
    </w:p>
    <w:p>
      <w:pPr>
        <w:ind w:left="1200" w:hanging="600"/>
        <w:rPr>
          <w:noProof/>
          <w:lang w:val="bg-BG"/>
        </w:rPr>
      </w:pPr>
      <w:r>
        <w:rPr>
          <w:noProof/>
          <w:lang w:val="bg-BG"/>
        </w:rPr>
        <w:t>б)</w:t>
      </w:r>
      <w:r>
        <w:rPr>
          <w:noProof/>
          <w:lang w:val="bg-BG"/>
        </w:rPr>
        <w:tab/>
        <w:t>митата върху стоките с произход, посочени в позициите от поетапна категория „5“ в графика на някоя от страните, отпадат на шест равни по размер годишни етапа с начало датата, на която настоящото споразумение влиза в сила, като след тази дата посочените стоки се освобождават от всякакви мита;</w:t>
      </w:r>
    </w:p>
    <w:p>
      <w:pPr>
        <w:ind w:left="1200" w:hanging="600"/>
        <w:rPr>
          <w:noProof/>
          <w:lang w:val="bg-BG"/>
        </w:rPr>
      </w:pPr>
    </w:p>
    <w:p>
      <w:pPr>
        <w:ind w:left="1200" w:hanging="600"/>
        <w:rPr>
          <w:noProof/>
          <w:lang w:val="bg-BG"/>
        </w:rPr>
      </w:pPr>
      <w:r>
        <w:rPr>
          <w:noProof/>
          <w:lang w:val="bg-BG"/>
        </w:rPr>
        <w:t>в)</w:t>
      </w:r>
      <w:r>
        <w:rPr>
          <w:noProof/>
          <w:lang w:val="bg-BG"/>
        </w:rPr>
        <w:tab/>
        <w:t>задълженията по настоящото споразумение, засягащи митата, не се прилагат по отношение на позициите в поетапна категория „</w:t>
      </w:r>
      <w:r>
        <w:rPr>
          <w:noProof/>
        </w:rPr>
        <w:t>X</w:t>
      </w:r>
      <w:r>
        <w:rPr>
          <w:noProof/>
          <w:lang w:val="bg-BG"/>
        </w:rPr>
        <w:t xml:space="preserve">“. </w:t>
      </w:r>
    </w:p>
    <w:p>
      <w:pPr>
        <w:ind w:left="600" w:hanging="600"/>
        <w:rPr>
          <w:noProof/>
          <w:color w:val="000000"/>
          <w:spacing w:val="-1"/>
          <w:lang w:val="bg-BG"/>
        </w:rPr>
      </w:pPr>
    </w:p>
    <w:p>
      <w:pPr>
        <w:widowControl/>
        <w:spacing w:line="240" w:lineRule="auto"/>
        <w:rPr>
          <w:noProof/>
          <w:lang w:val="bg-BG"/>
        </w:rPr>
      </w:pPr>
      <w:r>
        <w:rPr>
          <w:noProof/>
          <w:lang w:val="bg-BG"/>
        </w:rPr>
        <w:br w:type="page"/>
      </w:r>
    </w:p>
    <w:p>
      <w:pPr>
        <w:ind w:left="600" w:hanging="600"/>
        <w:rPr>
          <w:noProof/>
          <w:lang w:val="bg-BG"/>
        </w:rPr>
      </w:pPr>
      <w:r>
        <w:rPr>
          <w:noProof/>
          <w:lang w:val="bg-BG"/>
        </w:rPr>
        <w:lastRenderedPageBreak/>
        <w:t>3.</w:t>
      </w:r>
      <w:r>
        <w:rPr>
          <w:noProof/>
          <w:lang w:val="bg-BG"/>
        </w:rPr>
        <w:tab/>
        <w:t>По отношение на стоките под определен тарифен код се посочват базовата митническа ставка и поетапната категория за този тарифен код в графика на всяка от страните за определяне на междинната митническа ставка на всеки етап на намаляване.</w:t>
      </w:r>
    </w:p>
    <w:p>
      <w:pPr>
        <w:ind w:left="600" w:hanging="600"/>
        <w:rPr>
          <w:noProof/>
          <w:lang w:val="bg-BG" w:eastAsia="en-GB"/>
        </w:rPr>
      </w:pPr>
    </w:p>
    <w:p>
      <w:pPr>
        <w:ind w:left="600" w:hanging="600"/>
        <w:rPr>
          <w:noProof/>
          <w:lang w:val="bg-BG"/>
        </w:rPr>
      </w:pPr>
      <w:r>
        <w:rPr>
          <w:noProof/>
          <w:lang w:val="bg-BG"/>
        </w:rPr>
        <w:t>4.</w:t>
      </w:r>
      <w:r>
        <w:rPr>
          <w:noProof/>
          <w:lang w:val="bg-BG"/>
        </w:rPr>
        <w:tab/>
        <w:t>За целите на параграф 2 митническите ставки за междинните етапи се закръглят надолу поне до най-близката десета част от процентния пункт и/или по отношение на Съюза — до най-близкия евроцент, когато това е приложимо.</w:t>
      </w:r>
    </w:p>
    <w:p>
      <w:pPr>
        <w:ind w:left="600" w:hanging="600"/>
        <w:rPr>
          <w:noProof/>
          <w:lang w:val="bg-BG" w:eastAsia="en-GB"/>
        </w:rPr>
      </w:pPr>
    </w:p>
    <w:p>
      <w:pPr>
        <w:ind w:left="600" w:hanging="600"/>
        <w:rPr>
          <w:noProof/>
          <w:lang w:val="bg-BG"/>
        </w:rPr>
      </w:pPr>
      <w:r>
        <w:rPr>
          <w:noProof/>
          <w:lang w:val="bg-BG"/>
        </w:rPr>
        <w:t>5.</w:t>
      </w:r>
      <w:r>
        <w:rPr>
          <w:noProof/>
          <w:lang w:val="bg-BG"/>
        </w:rPr>
        <w:tab/>
        <w:t>За целите на настоящото приложение и графика на всяка от страните всяко годишно намаление влиза в сила на първия ден на съответната година по определенията в параграф 6 от настоящото приложение.</w:t>
      </w:r>
    </w:p>
    <w:p>
      <w:pPr>
        <w:ind w:left="600" w:hanging="600"/>
        <w:rPr>
          <w:noProof/>
          <w:lang w:val="bg-BG" w:eastAsia="en-GB"/>
        </w:rPr>
      </w:pPr>
    </w:p>
    <w:p>
      <w:pPr>
        <w:ind w:left="600" w:hanging="600"/>
        <w:rPr>
          <w:noProof/>
          <w:lang w:val="bg-BG"/>
        </w:rPr>
      </w:pPr>
      <w:r>
        <w:rPr>
          <w:noProof/>
          <w:lang w:val="bg-BG"/>
        </w:rPr>
        <w:t>6.</w:t>
      </w:r>
      <w:r>
        <w:rPr>
          <w:noProof/>
          <w:lang w:val="bg-BG"/>
        </w:rPr>
        <w:tab/>
        <w:t>За целите на настоящото приложение:</w:t>
      </w:r>
    </w:p>
    <w:p>
      <w:pPr>
        <w:ind w:left="600" w:hanging="600"/>
        <w:rPr>
          <w:noProof/>
          <w:lang w:val="bg-BG" w:eastAsia="en-GB"/>
        </w:rPr>
      </w:pPr>
    </w:p>
    <w:p>
      <w:pPr>
        <w:ind w:left="1200" w:hanging="600"/>
        <w:rPr>
          <w:noProof/>
          <w:lang w:val="bg-BG"/>
        </w:rPr>
      </w:pPr>
      <w:r>
        <w:rPr>
          <w:noProof/>
          <w:lang w:val="bg-BG"/>
        </w:rPr>
        <w:t>а)</w:t>
      </w:r>
      <w:r>
        <w:rPr>
          <w:noProof/>
          <w:lang w:val="bg-BG"/>
        </w:rPr>
        <w:tab/>
        <w:t xml:space="preserve">„година първа“ означава периодът от дванадесет месеца, който започва на датата на влизане в сила на настоящото споразумение; </w:t>
      </w:r>
    </w:p>
    <w:p>
      <w:pPr>
        <w:ind w:left="1200" w:hanging="600"/>
        <w:rPr>
          <w:noProof/>
          <w:lang w:val="bg-BG"/>
        </w:rPr>
      </w:pPr>
    </w:p>
    <w:p>
      <w:pPr>
        <w:ind w:left="1200" w:hanging="600"/>
        <w:rPr>
          <w:noProof/>
          <w:lang w:val="bg-BG"/>
        </w:rPr>
      </w:pPr>
      <w:r>
        <w:rPr>
          <w:noProof/>
          <w:lang w:val="bg-BG"/>
        </w:rPr>
        <w:t>б)</w:t>
      </w:r>
      <w:r>
        <w:rPr>
          <w:noProof/>
          <w:lang w:val="bg-BG"/>
        </w:rPr>
        <w:tab/>
        <w:t>„година втора“ означава периодът от дванадесет месеца, който започва една година след влизането в сила на настоящото споразумение;</w:t>
      </w:r>
    </w:p>
    <w:p>
      <w:pPr>
        <w:ind w:left="1200" w:hanging="600"/>
        <w:rPr>
          <w:noProof/>
          <w:lang w:val="bg-BG"/>
        </w:rPr>
      </w:pPr>
    </w:p>
    <w:p>
      <w:pPr>
        <w:ind w:left="1200" w:hanging="600"/>
        <w:rPr>
          <w:noProof/>
          <w:lang w:val="bg-BG"/>
        </w:rPr>
      </w:pPr>
      <w:r>
        <w:rPr>
          <w:noProof/>
          <w:lang w:val="bg-BG"/>
        </w:rPr>
        <w:t>в)</w:t>
      </w:r>
      <w:r>
        <w:rPr>
          <w:noProof/>
          <w:lang w:val="bg-BG"/>
        </w:rPr>
        <w:tab/>
        <w:t>„година трета“ означава периодът от дванадесет месеца, който започва две години след влизането в сила на настоящото споразумение;</w:t>
      </w:r>
    </w:p>
    <w:p>
      <w:pPr>
        <w:ind w:left="1200" w:hanging="600"/>
        <w:rPr>
          <w:noProof/>
          <w:lang w:val="bg-BG"/>
        </w:rPr>
      </w:pPr>
    </w:p>
    <w:p>
      <w:pPr>
        <w:ind w:left="1200" w:hanging="600"/>
        <w:rPr>
          <w:noProof/>
          <w:lang w:val="bg-BG"/>
        </w:rPr>
      </w:pPr>
      <w:r>
        <w:rPr>
          <w:noProof/>
          <w:lang w:val="bg-BG"/>
        </w:rPr>
        <w:t>г)</w:t>
      </w:r>
      <w:r>
        <w:rPr>
          <w:noProof/>
          <w:lang w:val="bg-BG"/>
        </w:rPr>
        <w:tab/>
        <w:t>„година четвърта“ означава периодът от дванадесет месеца, който започва три години след влизането в сила на настоящото споразумение;</w:t>
      </w:r>
    </w:p>
    <w:p>
      <w:pPr>
        <w:ind w:left="1200" w:hanging="600"/>
        <w:rPr>
          <w:noProof/>
          <w:lang w:val="bg-BG"/>
        </w:rPr>
      </w:pPr>
    </w:p>
    <w:p>
      <w:pPr>
        <w:widowControl/>
        <w:spacing w:line="240" w:lineRule="auto"/>
        <w:rPr>
          <w:noProof/>
          <w:lang w:val="bg-BG"/>
        </w:rPr>
      </w:pPr>
      <w:r>
        <w:rPr>
          <w:noProof/>
          <w:lang w:val="bg-BG"/>
        </w:rPr>
        <w:br w:type="page"/>
      </w:r>
    </w:p>
    <w:p>
      <w:pPr>
        <w:ind w:left="1200" w:hanging="600"/>
        <w:rPr>
          <w:noProof/>
          <w:lang w:val="bg-BG"/>
        </w:rPr>
      </w:pPr>
      <w:r>
        <w:rPr>
          <w:noProof/>
          <w:lang w:val="bg-BG"/>
        </w:rPr>
        <w:lastRenderedPageBreak/>
        <w:t>д)</w:t>
      </w:r>
      <w:r>
        <w:rPr>
          <w:noProof/>
          <w:lang w:val="bg-BG"/>
        </w:rPr>
        <w:tab/>
        <w:t>„година пета“ означава периодът от дванадесет месеца, който започва четири години след влизането в сила на настоящото споразумение.</w:t>
      </w:r>
    </w:p>
    <w:p>
      <w:pPr>
        <w:ind w:left="600" w:hanging="600"/>
        <w:rPr>
          <w:noProof/>
          <w:lang w:val="bg-BG"/>
        </w:rPr>
      </w:pPr>
    </w:p>
    <w:p>
      <w:pPr>
        <w:ind w:left="600" w:hanging="600"/>
        <w:rPr>
          <w:noProof/>
          <w:lang w:val="bg-BG"/>
        </w:rPr>
      </w:pPr>
      <w:r>
        <w:rPr>
          <w:noProof/>
          <w:lang w:val="bg-BG"/>
        </w:rPr>
        <w:t>7.</w:t>
      </w:r>
      <w:r>
        <w:rPr>
          <w:noProof/>
          <w:lang w:val="bg-BG"/>
        </w:rPr>
        <w:tab/>
        <w:t>Допълнения 2-А-1 и 2-А-2 представляват неразделна част от настоящото приложение.</w:t>
      </w:r>
    </w:p>
    <w:p>
      <w:pPr>
        <w:rPr>
          <w:noProof/>
          <w:lang w:val="bg-BG" w:eastAsia="en-GB"/>
        </w:rPr>
      </w:pPr>
    </w:p>
    <w:p>
      <w:pPr>
        <w:widowControl/>
        <w:spacing w:line="240" w:lineRule="auto"/>
        <w:rPr>
          <w:noProof/>
          <w:lang w:val="bg-BG" w:eastAsia="en-GB"/>
        </w:rPr>
      </w:pPr>
      <w:r>
        <w:rPr>
          <w:noProof/>
          <w:lang w:val="bg-BG" w:eastAsia="en-GB"/>
        </w:rPr>
        <w:br w:type="page"/>
      </w:r>
    </w:p>
    <w:p>
      <w:pPr>
        <w:jc w:val="center"/>
        <w:rPr>
          <w:noProof/>
          <w:lang w:val="bg-BG"/>
        </w:rPr>
      </w:pPr>
      <w:r>
        <w:rPr>
          <w:noProof/>
          <w:lang w:val="bg-BG"/>
        </w:rPr>
        <w:lastRenderedPageBreak/>
        <w:t>МИТНИЧЕСКА ТАРИФА НА СИНГАПУР</w:t>
      </w:r>
    </w:p>
    <w:p>
      <w:pPr>
        <w:rPr>
          <w:noProof/>
          <w:lang w:val="bg-BG"/>
        </w:rPr>
      </w:pPr>
    </w:p>
    <w:p>
      <w:pPr>
        <w:jc w:val="right"/>
        <w:rPr>
          <w:b/>
          <w:noProof/>
          <w:u w:val="single"/>
          <w:lang w:val="bg-BG"/>
        </w:rPr>
      </w:pPr>
      <w:r>
        <w:rPr>
          <w:b/>
          <w:noProof/>
          <w:u w:val="single"/>
          <w:lang w:val="bg-BG"/>
        </w:rPr>
        <w:t>Допълнение 2-А-1</w:t>
      </w:r>
    </w:p>
    <w:p>
      <w:pPr>
        <w:rPr>
          <w:b/>
          <w:noProof/>
          <w:lang w:val="bg-BG"/>
        </w:rPr>
      </w:pPr>
    </w:p>
    <w:p>
      <w:pPr>
        <w:rPr>
          <w:b/>
          <w:noProof/>
          <w:lang w:val="bg-BG"/>
        </w:rPr>
      </w:pPr>
    </w:p>
    <w:p>
      <w:pPr>
        <w:jc w:val="center"/>
        <w:rPr>
          <w:noProof/>
          <w:lang w:val="bg-BG"/>
        </w:rPr>
      </w:pPr>
      <w:r>
        <w:rPr>
          <w:noProof/>
          <w:lang w:val="bg-BG"/>
        </w:rPr>
        <w:t xml:space="preserve">График за премахване на митата – Сингапур </w:t>
      </w:r>
    </w:p>
    <w:p>
      <w:pPr>
        <w:rPr>
          <w:noProof/>
          <w:lang w:val="bg-BG"/>
        </w:rPr>
      </w:pPr>
    </w:p>
    <w:p>
      <w:pPr>
        <w:ind w:left="600" w:hanging="600"/>
        <w:rPr>
          <w:noProof/>
          <w:lang w:val="bg-BG"/>
        </w:rPr>
      </w:pPr>
      <w:r>
        <w:rPr>
          <w:noProof/>
          <w:lang w:val="bg-BG"/>
        </w:rPr>
        <w:t>1.</w:t>
      </w:r>
      <w:r>
        <w:rPr>
          <w:noProof/>
          <w:lang w:val="bg-BG"/>
        </w:rPr>
        <w:tab/>
        <w:t>В разпоредбите на настоящия график са използвани понятията от документа Търговска класификация, мита и акцизи на Сингапур (</w:t>
      </w:r>
      <w:r>
        <w:rPr>
          <w:noProof/>
        </w:rPr>
        <w:t>Singapore</w:t>
      </w:r>
      <w:r>
        <w:rPr>
          <w:noProof/>
          <w:lang w:val="bg-BG"/>
        </w:rPr>
        <w:t xml:space="preserve"> </w:t>
      </w:r>
      <w:r>
        <w:rPr>
          <w:noProof/>
        </w:rPr>
        <w:t>Trade</w:t>
      </w:r>
      <w:r>
        <w:rPr>
          <w:noProof/>
          <w:lang w:val="bg-BG"/>
        </w:rPr>
        <w:t xml:space="preserve"> </w:t>
      </w:r>
      <w:r>
        <w:rPr>
          <w:noProof/>
        </w:rPr>
        <w:t>Classification</w:t>
      </w:r>
      <w:r>
        <w:rPr>
          <w:noProof/>
          <w:lang w:val="bg-BG"/>
        </w:rPr>
        <w:t xml:space="preserve">, </w:t>
      </w:r>
      <w:r>
        <w:rPr>
          <w:noProof/>
        </w:rPr>
        <w:t>Customs</w:t>
      </w:r>
      <w:r>
        <w:rPr>
          <w:noProof/>
          <w:lang w:val="bg-BG"/>
        </w:rPr>
        <w:t xml:space="preserve"> </w:t>
      </w:r>
      <w:r>
        <w:rPr>
          <w:noProof/>
        </w:rPr>
        <w:t>and</w:t>
      </w:r>
      <w:r>
        <w:rPr>
          <w:noProof/>
          <w:lang w:val="bg-BG"/>
        </w:rPr>
        <w:t xml:space="preserve"> </w:t>
      </w:r>
      <w:r>
        <w:rPr>
          <w:noProof/>
        </w:rPr>
        <w:t>Excise</w:t>
      </w:r>
      <w:r>
        <w:rPr>
          <w:noProof/>
          <w:lang w:val="bg-BG"/>
        </w:rPr>
        <w:t xml:space="preserve"> </w:t>
      </w:r>
      <w:r>
        <w:rPr>
          <w:noProof/>
        </w:rPr>
        <w:t>Duties</w:t>
      </w:r>
      <w:r>
        <w:rPr>
          <w:noProof/>
          <w:lang w:val="bg-BG"/>
        </w:rPr>
        <w:t>, наричан по-долу „</w:t>
      </w:r>
      <w:r>
        <w:rPr>
          <w:noProof/>
        </w:rPr>
        <w:t>STCCE</w:t>
      </w:r>
      <w:r>
        <w:rPr>
          <w:noProof/>
          <w:lang w:val="bg-BG"/>
        </w:rPr>
        <w:t xml:space="preserve">“) и тълкуването на тези разпоредби, включително обхвата на продуктите от подпозициите от графика, се урежда от общите забележки и забележките към разделите и главите от </w:t>
      </w:r>
      <w:r>
        <w:rPr>
          <w:noProof/>
        </w:rPr>
        <w:t>STCCE</w:t>
      </w:r>
      <w:r>
        <w:rPr>
          <w:noProof/>
          <w:lang w:val="bg-BG"/>
        </w:rPr>
        <w:t xml:space="preserve">. Доколкото разпоредбите на настоящия график са идентични със съответните разпоредби на </w:t>
      </w:r>
      <w:r>
        <w:rPr>
          <w:noProof/>
        </w:rPr>
        <w:t>STCCE</w:t>
      </w:r>
      <w:r>
        <w:rPr>
          <w:noProof/>
          <w:lang w:val="bg-BG"/>
        </w:rPr>
        <w:t xml:space="preserve">, разпоредбите на настоящия график имат същото значение като съответните разпоредби на </w:t>
      </w:r>
      <w:r>
        <w:rPr>
          <w:noProof/>
        </w:rPr>
        <w:t>STCCE</w:t>
      </w:r>
      <w:r>
        <w:rPr>
          <w:noProof/>
          <w:lang w:val="bg-BG"/>
        </w:rPr>
        <w:t>.</w:t>
      </w:r>
    </w:p>
    <w:p>
      <w:pPr>
        <w:ind w:left="600" w:hanging="600"/>
        <w:rPr>
          <w:noProof/>
          <w:lang w:val="bg-BG" w:eastAsia="en-GB"/>
        </w:rPr>
      </w:pPr>
    </w:p>
    <w:p>
      <w:pPr>
        <w:ind w:left="600" w:hanging="600"/>
        <w:rPr>
          <w:noProof/>
          <w:lang w:val="bg-BG"/>
        </w:rPr>
      </w:pPr>
      <w:r>
        <w:rPr>
          <w:noProof/>
          <w:lang w:val="bg-BG"/>
        </w:rPr>
        <w:t>2.</w:t>
      </w:r>
      <w:r>
        <w:rPr>
          <w:noProof/>
          <w:lang w:val="bg-BG"/>
        </w:rPr>
        <w:tab/>
        <w:t xml:space="preserve">В съответствие с член 2.6 (Намаляване и/или премахване на митата върху вноса) Сингапур премахва митата върху всички продукти с произход от Съюза от датата на влизане в сила на настоящото споразумение. </w:t>
      </w:r>
    </w:p>
    <w:p>
      <w:pPr>
        <w:ind w:left="600" w:hanging="600"/>
        <w:rPr>
          <w:noProof/>
          <w:lang w:val="bg-BG" w:eastAsia="en-GB"/>
        </w:rPr>
      </w:pPr>
    </w:p>
    <w:p>
      <w:pPr>
        <w:widowControl/>
        <w:spacing w:line="240" w:lineRule="auto"/>
        <w:rPr>
          <w:noProof/>
          <w:lang w:val="bg-BG" w:eastAsia="en-GB"/>
        </w:rPr>
      </w:pPr>
      <w:r>
        <w:rPr>
          <w:noProof/>
          <w:lang w:val="bg-BG" w:eastAsia="en-GB"/>
        </w:rPr>
        <w:br w:type="page"/>
      </w:r>
    </w:p>
    <w:p>
      <w:pPr>
        <w:jc w:val="center"/>
        <w:rPr>
          <w:noProof/>
          <w:lang w:val="bg-BG"/>
        </w:rPr>
      </w:pPr>
      <w:r>
        <w:rPr>
          <w:noProof/>
          <w:lang w:val="bg-BG"/>
        </w:rPr>
        <w:lastRenderedPageBreak/>
        <w:t>МИТНИЧЕСКА ТАРИФА НА СЪЮЗА</w:t>
      </w:r>
    </w:p>
    <w:p>
      <w:pPr>
        <w:rPr>
          <w:noProof/>
          <w:lang w:val="bg-BG"/>
        </w:rPr>
      </w:pPr>
    </w:p>
    <w:p>
      <w:pPr>
        <w:jc w:val="right"/>
        <w:rPr>
          <w:b/>
          <w:noProof/>
          <w:u w:val="single"/>
          <w:lang w:val="bg-BG"/>
        </w:rPr>
      </w:pPr>
      <w:r>
        <w:rPr>
          <w:b/>
          <w:noProof/>
          <w:u w:val="single"/>
          <w:lang w:val="bg-BG"/>
        </w:rPr>
        <w:t>Допълнение 2-А-2</w:t>
      </w:r>
    </w:p>
    <w:p>
      <w:pPr>
        <w:rPr>
          <w:noProof/>
          <w:lang w:val="bg-BG"/>
        </w:rPr>
      </w:pPr>
    </w:p>
    <w:p>
      <w:pPr>
        <w:rPr>
          <w:noProof/>
          <w:lang w:val="bg-BG"/>
        </w:rPr>
      </w:pPr>
    </w:p>
    <w:p>
      <w:pPr>
        <w:jc w:val="center"/>
        <w:rPr>
          <w:noProof/>
          <w:lang w:val="bg-BG"/>
        </w:rPr>
      </w:pPr>
      <w:r>
        <w:rPr>
          <w:noProof/>
          <w:lang w:val="bg-BG"/>
        </w:rPr>
        <w:t>График за премахване на митата — Съюза</w:t>
      </w:r>
    </w:p>
    <w:p>
      <w:pPr>
        <w:rPr>
          <w:b/>
          <w:noProof/>
          <w:lang w:val="bg-BG"/>
        </w:rPr>
      </w:pPr>
    </w:p>
    <w:p>
      <w:pPr>
        <w:rPr>
          <w:noProof/>
          <w:lang w:val="bg-BG"/>
        </w:rPr>
      </w:pPr>
      <w:r>
        <w:rPr>
          <w:noProof/>
          <w:lang w:val="bg-BG"/>
        </w:rPr>
        <w:t>Общи забележки</w:t>
      </w:r>
    </w:p>
    <w:p>
      <w:pPr>
        <w:rPr>
          <w:noProof/>
          <w:lang w:val="bg-BG"/>
        </w:rPr>
      </w:pPr>
    </w:p>
    <w:p>
      <w:pPr>
        <w:ind w:left="600" w:hanging="600"/>
        <w:rPr>
          <w:noProof/>
          <w:lang w:val="bg-BG"/>
        </w:rPr>
      </w:pPr>
      <w:r>
        <w:rPr>
          <w:noProof/>
          <w:lang w:val="bg-BG"/>
        </w:rPr>
        <w:t>1.</w:t>
      </w:r>
      <w:r>
        <w:rPr>
          <w:noProof/>
          <w:lang w:val="bg-BG"/>
        </w:rPr>
        <w:tab/>
        <w:t>Връзка с Комбинираната номенклатура (наричана по-долу „КН“) на Съюза: като цяло в разпоредбите на настоящия график са използвани понятията от КН и тълкуването на тези разпоредби, включително обхвата на продуктите от подпозициите от графика, се урежда от общите забележки и забележките към разделите и главите от КН. Доколкото разпоредбите на настоящия график са идентични със съответните разпоредби на КН, разпоредбите на настоящия график имат същото значение като съответните разпоредби на КН.</w:t>
      </w:r>
    </w:p>
    <w:p>
      <w:pPr>
        <w:ind w:left="600" w:hanging="600"/>
        <w:rPr>
          <w:noProof/>
          <w:lang w:val="bg-BG" w:eastAsia="en-GB"/>
        </w:rPr>
      </w:pPr>
    </w:p>
    <w:p>
      <w:pPr>
        <w:ind w:left="600" w:hanging="600"/>
        <w:rPr>
          <w:noProof/>
          <w:lang w:val="bg-BG"/>
        </w:rPr>
      </w:pPr>
      <w:r>
        <w:rPr>
          <w:noProof/>
          <w:lang w:val="bg-BG"/>
        </w:rPr>
        <w:t>2.</w:t>
      </w:r>
      <w:r>
        <w:rPr>
          <w:noProof/>
          <w:lang w:val="bg-BG"/>
        </w:rPr>
        <w:tab/>
        <w:t>Базови митнически ставки: базовите митнически ставки в настоящия график отразяват ставките от Общата митническа тарифа на Европейската общност в сила към 1 януари 2010 г.</w:t>
      </w:r>
    </w:p>
    <w:p>
      <w:pPr>
        <w:ind w:left="600" w:hanging="600"/>
        <w:rPr>
          <w:noProof/>
          <w:lang w:val="bg-BG" w:eastAsia="en-GB"/>
        </w:rPr>
      </w:pPr>
    </w:p>
    <w:p>
      <w:pPr>
        <w:ind w:left="600" w:hanging="600"/>
        <w:rPr>
          <w:noProof/>
          <w:lang w:val="bg-BG"/>
        </w:rPr>
      </w:pPr>
      <w:r>
        <w:rPr>
          <w:noProof/>
          <w:lang w:val="bg-BG"/>
        </w:rPr>
        <w:t>3.</w:t>
      </w:r>
      <w:r>
        <w:rPr>
          <w:noProof/>
          <w:lang w:val="bg-BG"/>
        </w:rPr>
        <w:tab/>
        <w:t>В съответствие с член 2.6 (Намаляване и/или премахване на митата върху вноса) Съюзът премахва митата върху всички продукти с произход от Сингапур съгласно настоящото споразумение от датата на влизане в сила на последното, с изключение на митата, изброени в митническата тарифа на Съюза.</w:t>
      </w:r>
    </w:p>
    <w:p>
      <w:pPr>
        <w:ind w:left="600" w:hanging="600"/>
        <w:rPr>
          <w:noProof/>
          <w:lang w:val="bg-BG" w:eastAsia="en-GB"/>
        </w:rPr>
      </w:pPr>
    </w:p>
    <w:p>
      <w:pPr>
        <w:ind w:left="600" w:hanging="600"/>
        <w:rPr>
          <w:noProof/>
          <w:lang w:val="bg-BG" w:eastAsia="en-GB"/>
        </w:rPr>
      </w:pPr>
      <w:r>
        <w:rPr>
          <w:noProof/>
          <w:lang w:val="bg-BG" w:eastAsia="en-GB"/>
        </w:rPr>
        <w:br w:type="page"/>
      </w:r>
    </w:p>
    <w:p>
      <w:pPr>
        <w:ind w:left="600" w:hanging="600"/>
        <w:rPr>
          <w:noProof/>
          <w:lang w:val="bg-BG"/>
        </w:rPr>
      </w:pPr>
      <w:r>
        <w:rPr>
          <w:noProof/>
          <w:lang w:val="bg-BG"/>
        </w:rPr>
        <w:lastRenderedPageBreak/>
        <w:t>Система на входни цени</w:t>
      </w:r>
    </w:p>
    <w:p>
      <w:pPr>
        <w:ind w:left="600" w:hanging="600"/>
        <w:rPr>
          <w:rFonts w:eastAsia="Batang"/>
          <w:noProof/>
          <w:lang w:val="bg-BG"/>
        </w:rPr>
      </w:pPr>
    </w:p>
    <w:p>
      <w:pPr>
        <w:ind w:left="600" w:hanging="600"/>
        <w:rPr>
          <w:noProof/>
          <w:lang w:val="bg-BG"/>
        </w:rPr>
      </w:pPr>
      <w:r>
        <w:rPr>
          <w:noProof/>
          <w:lang w:val="bg-BG"/>
        </w:rPr>
        <w:t>4</w:t>
      </w:r>
      <w:r>
        <w:rPr>
          <w:rFonts w:hint="eastAsia"/>
          <w:noProof/>
          <w:lang w:val="bg-BG"/>
        </w:rPr>
        <w:t>.</w:t>
      </w:r>
      <w:r>
        <w:rPr>
          <w:noProof/>
          <w:lang w:val="bg-BG"/>
        </w:rPr>
        <w:tab/>
        <w:t xml:space="preserve">В параграфи 5 — 7 от настоящото приложение </w:t>
      </w:r>
      <w:r>
        <w:rPr>
          <w:rFonts w:hint="eastAsia"/>
          <w:noProof/>
          <w:lang w:val="bg-BG"/>
        </w:rPr>
        <w:t>са изложени изменения в схемата на входни цени, която</w:t>
      </w:r>
      <w:r>
        <w:rPr>
          <w:noProof/>
          <w:lang w:val="bg-BG"/>
        </w:rPr>
        <w:t xml:space="preserve"> Съюзът </w:t>
      </w:r>
      <w:r>
        <w:rPr>
          <w:rFonts w:hint="eastAsia"/>
          <w:noProof/>
          <w:lang w:val="bg-BG"/>
        </w:rPr>
        <w:t>прилага за някои плодове и зеленчуци в съответствие с</w:t>
      </w:r>
      <w:r>
        <w:rPr>
          <w:noProof/>
          <w:lang w:val="bg-BG"/>
        </w:rPr>
        <w:t xml:space="preserve"> Общата митническа тарифа, предвидена в </w:t>
      </w:r>
      <w:r>
        <w:rPr>
          <w:rFonts w:hint="eastAsia"/>
          <w:noProof/>
          <w:lang w:val="bg-BG"/>
        </w:rPr>
        <w:t>Р</w:t>
      </w:r>
      <w:r>
        <w:rPr>
          <w:noProof/>
          <w:lang w:val="bg-BG"/>
        </w:rPr>
        <w:t xml:space="preserve">егламент за изпълнение </w:t>
      </w:r>
      <w:r>
        <w:rPr>
          <w:rFonts w:hint="eastAsia"/>
          <w:noProof/>
          <w:lang w:val="bg-BG"/>
        </w:rPr>
        <w:t xml:space="preserve">(ЕС) № </w:t>
      </w:r>
      <w:r>
        <w:rPr>
          <w:noProof/>
          <w:lang w:val="bg-BG"/>
        </w:rPr>
        <w:t>927/</w:t>
      </w:r>
      <w:r>
        <w:rPr>
          <w:rFonts w:hint="eastAsia"/>
          <w:noProof/>
          <w:lang w:val="bg-BG"/>
        </w:rPr>
        <w:t>20</w:t>
      </w:r>
      <w:r>
        <w:rPr>
          <w:noProof/>
          <w:lang w:val="bg-BG"/>
        </w:rPr>
        <w:t>12 на Комисията</w:t>
      </w:r>
      <w:r>
        <w:rPr>
          <w:rFonts w:hint="eastAsia"/>
          <w:noProof/>
          <w:lang w:val="bg-BG"/>
        </w:rPr>
        <w:t xml:space="preserve"> от </w:t>
      </w:r>
      <w:r>
        <w:rPr>
          <w:noProof/>
          <w:lang w:val="bg-BG"/>
        </w:rPr>
        <w:t>9</w:t>
      </w:r>
      <w:r>
        <w:rPr>
          <w:rFonts w:hint="eastAsia"/>
          <w:noProof/>
          <w:lang w:val="bg-BG"/>
        </w:rPr>
        <w:t xml:space="preserve"> </w:t>
      </w:r>
      <w:r>
        <w:rPr>
          <w:noProof/>
          <w:lang w:val="bg-BG"/>
        </w:rPr>
        <w:t xml:space="preserve">октомври </w:t>
      </w:r>
      <w:r>
        <w:rPr>
          <w:rFonts w:hint="eastAsia"/>
          <w:noProof/>
          <w:lang w:val="bg-BG"/>
        </w:rPr>
        <w:t>20</w:t>
      </w:r>
      <w:r>
        <w:rPr>
          <w:noProof/>
          <w:lang w:val="bg-BG"/>
        </w:rPr>
        <w:t>12 г. (и последващите актове),</w:t>
      </w:r>
      <w:r>
        <w:rPr>
          <w:rFonts w:hint="eastAsia"/>
          <w:noProof/>
          <w:lang w:val="bg-BG"/>
        </w:rPr>
        <w:t xml:space="preserve"> и списък </w:t>
      </w:r>
      <w:r>
        <w:rPr>
          <w:rFonts w:hint="eastAsia"/>
          <w:noProof/>
        </w:rPr>
        <w:t>CXL</w:t>
      </w:r>
      <w:r>
        <w:rPr>
          <w:rFonts w:hint="eastAsia"/>
          <w:noProof/>
          <w:lang w:val="bg-BG"/>
        </w:rPr>
        <w:t xml:space="preserve"> на Съюза в рамките на СТО. По-специално, по отношение на включените в настоящото приложение </w:t>
      </w:r>
      <w:r>
        <w:rPr>
          <w:noProof/>
          <w:lang w:val="bg-BG"/>
        </w:rPr>
        <w:t>стоки</w:t>
      </w:r>
      <w:r>
        <w:rPr>
          <w:rFonts w:hint="eastAsia"/>
          <w:noProof/>
          <w:lang w:val="bg-BG"/>
        </w:rPr>
        <w:t xml:space="preserve"> с произход от </w:t>
      </w:r>
      <w:r>
        <w:rPr>
          <w:noProof/>
          <w:lang w:val="bg-BG"/>
        </w:rPr>
        <w:t>Сингапур</w:t>
      </w:r>
      <w:r>
        <w:rPr>
          <w:rFonts w:hint="eastAsia"/>
          <w:noProof/>
          <w:lang w:val="bg-BG"/>
        </w:rPr>
        <w:t xml:space="preserve"> се прилага схемата на входни цени, изложена в настоящото </w:t>
      </w:r>
      <w:r>
        <w:rPr>
          <w:noProof/>
          <w:lang w:val="bg-BG"/>
        </w:rPr>
        <w:t>приложение,</w:t>
      </w:r>
      <w:r>
        <w:rPr>
          <w:rFonts w:hint="eastAsia"/>
          <w:noProof/>
          <w:lang w:val="bg-BG"/>
        </w:rPr>
        <w:t xml:space="preserve"> вместо схемата на входни цени, определена в </w:t>
      </w:r>
      <w:r>
        <w:rPr>
          <w:noProof/>
          <w:lang w:val="bg-BG"/>
        </w:rPr>
        <w:t xml:space="preserve">Общата митническа тарифа, предвидена в </w:t>
      </w:r>
      <w:r>
        <w:rPr>
          <w:rFonts w:hint="eastAsia"/>
          <w:noProof/>
          <w:lang w:val="bg-BG"/>
        </w:rPr>
        <w:t>Р</w:t>
      </w:r>
      <w:r>
        <w:rPr>
          <w:noProof/>
          <w:lang w:val="bg-BG"/>
        </w:rPr>
        <w:t xml:space="preserve">егламент </w:t>
      </w:r>
      <w:r>
        <w:rPr>
          <w:rFonts w:hint="eastAsia"/>
          <w:noProof/>
          <w:lang w:val="bg-BG"/>
        </w:rPr>
        <w:t>з</w:t>
      </w:r>
      <w:r>
        <w:rPr>
          <w:noProof/>
          <w:lang w:val="bg-BG"/>
        </w:rPr>
        <w:t xml:space="preserve">а изпълнение </w:t>
      </w:r>
      <w:r>
        <w:rPr>
          <w:rFonts w:hint="eastAsia"/>
          <w:noProof/>
          <w:lang w:val="bg-BG"/>
        </w:rPr>
        <w:t xml:space="preserve">(ЕС) № </w:t>
      </w:r>
      <w:r>
        <w:rPr>
          <w:noProof/>
          <w:lang w:val="bg-BG"/>
        </w:rPr>
        <w:t>927</w:t>
      </w:r>
      <w:r>
        <w:rPr>
          <w:rFonts w:hint="eastAsia"/>
          <w:noProof/>
          <w:lang w:val="bg-BG"/>
        </w:rPr>
        <w:t>/20</w:t>
      </w:r>
      <w:r>
        <w:rPr>
          <w:noProof/>
          <w:lang w:val="bg-BG"/>
        </w:rPr>
        <w:t>12</w:t>
      </w:r>
      <w:r>
        <w:rPr>
          <w:rFonts w:hint="eastAsia"/>
          <w:noProof/>
          <w:lang w:val="bg-BG"/>
        </w:rPr>
        <w:t xml:space="preserve"> от </w:t>
      </w:r>
      <w:r>
        <w:rPr>
          <w:noProof/>
          <w:lang w:val="bg-BG"/>
        </w:rPr>
        <w:t>9</w:t>
      </w:r>
      <w:r>
        <w:rPr>
          <w:rFonts w:hint="eastAsia"/>
          <w:noProof/>
          <w:lang w:val="bg-BG"/>
        </w:rPr>
        <w:t xml:space="preserve"> </w:t>
      </w:r>
      <w:r>
        <w:rPr>
          <w:noProof/>
          <w:lang w:val="bg-BG"/>
        </w:rPr>
        <w:t>октомври</w:t>
      </w:r>
      <w:r>
        <w:rPr>
          <w:rFonts w:hint="eastAsia"/>
          <w:noProof/>
          <w:lang w:val="bg-BG"/>
        </w:rPr>
        <w:t xml:space="preserve"> 20</w:t>
      </w:r>
      <w:r>
        <w:rPr>
          <w:noProof/>
          <w:lang w:val="bg-BG"/>
        </w:rPr>
        <w:t>12</w:t>
      </w:r>
      <w:r>
        <w:rPr>
          <w:rFonts w:hint="eastAsia"/>
          <w:noProof/>
          <w:lang w:val="bg-BG"/>
        </w:rPr>
        <w:t xml:space="preserve"> </w:t>
      </w:r>
      <w:r>
        <w:rPr>
          <w:noProof/>
          <w:lang w:val="bg-BG"/>
        </w:rPr>
        <w:t xml:space="preserve">г. (и последващите актове), </w:t>
      </w:r>
      <w:r>
        <w:rPr>
          <w:rFonts w:hint="eastAsia"/>
          <w:noProof/>
          <w:lang w:val="bg-BG"/>
        </w:rPr>
        <w:t xml:space="preserve">и в </w:t>
      </w:r>
      <w:r>
        <w:rPr>
          <w:noProof/>
          <w:lang w:val="bg-BG"/>
        </w:rPr>
        <w:t>списък</w:t>
      </w:r>
      <w:r>
        <w:rPr>
          <w:rFonts w:hint="eastAsia"/>
          <w:noProof/>
          <w:lang w:val="bg-BG"/>
        </w:rPr>
        <w:t xml:space="preserve"> </w:t>
      </w:r>
      <w:r>
        <w:rPr>
          <w:rFonts w:hint="eastAsia"/>
          <w:noProof/>
        </w:rPr>
        <w:t>CXL</w:t>
      </w:r>
      <w:r>
        <w:rPr>
          <w:rFonts w:hint="eastAsia"/>
          <w:noProof/>
          <w:lang w:val="bg-BG"/>
        </w:rPr>
        <w:t xml:space="preserve"> на Съюза в рамките на СТО.</w:t>
      </w:r>
    </w:p>
    <w:p>
      <w:pPr>
        <w:ind w:left="600" w:hanging="600"/>
        <w:rPr>
          <w:rFonts w:eastAsia="Batang"/>
          <w:noProof/>
          <w:lang w:val="bg-BG" w:eastAsia="en-GB"/>
        </w:rPr>
      </w:pPr>
    </w:p>
    <w:p>
      <w:pPr>
        <w:ind w:left="600" w:hanging="600"/>
        <w:rPr>
          <w:noProof/>
          <w:lang w:val="bg-BG"/>
        </w:rPr>
      </w:pPr>
      <w:r>
        <w:rPr>
          <w:noProof/>
          <w:lang w:val="bg-BG"/>
        </w:rPr>
        <w:t>5</w:t>
      </w:r>
      <w:r>
        <w:rPr>
          <w:rFonts w:hint="eastAsia"/>
          <w:noProof/>
          <w:lang w:val="bg-BG"/>
        </w:rPr>
        <w:t>.</w:t>
      </w:r>
      <w:r>
        <w:rPr>
          <w:noProof/>
          <w:lang w:val="bg-BG"/>
        </w:rPr>
        <w:tab/>
      </w:r>
      <w:r>
        <w:rPr>
          <w:rFonts w:hint="eastAsia"/>
          <w:noProof/>
          <w:lang w:val="bg-BG"/>
        </w:rPr>
        <w:t xml:space="preserve">По отношение на стоките с произход от </w:t>
      </w:r>
      <w:r>
        <w:rPr>
          <w:noProof/>
          <w:lang w:val="bg-BG"/>
        </w:rPr>
        <w:t>Сингапур</w:t>
      </w:r>
      <w:r>
        <w:rPr>
          <w:rFonts w:hint="eastAsia"/>
          <w:noProof/>
          <w:lang w:val="bg-BG"/>
        </w:rPr>
        <w:t xml:space="preserve">, за които </w:t>
      </w:r>
      <w:r>
        <w:rPr>
          <w:noProof/>
          <w:lang w:val="bg-BG"/>
        </w:rPr>
        <w:t>Съюзът</w:t>
      </w:r>
      <w:r>
        <w:rPr>
          <w:rFonts w:hint="eastAsia"/>
          <w:noProof/>
          <w:lang w:val="bg-BG"/>
        </w:rPr>
        <w:t xml:space="preserve"> прилага своята схема на входни цени в съответствие с Р</w:t>
      </w:r>
      <w:r>
        <w:rPr>
          <w:noProof/>
          <w:lang w:val="bg-BG"/>
        </w:rPr>
        <w:t xml:space="preserve">егламент за изпълнение </w:t>
      </w:r>
      <w:r>
        <w:rPr>
          <w:rFonts w:hint="eastAsia"/>
          <w:noProof/>
          <w:lang w:val="bg-BG"/>
        </w:rPr>
        <w:t xml:space="preserve">(ЕС) № </w:t>
      </w:r>
      <w:r>
        <w:rPr>
          <w:noProof/>
          <w:lang w:val="bg-BG"/>
        </w:rPr>
        <w:t>927</w:t>
      </w:r>
      <w:r>
        <w:rPr>
          <w:rFonts w:hint="eastAsia"/>
          <w:noProof/>
          <w:lang w:val="bg-BG"/>
        </w:rPr>
        <w:t>/20</w:t>
      </w:r>
      <w:r>
        <w:rPr>
          <w:noProof/>
          <w:lang w:val="bg-BG"/>
        </w:rPr>
        <w:t>12</w:t>
      </w:r>
      <w:r>
        <w:rPr>
          <w:rFonts w:hint="eastAsia"/>
          <w:noProof/>
          <w:lang w:val="bg-BG"/>
        </w:rPr>
        <w:t xml:space="preserve"> на Комисията от </w:t>
      </w:r>
      <w:r>
        <w:rPr>
          <w:noProof/>
          <w:lang w:val="bg-BG"/>
        </w:rPr>
        <w:t>9</w:t>
      </w:r>
      <w:r>
        <w:rPr>
          <w:rFonts w:hint="eastAsia"/>
          <w:noProof/>
          <w:lang w:val="bg-BG"/>
        </w:rPr>
        <w:t xml:space="preserve"> </w:t>
      </w:r>
      <w:r>
        <w:rPr>
          <w:noProof/>
          <w:lang w:val="bg-BG"/>
        </w:rPr>
        <w:t xml:space="preserve">октомври </w:t>
      </w:r>
      <w:r>
        <w:rPr>
          <w:rFonts w:hint="eastAsia"/>
          <w:noProof/>
          <w:lang w:val="bg-BG"/>
        </w:rPr>
        <w:t>20</w:t>
      </w:r>
      <w:r>
        <w:rPr>
          <w:noProof/>
          <w:lang w:val="bg-BG"/>
        </w:rPr>
        <w:t>12</w:t>
      </w:r>
      <w:r>
        <w:rPr>
          <w:rFonts w:hint="eastAsia"/>
          <w:noProof/>
          <w:lang w:val="bg-BG"/>
        </w:rPr>
        <w:t xml:space="preserve"> г. и списък </w:t>
      </w:r>
      <w:r>
        <w:rPr>
          <w:rFonts w:hint="eastAsia"/>
          <w:noProof/>
        </w:rPr>
        <w:t>CXL</w:t>
      </w:r>
      <w:r>
        <w:rPr>
          <w:rFonts w:hint="eastAsia"/>
          <w:noProof/>
          <w:lang w:val="bg-BG"/>
        </w:rPr>
        <w:t xml:space="preserve"> на </w:t>
      </w:r>
      <w:r>
        <w:rPr>
          <w:noProof/>
          <w:lang w:val="bg-BG"/>
        </w:rPr>
        <w:t>Съюза</w:t>
      </w:r>
      <w:r>
        <w:rPr>
          <w:rFonts w:hint="eastAsia"/>
          <w:noProof/>
          <w:lang w:val="bg-BG"/>
        </w:rPr>
        <w:t xml:space="preserve"> в рамките на СТО, адвалорните мита върху тези стоки отпадат в съответствие с поетапните категории, предвидени в </w:t>
      </w:r>
      <w:r>
        <w:rPr>
          <w:noProof/>
          <w:lang w:val="bg-BG"/>
        </w:rPr>
        <w:t>графика</w:t>
      </w:r>
      <w:r>
        <w:rPr>
          <w:rFonts w:hint="eastAsia"/>
          <w:noProof/>
          <w:lang w:val="bg-BG"/>
        </w:rPr>
        <w:t xml:space="preserve"> на Съюза.</w:t>
      </w:r>
    </w:p>
    <w:p>
      <w:pPr>
        <w:ind w:left="600" w:hanging="600"/>
        <w:rPr>
          <w:rFonts w:eastAsia="Batang"/>
          <w:noProof/>
          <w:lang w:val="bg-BG" w:eastAsia="en-GB"/>
        </w:rPr>
      </w:pPr>
    </w:p>
    <w:p>
      <w:pPr>
        <w:ind w:left="600" w:hanging="600"/>
        <w:rPr>
          <w:noProof/>
          <w:lang w:val="bg-BG"/>
        </w:rPr>
      </w:pPr>
      <w:r>
        <w:rPr>
          <w:noProof/>
          <w:lang w:val="bg-BG"/>
        </w:rPr>
        <w:t>6</w:t>
      </w:r>
      <w:r>
        <w:rPr>
          <w:rFonts w:hint="eastAsia"/>
          <w:noProof/>
          <w:lang w:val="bg-BG"/>
        </w:rPr>
        <w:t>.</w:t>
      </w:r>
      <w:r>
        <w:rPr>
          <w:noProof/>
          <w:lang w:val="bg-BG"/>
        </w:rPr>
        <w:tab/>
      </w:r>
      <w:r>
        <w:rPr>
          <w:rFonts w:hint="eastAsia"/>
          <w:noProof/>
          <w:lang w:val="bg-BG"/>
        </w:rPr>
        <w:t>Специфичните мита</w:t>
      </w:r>
      <w:r>
        <w:rPr>
          <w:noProof/>
          <w:lang w:val="bg-BG"/>
        </w:rPr>
        <w:t xml:space="preserve">, предвидени в Регламент (ЕО) № 948/2009 на </w:t>
      </w:r>
      <w:r>
        <w:rPr>
          <w:rFonts w:hint="eastAsia"/>
          <w:noProof/>
          <w:lang w:val="bg-BG"/>
        </w:rPr>
        <w:t>Комисията</w:t>
      </w:r>
      <w:r>
        <w:rPr>
          <w:noProof/>
          <w:lang w:val="bg-BG"/>
        </w:rPr>
        <w:t xml:space="preserve"> от 30 Септември 2009 г., </w:t>
      </w:r>
      <w:r>
        <w:rPr>
          <w:rFonts w:hint="eastAsia"/>
          <w:noProof/>
          <w:lang w:val="bg-BG"/>
        </w:rPr>
        <w:t>върху стоките от параграф</w:t>
      </w:r>
      <w:r>
        <w:rPr>
          <w:noProof/>
          <w:lang w:val="bg-BG"/>
        </w:rPr>
        <w:t xml:space="preserve"> 5 </w:t>
      </w:r>
      <w:r>
        <w:rPr>
          <w:rFonts w:hint="eastAsia"/>
          <w:noProof/>
          <w:lang w:val="bg-BG"/>
        </w:rPr>
        <w:t>не подлежат на изискването за премахване на митата в съответствие с поетапните категории, определени в</w:t>
      </w:r>
      <w:r>
        <w:rPr>
          <w:noProof/>
          <w:lang w:val="bg-BG"/>
        </w:rPr>
        <w:t xml:space="preserve"> </w:t>
      </w:r>
      <w:r>
        <w:rPr>
          <w:rFonts w:hint="eastAsia"/>
          <w:noProof/>
          <w:lang w:val="bg-BG"/>
        </w:rPr>
        <w:t>графика на Съюза</w:t>
      </w:r>
      <w:r>
        <w:rPr>
          <w:noProof/>
          <w:lang w:val="bg-BG"/>
        </w:rPr>
        <w:t>.</w:t>
      </w:r>
      <w:r>
        <w:rPr>
          <w:rFonts w:hint="eastAsia"/>
          <w:noProof/>
          <w:lang w:val="bg-BG"/>
        </w:rPr>
        <w:t xml:space="preserve"> Вместо това</w:t>
      </w:r>
      <w:r>
        <w:rPr>
          <w:noProof/>
          <w:lang w:val="bg-BG"/>
        </w:rPr>
        <w:t xml:space="preserve"> специфичните </w:t>
      </w:r>
      <w:r>
        <w:rPr>
          <w:rFonts w:hint="eastAsia"/>
          <w:noProof/>
          <w:lang w:val="bg-BG"/>
        </w:rPr>
        <w:t xml:space="preserve">мита </w:t>
      </w:r>
      <w:r>
        <w:rPr>
          <w:noProof/>
          <w:lang w:val="bg-BG"/>
        </w:rPr>
        <w:t>се запазват за следните стоки</w:t>
      </w:r>
      <w:r>
        <w:rPr>
          <w:rFonts w:hint="eastAsia"/>
          <w:noProof/>
          <w:lang w:val="bg-BG"/>
        </w:rPr>
        <w:t>:</w:t>
      </w:r>
    </w:p>
    <w:p>
      <w:pPr>
        <w:rPr>
          <w:noProof/>
          <w:szCs w:val="22"/>
          <w:lang w:val="bg-BG" w:eastAsia="en-GB"/>
        </w:rPr>
      </w:pPr>
      <w:r>
        <w:rPr>
          <w:noProof/>
          <w:lang w:val="bg-BG"/>
        </w:rPr>
        <w:br w:type="page"/>
      </w:r>
    </w:p>
    <w:tbl>
      <w:tblPr>
        <w:tblW w:w="7775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6096"/>
      </w:tblGrid>
      <w:tr>
        <w:trPr>
          <w:tblHeader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>
            <w:pPr>
              <w:tabs>
                <w:tab w:val="left" w:pos="850"/>
              </w:tabs>
              <w:jc w:val="center"/>
              <w:rPr>
                <w:rFonts w:eastAsia="Batang"/>
                <w:noProof/>
              </w:rPr>
            </w:pPr>
            <w:r>
              <w:rPr>
                <w:noProof/>
              </w:rPr>
              <w:t>Код по КН 2013 г.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>
            <w:pPr>
              <w:tabs>
                <w:tab w:val="left" w:pos="850"/>
              </w:tabs>
              <w:jc w:val="center"/>
              <w:rPr>
                <w:rFonts w:eastAsia="Batang"/>
                <w:noProof/>
              </w:rPr>
            </w:pPr>
            <w:r>
              <w:rPr>
                <w:noProof/>
              </w:rPr>
              <w:t>Описание</w:t>
            </w:r>
          </w:p>
        </w:tc>
      </w:tr>
      <w:tr>
        <w:trPr>
          <w:trHeight w:val="20"/>
        </w:trPr>
        <w:tc>
          <w:tcPr>
            <w:tcW w:w="1679" w:type="dxa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0702 00 00</w:t>
            </w:r>
          </w:p>
        </w:tc>
        <w:tc>
          <w:tcPr>
            <w:tcW w:w="6096" w:type="dxa"/>
            <w:vAlign w:val="bottom"/>
          </w:tcPr>
          <w:p>
            <w:pPr>
              <w:tabs>
                <w:tab w:val="left" w:pos="850"/>
              </w:tabs>
              <w:rPr>
                <w:rFonts w:ascii="Calibri" w:eastAsia="Batang" w:hAnsi="Calibri" w:cs="Calibri"/>
                <w:noProof/>
                <w:color w:val="000000"/>
              </w:rPr>
            </w:pPr>
            <w:r>
              <w:rPr>
                <w:noProof/>
              </w:rPr>
              <w:t>Домати, пресни или охладени</w:t>
            </w:r>
          </w:p>
        </w:tc>
      </w:tr>
      <w:tr>
        <w:trPr>
          <w:trHeight w:val="20"/>
        </w:trPr>
        <w:tc>
          <w:tcPr>
            <w:tcW w:w="1679" w:type="dxa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0707 00 05</w:t>
            </w:r>
          </w:p>
        </w:tc>
        <w:tc>
          <w:tcPr>
            <w:tcW w:w="6096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- Краставици</w:t>
            </w:r>
          </w:p>
        </w:tc>
      </w:tr>
      <w:tr>
        <w:trPr>
          <w:trHeight w:val="20"/>
        </w:trPr>
        <w:tc>
          <w:tcPr>
            <w:tcW w:w="1679" w:type="dxa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0709 91 00</w:t>
            </w:r>
          </w:p>
        </w:tc>
        <w:tc>
          <w:tcPr>
            <w:tcW w:w="6096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-- Артишок (ангинарии)</w:t>
            </w:r>
          </w:p>
        </w:tc>
      </w:tr>
      <w:tr>
        <w:trPr>
          <w:trHeight w:val="20"/>
        </w:trPr>
        <w:tc>
          <w:tcPr>
            <w:tcW w:w="1679" w:type="dxa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0709 93 10</w:t>
            </w:r>
          </w:p>
        </w:tc>
        <w:tc>
          <w:tcPr>
            <w:tcW w:w="6096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--- Тиквички</w:t>
            </w:r>
          </w:p>
        </w:tc>
      </w:tr>
      <w:tr>
        <w:trPr>
          <w:trHeight w:val="20"/>
        </w:trPr>
        <w:tc>
          <w:tcPr>
            <w:tcW w:w="1679" w:type="dxa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0805 10 20</w:t>
            </w:r>
          </w:p>
        </w:tc>
        <w:tc>
          <w:tcPr>
            <w:tcW w:w="6096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-- Сладки портокали, пресни</w:t>
            </w:r>
          </w:p>
        </w:tc>
      </w:tr>
      <w:tr>
        <w:trPr>
          <w:trHeight w:val="20"/>
        </w:trPr>
        <w:tc>
          <w:tcPr>
            <w:tcW w:w="1679" w:type="dxa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0805 20 10</w:t>
            </w:r>
          </w:p>
        </w:tc>
        <w:tc>
          <w:tcPr>
            <w:tcW w:w="6096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-- Клементинки</w:t>
            </w:r>
          </w:p>
        </w:tc>
      </w:tr>
      <w:tr>
        <w:trPr>
          <w:trHeight w:val="20"/>
        </w:trPr>
        <w:tc>
          <w:tcPr>
            <w:tcW w:w="1679" w:type="dxa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0805 20 30</w:t>
            </w:r>
          </w:p>
        </w:tc>
        <w:tc>
          <w:tcPr>
            <w:tcW w:w="6096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-- Монреалски и сатсумаси</w:t>
            </w:r>
          </w:p>
        </w:tc>
      </w:tr>
      <w:tr>
        <w:trPr>
          <w:trHeight w:val="20"/>
        </w:trPr>
        <w:tc>
          <w:tcPr>
            <w:tcW w:w="1679" w:type="dxa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0805 20 50</w:t>
            </w:r>
          </w:p>
        </w:tc>
        <w:tc>
          <w:tcPr>
            <w:tcW w:w="6096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-- Мандарини и wilkings</w:t>
            </w:r>
          </w:p>
        </w:tc>
      </w:tr>
      <w:tr>
        <w:trPr>
          <w:trHeight w:val="20"/>
        </w:trPr>
        <w:tc>
          <w:tcPr>
            <w:tcW w:w="1679" w:type="dxa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0805 20 70</w:t>
            </w:r>
          </w:p>
        </w:tc>
        <w:tc>
          <w:tcPr>
            <w:tcW w:w="6096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-- Тангерини</w:t>
            </w:r>
          </w:p>
        </w:tc>
      </w:tr>
      <w:tr>
        <w:trPr>
          <w:trHeight w:val="20"/>
        </w:trPr>
        <w:tc>
          <w:tcPr>
            <w:tcW w:w="1679" w:type="dxa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0805 20 90</w:t>
            </w:r>
          </w:p>
        </w:tc>
        <w:tc>
          <w:tcPr>
            <w:tcW w:w="6096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-- Други</w:t>
            </w:r>
          </w:p>
        </w:tc>
      </w:tr>
      <w:tr>
        <w:trPr>
          <w:trHeight w:val="20"/>
        </w:trPr>
        <w:tc>
          <w:tcPr>
            <w:tcW w:w="1679" w:type="dxa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0805 50 10</w:t>
            </w:r>
          </w:p>
        </w:tc>
        <w:tc>
          <w:tcPr>
            <w:tcW w:w="6096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-- Лимони (Citrus limon, Citrus limonum)</w:t>
            </w:r>
          </w:p>
        </w:tc>
      </w:tr>
      <w:tr>
        <w:trPr>
          <w:trHeight w:val="20"/>
        </w:trPr>
        <w:tc>
          <w:tcPr>
            <w:tcW w:w="1679" w:type="dxa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0806 10 10</w:t>
            </w:r>
          </w:p>
        </w:tc>
        <w:tc>
          <w:tcPr>
            <w:tcW w:w="6096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-- Трапезно грозде</w:t>
            </w:r>
          </w:p>
        </w:tc>
      </w:tr>
      <w:tr>
        <w:trPr>
          <w:trHeight w:val="20"/>
        </w:trPr>
        <w:tc>
          <w:tcPr>
            <w:tcW w:w="1679" w:type="dxa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0808 10 80</w:t>
            </w:r>
          </w:p>
        </w:tc>
        <w:tc>
          <w:tcPr>
            <w:tcW w:w="6096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-- Други</w:t>
            </w:r>
          </w:p>
        </w:tc>
      </w:tr>
      <w:tr>
        <w:trPr>
          <w:trHeight w:val="20"/>
        </w:trPr>
        <w:tc>
          <w:tcPr>
            <w:tcW w:w="1679" w:type="dxa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0808 30 90</w:t>
            </w:r>
          </w:p>
        </w:tc>
        <w:tc>
          <w:tcPr>
            <w:tcW w:w="6096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-- Други</w:t>
            </w:r>
          </w:p>
        </w:tc>
      </w:tr>
      <w:tr>
        <w:trPr>
          <w:trHeight w:val="20"/>
        </w:trPr>
        <w:tc>
          <w:tcPr>
            <w:tcW w:w="1679" w:type="dxa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0809 10 00</w:t>
            </w:r>
          </w:p>
        </w:tc>
        <w:tc>
          <w:tcPr>
            <w:tcW w:w="6096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- Кайсии</w:t>
            </w:r>
          </w:p>
        </w:tc>
      </w:tr>
      <w:tr>
        <w:trPr>
          <w:trHeight w:val="20"/>
        </w:trPr>
        <w:tc>
          <w:tcPr>
            <w:tcW w:w="1679" w:type="dxa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0809 21 00</w:t>
            </w:r>
          </w:p>
        </w:tc>
        <w:tc>
          <w:tcPr>
            <w:tcW w:w="6096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-- Вишни (Prunus cerasus)</w:t>
            </w:r>
          </w:p>
        </w:tc>
      </w:tr>
      <w:tr>
        <w:trPr>
          <w:trHeight w:val="20"/>
        </w:trPr>
        <w:tc>
          <w:tcPr>
            <w:tcW w:w="1679" w:type="dxa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0809 29 00</w:t>
            </w:r>
          </w:p>
        </w:tc>
        <w:tc>
          <w:tcPr>
            <w:tcW w:w="6096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-- Други</w:t>
            </w:r>
          </w:p>
        </w:tc>
      </w:tr>
      <w:tr>
        <w:trPr>
          <w:trHeight w:val="20"/>
        </w:trPr>
        <w:tc>
          <w:tcPr>
            <w:tcW w:w="1679" w:type="dxa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0809 30 10</w:t>
            </w:r>
          </w:p>
        </w:tc>
        <w:tc>
          <w:tcPr>
            <w:tcW w:w="6096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-- Брюнони и нектарини</w:t>
            </w:r>
          </w:p>
        </w:tc>
      </w:tr>
      <w:tr>
        <w:trPr>
          <w:trHeight w:val="20"/>
        </w:trPr>
        <w:tc>
          <w:tcPr>
            <w:tcW w:w="1679" w:type="dxa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0809 30 90</w:t>
            </w:r>
          </w:p>
        </w:tc>
        <w:tc>
          <w:tcPr>
            <w:tcW w:w="6096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-- Други</w:t>
            </w:r>
          </w:p>
        </w:tc>
      </w:tr>
      <w:tr>
        <w:trPr>
          <w:trHeight w:val="20"/>
        </w:trPr>
        <w:tc>
          <w:tcPr>
            <w:tcW w:w="1679" w:type="dxa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0809 40 05</w:t>
            </w:r>
          </w:p>
        </w:tc>
        <w:tc>
          <w:tcPr>
            <w:tcW w:w="6096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-- Сливи</w:t>
            </w:r>
          </w:p>
        </w:tc>
      </w:tr>
      <w:tr>
        <w:trPr>
          <w:trHeight w:val="20"/>
        </w:trPr>
        <w:tc>
          <w:tcPr>
            <w:tcW w:w="1679" w:type="dxa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2009 61 10</w:t>
            </w:r>
          </w:p>
        </w:tc>
        <w:tc>
          <w:tcPr>
            <w:tcW w:w="6096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--- Със стойност, превишаваща 18 EUR на 100 kg нетно тегло</w:t>
            </w:r>
          </w:p>
        </w:tc>
      </w:tr>
      <w:tr>
        <w:trPr>
          <w:trHeight w:val="20"/>
        </w:trPr>
        <w:tc>
          <w:tcPr>
            <w:tcW w:w="1679" w:type="dxa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2009 69 19</w:t>
            </w:r>
          </w:p>
        </w:tc>
        <w:tc>
          <w:tcPr>
            <w:tcW w:w="6096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---- Друг</w:t>
            </w:r>
          </w:p>
        </w:tc>
      </w:tr>
      <w:tr>
        <w:trPr>
          <w:trHeight w:val="20"/>
        </w:trPr>
        <w:tc>
          <w:tcPr>
            <w:tcW w:w="1679" w:type="dxa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2009 69 51</w:t>
            </w:r>
          </w:p>
        </w:tc>
        <w:tc>
          <w:tcPr>
            <w:tcW w:w="6096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----- Концентрирани</w:t>
            </w:r>
          </w:p>
        </w:tc>
      </w:tr>
      <w:tr>
        <w:trPr>
          <w:trHeight w:val="20"/>
        </w:trPr>
        <w:tc>
          <w:tcPr>
            <w:tcW w:w="1679" w:type="dxa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2009 69 59</w:t>
            </w:r>
          </w:p>
        </w:tc>
        <w:tc>
          <w:tcPr>
            <w:tcW w:w="6096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----- Друг</w:t>
            </w:r>
          </w:p>
        </w:tc>
      </w:tr>
      <w:tr>
        <w:trPr>
          <w:trHeight w:val="20"/>
        </w:trPr>
        <w:tc>
          <w:tcPr>
            <w:tcW w:w="1679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2204 30 92</w:t>
            </w:r>
          </w:p>
        </w:tc>
        <w:tc>
          <w:tcPr>
            <w:tcW w:w="6096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---- Концентрирани</w:t>
            </w:r>
          </w:p>
        </w:tc>
      </w:tr>
      <w:tr>
        <w:trPr>
          <w:trHeight w:val="20"/>
        </w:trPr>
        <w:tc>
          <w:tcPr>
            <w:tcW w:w="1679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2204 30 94</w:t>
            </w:r>
          </w:p>
        </w:tc>
        <w:tc>
          <w:tcPr>
            <w:tcW w:w="6096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---- Други</w:t>
            </w:r>
          </w:p>
        </w:tc>
      </w:tr>
      <w:tr>
        <w:trPr>
          <w:trHeight w:val="20"/>
        </w:trPr>
        <w:tc>
          <w:tcPr>
            <w:tcW w:w="1679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2204 30 96</w:t>
            </w:r>
          </w:p>
        </w:tc>
        <w:tc>
          <w:tcPr>
            <w:tcW w:w="6096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---- Концентрирани</w:t>
            </w:r>
          </w:p>
        </w:tc>
      </w:tr>
      <w:tr>
        <w:trPr>
          <w:trHeight w:val="20"/>
        </w:trPr>
        <w:tc>
          <w:tcPr>
            <w:tcW w:w="1679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2204 30 98</w:t>
            </w:r>
          </w:p>
        </w:tc>
        <w:tc>
          <w:tcPr>
            <w:tcW w:w="6096" w:type="dxa"/>
            <w:vAlign w:val="bottom"/>
          </w:tcPr>
          <w:p>
            <w:pPr>
              <w:tabs>
                <w:tab w:val="left" w:pos="850"/>
              </w:tabs>
              <w:rPr>
                <w:rFonts w:eastAsia="Batang"/>
                <w:noProof/>
              </w:rPr>
            </w:pPr>
            <w:r>
              <w:rPr>
                <w:noProof/>
              </w:rPr>
              <w:t>---- Други</w:t>
            </w:r>
          </w:p>
        </w:tc>
      </w:tr>
    </w:tbl>
    <w:p>
      <w:pPr>
        <w:rPr>
          <w:noProof/>
        </w:rPr>
      </w:pPr>
    </w:p>
    <w:p>
      <w:pPr>
        <w:widowControl/>
        <w:spacing w:line="240" w:lineRule="auto"/>
        <w:rPr>
          <w:noProof/>
        </w:rPr>
      </w:pPr>
      <w:r>
        <w:rPr>
          <w:noProof/>
        </w:rPr>
        <w:br w:type="page"/>
      </w:r>
    </w:p>
    <w:p>
      <w:pPr>
        <w:ind w:left="600" w:hanging="600"/>
        <w:rPr>
          <w:rFonts w:eastAsia="Batang"/>
          <w:noProof/>
        </w:rPr>
      </w:pPr>
      <w:r>
        <w:rPr>
          <w:noProof/>
        </w:rPr>
        <w:t>7.</w:t>
      </w:r>
      <w:r>
        <w:rPr>
          <w:noProof/>
        </w:rPr>
        <w:tab/>
        <w:t>Размерът на специфичното мито, посочено в параграф 6, не надвишава по-ниската от двете стойности за специфичното мито съответно на преобладаващата прилагана митническа ставка за НОН или прилаганата митническа ставка за НОН, която е в сила на датата, непосредствено предшестваща датата на влизане в сила на настоящото споразумение</w:t>
      </w:r>
      <w:r>
        <w:rPr>
          <w:rFonts w:eastAsia="Batang"/>
          <w:noProof/>
        </w:rPr>
        <w:t xml:space="preserve">. </w:t>
      </w:r>
    </w:p>
    <w:p>
      <w:pPr>
        <w:jc w:val="center"/>
        <w:rPr>
          <w:i/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t>XX/XX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pStyle w:val="FootnoteText"/>
      </w:pPr>
      <w:r>
        <w:separator/>
      </w:r>
    </w:p>
  </w:footnote>
  <w:footnote w:type="continuationSeparator" w:id="0">
    <w:p>
      <w:pPr>
        <w:pStyle w:val="FootnoteText"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7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8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0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en-US" w:vendorID="8" w:dllVersion="513" w:checkStyle="1"/>
  <w:activeWritingStyle w:appName="MSWord" w:lang="en-GB" w:vendorID="8" w:dllVersion="513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pyNum" w:val="0"/>
    <w:docVar w:name="DocStatus" w:val="Green"/>
    <w:docVar w:name="DW_DocType" w:val="_GENEN"/>
    <w:docVar w:name="LW_ACCOMPAGNANT.CP" w:val="\u1082?\u1098?\u1084? "/>
    <w:docVar w:name="LW_ANNEX_NBR_FIRST" w:val="2"/>
    <w:docVar w:name="LW_ANNEX_NBR_LAST" w:val="2"/>
    <w:docVar w:name="LW_ANNEX_UNIQUE" w:val="0"/>
    <w:docVar w:name="LW_CORRIGENDUM" w:val="&lt;UNUSED&gt;"/>
    <w:docVar w:name="LW_COVERPAGE_EXISTS" w:val="True"/>
    <w:docVar w:name="LW_COVERPAGE_GUID" w:val="6C248759-6358-41FC-A14E-BC8B126EEC4E"/>
    <w:docVar w:name="LW_COVERPAGE_TYPE" w:val="1"/>
    <w:docVar w:name="LW_CROSSREFERENCE" w:val="&lt;UNUSED&gt;"/>
    <w:docVar w:name="LW_DocType" w:val="_GENEN"/>
    <w:docVar w:name="LW_EMISSION" w:val="18.4.2018"/>
    <w:docVar w:name="LW_EMISSION_ISODATE" w:val="2018-04-18"/>
    <w:docVar w:name="LW_EMISSION_LOCATION" w:val="BRX"/>
    <w:docVar w:name="LW_EMISSION_PREFIX" w:val="Брюксел, "/>
    <w:docVar w:name="LW_EMISSION_SUFFIX" w:val="\u1075?."/>
    <w:docVar w:name="LW_ID_DOCTYPE_NONLW" w:val="CP-03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9?\u1082?\u1083?\u1102?\u1095?\u1074?\u1072?\u1085?\u1077? \u1085?\u1072? \u1057?\u1087?\u1086?\u1088?\u1072?\u1079?\u1091?\u1084?\u1077?\u1085?\u1080?\u1077?\u1090?\u1086? \u1079?\u1072? \u1089?\u1074?\u1086?\u1073?\u1086?\u1076?\u1085?\u1072? \u1090?\u1098?\u1088?\u1075?\u1086?\u1074?\u1080?\u1103? \u1084?\u1077?\u1078?\u1076?\u1091? \u1045?\u1074?\u1088?\u1086?\u1087?\u1077?\u1081?\u1089?\u1082?\u1080?\u1103? \u1089?\u1098?\u1102?\u1079? \u1080? \u1056?\u1077?\u1087?\u1091?\u1073?\u1083?\u1080?\u1082?\u1072? \u1057?\u1080?\u1085?\u1075?\u1072?\u1087?\u1091?\u1088?"/>
    <w:docVar w:name="LW_PART_NBR" w:val="1"/>
    <w:docVar w:name="LW_PART_NBR_TOTAL" w:val="3"/>
    <w:docVar w:name="LW_REF.INST.NEW" w:val="COM"/>
    <w:docVar w:name="LW_REF.INST.NEW_ADOPTED" w:val="final"/>
    <w:docVar w:name="LW_REF.INST.NEW_TEXT" w:val="(2018) 19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360" w:lineRule="auto"/>
    </w:pPr>
    <w:rPr>
      <w:sz w:val="24"/>
      <w:lang w:eastAsia="fr-BE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2"/>
      </w:numPr>
      <w:spacing w:before="120" w:after="120" w:line="24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3"/>
      </w:numPr>
      <w:spacing w:before="120" w:after="120" w:line="240" w:lineRule="auto"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4"/>
      </w:numPr>
      <w:spacing w:before="120" w:after="120" w:line="240" w:lineRule="auto"/>
      <w:jc w:val="both"/>
      <w:outlineLvl w:val="3"/>
    </w:pPr>
  </w:style>
  <w:style w:type="paragraph" w:styleId="Heading5">
    <w:name w:val="heading 5"/>
    <w:basedOn w:val="Normal"/>
    <w:next w:val="Normal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820"/>
        <w:tab w:val="center" w:pos="7371"/>
        <w:tab w:val="right" w:pos="9639"/>
      </w:tabs>
      <w:spacing w:line="240" w:lineRule="auto"/>
    </w:pPr>
  </w:style>
  <w:style w:type="paragraph" w:customStyle="1" w:styleId="EntInstit">
    <w:name w:val="EntInstit"/>
    <w:basedOn w:val="Normal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pPr>
      <w:spacing w:line="240" w:lineRule="auto"/>
    </w:pPr>
    <w:rPr>
      <w:b/>
    </w:rPr>
  </w:style>
  <w:style w:type="paragraph" w:customStyle="1" w:styleId="Par-number10">
    <w:name w:val="Par-number 1)"/>
    <w:basedOn w:val="Normal"/>
    <w:next w:val="Normal"/>
    <w:pPr>
      <w:numPr>
        <w:numId w:val="7"/>
      </w:numPr>
    </w:pPr>
  </w:style>
  <w:style w:type="paragraph" w:customStyle="1" w:styleId="EntEmet">
    <w:name w:val="EntEme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rPr>
      <w:b/>
      <w:vertAlign w:val="superscript"/>
    </w:rPr>
  </w:style>
  <w:style w:type="paragraph" w:styleId="FootnoteText">
    <w:name w:val="footnote text"/>
    <w:basedOn w:val="Normal"/>
    <w:pPr>
      <w:tabs>
        <w:tab w:val="left" w:pos="567"/>
      </w:tabs>
      <w:spacing w:line="240" w:lineRule="auto"/>
      <w:ind w:left="567" w:hanging="567"/>
    </w:pPr>
  </w:style>
  <w:style w:type="paragraph" w:styleId="Header">
    <w:name w:val="header"/>
    <w:basedOn w:val="Normal"/>
    <w:pPr>
      <w:tabs>
        <w:tab w:val="center" w:pos="4820"/>
        <w:tab w:val="right" w:pos="7371"/>
        <w:tab w:val="right" w:pos="9639"/>
      </w:tabs>
      <w:spacing w:line="240" w:lineRule="auto"/>
    </w:pPr>
  </w:style>
  <w:style w:type="paragraph" w:customStyle="1" w:styleId="Par-bullet">
    <w:name w:val="Par-bullet"/>
    <w:basedOn w:val="Normal"/>
    <w:next w:val="Normal"/>
    <w:pPr>
      <w:numPr>
        <w:numId w:val="3"/>
      </w:numPr>
    </w:pPr>
  </w:style>
  <w:style w:type="paragraph" w:customStyle="1" w:styleId="Par-equal">
    <w:name w:val="Par-equal"/>
    <w:basedOn w:val="Normal"/>
    <w:next w:val="Normal"/>
    <w:pPr>
      <w:numPr>
        <w:numId w:val="5"/>
      </w:numPr>
    </w:pPr>
  </w:style>
  <w:style w:type="paragraph" w:styleId="TOC1">
    <w:name w:val="toc 1"/>
    <w:basedOn w:val="Normal"/>
    <w:next w:val="Normal"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pPr>
      <w:numPr>
        <w:numId w:val="6"/>
      </w:numPr>
    </w:pPr>
  </w:style>
  <w:style w:type="paragraph" w:customStyle="1" w:styleId="Par-number11">
    <w:name w:val="Par-number 1."/>
    <w:basedOn w:val="Normal"/>
    <w:next w:val="Normal"/>
    <w:pPr>
      <w:numPr>
        <w:numId w:val="8"/>
      </w:numPr>
    </w:pPr>
  </w:style>
  <w:style w:type="paragraph" w:customStyle="1" w:styleId="Par-numberI">
    <w:name w:val="Par-number I."/>
    <w:basedOn w:val="Normal"/>
    <w:next w:val="Normal"/>
    <w:pPr>
      <w:numPr>
        <w:numId w:val="10"/>
      </w:numPr>
    </w:pPr>
  </w:style>
  <w:style w:type="paragraph" w:customStyle="1" w:styleId="Par-dash">
    <w:name w:val="Par-dash"/>
    <w:basedOn w:val="Normal"/>
    <w:next w:val="Normal"/>
    <w:pPr>
      <w:numPr>
        <w:numId w:val="4"/>
      </w:numPr>
    </w:pPr>
  </w:style>
  <w:style w:type="paragraph" w:customStyle="1" w:styleId="EntLogo">
    <w:name w:val="EntLogo"/>
    <w:basedOn w:val="Normal"/>
    <w:next w:val="EntInstit"/>
    <w:rPr>
      <w:b/>
    </w:r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">
    <w:name w:val="Par-number A."/>
    <w:basedOn w:val="Normal"/>
    <w:next w:val="Normal"/>
    <w:pPr>
      <w:numPr>
        <w:numId w:val="9"/>
      </w:numPr>
    </w:pPr>
  </w:style>
  <w:style w:type="paragraph" w:styleId="TOC2">
    <w:name w:val="toc 2"/>
    <w:basedOn w:val="Normal"/>
    <w:next w:val="Normal"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pPr>
      <w:tabs>
        <w:tab w:val="left" w:pos="2268"/>
        <w:tab w:val="right" w:pos="9639"/>
      </w:tabs>
      <w:ind w:left="2268" w:right="567" w:hanging="567"/>
    </w:pPr>
  </w:style>
  <w:style w:type="paragraph" w:styleId="TOC5">
    <w:name w:val="toc 5"/>
    <w:basedOn w:val="Normal"/>
    <w:next w:val="Normal"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pPr>
      <w:tabs>
        <w:tab w:val="left" w:pos="567"/>
      </w:tabs>
      <w:spacing w:line="240" w:lineRule="auto"/>
      <w:ind w:left="567" w:hanging="567"/>
    </w:p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rPr>
      <w:b/>
      <w:sz w:val="4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clear" w:pos="720"/>
        <w:tab w:val="left" w:pos="567"/>
      </w:tabs>
    </w:pPr>
  </w:style>
  <w:style w:type="paragraph" w:customStyle="1" w:styleId="Par-numbera0">
    <w:name w:val="Par-number (a)"/>
    <w:basedOn w:val="Normal"/>
    <w:next w:val="Normal"/>
    <w:pPr>
      <w:numPr>
        <w:numId w:val="2"/>
      </w:numPr>
    </w:pPr>
  </w:style>
  <w:style w:type="character" w:customStyle="1" w:styleId="DontTranslate">
    <w:name w:val="DontTranslate"/>
    <w:rPr>
      <w:color w:val="auto"/>
    </w:rPr>
  </w:style>
  <w:style w:type="paragraph" w:customStyle="1" w:styleId="AddReference">
    <w:name w:val="Add Reference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</w:pPr>
    <w:rPr>
      <w:i/>
      <w:sz w:val="20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Pr>
      <w:sz w:val="24"/>
      <w:lang w:eastAsia="fr-BE"/>
    </w:rPr>
  </w:style>
  <w:style w:type="paragraph" w:customStyle="1" w:styleId="Point1">
    <w:name w:val="Point 1"/>
    <w:basedOn w:val="Normal"/>
    <w:pPr>
      <w:widowControl/>
      <w:spacing w:before="120" w:after="120" w:line="240" w:lineRule="auto"/>
      <w:ind w:left="1417" w:hanging="567"/>
      <w:jc w:val="both"/>
    </w:pPr>
    <w:rPr>
      <w:szCs w:val="22"/>
      <w:lang w:eastAsia="en-GB"/>
    </w:rPr>
  </w:style>
  <w:style w:type="paragraph" w:customStyle="1" w:styleId="ManualNumPar1">
    <w:name w:val="Manual NumPar 1"/>
    <w:basedOn w:val="Normal"/>
    <w:next w:val="Normal"/>
    <w:pPr>
      <w:widowControl/>
      <w:spacing w:before="120" w:after="120" w:line="240" w:lineRule="auto"/>
      <w:ind w:left="850" w:hanging="850"/>
      <w:jc w:val="both"/>
    </w:pPr>
    <w:rPr>
      <w:szCs w:val="22"/>
      <w:lang w:eastAsia="en-GB"/>
    </w:rPr>
  </w:style>
  <w:style w:type="paragraph" w:customStyle="1" w:styleId="Annexetitre">
    <w:name w:val="Annexe titre"/>
    <w:basedOn w:val="Normal"/>
    <w:next w:val="Normal"/>
    <w:pPr>
      <w:widowControl/>
      <w:spacing w:before="120" w:after="120" w:line="240" w:lineRule="auto"/>
      <w:jc w:val="center"/>
    </w:pPr>
    <w:rPr>
      <w:b/>
      <w:szCs w:val="22"/>
      <w:u w:val="single"/>
      <w:lang w:eastAsia="en-GB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widowControl/>
      <w:spacing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lang w:eastAsia="fr-BE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line="240" w:lineRule="auto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b/>
      <w:sz w:val="32"/>
      <w:lang w:eastAsia="fr-B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lang w:eastAsia="fr-BE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b/>
      <w:sz w:val="32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360" w:lineRule="auto"/>
    </w:pPr>
    <w:rPr>
      <w:sz w:val="24"/>
      <w:lang w:eastAsia="fr-BE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2"/>
      </w:numPr>
      <w:spacing w:before="120" w:after="120" w:line="24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3"/>
      </w:numPr>
      <w:spacing w:before="120" w:after="120" w:line="240" w:lineRule="auto"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4"/>
      </w:numPr>
      <w:spacing w:before="120" w:after="120" w:line="240" w:lineRule="auto"/>
      <w:jc w:val="both"/>
      <w:outlineLvl w:val="3"/>
    </w:pPr>
  </w:style>
  <w:style w:type="paragraph" w:styleId="Heading5">
    <w:name w:val="heading 5"/>
    <w:basedOn w:val="Normal"/>
    <w:next w:val="Normal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820"/>
        <w:tab w:val="center" w:pos="7371"/>
        <w:tab w:val="right" w:pos="9639"/>
      </w:tabs>
      <w:spacing w:line="240" w:lineRule="auto"/>
    </w:pPr>
  </w:style>
  <w:style w:type="paragraph" w:customStyle="1" w:styleId="EntInstit">
    <w:name w:val="EntInstit"/>
    <w:basedOn w:val="Normal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pPr>
      <w:spacing w:line="240" w:lineRule="auto"/>
    </w:pPr>
    <w:rPr>
      <w:b/>
    </w:rPr>
  </w:style>
  <w:style w:type="paragraph" w:customStyle="1" w:styleId="Par-number10">
    <w:name w:val="Par-number 1)"/>
    <w:basedOn w:val="Normal"/>
    <w:next w:val="Normal"/>
    <w:pPr>
      <w:numPr>
        <w:numId w:val="7"/>
      </w:numPr>
    </w:pPr>
  </w:style>
  <w:style w:type="paragraph" w:customStyle="1" w:styleId="EntEmet">
    <w:name w:val="EntEme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rPr>
      <w:b/>
      <w:vertAlign w:val="superscript"/>
    </w:rPr>
  </w:style>
  <w:style w:type="paragraph" w:styleId="FootnoteText">
    <w:name w:val="footnote text"/>
    <w:basedOn w:val="Normal"/>
    <w:pPr>
      <w:tabs>
        <w:tab w:val="left" w:pos="567"/>
      </w:tabs>
      <w:spacing w:line="240" w:lineRule="auto"/>
      <w:ind w:left="567" w:hanging="567"/>
    </w:pPr>
  </w:style>
  <w:style w:type="paragraph" w:styleId="Header">
    <w:name w:val="header"/>
    <w:basedOn w:val="Normal"/>
    <w:pPr>
      <w:tabs>
        <w:tab w:val="center" w:pos="4820"/>
        <w:tab w:val="right" w:pos="7371"/>
        <w:tab w:val="right" w:pos="9639"/>
      </w:tabs>
      <w:spacing w:line="240" w:lineRule="auto"/>
    </w:pPr>
  </w:style>
  <w:style w:type="paragraph" w:customStyle="1" w:styleId="Par-bullet">
    <w:name w:val="Par-bullet"/>
    <w:basedOn w:val="Normal"/>
    <w:next w:val="Normal"/>
    <w:pPr>
      <w:numPr>
        <w:numId w:val="3"/>
      </w:numPr>
    </w:pPr>
  </w:style>
  <w:style w:type="paragraph" w:customStyle="1" w:styleId="Par-equal">
    <w:name w:val="Par-equal"/>
    <w:basedOn w:val="Normal"/>
    <w:next w:val="Normal"/>
    <w:pPr>
      <w:numPr>
        <w:numId w:val="5"/>
      </w:numPr>
    </w:pPr>
  </w:style>
  <w:style w:type="paragraph" w:styleId="TOC1">
    <w:name w:val="toc 1"/>
    <w:basedOn w:val="Normal"/>
    <w:next w:val="Normal"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pPr>
      <w:numPr>
        <w:numId w:val="6"/>
      </w:numPr>
    </w:pPr>
  </w:style>
  <w:style w:type="paragraph" w:customStyle="1" w:styleId="Par-number11">
    <w:name w:val="Par-number 1."/>
    <w:basedOn w:val="Normal"/>
    <w:next w:val="Normal"/>
    <w:pPr>
      <w:numPr>
        <w:numId w:val="8"/>
      </w:numPr>
    </w:pPr>
  </w:style>
  <w:style w:type="paragraph" w:customStyle="1" w:styleId="Par-numberI">
    <w:name w:val="Par-number I."/>
    <w:basedOn w:val="Normal"/>
    <w:next w:val="Normal"/>
    <w:pPr>
      <w:numPr>
        <w:numId w:val="10"/>
      </w:numPr>
    </w:pPr>
  </w:style>
  <w:style w:type="paragraph" w:customStyle="1" w:styleId="Par-dash">
    <w:name w:val="Par-dash"/>
    <w:basedOn w:val="Normal"/>
    <w:next w:val="Normal"/>
    <w:pPr>
      <w:numPr>
        <w:numId w:val="4"/>
      </w:numPr>
    </w:pPr>
  </w:style>
  <w:style w:type="paragraph" w:customStyle="1" w:styleId="EntLogo">
    <w:name w:val="EntLogo"/>
    <w:basedOn w:val="Normal"/>
    <w:next w:val="EntInstit"/>
    <w:rPr>
      <w:b/>
    </w:r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">
    <w:name w:val="Par-number A."/>
    <w:basedOn w:val="Normal"/>
    <w:next w:val="Normal"/>
    <w:pPr>
      <w:numPr>
        <w:numId w:val="9"/>
      </w:numPr>
    </w:pPr>
  </w:style>
  <w:style w:type="paragraph" w:styleId="TOC2">
    <w:name w:val="toc 2"/>
    <w:basedOn w:val="Normal"/>
    <w:next w:val="Normal"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pPr>
      <w:tabs>
        <w:tab w:val="left" w:pos="2268"/>
        <w:tab w:val="right" w:pos="9639"/>
      </w:tabs>
      <w:ind w:left="2268" w:right="567" w:hanging="567"/>
    </w:pPr>
  </w:style>
  <w:style w:type="paragraph" w:styleId="TOC5">
    <w:name w:val="toc 5"/>
    <w:basedOn w:val="Normal"/>
    <w:next w:val="Normal"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pPr>
      <w:tabs>
        <w:tab w:val="left" w:pos="567"/>
      </w:tabs>
      <w:spacing w:line="240" w:lineRule="auto"/>
      <w:ind w:left="567" w:hanging="567"/>
    </w:p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rPr>
      <w:b/>
      <w:sz w:val="4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clear" w:pos="720"/>
        <w:tab w:val="left" w:pos="567"/>
      </w:tabs>
    </w:pPr>
  </w:style>
  <w:style w:type="paragraph" w:customStyle="1" w:styleId="Par-numbera0">
    <w:name w:val="Par-number (a)"/>
    <w:basedOn w:val="Normal"/>
    <w:next w:val="Normal"/>
    <w:pPr>
      <w:numPr>
        <w:numId w:val="2"/>
      </w:numPr>
    </w:pPr>
  </w:style>
  <w:style w:type="character" w:customStyle="1" w:styleId="DontTranslate">
    <w:name w:val="DontTranslate"/>
    <w:rPr>
      <w:color w:val="auto"/>
    </w:rPr>
  </w:style>
  <w:style w:type="paragraph" w:customStyle="1" w:styleId="AddReference">
    <w:name w:val="Add Reference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</w:pPr>
    <w:rPr>
      <w:i/>
      <w:sz w:val="20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Pr>
      <w:sz w:val="24"/>
      <w:lang w:eastAsia="fr-BE"/>
    </w:rPr>
  </w:style>
  <w:style w:type="paragraph" w:customStyle="1" w:styleId="Point1">
    <w:name w:val="Point 1"/>
    <w:basedOn w:val="Normal"/>
    <w:pPr>
      <w:widowControl/>
      <w:spacing w:before="120" w:after="120" w:line="240" w:lineRule="auto"/>
      <w:ind w:left="1417" w:hanging="567"/>
      <w:jc w:val="both"/>
    </w:pPr>
    <w:rPr>
      <w:szCs w:val="22"/>
      <w:lang w:eastAsia="en-GB"/>
    </w:rPr>
  </w:style>
  <w:style w:type="paragraph" w:customStyle="1" w:styleId="ManualNumPar1">
    <w:name w:val="Manual NumPar 1"/>
    <w:basedOn w:val="Normal"/>
    <w:next w:val="Normal"/>
    <w:pPr>
      <w:widowControl/>
      <w:spacing w:before="120" w:after="120" w:line="240" w:lineRule="auto"/>
      <w:ind w:left="850" w:hanging="850"/>
      <w:jc w:val="both"/>
    </w:pPr>
    <w:rPr>
      <w:szCs w:val="22"/>
      <w:lang w:eastAsia="en-GB"/>
    </w:rPr>
  </w:style>
  <w:style w:type="paragraph" w:customStyle="1" w:styleId="Annexetitre">
    <w:name w:val="Annexe titre"/>
    <w:basedOn w:val="Normal"/>
    <w:next w:val="Normal"/>
    <w:pPr>
      <w:widowControl/>
      <w:spacing w:before="120" w:after="120" w:line="240" w:lineRule="auto"/>
      <w:jc w:val="center"/>
    </w:pPr>
    <w:rPr>
      <w:b/>
      <w:szCs w:val="22"/>
      <w:u w:val="single"/>
      <w:lang w:eastAsia="en-GB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widowControl/>
      <w:spacing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lang w:eastAsia="fr-BE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line="240" w:lineRule="auto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b/>
      <w:sz w:val="32"/>
      <w:lang w:eastAsia="fr-B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lang w:eastAsia="fr-BE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b/>
      <w:sz w:val="32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FBF6A-7A1F-4043-9D76-9206E2A4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1160</Words>
  <Characters>6160</Characters>
  <Application>Microsoft Office Word</Application>
  <DocSecurity>0</DocSecurity>
  <Lines>212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</vt:lpstr>
    </vt:vector>
  </TitlesOfParts>
  <Manager/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/>
  <cp:lastModifiedBy>DIGIT/A3</cp:lastModifiedBy>
  <cp:revision>47</cp:revision>
  <cp:lastPrinted>2004-04-02T13:43:00Z</cp:lastPrinted>
  <dcterms:created xsi:type="dcterms:W3CDTF">2017-10-26T08:38:00Z</dcterms:created>
  <dcterms:modified xsi:type="dcterms:W3CDTF">2018-04-20T08:57:00Z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2</vt:lpwstr>
  </property>
  <property fmtid="{D5CDD505-2E9C-101B-9397-08002B2CF9AE}" pid="4" name="Last annex">
    <vt:lpwstr>2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3</vt:lpwstr>
  </property>
  <property fmtid="{D5CDD505-2E9C-101B-9397-08002B2CF9AE}" pid="8" name="DocStatus">
    <vt:lpwstr>Green</vt:lpwstr>
  </property>
</Properties>
</file>