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DDC5434-1AA2-4ABD-BE8C-E79926E00967"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2"/>
      </w:r>
      <w:r>
        <w:rPr>
          <w:noProof/>
        </w:rPr>
        <w:t xml:space="preserve"> („Регламента за ЕФПГ“).</w:t>
      </w:r>
    </w:p>
    <w:p>
      <w:pPr>
        <w:pStyle w:val="ManualNumPar1"/>
        <w:rPr>
          <w:noProof/>
        </w:rPr>
      </w:pPr>
      <w:r>
        <w:t>2.</w:t>
      </w:r>
      <w:r>
        <w:tab/>
      </w:r>
      <w:r>
        <w:rPr>
          <w:noProof/>
        </w:rPr>
        <w:t>На 23 октомври 2017 г. Франция подаде заявление EGF/2017/009 FR/Air France за предоставяне на финансово участие от ЕФПГ вследствие на съкращения</w:t>
      </w:r>
      <w:r>
        <w:rPr>
          <w:rStyle w:val="FootnoteReference"/>
          <w:noProof/>
        </w:rPr>
        <w:footnoteReference w:id="3"/>
      </w:r>
      <w:r>
        <w:rPr>
          <w:noProof/>
        </w:rPr>
        <w:t xml:space="preserve"> в Air France във Франция.</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gridSpan w:val="2"/>
            <w:shd w:val="clear" w:color="auto" w:fill="auto"/>
          </w:tcPr>
          <w:p>
            <w:pPr>
              <w:spacing w:before="60" w:after="60"/>
              <w:ind w:rightChars="192" w:right="461"/>
              <w:jc w:val="left"/>
              <w:rPr>
                <w:rFonts w:eastAsia="Calibri"/>
                <w:noProof/>
              </w:rPr>
            </w:pPr>
            <w:r>
              <w:rPr>
                <w:noProof/>
              </w:rPr>
              <w:t xml:space="preserve">EGF/2017/009 FR/Air France </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gridSpan w:val="2"/>
            <w:shd w:val="clear" w:color="auto" w:fill="auto"/>
          </w:tcPr>
          <w:p>
            <w:pPr>
              <w:spacing w:before="60" w:after="60"/>
              <w:ind w:rightChars="192" w:right="461"/>
              <w:jc w:val="left"/>
              <w:rPr>
                <w:rFonts w:eastAsia="Calibri"/>
                <w:noProof/>
              </w:rPr>
            </w:pPr>
            <w:r>
              <w:rPr>
                <w:noProof/>
              </w:rPr>
              <w:t>Франция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4"/>
            </w:r>
            <w:r>
              <w:rPr>
                <w:noProof/>
              </w:rPr>
              <w:t>)</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r>
              <w:rPr>
                <w:noProof/>
              </w:rPr>
              <w:t>Île-de-France (FR10)</w:t>
            </w:r>
          </w:p>
          <w:p>
            <w:pPr>
              <w:spacing w:before="0" w:after="0"/>
              <w:ind w:rightChars="192" w:right="461"/>
              <w:jc w:val="left"/>
              <w:rPr>
                <w:noProof/>
                <w:szCs w:val="24"/>
              </w:rPr>
            </w:pPr>
            <w:r>
              <w:rPr>
                <w:noProof/>
              </w:rPr>
              <w:t>Provence-Alpes-Côte d'Azur (FR82)</w:t>
            </w:r>
            <w:r>
              <w:rPr>
                <w:rStyle w:val="FootnoteReference"/>
                <w:noProof/>
              </w:rPr>
              <w:footnoteReference w:id="5"/>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23 октомври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6 ноември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получаване на превода на заявлението от Комисията</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декември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декември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февруари 2018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26 април 2018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gridSpan w:val="2"/>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Air France</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rPr>
              <w:footnoteReference w:id="6"/>
            </w:r>
          </w:p>
        </w:tc>
        <w:tc>
          <w:tcPr>
            <w:tcW w:w="4379" w:type="dxa"/>
            <w:gridSpan w:val="2"/>
            <w:shd w:val="clear" w:color="auto" w:fill="auto"/>
          </w:tcPr>
          <w:p>
            <w:pPr>
              <w:spacing w:before="60" w:after="60"/>
              <w:ind w:rightChars="192" w:right="461"/>
              <w:jc w:val="left"/>
              <w:rPr>
                <w:rFonts w:eastAsia="Calibri"/>
                <w:noProof/>
              </w:rPr>
            </w:pPr>
            <w:r>
              <w:rPr>
                <w:noProof/>
              </w:rPr>
              <w:t>Разделение 51 (Въздушен транспорт)</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(четири месеца):</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1 април 2017 г. — 31 юли 2017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по време на референтния период (</w:t>
            </w:r>
            <w:r>
              <w:rPr>
                <w:i/>
                <w:noProof/>
              </w:rPr>
              <w:t>а</w:t>
            </w:r>
            <w:r>
              <w:rPr>
                <w:noProof/>
              </w:rPr>
              <w:t>)</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1 086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преди или след референтния период (</w:t>
            </w:r>
            <w:r>
              <w:rPr>
                <w:i/>
                <w:noProof/>
              </w:rPr>
              <w:t>б</w:t>
            </w:r>
            <w:r>
              <w:rPr>
                <w:noProof/>
              </w:rPr>
              <w:t>)</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772</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 (</w:t>
            </w:r>
            <w:r>
              <w:rPr>
                <w:i/>
                <w:noProof/>
              </w:rPr>
              <w:t>a</w:t>
            </w:r>
            <w:r>
              <w:rPr>
                <w:noProof/>
              </w:rPr>
              <w:t xml:space="preserve"> + </w:t>
            </w:r>
            <w:r>
              <w:rPr>
                <w:i/>
                <w:noProof/>
              </w:rPr>
              <w:t>б</w:t>
            </w:r>
            <w:r>
              <w:rPr>
                <w:noProof/>
              </w:rPr>
              <w: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незаети с работа, учене или обучение (NEET)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1800" w:type="dxa"/>
            <w:tcBorders>
              <w:bottom w:val="dotted" w:sz="4" w:space="0" w:color="auto"/>
              <w:right w:val="nil"/>
            </w:tcBorders>
            <w:shd w:val="clear" w:color="auto" w:fill="auto"/>
            <w:vAlign w:val="center"/>
          </w:tcPr>
          <w:p>
            <w:pPr>
              <w:spacing w:before="0" w:after="0"/>
              <w:ind w:rightChars="192" w:right="461"/>
              <w:jc w:val="right"/>
              <w:rPr>
                <w:noProof/>
              </w:rPr>
            </w:pPr>
            <w:r>
              <w:rPr>
                <w:noProof/>
              </w:rPr>
              <w:t>16 410 805</w:t>
            </w:r>
          </w:p>
        </w:tc>
        <w:tc>
          <w:tcPr>
            <w:tcW w:w="257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7"/>
            </w:r>
            <w:r>
              <w:rPr>
                <w:noProof/>
              </w:rPr>
              <w:t xml:space="preserve">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80 000</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16 490 805</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1800" w:type="dxa"/>
            <w:tcBorders>
              <w:top w:val="dotted" w:sz="4" w:space="0" w:color="auto"/>
              <w:right w:val="nil"/>
            </w:tcBorders>
            <w:shd w:val="clear" w:color="auto" w:fill="auto"/>
            <w:vAlign w:val="center"/>
          </w:tcPr>
          <w:p>
            <w:pPr>
              <w:spacing w:before="0" w:after="0"/>
              <w:ind w:rightChars="192" w:right="461"/>
              <w:jc w:val="right"/>
              <w:rPr>
                <w:noProof/>
              </w:rPr>
            </w:pPr>
            <w:r>
              <w:rPr>
                <w:noProof/>
              </w:rPr>
              <w:t>9 894 483</w:t>
            </w:r>
          </w:p>
        </w:tc>
        <w:tc>
          <w:tcPr>
            <w:tcW w:w="257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 xml:space="preserve">Франция подаде заявление EGF/2017/009 FR/ Air France на 23 октомври 2017 г. в срок от 12 седмици от датата, на която бяха изпълнени критериите за намеса, определени в член 4 от Регламента за ЕФПГ. Комисията потвърди получаването на заявлението на 6 ноември 2017 г. Комисията поиска допълнителна информация от Франция на 21 декември 2017 г., в рамките на две седмици от датата, на която получи превода на заявлението.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26 април 2018 г.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1 858 съкратени работници в Air France. Предприятието осъществява дейност в икономически отрасъл от разделение 51 по NACE Rev. 2 (Въздушен транспорт). Съкращенията, направени от Air France, са предимно</w:t>
      </w:r>
      <w:r>
        <w:rPr>
          <w:noProof/>
          <w:color w:val="FFFFFF" w:themeColor="background1"/>
          <w:u w:val="single"/>
        </w:rPr>
        <w:t xml:space="preserve"> [/a]&gt;</w:t>
      </w:r>
      <w:r>
        <w:rPr>
          <w:noProof/>
        </w:rPr>
        <w:t xml:space="preserve"> в регионите на ниво 2 по NUTS Île-de-France (FR10) и Provence-Alpes-Côte d'Azur (FR82).</w:t>
      </w:r>
    </w:p>
    <w:p>
      <w:pPr>
        <w:pStyle w:val="ManualHeading3"/>
        <w:rPr>
          <w:noProof/>
        </w:rPr>
      </w:pPr>
      <w:r>
        <w:rPr>
          <w:noProof/>
        </w:rPr>
        <w:t>Критерии за намеса</w:t>
      </w:r>
    </w:p>
    <w:p>
      <w:pPr>
        <w:pStyle w:val="ManualNumPar1"/>
        <w:rPr>
          <w:noProof/>
        </w:rPr>
      </w:pPr>
      <w:r>
        <w:t>6.</w:t>
      </w:r>
      <w:r>
        <w:tab/>
      </w:r>
      <w:r>
        <w:rPr>
          <w:noProof/>
        </w:rPr>
        <w:t xml:space="preserve">Франция подаде заявлението в съответствие с критериите за намеса по член 4, параграф 1, буква а) от Регламента за ЕФПГ, съгласно които в дадена държава членка за референтен период от четири месеца следва да са били съкратени най-малко 500 работници, включително при неговите доставчици и производители надолу по веригата и/или самостоятелно заети лица да са прекратили своята дейност. </w:t>
      </w:r>
    </w:p>
    <w:p>
      <w:pPr>
        <w:pStyle w:val="ManualNumPar1"/>
        <w:rPr>
          <w:noProof/>
        </w:rPr>
      </w:pPr>
      <w:r>
        <w:t>7.</w:t>
      </w:r>
      <w:r>
        <w:tab/>
      </w:r>
      <w:r>
        <w:rPr>
          <w:noProof/>
        </w:rPr>
        <w:t>Четиримесечният референтен период за заявлението започва на 1 април 2017 г. и приключва на 31 юли 2017 г. През референтния период в Air France са съкратени 1 086 работници.</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Броят на съкратените 1 086 работници по време на референтния период е изчислен от датата на индивидуалното предизвестие от работодателя</w:t>
      </w:r>
      <w:r>
        <w:rPr>
          <w:rStyle w:val="FootnoteReference"/>
          <w:noProof/>
        </w:rPr>
        <w:footnoteReference w:id="8"/>
      </w:r>
      <w:r>
        <w:rPr>
          <w:noProof/>
        </w:rPr>
        <w:t xml:space="preserve"> за съкращаване или за прекратяване на трудовия договор на работника.</w:t>
      </w:r>
    </w:p>
    <w:p>
      <w:pPr>
        <w:pStyle w:val="ManualHeading3"/>
        <w:rPr>
          <w:noProof/>
        </w:rPr>
      </w:pPr>
      <w:r>
        <w:rPr>
          <w:noProof/>
        </w:rPr>
        <w:t>Отговарящи на критериите бенефициери</w:t>
      </w:r>
    </w:p>
    <w:p>
      <w:pPr>
        <w:pStyle w:val="ManualNumPar1"/>
        <w:rPr>
          <w:noProof/>
        </w:rPr>
      </w:pPr>
      <w:r>
        <w:t>9.</w:t>
      </w:r>
      <w:r>
        <w:tab/>
      </w:r>
      <w:r>
        <w:rPr>
          <w:noProof/>
        </w:rPr>
        <w:t>Освен горепосочените работници към бенефициерите, отговарящи на критериите, спадат 772 работници, съкратени преди или след четиримесечния референтен период. Всички тези работници са съкратени след общото обявяване на планираните съкращения по време на заседание на централния комитет на предприятието, проведено на 23 април 2015 г. Може да се установи ясна причинно-следствена връзка със събитието, което е довело до съкращенията през референтния период.</w:t>
      </w:r>
    </w:p>
    <w:p>
      <w:pPr>
        <w:pStyle w:val="ManualNumPar1"/>
        <w:rPr>
          <w:noProof/>
        </w:rPr>
      </w:pPr>
      <w:r>
        <w:t>10.</w:t>
      </w:r>
      <w:r>
        <w:tab/>
      </w:r>
      <w:r>
        <w:rPr>
          <w:noProof/>
        </w:rPr>
        <w:t>Поради тази причина общият брой на отговарящите на критериите бенефициери възлиза на 1 858.</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11.</w:t>
      </w:r>
      <w:r>
        <w:tab/>
      </w:r>
      <w:r>
        <w:rPr>
          <w:noProof/>
        </w:rPr>
        <w:t>С цел да се установи връзката между съкращенията и големите структурни промени в моделите на световната търговия вследствие на глобализацията, Франция посочва, че международният въздушен транспорт е претърпял сериозен икономически срив, който се изразява по-специално в спад на пазарния дял на ЕС. В периода 2008—2015 г. световният трафик, измерен в приходи на пътникокилометри (ППК), е нараствал с 5,3 % годишно, следвайки тенденцията за дългосрочен растеж, наблюдавана от 1970 г. насам. Въпреки това от 2008 г. насам трафикът между Европа и останалата част на света нараства с по-бавни темпове от световния трафик. В периода 2008—2015 г. годишният растеж на трафика между Европа и останалата част на света възлиза на 3,4 %, което е с 36 % по-ниско от средния годишен растеж на световния трафик</w:t>
      </w:r>
      <w:r>
        <w:rPr>
          <w:rStyle w:val="FootnoteReference"/>
          <w:noProof/>
        </w:rPr>
        <w:footnoteReference w:id="9"/>
      </w:r>
      <w:r>
        <w:rPr>
          <w:noProof/>
        </w:rPr>
        <w:t>.</w:t>
      </w:r>
    </w:p>
    <w:p>
      <w:pPr>
        <w:pStyle w:val="ManualNumPar1"/>
        <w:rPr>
          <w:noProof/>
        </w:rPr>
      </w:pPr>
      <w:r>
        <w:t>12.</w:t>
      </w:r>
      <w:r>
        <w:tab/>
      </w:r>
      <w:r>
        <w:rPr>
          <w:noProof/>
        </w:rPr>
        <w:t>Трафикът нарасна по региони, както следва: между Европа и Северна Америка той нарасна с 1,4 %; Европа — Централна Америка и Южна Америка с 3,4 %; Европа — Африка с 2,9 %; Европа — Азия с 2,7 %; и Европа — Близкия изток с 11,2 %</w:t>
      </w:r>
      <w:r>
        <w:rPr>
          <w:rStyle w:val="FootnoteReference"/>
          <w:noProof/>
        </w:rPr>
        <w:footnoteReference w:id="10"/>
      </w:r>
      <w:r>
        <w:rPr>
          <w:noProof/>
        </w:rPr>
        <w:t>. Големите близкоизточни авиокомпании (Emirates, Qatar Airways и Etihad Airways) отнеха значителен дял от дългите полети на европейските мрежови превозвачи, като предоставят въздушен транспорт с едно прекачване от Европа към дестинации като Индия, Австралия и Югоизточна Азия, където географското предимство на превозвачите от Близкия изток е по-голямо.</w:t>
      </w:r>
    </w:p>
    <w:p>
      <w:pPr>
        <w:pStyle w:val="ManualNumPar1"/>
        <w:rPr>
          <w:noProof/>
        </w:rPr>
      </w:pPr>
      <w:r>
        <w:t>13.</w:t>
      </w:r>
      <w:r>
        <w:tab/>
      </w:r>
      <w:r>
        <w:rPr>
          <w:noProof/>
        </w:rPr>
        <w:t>Най-вредните последици от глобализацията на въздушния транспорт за дружествата от ЕС се дължат на продължаващото от 2012 г. много голямо увеличение на капацитета на авиокомпаниите Emirates, Qatar Airways и Etihad Airways. Общият брой на самолетите за далечни полети на посочените три превозвача (като се има предвид, че самолетите за далечни полети представляват почти цялата им флота) се е утроил за 8 години, т.е. през периода 2005—2013 г., като е започнал от малко над 100 самолета и е достигнал до над 300 през 2013 г., в това число растящия брой много големи самолети модел A380</w:t>
      </w:r>
      <w:r>
        <w:rPr>
          <w:rStyle w:val="FootnoteReference"/>
          <w:noProof/>
        </w:rPr>
        <w:footnoteReference w:id="11"/>
      </w:r>
      <w:r>
        <w:rPr>
          <w:noProof/>
        </w:rPr>
        <w:t>. Между 2013 и 2017 г. техният флот отново е нараснал 1,5 пъти (около 500 самолета) и въз основа на поръчка от април 2017 г. се очаква да превиши 700 самолета до 2021 г. Така за периода 2013—2021 г. флотът ще нарасне 2,33 пъти.</w:t>
      </w:r>
    </w:p>
    <w:p>
      <w:pPr>
        <w:pStyle w:val="Text1"/>
        <w:spacing w:before="360"/>
        <w:jc w:val="center"/>
        <w:rPr>
          <w:b/>
          <w:noProof/>
        </w:rPr>
      </w:pPr>
      <w:r>
        <w:rPr>
          <w:b/>
          <w:noProof/>
        </w:rPr>
        <w:t>План за броя ширококорпусни</w:t>
      </w:r>
      <w:r>
        <w:rPr>
          <w:rStyle w:val="FootnoteReference"/>
          <w:b/>
          <w:noProof/>
        </w:rPr>
        <w:footnoteReference w:id="12"/>
      </w:r>
      <w:r>
        <w:rPr>
          <w:b/>
          <w:noProof/>
        </w:rPr>
        <w:t xml:space="preserve"> самолети във флотата на Emirates, Qatar и Etihad</w:t>
      </w:r>
      <w:r>
        <w:rPr>
          <w:b/>
          <w:noProof/>
        </w:rPr>
        <w:br/>
        <w:t>(исторически данни + поръчки от април 2017 г.)</w:t>
      </w:r>
      <w:r>
        <w:rPr>
          <w:b/>
          <w:noProof/>
        </w:rPr>
        <w:br/>
      </w:r>
      <w:r>
        <w:rPr>
          <w:b/>
          <w:noProof/>
        </w:rPr>
        <w:br/>
      </w:r>
      <w:r>
        <w:rPr>
          <w:noProof/>
          <w:lang w:val="en-US" w:eastAsia="en-US" w:bidi="ar-SA"/>
        </w:rPr>
        <w:drawing>
          <wp:inline distT="0" distB="0" distL="0" distR="0">
            <wp:extent cx="5760720" cy="2887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ones.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887980"/>
                    </a:xfrm>
                    <a:prstGeom prst="rect">
                      <a:avLst/>
                    </a:prstGeom>
                  </pic:spPr>
                </pic:pic>
              </a:graphicData>
            </a:graphic>
          </wp:inline>
        </w:drawing>
      </w:r>
    </w:p>
    <w:p>
      <w:pPr>
        <w:pStyle w:val="Text1"/>
        <w:spacing w:after="360"/>
        <w:rPr>
          <w:i/>
          <w:noProof/>
        </w:rPr>
      </w:pPr>
      <w:r>
        <w:rPr>
          <w:i/>
          <w:noProof/>
        </w:rPr>
        <w:t>Източник: Диаграма, предоставена от Air France въз основа на данни от Ascend</w:t>
      </w:r>
      <w:r>
        <w:rPr>
          <w:rStyle w:val="FootnoteReference"/>
          <w:i/>
          <w:noProof/>
        </w:rPr>
        <w:footnoteReference w:id="13"/>
      </w:r>
    </w:p>
    <w:p>
      <w:pPr>
        <w:pStyle w:val="ManualNumPar1"/>
        <w:rPr>
          <w:noProof/>
        </w:rPr>
      </w:pPr>
      <w:r>
        <w:t>14.</w:t>
      </w:r>
      <w:r>
        <w:tab/>
      </w:r>
      <w:r>
        <w:rPr>
          <w:noProof/>
        </w:rPr>
        <w:t>Франция твърди, че масивните поръчки, направени от Emirates, Qatar Airways и Etihad Airways, не са свързани с основните принципи на въздушния транспорт. Въпреки че част от стратегията на тези предприятия е да повишат капацитета си за превоз на пътници между Близкия изток и останалата част на света, основната цел на трите превозвача е значително да се увеличи мощността на тяхната система за прекачвания за потоци от полети на дълги разстояния, така че чрез своите центрове в Дубай, Доха и Абу Даби да притеглят преобладаваща част от потоците между Европа, Африка, Северна и Южна Америка, от една страна, и Азия и Океания, от друга, както и между Европа и Африка.</w:t>
      </w:r>
    </w:p>
    <w:p>
      <w:pPr>
        <w:pStyle w:val="ManualNumPar1"/>
        <w:rPr>
          <w:noProof/>
          <w:szCs w:val="24"/>
        </w:rPr>
        <w:sectPr>
          <w:footerReference w:type="default" r:id="rId17"/>
          <w:footerReference w:type="first" r:id="rId18"/>
          <w:pgSz w:w="11907" w:h="16839"/>
          <w:pgMar w:top="1134" w:right="1417" w:bottom="1134" w:left="1417" w:header="709" w:footer="709" w:gutter="0"/>
          <w:cols w:space="708"/>
          <w:docGrid w:linePitch="360"/>
        </w:sectPr>
      </w:pPr>
      <w:r>
        <w:t>15.</w:t>
      </w:r>
      <w:r>
        <w:tab/>
      </w:r>
      <w:r>
        <w:rPr>
          <w:noProof/>
        </w:rPr>
        <w:t>Това представлява особено предизвикателство за европейските компании и техните платформи за кореспонденция — както по отношение на потоците с най-голям обем на трафика (напр. Европа — Азия), така и по отношение на бързорастящите потоци (по-специално Африка — Азия).</w:t>
      </w:r>
      <w:r>
        <w:rPr>
          <w:noProof/>
        </w:rPr>
        <w:tab/>
      </w:r>
      <w:r>
        <w:rPr>
          <w:noProof/>
        </w:rPr>
        <w:br/>
      </w:r>
    </w:p>
    <w:p>
      <w:pPr>
        <w:jc w:val="center"/>
        <w:rPr>
          <w:noProof/>
        </w:rPr>
      </w:pPr>
      <w:r>
        <w:rPr>
          <w:b/>
          <w:noProof/>
        </w:rPr>
        <w:t>Ръст на предлагането на авиокомпаниите между Европа и страните от Персийския залив (2004—2015 г.)</w:t>
      </w:r>
      <w:r>
        <w:rPr>
          <w:b/>
          <w:noProof/>
        </w:rPr>
        <w:br/>
        <w:t>(%)</w:t>
      </w:r>
      <w:r>
        <w:rPr>
          <w:b/>
          <w:noProof/>
        </w:rPr>
        <w:br/>
      </w:r>
      <w:r>
        <w:rPr>
          <w:noProof/>
        </w:rPr>
        <w:br/>
      </w:r>
      <w:r>
        <w:rPr>
          <w:noProof/>
          <w:lang w:val="en-US" w:eastAsia="en-US" w:bidi="ar-SA"/>
        </w:rPr>
        <w:drawing>
          <wp:inline distT="0" distB="0" distL="0" distR="0">
            <wp:extent cx="5726840" cy="265855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png"/>
                    <pic:cNvPicPr/>
                  </pic:nvPicPr>
                  <pic:blipFill>
                    <a:blip r:embed="rId19">
                      <a:extLst>
                        <a:ext uri="{28A0092B-C50C-407E-A947-70E740481C1C}">
                          <a14:useLocalDpi xmlns:a14="http://schemas.microsoft.com/office/drawing/2010/main" val="0"/>
                        </a:ext>
                      </a:extLst>
                    </a:blip>
                    <a:stretch>
                      <a:fillRect/>
                    </a:stretch>
                  </pic:blipFill>
                  <pic:spPr>
                    <a:xfrm>
                      <a:off x="0" y="0"/>
                      <a:ext cx="5726840" cy="2658550"/>
                    </a:xfrm>
                    <a:prstGeom prst="rect">
                      <a:avLst/>
                    </a:prstGeom>
                  </pic:spPr>
                </pic:pic>
              </a:graphicData>
            </a:graphic>
          </wp:inline>
        </w:drawing>
      </w:r>
    </w:p>
    <w:p>
      <w:pPr>
        <w:pStyle w:val="Text1"/>
        <w:spacing w:after="360"/>
        <w:jc w:val="left"/>
        <w:rPr>
          <w:noProof/>
        </w:rPr>
      </w:pPr>
      <w:r>
        <w:rPr>
          <w:i/>
          <w:noProof/>
        </w:rPr>
        <w:t>Източник: Диаграма, предоставена от Air France въз основа на данни от OAG</w:t>
      </w:r>
      <w:r>
        <w:rPr>
          <w:rStyle w:val="FootnoteReference"/>
          <w:i/>
          <w:noProof/>
        </w:rPr>
        <w:footnoteReference w:id="14"/>
      </w:r>
      <w:r>
        <w:rPr>
          <w:noProof/>
        </w:rPr>
        <w:t xml:space="preserve"> </w:t>
      </w:r>
    </w:p>
    <w:p>
      <w:pPr>
        <w:pStyle w:val="ManualNumPar1"/>
        <w:rPr>
          <w:noProof/>
        </w:rPr>
      </w:pPr>
      <w:r>
        <w:t>16.</w:t>
      </w:r>
      <w:r>
        <w:tab/>
      </w:r>
      <w:r>
        <w:rPr>
          <w:noProof/>
        </w:rPr>
        <w:t>Катар и Обединените арабски емирства (ОАЕ) влагат милиарди долари под формата на държавни субсидии за своите държавни авиолинии, като нарушават международния авиационен пазар и изкривяват лоялната конкуренция. Emirates, Qatar Airways и Etihad са в центъра на стратегията за развитие на своите държави-акционери, които са склонни да насърчават бързия растеж на своите превозвачи в услуга на националното развитие, което води до предоставяне на почти неограничена подкрепа. Проучване, проведено през 2015 г. от големи американски авиокомпании (American Airlines, Delta, United)</w:t>
      </w:r>
      <w:r>
        <w:rPr>
          <w:rStyle w:val="FootnoteReference"/>
          <w:noProof/>
        </w:rPr>
        <w:footnoteReference w:id="15"/>
      </w:r>
      <w:r>
        <w:rPr>
          <w:noProof/>
        </w:rPr>
        <w:t xml:space="preserve"> установи, че Emirates, Etihad и Qatar Airways са получили над 42 милиарда щатски долара под формата на държавна помощ между 2004 г. и 2014 г. В писмо, изпратено до държавния секретар на САЩ през февруари 2017 г.</w:t>
      </w:r>
      <w:r>
        <w:rPr>
          <w:rStyle w:val="FootnoteReference"/>
          <w:noProof/>
        </w:rPr>
        <w:footnoteReference w:id="16"/>
      </w:r>
      <w:r>
        <w:rPr>
          <w:noProof/>
        </w:rPr>
        <w:t>, същите американски превозвачи изчисляват, че помощта, получена от компаниите от Персийския залив, надхвърля 50 милиарда щатски долара, което увеличава предишната оценка с допълнителни осем милиарда долара.</w:t>
      </w:r>
    </w:p>
    <w:p>
      <w:pPr>
        <w:pStyle w:val="ManualNumPar1"/>
        <w:rPr>
          <w:noProof/>
        </w:rPr>
      </w:pPr>
      <w:r>
        <w:t>17.</w:t>
      </w:r>
      <w:r>
        <w:tab/>
      </w:r>
      <w:r>
        <w:rPr>
          <w:noProof/>
        </w:rPr>
        <w:t>Държавната помощ и ползите, предоставяни на Emirates, Qatar Airways и Etihad, се отнасят до социалната и данъчната система (липса на данъчно облагане: освобождаване от корпоративен данък, разходи за социално осигуряване, местни данъци и др.), финансирането на закупуването на въздухоплавателни средства (държавни гаранции и инструменти за експортни кредити), финансирането на летищната инфраструктура чрез огромни инвестиции (4 900 млн. евро в Дубай, 6 800 млн. евро в Доха), и осигуряването на едни от най-ниските летищни такси в света (напр. ако се сравнят летищните такси и разходи през 2016 г. между Париж (CDG) и Дубай (DXB) за кацането на самолет B777-300, съотношението е 2,2 (16 766 EUR в Париж/7 599 EUR в Дубай)</w:t>
      </w:r>
      <w:r>
        <w:rPr>
          <w:rStyle w:val="FootnoteReference"/>
          <w:noProof/>
        </w:rPr>
        <w:footnoteReference w:id="17"/>
      </w:r>
      <w:r>
        <w:rPr>
          <w:noProof/>
        </w:rPr>
        <w:t>.</w:t>
      </w:r>
    </w:p>
    <w:p>
      <w:pPr>
        <w:pStyle w:val="ManualNumPar1"/>
        <w:rPr>
          <w:noProof/>
        </w:rPr>
      </w:pPr>
      <w:r>
        <w:t>18.</w:t>
      </w:r>
      <w:r>
        <w:tab/>
      </w:r>
      <w:r>
        <w:rPr>
          <w:noProof/>
        </w:rPr>
        <w:t>В нормативна уредба, белязана от силна тенденция към либерализация на въздухоплавателните услуги, 24 от общо 28 държави — членки на ЕС, са подписали споразумения с Катар и ОАЕ, предлагайки на техните превозвачи широк достъп до европейския пазар. Въпреки това, докато ЕС функционира на принципа на забраната на държавната помощ, която нарушава или заплашва да наруши конкуренцията и засяга търговията между държавите членки, в Катар и ОАЕ не съществува подобно регулиране, както се вижда от почти неограничената държавна помощ до този момент.</w:t>
      </w:r>
    </w:p>
    <w:p>
      <w:pPr>
        <w:pStyle w:val="ManualNumPar1"/>
        <w:rPr>
          <w:noProof/>
        </w:rPr>
      </w:pPr>
      <w:r>
        <w:t>19.</w:t>
      </w:r>
      <w:r>
        <w:tab/>
      </w:r>
      <w:r>
        <w:rPr>
          <w:noProof/>
        </w:rPr>
        <w:t>Към днешна дата за сектора на въздушния транспорт са били подадени три заявления за подкрепа от ЕФПГ, като и трите се основават на свързана с търговията глобализация</w:t>
      </w:r>
      <w:r>
        <w:rPr>
          <w:rStyle w:val="FootnoteReference"/>
          <w:noProof/>
        </w:rPr>
        <w:footnoteReference w:id="18"/>
      </w:r>
      <w:r>
        <w:rPr>
          <w:noProof/>
        </w:rPr>
        <w:t>.</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20.</w:t>
      </w:r>
      <w:r>
        <w:tab/>
      </w:r>
      <w:r>
        <w:rPr>
          <w:noProof/>
        </w:rPr>
        <w:t>Събитията, довели до тези съкращения, са масовото увеличаване на капацитета</w:t>
      </w:r>
      <w:r>
        <w:rPr>
          <w:rStyle w:val="FootnoteReference"/>
          <w:noProof/>
        </w:rPr>
        <w:footnoteReference w:id="19"/>
      </w:r>
      <w:r>
        <w:rPr>
          <w:noProof/>
        </w:rPr>
        <w:t xml:space="preserve"> на субсидираните авиокомпании, установени в държави с много по-добри условия за инвестиции и производство. Това е довело до рязък спад в пазарния дял на компаниите от ЕС. Между 2008 г. и 2016 г. развитието на пазарните дялове произход-местоназначение между Европа, от една страна, и Субсахарска Африка, Близкия изток и Азия, от друга страна, показва, че има отстъпление на дружествата от ЕС с почти 10 пункта в полза на Emirates, Qatar Airways, Etihad и Turkish Airlines (макар че последната е без увеличение от 2015 г. насам поради геополитическия контекст), както е показано на графиката по-долу. </w:t>
      </w:r>
    </w:p>
    <w:p>
      <w:pPr>
        <w:pStyle w:val="Text1"/>
        <w:jc w:val="center"/>
        <w:rPr>
          <w:b/>
          <w:noProof/>
        </w:rPr>
      </w:pPr>
      <w:r>
        <w:rPr>
          <w:b/>
          <w:noProof/>
          <w:spacing w:val="-4"/>
        </w:rPr>
        <w:t>Развитие на пазарните дялове за Субсахарска Африка, Близкия изток и Азия</w:t>
      </w:r>
      <w:r>
        <w:rPr>
          <w:b/>
          <w:noProof/>
          <w:spacing w:val="-4"/>
        </w:rPr>
        <w:br/>
      </w:r>
      <w:r>
        <w:rPr>
          <w:b/>
          <w:noProof/>
        </w:rPr>
        <w:t>(2008—2016 г.)</w:t>
      </w:r>
      <w:r>
        <w:rPr>
          <w:b/>
          <w:noProof/>
        </w:rPr>
        <w:br/>
      </w:r>
      <w:r>
        <w:rPr>
          <w:b/>
          <w:noProof/>
        </w:rPr>
        <w:br/>
      </w:r>
      <w:r>
        <w:rPr>
          <w:b/>
          <w:noProof/>
          <w:lang w:val="en-US" w:eastAsia="en-US" w:bidi="ar-SA"/>
        </w:rPr>
        <w:drawing>
          <wp:inline distT="0" distB="0" distL="0" distR="0">
            <wp:extent cx="5649856" cy="167994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share evolution.png"/>
                    <pic:cNvPicPr/>
                  </pic:nvPicPr>
                  <pic:blipFill>
                    <a:blip r:embed="rId20">
                      <a:extLst>
                        <a:ext uri="{28A0092B-C50C-407E-A947-70E740481C1C}">
                          <a14:useLocalDpi xmlns:a14="http://schemas.microsoft.com/office/drawing/2010/main" val="0"/>
                        </a:ext>
                      </a:extLst>
                    </a:blip>
                    <a:stretch>
                      <a:fillRect/>
                    </a:stretch>
                  </pic:blipFill>
                  <pic:spPr>
                    <a:xfrm>
                      <a:off x="0" y="0"/>
                      <a:ext cx="5665678" cy="1684649"/>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1003"/>
        <w:gridCol w:w="240"/>
        <w:gridCol w:w="2136"/>
        <w:gridCol w:w="240"/>
        <w:gridCol w:w="1200"/>
        <w:gridCol w:w="240"/>
        <w:gridCol w:w="870"/>
        <w:gridCol w:w="240"/>
        <w:gridCol w:w="696"/>
      </w:tblGrid>
      <w:tr>
        <w:trPr>
          <w:jc w:val="center"/>
        </w:trPr>
        <w:tc>
          <w:tcPr>
            <w:tcW w:w="240" w:type="dxa"/>
            <w:shd w:val="clear" w:color="auto" w:fill="0033CC"/>
          </w:tcPr>
          <w:p>
            <w:pPr>
              <w:spacing w:before="0" w:after="0"/>
              <w:rPr>
                <w:noProof/>
              </w:rPr>
            </w:pPr>
          </w:p>
        </w:tc>
        <w:tc>
          <w:tcPr>
            <w:tcW w:w="852" w:type="dxa"/>
          </w:tcPr>
          <w:p>
            <w:pPr>
              <w:spacing w:before="0" w:after="0"/>
              <w:rPr>
                <w:noProof/>
              </w:rPr>
            </w:pPr>
            <w:r>
              <w:rPr>
                <w:noProof/>
              </w:rPr>
              <w:t>AFKL</w:t>
            </w:r>
            <w:r>
              <w:rPr>
                <w:rStyle w:val="FootnoteReference"/>
                <w:noProof/>
              </w:rPr>
              <w:footnoteReference w:id="20"/>
            </w:r>
          </w:p>
        </w:tc>
        <w:tc>
          <w:tcPr>
            <w:tcW w:w="240" w:type="dxa"/>
            <w:shd w:val="clear" w:color="auto" w:fill="92D050"/>
          </w:tcPr>
          <w:p>
            <w:pPr>
              <w:spacing w:before="0" w:after="0"/>
              <w:rPr>
                <w:noProof/>
              </w:rPr>
            </w:pPr>
          </w:p>
        </w:tc>
        <w:tc>
          <w:tcPr>
            <w:tcW w:w="2136" w:type="dxa"/>
          </w:tcPr>
          <w:p>
            <w:pPr>
              <w:spacing w:before="0" w:after="0"/>
              <w:rPr>
                <w:noProof/>
              </w:rPr>
            </w:pPr>
            <w:r>
              <w:rPr>
                <w:noProof/>
              </w:rPr>
              <w:t>Други превозвачи</w:t>
            </w:r>
          </w:p>
        </w:tc>
        <w:tc>
          <w:tcPr>
            <w:tcW w:w="240" w:type="dxa"/>
            <w:shd w:val="clear" w:color="auto" w:fill="00B0F0"/>
          </w:tcPr>
          <w:p>
            <w:pPr>
              <w:spacing w:before="0" w:after="0"/>
              <w:rPr>
                <w:noProof/>
              </w:rPr>
            </w:pPr>
          </w:p>
        </w:tc>
        <w:tc>
          <w:tcPr>
            <w:tcW w:w="1200" w:type="dxa"/>
          </w:tcPr>
          <w:p>
            <w:pPr>
              <w:spacing w:before="0" w:after="0"/>
              <w:rPr>
                <w:noProof/>
              </w:rPr>
            </w:pPr>
            <w:r>
              <w:rPr>
                <w:noProof/>
              </w:rPr>
              <w:t>Общо ЕС</w:t>
            </w:r>
          </w:p>
        </w:tc>
        <w:tc>
          <w:tcPr>
            <w:tcW w:w="240" w:type="dxa"/>
            <w:shd w:val="clear" w:color="auto" w:fill="F6800A"/>
          </w:tcPr>
          <w:p>
            <w:pPr>
              <w:spacing w:before="0" w:after="0"/>
              <w:rPr>
                <w:noProof/>
              </w:rPr>
            </w:pPr>
          </w:p>
        </w:tc>
        <w:tc>
          <w:tcPr>
            <w:tcW w:w="840" w:type="dxa"/>
          </w:tcPr>
          <w:p>
            <w:pPr>
              <w:spacing w:before="0" w:after="0"/>
              <w:rPr>
                <w:noProof/>
              </w:rPr>
            </w:pPr>
            <w:r>
              <w:rPr>
                <w:noProof/>
              </w:rPr>
              <w:t>GCC</w:t>
            </w:r>
            <w:r>
              <w:rPr>
                <w:rStyle w:val="FootnoteReference"/>
                <w:noProof/>
              </w:rPr>
              <w:footnoteReference w:id="21"/>
            </w:r>
          </w:p>
        </w:tc>
        <w:tc>
          <w:tcPr>
            <w:tcW w:w="240" w:type="dxa"/>
            <w:shd w:val="clear" w:color="auto" w:fill="990000"/>
          </w:tcPr>
          <w:p>
            <w:pPr>
              <w:spacing w:before="0" w:after="0"/>
              <w:rPr>
                <w:noProof/>
              </w:rPr>
            </w:pPr>
          </w:p>
        </w:tc>
        <w:tc>
          <w:tcPr>
            <w:tcW w:w="600" w:type="dxa"/>
          </w:tcPr>
          <w:p>
            <w:pPr>
              <w:spacing w:before="0" w:after="0"/>
              <w:rPr>
                <w:noProof/>
              </w:rPr>
            </w:pPr>
            <w:r>
              <w:rPr>
                <w:noProof/>
              </w:rPr>
              <w:t>TK</w:t>
            </w:r>
            <w:r>
              <w:rPr>
                <w:rStyle w:val="FootnoteReference"/>
                <w:noProof/>
              </w:rPr>
              <w:footnoteReference w:id="22"/>
            </w:r>
          </w:p>
        </w:tc>
      </w:tr>
    </w:tbl>
    <w:p>
      <w:pPr>
        <w:pStyle w:val="Text1"/>
        <w:spacing w:before="240" w:after="360"/>
        <w:jc w:val="left"/>
        <w:rPr>
          <w:i/>
          <w:noProof/>
        </w:rPr>
      </w:pPr>
      <w:r>
        <w:rPr>
          <w:i/>
          <w:noProof/>
        </w:rPr>
        <w:t>Източник: Диаграма, предоставена от Air France въз основа на данни от MIDT</w:t>
      </w:r>
      <w:r>
        <w:rPr>
          <w:rStyle w:val="FootnoteReference"/>
          <w:i/>
          <w:noProof/>
        </w:rPr>
        <w:footnoteReference w:id="23"/>
      </w:r>
    </w:p>
    <w:p>
      <w:pPr>
        <w:pStyle w:val="ManualNumPar1"/>
        <w:rPr>
          <w:noProof/>
        </w:rPr>
      </w:pPr>
      <w:r>
        <w:t>21.</w:t>
      </w:r>
      <w:r>
        <w:tab/>
      </w:r>
      <w:r>
        <w:rPr>
          <w:noProof/>
        </w:rPr>
        <w:t>Както беше подчертано, това представлява особено предизвикателство за европейските компании и техните платформи за кореспонденция — по отношение на потоците с най-голям обем на трафика, като Европа — Азия, и по отношение на бързорастящите потоци, като Африка — Азия. Air France, която е традиционно утвърдена по повечето от тези потоци поради своя транспортен център Париж — „Шарл дьо Гол“, е особено изложена на тези отклонения в трафика и това е събитието, довело до съкращенията.</w:t>
      </w:r>
    </w:p>
    <w:p>
      <w:pPr>
        <w:pStyle w:val="ManualHeading3"/>
        <w:tabs>
          <w:tab w:val="clear" w:pos="850"/>
          <w:tab w:val="left" w:pos="0"/>
        </w:tabs>
        <w:ind w:left="0" w:firstLine="0"/>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ManualNumPar1"/>
        <w:rPr>
          <w:noProof/>
        </w:rPr>
      </w:pPr>
      <w:r>
        <w:t>22.</w:t>
      </w:r>
      <w:r>
        <w:tab/>
      </w:r>
      <w:r>
        <w:rPr>
          <w:noProof/>
        </w:rPr>
        <w:t xml:space="preserve">Най-големият брой съкращения са в регионите Ile-de-France (76,2 %) и Provence-Alpes-Côte d' Azur (PACA) — (11,7 %). Очакваното въздействие на територията на двата региона е свързано с трудностите при пренасочване за работниците на възраст над 50 години. Тази възрастова група представлява 79 % от общия брой на съкращенията. В регион PACA затрудненията са свързани и с по-високия брой на търсещите работа отколкото средното за страната. </w:t>
      </w:r>
    </w:p>
    <w:p>
      <w:pPr>
        <w:pStyle w:val="ManualNumPar1"/>
        <w:rPr>
          <w:noProof/>
        </w:rPr>
      </w:pPr>
      <w:r>
        <w:t>23.</w:t>
      </w:r>
      <w:r>
        <w:tab/>
      </w:r>
      <w:r>
        <w:rPr>
          <w:noProof/>
        </w:rPr>
        <w:t>В Ile-de-France безработица обикновено е по-ниска отколкото в останалата част на Франция, тъй като се включва районът на Париж. През третото тримесечие на 2017 г. равнището на безработицата е 8,4 %</w:t>
      </w:r>
      <w:r>
        <w:rPr>
          <w:rStyle w:val="FootnoteReference"/>
          <w:noProof/>
        </w:rPr>
        <w:footnoteReference w:id="24"/>
      </w:r>
      <w:r>
        <w:rPr>
          <w:noProof/>
        </w:rPr>
        <w:t>, т.е. един процентен пункт по-ниско от средното равнище на безработицата във Франция (9,4 %). Въпреки това регионът има проблеми, свързани с трайната безработица и търсещите работа лица на възраст над 50 години. Последните статистически данни</w:t>
      </w:r>
      <w:r>
        <w:rPr>
          <w:rStyle w:val="FootnoteReference"/>
          <w:noProof/>
        </w:rPr>
        <w:footnoteReference w:id="25"/>
      </w:r>
      <w:r>
        <w:rPr>
          <w:noProof/>
        </w:rPr>
        <w:t xml:space="preserve"> показват, че в Île-de-France броят на дългосрочно безработните (от 12 до 24 месеца) се е повишил с 19 480 души (11 %)</w:t>
      </w:r>
      <w:r>
        <w:rPr>
          <w:rStyle w:val="FootnoteReference"/>
          <w:noProof/>
        </w:rPr>
        <w:footnoteReference w:id="26"/>
      </w:r>
      <w:r>
        <w:rPr>
          <w:noProof/>
        </w:rPr>
        <w:t xml:space="preserve"> през 2017 г. в сравнение с предходната година. Търсещите работа лица, които са били безработни в продължение на най-малко една година, представляват 43,7 % от общия брой на търсещите работа в региона</w:t>
      </w:r>
      <w:r>
        <w:rPr>
          <w:rStyle w:val="FootnoteReference"/>
          <w:noProof/>
        </w:rPr>
        <w:footnoteReference w:id="27"/>
      </w:r>
      <w:r>
        <w:rPr>
          <w:noProof/>
        </w:rPr>
        <w:t>. В допълнение, броят на търсещите работа лица на възраст над 50 години се е увеличил с 4,7 % (5,6 % при жените) през последното тримесечие на 2017 г. в сравнение с последното тримесечие на 2016 г.</w:t>
      </w:r>
      <w:r>
        <w:rPr>
          <w:rStyle w:val="FootnoteReference"/>
          <w:noProof/>
        </w:rPr>
        <w:footnoteReference w:id="28"/>
      </w:r>
    </w:p>
    <w:p>
      <w:pPr>
        <w:pStyle w:val="ManualNumPar1"/>
        <w:rPr>
          <w:noProof/>
        </w:rPr>
      </w:pPr>
      <w:r>
        <w:t>24.</w:t>
      </w:r>
      <w:r>
        <w:tab/>
      </w:r>
      <w:r>
        <w:rPr>
          <w:noProof/>
        </w:rPr>
        <w:t>От друга страна, в РАСА безработицата е 11,1 %</w:t>
      </w:r>
      <w:r>
        <w:rPr>
          <w:rStyle w:val="FootnoteReference"/>
          <w:noProof/>
        </w:rPr>
        <w:footnoteReference w:id="29"/>
      </w:r>
      <w:r>
        <w:rPr>
          <w:noProof/>
        </w:rPr>
        <w:t>, т.е. с почти два процентни пункта по-висока, отколкото средното за страната. В този регион броят на търсещите работа лица на възраст над 50 години се е увеличил с 6 % през третото тримесечие на 2017 г. в сравнение със същото тримесечие на 2016 г.</w:t>
      </w:r>
      <w:r>
        <w:rPr>
          <w:rStyle w:val="FootnoteReference"/>
          <w:noProof/>
        </w:rPr>
        <w:footnoteReference w:id="30"/>
      </w:r>
      <w:r>
        <w:rPr>
          <w:noProof/>
        </w:rPr>
        <w:t>; а търсещите работа лица, които са били безработни в продължение на най-малко 12 месеца, се е увеличил със 7 % или 14 010 лица през същия период</w:t>
      </w:r>
      <w:r>
        <w:rPr>
          <w:rStyle w:val="FootnoteReference"/>
          <w:noProof/>
        </w:rPr>
        <w:footnoteReference w:id="31"/>
      </w:r>
      <w:r>
        <w:rPr>
          <w:noProof/>
        </w:rPr>
        <w:t>.</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25.</w:t>
      </w:r>
      <w:r>
        <w:tab/>
      </w:r>
      <w:r>
        <w:rPr>
          <w:noProof/>
        </w:rPr>
        <w:t>Очаква се всички 1 858 съкратени работници да вземат участие в мерките. По-долу е представена разбивка на работниците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на </w:t>
            </w:r>
            <w:r>
              <w:rPr>
                <w:noProof/>
              </w:rPr>
              <w:br/>
              <w:t>бенефициерите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974</w:t>
            </w:r>
          </w:p>
        </w:tc>
        <w:tc>
          <w:tcPr>
            <w:tcW w:w="1176" w:type="dxa"/>
            <w:tcBorders>
              <w:top w:val="single" w:sz="4" w:space="0" w:color="auto"/>
              <w:left w:val="nil"/>
              <w:right w:val="nil"/>
            </w:tcBorders>
            <w:hideMark/>
          </w:tcPr>
          <w:p>
            <w:pPr>
              <w:spacing w:before="60" w:after="60"/>
              <w:jc w:val="right"/>
              <w:rPr>
                <w:noProof/>
              </w:rPr>
            </w:pPr>
            <w:r>
              <w:rPr>
                <w:noProof/>
              </w:rPr>
              <w:t>(52,4 %)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884</w:t>
            </w:r>
          </w:p>
        </w:tc>
        <w:tc>
          <w:tcPr>
            <w:tcW w:w="1176" w:type="dxa"/>
            <w:tcBorders>
              <w:bottom w:val="single" w:sz="4" w:space="0" w:color="auto"/>
            </w:tcBorders>
            <w:hideMark/>
          </w:tcPr>
          <w:p>
            <w:pPr>
              <w:spacing w:before="60" w:after="60"/>
              <w:jc w:val="right"/>
              <w:rPr>
                <w:noProof/>
              </w:rPr>
            </w:pPr>
            <w:r>
              <w:rPr>
                <w:noProof/>
              </w:rPr>
              <w:t>(47,6 %)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1 849</w:t>
            </w:r>
          </w:p>
        </w:tc>
        <w:tc>
          <w:tcPr>
            <w:tcW w:w="1176" w:type="dxa"/>
            <w:tcBorders>
              <w:top w:val="single" w:sz="4" w:space="0" w:color="auto"/>
            </w:tcBorders>
            <w:hideMark/>
          </w:tcPr>
          <w:p>
            <w:pPr>
              <w:spacing w:before="60" w:after="60"/>
              <w:jc w:val="right"/>
              <w:rPr>
                <w:noProof/>
              </w:rPr>
            </w:pPr>
            <w:r>
              <w:rPr>
                <w:noProof/>
              </w:rPr>
              <w:t>(99,5 %)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трети държави:</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noProof/>
              </w:rPr>
              <w:t>(0,5 %)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0</w:t>
            </w:r>
          </w:p>
        </w:tc>
        <w:tc>
          <w:tcPr>
            <w:tcW w:w="1176" w:type="dxa"/>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661</w:t>
            </w:r>
          </w:p>
        </w:tc>
        <w:tc>
          <w:tcPr>
            <w:tcW w:w="1176" w:type="dxa"/>
            <w:hideMark/>
          </w:tcPr>
          <w:p>
            <w:pPr>
              <w:spacing w:before="60" w:after="60"/>
              <w:jc w:val="right"/>
              <w:rPr>
                <w:noProof/>
              </w:rPr>
            </w:pPr>
            <w:r>
              <w:rPr>
                <w:noProof/>
              </w:rPr>
              <w:t>(35,6 %)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1 196</w:t>
            </w:r>
          </w:p>
        </w:tc>
        <w:tc>
          <w:tcPr>
            <w:tcW w:w="1176" w:type="dxa"/>
            <w:hideMark/>
          </w:tcPr>
          <w:p>
            <w:pPr>
              <w:spacing w:before="60" w:after="60"/>
              <w:jc w:val="right"/>
              <w:rPr>
                <w:noProof/>
              </w:rPr>
            </w:pPr>
            <w:r>
              <w:rPr>
                <w:noProof/>
              </w:rPr>
              <w:t>(64,4 %)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Допустимост на предложените действия</w:t>
      </w:r>
    </w:p>
    <w:p>
      <w:pPr>
        <w:pStyle w:val="ManualNumPar1"/>
        <w:rPr>
          <w:noProof/>
        </w:rPr>
      </w:pPr>
      <w:r>
        <w:t>26.</w:t>
      </w:r>
      <w:r>
        <w:tab/>
      </w:r>
      <w:r>
        <w:rPr>
          <w:noProof/>
        </w:rPr>
        <w:t>Мярката, за която френските органи искат съфинансиране по линия на ЕФПГ, е отпускът за преквалификация („</w:t>
      </w:r>
      <w:r>
        <w:rPr>
          <w:i/>
          <w:noProof/>
        </w:rPr>
        <w:t>congé de reclassement</w:t>
      </w:r>
      <w:r>
        <w:rPr>
          <w:noProof/>
        </w:rPr>
        <w:t>“)</w:t>
      </w:r>
      <w:r>
        <w:rPr>
          <w:rStyle w:val="FootnoteReference"/>
          <w:noProof/>
        </w:rPr>
        <w:footnoteReference w:id="32"/>
      </w:r>
      <w:r>
        <w:rPr>
          <w:noProof/>
        </w:rPr>
        <w:t>. Тази мярка е предназначена за работници, които към момента на доброволното си напускане все още нямат конкретни планове за преквалификация и биха искали да се възползват, за период, който може да продължи до 12 месеца, а при някои обстоятелства и до 15 месеца</w:t>
      </w:r>
      <w:r>
        <w:rPr>
          <w:rStyle w:val="FootnoteReference"/>
          <w:noProof/>
        </w:rPr>
        <w:footnoteReference w:id="33"/>
      </w:r>
      <w:r>
        <w:rPr>
          <w:noProof/>
        </w:rPr>
        <w:t xml:space="preserve">, от мерки за преквалификация, консултации, ориентация или съдействие за започване на стопанска дейност или поемане на предприятие и др. </w:t>
      </w:r>
    </w:p>
    <w:p>
      <w:pPr>
        <w:pStyle w:val="ManualNumPar1"/>
        <w:rPr>
          <w:noProof/>
        </w:rPr>
      </w:pPr>
      <w:r>
        <w:t>27.</w:t>
      </w:r>
      <w:r>
        <w:tab/>
      </w:r>
      <w:r>
        <w:rPr>
          <w:noProof/>
        </w:rPr>
        <w:t>Персонализираните услуги, които се предвижда да бъдат предоставени на съкратените работници в рамките на отпуска за преквалификация, включват следните действия:</w:t>
      </w:r>
    </w:p>
    <w:p>
      <w:pPr>
        <w:pStyle w:val="Tiret1"/>
        <w:numPr>
          <w:ilvl w:val="0"/>
          <w:numId w:val="11"/>
        </w:numPr>
        <w:rPr>
          <w:noProof/>
        </w:rPr>
      </w:pPr>
      <w:r>
        <w:rPr>
          <w:noProof/>
          <w:u w:val="single"/>
        </w:rPr>
        <w:t>Услуги за консултиране и професионално ориентиране за работници</w:t>
      </w:r>
      <w:r>
        <w:rPr>
          <w:noProof/>
        </w:rPr>
        <w:t>. Работниците ще получат консултации и ще бъдат насочени към проектите им за преквалификация като работници или самостоятелно заети лица. Участниците ще имат право на консултации и насоки при преминаване от едно работно място към друго, подкрепа при търсенето на работа, персонални напътствия, информация относно възможностите за обучение, насърчаване на предприемачеството и консултации във връзка със започване на стопанска дейност (това може да включва търсене на финансиране, помощ при изготвянето на бизнес план и други съпътстващи услуги, насочени към предприемачеството) и др.</w:t>
      </w:r>
    </w:p>
    <w:p>
      <w:pPr>
        <w:pStyle w:val="Tiret1"/>
        <w:rPr>
          <w:noProof/>
        </w:rPr>
      </w:pPr>
      <w:r>
        <w:rPr>
          <w:noProof/>
          <w:u w:val="single"/>
        </w:rPr>
        <w:t>Професионално обучение</w:t>
      </w:r>
      <w:r>
        <w:rPr>
          <w:noProof/>
        </w:rPr>
        <w:t>. На работниците ще бъдат предложени различни видове обучения в съответствие с потребностите им, установени от лицата, предоставящи консултантските услуги. Ще се обърне специално внимание на „</w:t>
      </w:r>
      <w:r>
        <w:rPr>
          <w:i/>
          <w:noProof/>
        </w:rPr>
        <w:t>parcours encadrés</w:t>
      </w:r>
      <w:r>
        <w:rPr>
          <w:noProof/>
        </w:rPr>
        <w:t>“, които представляват професионални обучения с дълга продължителност, свързани с работни места, за които има търсене. Някои примери за възможни професионални обучения са: обучение по лозята и виното (винопроизводител), пчеларство, сертификат (CPA</w:t>
      </w:r>
      <w:r>
        <w:rPr>
          <w:rStyle w:val="FootnoteReference"/>
          <w:noProof/>
        </w:rPr>
        <w:footnoteReference w:id="34"/>
      </w:r>
      <w:r>
        <w:rPr>
          <w:noProof/>
        </w:rPr>
        <w:t>) по ресторантьорство, сертификат (CPA) за хлебар, за медицинска сестра, обучение, насочено към DAEFLE (степен за професионална подготовка за преподаване на френски като чужд език), обучение за удостоверение за водач на превозни средства с до девет пътници и др.</w:t>
      </w:r>
    </w:p>
    <w:p>
      <w:pPr>
        <w:pStyle w:val="Tiret1"/>
        <w:rPr>
          <w:noProof/>
        </w:rPr>
      </w:pPr>
      <w:r>
        <w:rPr>
          <w:noProof/>
          <w:u w:val="single"/>
        </w:rPr>
        <w:t>Помощ за възстановяване или за започване на стопанска дейност</w:t>
      </w:r>
      <w:r>
        <w:rPr>
          <w:noProof/>
        </w:rPr>
        <w:t xml:space="preserve">. Работниците, които започнат своя дейност (възстановяване или за започване на стопанска дейност), ще получат до 15 000 EUR за покриване на началните разходи, инвестициите в активи и текущите разходи. Финансовото участие ще бъде изплатено на няколко вноски, след като бъдат достигнати определени цели. Първа вноска от 3 000 EUR ще бъде платена при представяне на доказателство за започване на стопанска дейност или поемане на предприятие, като например получаването на регистрация. Втора и трета вноска, всяка от по 6 000 EUR, ще бъдат изплатени при представяне на първата и втората справка-декларация за ДДС върху продажбите, в които е вписан минимален оборот от съответно най-малко 500 EUR и 1 000 EUR. Самостоятелно заетите лица (на френски език </w:t>
      </w:r>
      <w:r>
        <w:rPr>
          <w:i/>
          <w:noProof/>
        </w:rPr>
        <w:t>auto-entrepreneurs</w:t>
      </w:r>
      <w:r>
        <w:rPr>
          <w:noProof/>
        </w:rPr>
        <w:t xml:space="preserve"> или </w:t>
      </w:r>
      <w:r>
        <w:rPr>
          <w:i/>
          <w:noProof/>
        </w:rPr>
        <w:t>micro-entrepreneurs)</w:t>
      </w:r>
      <w:r>
        <w:rPr>
          <w:noProof/>
        </w:rPr>
        <w:t xml:space="preserve"> и едноличните търговци, които се ползват от опростени административни, данъчни и социални задължения (</w:t>
      </w:r>
      <w:r>
        <w:rPr>
          <w:i/>
          <w:noProof/>
        </w:rPr>
        <w:t>entreprise individuelle avec toutes ses derogations</w:t>
      </w:r>
      <w:r>
        <w:rPr>
          <w:noProof/>
        </w:rPr>
        <w:t>), ще получат втората и третата вноска от по 6 000 EUR при представяне на първата и втората декларация за дейността пред RSI</w:t>
      </w:r>
      <w:r>
        <w:rPr>
          <w:rStyle w:val="FootnoteReference"/>
          <w:noProof/>
        </w:rPr>
        <w:footnoteReference w:id="35"/>
      </w:r>
      <w:r>
        <w:rPr>
          <w:noProof/>
        </w:rPr>
        <w:t>, в които се посочва оборот съответно от най-малко 200 EUR и 500 EUR с доказателство за извършено плащане на дължимите суми.</w:t>
      </w:r>
    </w:p>
    <w:p>
      <w:pPr>
        <w:pStyle w:val="Tiret1"/>
        <w:rPr>
          <w:noProof/>
        </w:rPr>
      </w:pPr>
      <w:r>
        <w:rPr>
          <w:noProof/>
          <w:u w:val="single"/>
        </w:rPr>
        <w:t>Помощ за търсене на работа</w:t>
      </w:r>
      <w:r>
        <w:rPr>
          <w:noProof/>
        </w:rPr>
        <w:t>. Тази месечна помощ, която се изплаща до края на отпуска за преквалификация, се равнява на 70 % от последната брутна заплата на работника. Нейният размер се изчислява въз основа на предполагаемото участие на пълно работно време на работниците и служителите в активни мерки на пазара на труда; ако това участие е по-малко, ЕФПГ ще изплати на работниците субсидия, изчислена пропорционално на тяхното действително участие.</w:t>
      </w:r>
    </w:p>
    <w:p>
      <w:pPr>
        <w:pStyle w:val="Tiret1"/>
        <w:rPr>
          <w:noProof/>
        </w:rPr>
      </w:pPr>
      <w:r>
        <w:rPr>
          <w:noProof/>
          <w:u w:val="single"/>
        </w:rPr>
        <w:t>Помощ за мобилност</w:t>
      </w:r>
      <w:r>
        <w:rPr>
          <w:noProof/>
        </w:rPr>
        <w:t>. Работниците от целевата група, които приемат работа, включваща промяна на местоживеенето на повече от 100 km от настоящото им местоживеене, ще получат еднократна сума от 3 000 EUR, за да покрият необходимите разходи. Тази сума може да бъде увеличена с 500 EUR за съпруг(а), партньор по PACS</w:t>
      </w:r>
      <w:r>
        <w:rPr>
          <w:rStyle w:val="FootnoteReference"/>
          <w:noProof/>
        </w:rPr>
        <w:footnoteReference w:id="36"/>
      </w:r>
      <w:r>
        <w:rPr>
          <w:noProof/>
        </w:rPr>
        <w:t xml:space="preserve"> или регистрирано партньорство (</w:t>
      </w:r>
      <w:r>
        <w:rPr>
          <w:i/>
          <w:noProof/>
        </w:rPr>
        <w:t>concubinage</w:t>
      </w:r>
      <w:r>
        <w:rPr>
          <w:noProof/>
        </w:rPr>
        <w:t>) и допълнителни 500 EUR за всяко дете.</w:t>
      </w:r>
    </w:p>
    <w:p>
      <w:pPr>
        <w:pStyle w:val="ManualNumPar1"/>
        <w:rPr>
          <w:noProof/>
        </w:rPr>
      </w:pPr>
      <w:r>
        <w:t>28.</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29.</w:t>
      </w:r>
      <w:r>
        <w:tab/>
      </w:r>
      <w:r>
        <w:rPr>
          <w:noProof/>
        </w:rPr>
        <w:t>Френските органи предоставиха поисканата информация относно действията, които са задължителни за засегнатото предприятие по силата на националното законодателство или в съответствие с колективни споразумения. Те потвърдиха, че финансовото участие от ЕФПГ няма да замени тези действия.</w:t>
      </w:r>
    </w:p>
    <w:p>
      <w:pPr>
        <w:pStyle w:val="ManualHeading3"/>
        <w:rPr>
          <w:noProof/>
        </w:rPr>
      </w:pPr>
      <w:r>
        <w:rPr>
          <w:noProof/>
        </w:rPr>
        <w:t>Прогнозен бюджет</w:t>
      </w:r>
    </w:p>
    <w:p>
      <w:pPr>
        <w:pStyle w:val="ManualNumPar1"/>
        <w:rPr>
          <w:noProof/>
        </w:rPr>
      </w:pPr>
      <w:r>
        <w:t>30.</w:t>
      </w:r>
      <w:r>
        <w:tab/>
      </w:r>
      <w:r>
        <w:rPr>
          <w:noProof/>
        </w:rPr>
        <w:t xml:space="preserve">Общо прогнозните разходи са 16 490 805 EUR, като обхващат разходи за персонализирани услуги в размер на 16 410 805 EUR и разходи за дейности по подготовка, управление, информиране и популяризиране, контрол и докладване в размер на 80 000 EUR. </w:t>
      </w:r>
    </w:p>
    <w:p>
      <w:pPr>
        <w:pStyle w:val="ManualNumPar1"/>
        <w:rPr>
          <w:noProof/>
        </w:rPr>
        <w:sectPr>
          <w:pgSz w:w="11907" w:h="16839"/>
          <w:pgMar w:top="1134" w:right="1417" w:bottom="1134" w:left="1417" w:header="709" w:footer="709" w:gutter="0"/>
          <w:cols w:space="708"/>
          <w:docGrid w:linePitch="360"/>
        </w:sectPr>
      </w:pPr>
      <w:r>
        <w:t>31.</w:t>
      </w:r>
      <w:r>
        <w:tab/>
      </w:r>
      <w:r>
        <w:rPr>
          <w:noProof/>
        </w:rPr>
        <w:t>Общият размер на заявеното финансово участие от ЕФПГ възлиза на 9 894 483 EUR (60 % от общия размер на разходите).</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71"/>
        <w:gridCol w:w="1530"/>
        <w:gridCol w:w="1525"/>
        <w:gridCol w:w="1763"/>
      </w:tblGrid>
      <w:tr>
        <w:tc>
          <w:tcPr>
            <w:tcW w:w="4471" w:type="dxa"/>
            <w:shd w:val="clear" w:color="auto" w:fill="auto"/>
            <w:vAlign w:val="center"/>
          </w:tcPr>
          <w:p>
            <w:pPr>
              <w:spacing w:before="60" w:after="60"/>
              <w:jc w:val="center"/>
              <w:rPr>
                <w:rFonts w:eastAsia="Times New Roman"/>
                <w:noProof/>
                <w:sz w:val="22"/>
              </w:rPr>
            </w:pPr>
            <w:r>
              <w:rPr>
                <w:noProof/>
                <w:sz w:val="22"/>
              </w:rPr>
              <w:t>Действия</w:t>
            </w:r>
          </w:p>
        </w:tc>
        <w:tc>
          <w:tcPr>
            <w:tcW w:w="1530"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25"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(EUR)</w:t>
            </w:r>
          </w:p>
        </w:tc>
        <w:tc>
          <w:tcPr>
            <w:tcW w:w="1763"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(EUR)</w:t>
            </w:r>
            <w:r>
              <w:rPr>
                <w:rStyle w:val="FootnoteReference"/>
                <w:i/>
                <w:noProof/>
                <w:sz w:val="22"/>
              </w:rPr>
              <w:footnoteReference w:id="37"/>
            </w:r>
            <w:r>
              <w:rPr>
                <w:i/>
                <w:noProof/>
                <w:sz w:val="22"/>
              </w:rPr>
              <w:t xml:space="preserve"> </w:t>
            </w:r>
          </w:p>
        </w:tc>
      </w:tr>
      <w:tr>
        <w:tc>
          <w:tcPr>
            <w:tcW w:w="9289"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Услуги за консултиране и професионално ориентиране за работници</w:t>
            </w:r>
            <w:r>
              <w:rPr>
                <w:noProof/>
              </w:rPr>
              <w:br/>
              <w:t>(</w:t>
            </w:r>
            <w:r>
              <w:rPr>
                <w:i/>
                <w:noProof/>
              </w:rPr>
              <w:t>orientation professionelle, services de reclassement)</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1 485</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1 951</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2 897 150</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Професионално обучение</w:t>
            </w:r>
            <w:r>
              <w:rPr>
                <w:noProof/>
              </w:rPr>
              <w:br/>
              <w:t>(</w:t>
            </w:r>
            <w:r>
              <w:rPr>
                <w:i/>
                <w:noProof/>
              </w:rPr>
              <w:t>formation)</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363</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2 562</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929 873</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възстановяване или за започване на стопанска дейност</w:t>
            </w:r>
            <w:r>
              <w:rPr>
                <w:noProof/>
              </w:rPr>
              <w:br/>
              <w:t>(</w:t>
            </w:r>
            <w:r>
              <w:rPr>
                <w:i/>
                <w:noProof/>
              </w:rPr>
              <w:t>aides à la creation d'entreprise)</w:t>
            </w:r>
            <w:r>
              <w:rPr>
                <w:noProof/>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456</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6 840 000</w:t>
            </w:r>
          </w:p>
        </w:tc>
      </w:tr>
      <w:tr>
        <w:trPr>
          <w:trHeight w:val="398"/>
        </w:trPr>
        <w:tc>
          <w:tcPr>
            <w:tcW w:w="4471"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персонализирани услуги </w:t>
            </w:r>
          </w:p>
        </w:tc>
        <w:tc>
          <w:tcPr>
            <w:tcW w:w="3055"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10 667 023</w:t>
            </w:r>
          </w:p>
        </w:tc>
      </w:tr>
      <w:tr>
        <w:trPr>
          <w:trHeight w:val="397"/>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65 </w:t>
            </w:r>
            <w:r>
              <w:rPr>
                <w:noProof/>
                <w:sz w:val="22"/>
              </w:rPr>
              <w:t>%)</w:t>
            </w:r>
          </w:p>
        </w:tc>
      </w:tr>
      <w:tr>
        <w:tc>
          <w:tcPr>
            <w:tcW w:w="9289"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Помощ за търсене на работа </w:t>
            </w:r>
            <w:r>
              <w:rPr>
                <w:noProof/>
              </w:rPr>
              <w:br/>
              <w:t>(</w:t>
            </w:r>
            <w:r>
              <w:rPr>
                <w:i/>
                <w:noProof/>
              </w:rPr>
              <w:t>allocation de congé de reclassement)</w:t>
            </w:r>
            <w:r>
              <w:rPr>
                <w:noProof/>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1 750</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3 188</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5 579 622</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мобилност</w:t>
            </w:r>
            <w:r>
              <w:rPr>
                <w:noProof/>
              </w:rPr>
              <w:br/>
              <w:t>(</w:t>
            </w:r>
            <w:r>
              <w:rPr>
                <w:i/>
                <w:noProof/>
              </w:rPr>
              <w:t>aides à la mobilité geographique)</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57</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2 880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164 160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персонализирани услуги:</w:t>
            </w:r>
          </w:p>
        </w:tc>
        <w:tc>
          <w:tcPr>
            <w:tcW w:w="3055"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5 743 782</w:t>
            </w:r>
          </w:p>
        </w:tc>
      </w:tr>
      <w:tr>
        <w:trPr>
          <w:trHeight w:val="202"/>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35 </w:t>
            </w:r>
            <w:r>
              <w:rPr>
                <w:noProof/>
                <w:sz w:val="22"/>
              </w:rPr>
              <w:t>%)</w:t>
            </w:r>
          </w:p>
        </w:tc>
      </w:tr>
      <w:tr>
        <w:tc>
          <w:tcPr>
            <w:tcW w:w="9289"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471" w:type="dxa"/>
            <w:shd w:val="clear" w:color="auto" w:fill="auto"/>
          </w:tcPr>
          <w:p>
            <w:pPr>
              <w:spacing w:before="60" w:after="60"/>
              <w:ind w:left="284"/>
              <w:jc w:val="left"/>
              <w:rPr>
                <w:rFonts w:eastAsia="Times New Roman"/>
                <w:noProof/>
                <w:sz w:val="22"/>
              </w:rPr>
            </w:pPr>
            <w:r>
              <w:rPr>
                <w:noProof/>
                <w:sz w:val="22"/>
              </w:rPr>
              <w:t>1. Подготовка</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2. Управление</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3. Информиране и публичност</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single" w:sz="4" w:space="0" w:color="auto"/>
            </w:tcBorders>
            <w:shd w:val="clear" w:color="auto" w:fill="auto"/>
          </w:tcPr>
          <w:p>
            <w:pPr>
              <w:spacing w:before="60" w:after="60"/>
              <w:jc w:val="center"/>
              <w:rPr>
                <w:rFonts w:eastAsia="Times New Roman"/>
                <w:noProof/>
                <w:sz w:val="22"/>
              </w:rPr>
            </w:pPr>
            <w:r>
              <w:rPr>
                <w:noProof/>
              </w:rPr>
              <w:t>80 000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55"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80 000</w:t>
            </w:r>
          </w:p>
        </w:tc>
      </w:tr>
      <w:tr>
        <w:trPr>
          <w:trHeight w:val="202"/>
        </w:trPr>
        <w:tc>
          <w:tcPr>
            <w:tcW w:w="4471" w:type="dxa"/>
            <w:vMerge/>
            <w:shd w:val="clear" w:color="auto" w:fill="auto"/>
          </w:tcPr>
          <w:p>
            <w:pPr>
              <w:spacing w:before="0" w:after="0"/>
              <w:jc w:val="right"/>
              <w:rPr>
                <w:rFonts w:eastAsia="Times New Roman"/>
                <w:noProof/>
                <w:sz w:val="22"/>
              </w:rPr>
            </w:pPr>
          </w:p>
        </w:tc>
        <w:tc>
          <w:tcPr>
            <w:tcW w:w="3055" w:type="dxa"/>
            <w:gridSpan w:val="2"/>
            <w:vMerge/>
            <w:shd w:val="clear" w:color="auto" w:fill="D9D9D9"/>
            <w:vAlign w:val="center"/>
          </w:tcPr>
          <w:p>
            <w:pPr>
              <w:spacing w:before="0" w:after="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0,49 </w:t>
            </w:r>
            <w:r>
              <w:rPr>
                <w:noProof/>
                <w:sz w:val="22"/>
              </w:rPr>
              <w:t>%)</w:t>
            </w:r>
          </w:p>
        </w:tc>
      </w:tr>
      <w:tr>
        <w:tc>
          <w:tcPr>
            <w:tcW w:w="4471" w:type="dxa"/>
            <w:shd w:val="clear" w:color="auto" w:fill="auto"/>
          </w:tcPr>
          <w:p>
            <w:pPr>
              <w:spacing w:before="60" w:after="60"/>
              <w:jc w:val="left"/>
              <w:rPr>
                <w:rFonts w:eastAsia="Times New Roman"/>
                <w:noProof/>
                <w:sz w:val="22"/>
              </w:rPr>
            </w:pPr>
            <w:r>
              <w:rPr>
                <w:noProof/>
                <w:sz w:val="22"/>
              </w:rPr>
              <w:t>Общо разходи (а + б + в):</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noProof/>
                <w:sz w:val="22"/>
              </w:rPr>
            </w:pPr>
            <w:r>
              <w:rPr>
                <w:noProof/>
              </w:rPr>
              <w:t>16 490 805</w:t>
            </w:r>
          </w:p>
        </w:tc>
      </w:tr>
      <w:tr>
        <w:tc>
          <w:tcPr>
            <w:tcW w:w="4471"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9 894 483</w:t>
            </w:r>
          </w:p>
        </w:tc>
      </w:tr>
    </w:tbl>
    <w:p>
      <w:pPr>
        <w:pStyle w:val="ManualNumPar1"/>
        <w:rPr>
          <w:noProof/>
          <w:szCs w:val="20"/>
        </w:rPr>
      </w:pPr>
      <w:r>
        <w:t>32.</w:t>
      </w:r>
      <w:r>
        <w:tab/>
      </w:r>
      <w:r>
        <w:rPr>
          <w:noProof/>
        </w:rPr>
        <w:t>Разходите за действията, определени в таблицата по-горе като дейности по член 7, параграф 1, буква б) от Регламента за ЕФПГ, не надвишават 35 % от общите разходи за съгласувания пакет от персонализирани услуги. Франция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NumPar1"/>
        <w:rPr>
          <w:noProof/>
        </w:rPr>
      </w:pPr>
      <w:r>
        <w:t>33.</w:t>
      </w:r>
      <w:r>
        <w:tab/>
      </w:r>
      <w:r>
        <w:rPr>
          <w:noProof/>
        </w:rPr>
        <w:t>Франция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34.</w:t>
      </w:r>
      <w:r>
        <w:tab/>
      </w:r>
      <w:r>
        <w:rPr>
          <w:noProof/>
        </w:rPr>
        <w:t>Франция започна да предоставя персонализирани услуги на бенефициерите от целевата група на 19 май 2015 г. По тази причина разходите за действията са допустими за предоставяне на финансово участие от ЕФПГ в периода от 19 май 2015 г. до 23 октомври 2019 г.</w:t>
      </w:r>
    </w:p>
    <w:p>
      <w:pPr>
        <w:pStyle w:val="ManualNumPar1"/>
        <w:rPr>
          <w:noProof/>
        </w:rPr>
      </w:pPr>
      <w:r>
        <w:t>35.</w:t>
      </w:r>
      <w:r>
        <w:tab/>
      </w:r>
      <w:r>
        <w:rPr>
          <w:noProof/>
        </w:rPr>
        <w:t>Франция започна да поема административните разходи по прилагането на ЕФПГ на 23 октомври 2017 г. По тази причина разходите за дейности по подготовка, управление, информиране и публичност, контрол и докладване са допустими за финансово участие от ЕФПГ в периода от 23 октомври 2017 г. до 23 април 2020 г.</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noProof/>
        </w:rPr>
      </w:pPr>
      <w:r>
        <w:t>36.</w:t>
      </w:r>
      <w:r>
        <w:tab/>
      </w:r>
      <w:r>
        <w:rPr>
          <w:noProof/>
        </w:rPr>
        <w:t>Източникът на национално предварително финансиране или съфинансиране е Air France.</w:t>
      </w:r>
    </w:p>
    <w:p>
      <w:pPr>
        <w:pStyle w:val="ManualNumPar1"/>
        <w:rPr>
          <w:noProof/>
        </w:rPr>
      </w:pPr>
      <w:r>
        <w:t>37.</w:t>
      </w:r>
      <w:r>
        <w:tab/>
      </w:r>
      <w:r>
        <w:rPr>
          <w:noProof/>
        </w:rPr>
        <w:t xml:space="preserve">Френските органи не са посочили как описаните по-горе мерки се допълват с дейности, финансирани от структурните фондове. Въпреки това те потвърдиха, че описаните по-горе мерки, за които се предоставя финансово участие от ЕФПГ, няма да получат финансова подкрепа от национални фондове или други финансови инструменти на Съюза. Френските органи обясниха, че не е предвидена публична намеса в подкрепа на бившите работници на Air France. Тъй като Air France е дружество </w:t>
      </w:r>
      <w:r>
        <w:rPr>
          <w:i/>
          <w:noProof/>
        </w:rPr>
        <w:t>in bonis</w:t>
      </w:r>
      <w:r>
        <w:rPr>
          <w:noProof/>
        </w:rPr>
        <w:t xml:space="preserve"> (т.е. не е в ликвидация), което осигурява заетост на 1 000 или повече служители, то задължение на работодателя е да плати пълните разходи за съпътстващите мерки, за да осигури преквалификацията на съкратените служители (вж. бележка под линия 31 за отпуска за преквалификация в параграф 26).</w:t>
      </w:r>
    </w:p>
    <w:p>
      <w:pPr>
        <w:pStyle w:val="ManualHeading3"/>
        <w:tabs>
          <w:tab w:val="clear" w:pos="850"/>
          <w:tab w:val="left" w:pos="0"/>
        </w:tabs>
        <w:ind w:left="0" w:firstLine="0"/>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38.</w:t>
      </w:r>
      <w:r>
        <w:tab/>
      </w:r>
      <w:r>
        <w:rPr>
          <w:noProof/>
        </w:rPr>
        <w:t>Френските органи посочиха, че съгласуваният пакет от персонализирани услуги е изготвен след консултация с представителите на бенефициерите от целевата група и социалните партньори. На 10 февруари 2015 г. Air France и на синдикатите се споразумяха относно плана „Perform 2020“ за доброволно напускане на наземния персонал през 2015 г. Различни срещи с Централният комитет на предприятието (</w:t>
      </w:r>
      <w:r>
        <w:rPr>
          <w:i/>
          <w:noProof/>
        </w:rPr>
        <w:t>Comité Central d'Entreprise</w:t>
      </w:r>
      <w:r>
        <w:rPr>
          <w:noProof/>
        </w:rPr>
        <w:t>) бяха проведени през 2015 г. и през първото тримесечие на 2016 г. относно плана „Perform 2020“ във връзка с доброволното напускане на кабинния екипаж и на наземния персонал през 2015 и 2016 г.</w:t>
      </w:r>
    </w:p>
    <w:p>
      <w:pPr>
        <w:pStyle w:val="ManualHeading2"/>
        <w:rPr>
          <w:noProof/>
        </w:rPr>
      </w:pPr>
      <w:r>
        <w:rPr>
          <w:noProof/>
        </w:rPr>
        <w:t>Системи за управление и контрол</w:t>
      </w:r>
    </w:p>
    <w:p>
      <w:pPr>
        <w:pStyle w:val="ManualNumPar1"/>
        <w:rPr>
          <w:noProof/>
        </w:rPr>
      </w:pPr>
      <w:r>
        <w:t>39.</w:t>
      </w:r>
      <w:r>
        <w:tab/>
      </w:r>
      <w:r>
        <w:rPr>
          <w:noProof/>
        </w:rPr>
        <w:t>В заявлението е описана системата за управление и контрол и са посочени отговорностите на съответните органи. Франция уведоми Комисията, че финансовото участие ще бъде управлявано от Délégation générale à l’emploi et à la formation professionnelle (DGEFP) на Министерството на труда, заетостта, професионалното обучение и социалния диалог, по-специално от отдел Fonds national de l'emploi (DGEFP - MFNE). Плащанията ще се извършват в рамките на DGEFP от отдел Affaires financières (DGEFP - MAFI). Отдел Organisation des contrôles (DGEFP -MOC) осигурява административен и финансов контрол във връзка с одитния орган. Commission interministérielle de coordination des contrôles (CICC) е френският одитен орган за ЕФПГ.</w:t>
      </w:r>
    </w:p>
    <w:p>
      <w:pPr>
        <w:pStyle w:val="ManualHeading2"/>
        <w:rPr>
          <w:noProof/>
        </w:rPr>
      </w:pPr>
      <w:r>
        <w:rPr>
          <w:noProof/>
        </w:rPr>
        <w:t>Ангажименти, поети от засегнатата държава членка</w:t>
      </w:r>
    </w:p>
    <w:p>
      <w:pPr>
        <w:pStyle w:val="ManualNumPar1"/>
        <w:rPr>
          <w:noProof/>
        </w:rPr>
      </w:pPr>
      <w:r>
        <w:t>40.</w:t>
      </w:r>
      <w:r>
        <w:tab/>
      </w:r>
      <w:r>
        <w:rPr>
          <w:noProof/>
        </w:rPr>
        <w:t xml:space="preserve">Франция предостави всички необходими гаранции за това, че: </w:t>
      </w:r>
    </w:p>
    <w:p>
      <w:pPr>
        <w:pStyle w:val="Tiret1"/>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rPr>
          <w:noProof/>
        </w:rPr>
      </w:pPr>
      <w:r>
        <w:rPr>
          <w:noProof/>
        </w:rPr>
        <w:t>предприятието Air France,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41.</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 — 2020 ЕФПГ не може да надхвърля максимален годишен размер от 150 милиона евро (по цени от 2011 г.)</w:t>
      </w:r>
      <w:r>
        <w:rPr>
          <w:rStyle w:val="FootnoteReference"/>
          <w:noProof/>
        </w:rPr>
        <w:footnoteReference w:id="38"/>
      </w:r>
      <w:r>
        <w:rPr>
          <w:noProof/>
        </w:rPr>
        <w:t>.</w:t>
      </w:r>
    </w:p>
    <w:p>
      <w:pPr>
        <w:pStyle w:val="ManualNumPar1"/>
        <w:rPr>
          <w:rFonts w:eastAsia="Calibri"/>
          <w:noProof/>
        </w:rPr>
      </w:pPr>
      <w:r>
        <w:t>42.</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9 894 483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43.</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9"/>
      </w:r>
      <w:r>
        <w:rPr>
          <w:noProof/>
        </w:rPr>
        <w:t>.</w:t>
      </w:r>
    </w:p>
    <w:p>
      <w:pPr>
        <w:pStyle w:val="ManualHeading2"/>
        <w:rPr>
          <w:noProof/>
        </w:rPr>
      </w:pPr>
      <w:r>
        <w:rPr>
          <w:noProof/>
        </w:rPr>
        <w:t>Свързани актове</w:t>
      </w:r>
    </w:p>
    <w:p>
      <w:pPr>
        <w:pStyle w:val="ManualNumPar1"/>
        <w:rPr>
          <w:noProof/>
        </w:rPr>
      </w:pPr>
      <w:r>
        <w:t>44.</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на сумата от 9 894 483 EUR към съответните бюджетни редове.</w:t>
      </w:r>
    </w:p>
    <w:p>
      <w:pPr>
        <w:pStyle w:val="ManualNumPar1"/>
        <w:rPr>
          <w:noProof/>
        </w:rPr>
      </w:pPr>
      <w:r>
        <w:t>45.</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 заявление от Франция — EGF/2017/009 FR/Air France</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40"/>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1"/>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 ЕФПГ не може да надхвърля максимален годишен размер от 150 милиона евро (по цени от 2011 г.)</w:t>
      </w:r>
      <w:r>
        <w:rPr>
          <w:rStyle w:val="FootnoteReference"/>
          <w:noProof/>
        </w:rPr>
        <w:footnoteReference w:id="42"/>
      </w:r>
      <w:r>
        <w:rPr>
          <w:noProof/>
        </w:rPr>
        <w:t>.</w:t>
      </w:r>
    </w:p>
    <w:p>
      <w:pPr>
        <w:pStyle w:val="ManualConsidrant"/>
        <w:rPr>
          <w:noProof/>
        </w:rPr>
      </w:pPr>
      <w:r>
        <w:t>(3)</w:t>
      </w:r>
      <w:r>
        <w:tab/>
      </w:r>
      <w:r>
        <w:rPr>
          <w:noProof/>
        </w:rPr>
        <w:t>На 23 октомври 2017 г. Франция подаде заявление за мобилизиране на средства от ЕФПГ във връзка със съкращения в Air France във Франция. Към него беше предоставена допълнителна информация съгласно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Поради това, за да бъде удовлетворено подаденото от Франция заявление, следва да бъдат мобилизирани средства за предоставяне на финансово участие от ЕФПГ в размер на 9 894 483 EUR.</w:t>
      </w:r>
    </w:p>
    <w:p>
      <w:pPr>
        <w:pStyle w:val="ManualConsidrant"/>
        <w:rPr>
          <w:noProof/>
        </w:rPr>
      </w:pPr>
      <w:r>
        <w:t>(5)</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2018 година от Европейския фонд за приспособяване към глобализацията се мобилизират средства за предоставяне на сумата от 9 894 483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xml:space="preserve">. То се прилага от </w:t>
      </w:r>
      <w:r>
        <w:rPr>
          <w:noProof/>
          <w:color w:val="FF0000"/>
        </w:rPr>
        <w:t>[</w:t>
      </w:r>
      <w:r>
        <w:rPr>
          <w:i/>
          <w:noProof/>
          <w:color w:val="FF0000"/>
        </w:rPr>
        <w:t>датата на приемането му</w:t>
      </w:r>
      <w:r>
        <w:rPr>
          <w:noProof/>
          <w:color w:val="FF0000"/>
        </w:rPr>
        <w:t>]</w:t>
      </w:r>
      <w:r>
        <w:rPr>
          <w:rStyle w:val="FootnoteReference"/>
          <w:noProof/>
          <w:color w:val="FF0000"/>
        </w:rPr>
        <w:footnoteReference w:customMarkFollows="1" w:id="43"/>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20.12.2013 г., стр. 855.</w:t>
      </w:r>
    </w:p>
  </w:footnote>
  <w:footnote w:id="3">
    <w:p>
      <w:pPr>
        <w:pStyle w:val="FootnoteText"/>
      </w:pPr>
      <w:r>
        <w:rPr>
          <w:rStyle w:val="FootnoteReference"/>
        </w:rPr>
        <w:footnoteRef/>
      </w:r>
      <w:r>
        <w:tab/>
        <w:t>По смисъла на член 3 от Регламента за ЕФПГ.</w:t>
      </w:r>
    </w:p>
  </w:footnote>
  <w:footnote w:id="4">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5">
    <w:p>
      <w:pPr>
        <w:pStyle w:val="FootnoteText"/>
      </w:pPr>
      <w:r>
        <w:rPr>
          <w:rStyle w:val="FootnoteReference"/>
        </w:rPr>
        <w:footnoteRef/>
      </w:r>
      <w:r>
        <w:tab/>
        <w:t xml:space="preserve">Засегнати са 15 региона. В посочените два региона се съсредоточават 88 % от съкращенията. </w:t>
      </w:r>
    </w:p>
  </w:footnote>
  <w:footnote w:id="6">
    <w:p>
      <w:pPr>
        <w:pStyle w:val="FootnoteText"/>
      </w:pPr>
      <w:r>
        <w:rPr>
          <w:rStyle w:val="FootnoteReference"/>
        </w:rPr>
        <w:footnoteRef/>
      </w:r>
      <w:r>
        <w:tab/>
        <w:t>ОВ L 393, 30.12.2006 г., стр. 1.</w:t>
      </w:r>
    </w:p>
  </w:footnote>
  <w:footnote w:id="7">
    <w:p>
      <w:pPr>
        <w:pStyle w:val="FootnoteText"/>
      </w:pPr>
      <w:r>
        <w:rPr>
          <w:rStyle w:val="FootnoteReference"/>
        </w:rPr>
        <w:footnoteRef/>
      </w:r>
      <w:r>
        <w:tab/>
        <w:t>Съгласно член 7, параграф 4 от Регламент (EС) № 1309/2013.</w:t>
      </w:r>
    </w:p>
  </w:footnote>
  <w:footnote w:id="8">
    <w:p>
      <w:pPr>
        <w:pStyle w:val="FootnoteText"/>
      </w:pPr>
      <w:r>
        <w:rPr>
          <w:rStyle w:val="FootnoteReference"/>
        </w:rPr>
        <w:footnoteRef/>
      </w:r>
      <w:r>
        <w:tab/>
        <w:t>Придружаващият документ ще бъде</w:t>
      </w:r>
      <w:r>
        <w:rPr>
          <w:i/>
        </w:rPr>
        <w:t xml:space="preserve"> „convention de rupture à l'amiable“</w:t>
      </w:r>
      <w:r>
        <w:t>.</w:t>
      </w:r>
    </w:p>
  </w:footnote>
  <w:footnote w:id="9">
    <w:p>
      <w:pPr>
        <w:pStyle w:val="FootnoteText"/>
      </w:pPr>
      <w:r>
        <w:rPr>
          <w:rStyle w:val="FootnoteReference"/>
        </w:rPr>
        <w:footnoteRef/>
      </w:r>
      <w:r>
        <w:tab/>
        <w:t>ИКАО (</w:t>
      </w:r>
      <w:hyperlink r:id="rId1">
        <w:r>
          <w:rPr>
            <w:rStyle w:val="Hyperlink"/>
          </w:rPr>
          <w:t>www.icao.int</w:t>
        </w:r>
      </w:hyperlink>
      <w:r>
        <w:t>)</w:t>
      </w:r>
    </w:p>
  </w:footnote>
  <w:footnote w:id="10">
    <w:p>
      <w:pPr>
        <w:pStyle w:val="FootnoteText"/>
      </w:pPr>
      <w:r>
        <w:rPr>
          <w:rStyle w:val="FootnoteReference"/>
        </w:rPr>
        <w:footnoteRef/>
      </w:r>
      <w:r>
        <w:tab/>
        <w:t>Текуща пазарна прогноза, Boing 2016 г.</w:t>
      </w:r>
    </w:p>
  </w:footnote>
  <w:footnote w:id="11">
    <w:p>
      <w:pPr>
        <w:pStyle w:val="FootnoteText"/>
      </w:pPr>
      <w:r>
        <w:rPr>
          <w:rStyle w:val="FootnoteReference"/>
        </w:rPr>
        <w:footnoteRef/>
      </w:r>
      <w:r>
        <w:tab/>
        <w:t>Airbus A380 е двуетажен ширококорпусен самолет с четири двигателя, произведен от европейския производител Airbus. Той е най-големият пътнически самолет в света. В него могат да се предвидят 525 места при типична конфигурация от три класи или до 853 места при конфигурация, състояща се само от икономична класа.</w:t>
      </w:r>
    </w:p>
  </w:footnote>
  <w:footnote w:id="12">
    <w:p>
      <w:pPr>
        <w:pStyle w:val="FootnoteText"/>
      </w:pPr>
      <w:r>
        <w:rPr>
          <w:rStyle w:val="FootnoteReference"/>
        </w:rPr>
        <w:footnoteRef/>
      </w:r>
      <w:r>
        <w:tab/>
        <w:t>Ширококорпусен самолет е самолет с фюзелаж, който е достатъчно широк, за да се включат две пътнически пътеки, известен също като двупътечен самолет, със седем или повече места на един ред.</w:t>
      </w:r>
    </w:p>
  </w:footnote>
  <w:footnote w:id="13">
    <w:p>
      <w:pPr>
        <w:pStyle w:val="FootnoteText"/>
      </w:pPr>
      <w:r>
        <w:rPr>
          <w:rStyle w:val="FootnoteReference"/>
        </w:rPr>
        <w:footnoteRef/>
      </w:r>
      <w:r>
        <w:tab/>
        <w:t xml:space="preserve">Ascend предоставя информация за авиационния пазар. </w:t>
      </w:r>
      <w:hyperlink r:id="rId2">
        <w:r>
          <w:rPr>
            <w:rStyle w:val="Hyperlink"/>
          </w:rPr>
          <w:t>http://ascend.flightglobal.com</w:t>
        </w:r>
      </w:hyperlink>
    </w:p>
  </w:footnote>
  <w:footnote w:id="14">
    <w:p>
      <w:pPr>
        <w:pStyle w:val="FootnoteText"/>
      </w:pPr>
      <w:r>
        <w:rPr>
          <w:rStyle w:val="FootnoteReference"/>
        </w:rPr>
        <w:footnoteRef/>
      </w:r>
      <w:r>
        <w:tab/>
        <w:t xml:space="preserve">OAG е дружество за информация по въпросите на въздухоплаването, която предоставя данни за точните разписания на авиокомпаниите, анализ на маршрута, авиационен анализ, проследяване на полетите и полетни данни. </w:t>
      </w:r>
      <w:hyperlink r:id="rId3">
        <w:r>
          <w:rPr>
            <w:rStyle w:val="Hyperlink"/>
          </w:rPr>
          <w:t>www.oag.com</w:t>
        </w:r>
      </w:hyperlink>
    </w:p>
  </w:footnote>
  <w:footnote w:id="15">
    <w:p>
      <w:pPr>
        <w:pStyle w:val="FootnoteText"/>
      </w:pPr>
      <w:r>
        <w:rPr>
          <w:rStyle w:val="FootnoteReference"/>
        </w:rPr>
        <w:footnoteRef/>
      </w:r>
      <w:r>
        <w:tab/>
      </w:r>
      <w:hyperlink r:id="rId4">
        <w:r>
          <w:rPr>
            <w:rStyle w:val="Hyperlink"/>
          </w:rPr>
          <w:t>http://www.openandfairskies.com/wp-content/themes/custom/media/White.Paper.pdf</w:t>
        </w:r>
      </w:hyperlink>
    </w:p>
  </w:footnote>
  <w:footnote w:id="16">
    <w:p>
      <w:pPr>
        <w:pStyle w:val="FootnoteText"/>
      </w:pPr>
      <w:r>
        <w:rPr>
          <w:rStyle w:val="FootnoteReference"/>
        </w:rPr>
        <w:footnoteRef/>
      </w:r>
      <w:r>
        <w:tab/>
      </w:r>
      <w:hyperlink r:id="rId5">
        <w:r>
          <w:rPr>
            <w:rStyle w:val="Hyperlink"/>
          </w:rPr>
          <w:t>http://www.openandfairskies.com/wp-content/uploads/2017/02/Tillerson-Letter-020117.pdf</w:t>
        </w:r>
      </w:hyperlink>
    </w:p>
  </w:footnote>
  <w:footnote w:id="17">
    <w:p>
      <w:pPr>
        <w:pStyle w:val="FootnoteText"/>
      </w:pPr>
      <w:r>
        <w:rPr>
          <w:rStyle w:val="FootnoteReference"/>
        </w:rPr>
        <w:footnoteRef/>
      </w:r>
      <w:r>
        <w:tab/>
        <w:t>Източник: Служба на Air France за летищните такси и данъците. Въз основа на таксите и данъците, платени от Air France на съответните летища.</w:t>
      </w:r>
    </w:p>
  </w:footnote>
  <w:footnote w:id="18">
    <w:p>
      <w:pPr>
        <w:pStyle w:val="FootnoteText"/>
      </w:pPr>
      <w:r>
        <w:rPr>
          <w:rStyle w:val="FootnoteReference"/>
        </w:rPr>
        <w:footnoteRef/>
      </w:r>
      <w:r>
        <w:tab/>
        <w:t>EGF/2017/009 FR/Air France (предмет на настоящото предложение за решение), както и EGF/2013/014 FR Air France, COM(2014) 701 и EGF/2015/004 IT Alitalia, COM(2015) 397.</w:t>
      </w:r>
    </w:p>
  </w:footnote>
  <w:footnote w:id="19">
    <w:p>
      <w:pPr>
        <w:pStyle w:val="FootnoteText"/>
      </w:pPr>
      <w:r>
        <w:rPr>
          <w:rStyle w:val="FootnoteReference"/>
        </w:rPr>
        <w:footnoteRef/>
      </w:r>
      <w:r>
        <w:tab/>
        <w:t>Разполагаеми креслокилометри.</w:t>
      </w:r>
    </w:p>
  </w:footnote>
  <w:footnote w:id="20">
    <w:p>
      <w:pPr>
        <w:pStyle w:val="FootnoteText"/>
      </w:pPr>
      <w:r>
        <w:rPr>
          <w:rStyle w:val="FootnoteReference"/>
        </w:rPr>
        <w:footnoteRef/>
      </w:r>
      <w:r>
        <w:tab/>
        <w:t>Air France – KLM.</w:t>
      </w:r>
    </w:p>
  </w:footnote>
  <w:footnote w:id="21">
    <w:p>
      <w:pPr>
        <w:pStyle w:val="FootnoteText"/>
      </w:pPr>
      <w:r>
        <w:rPr>
          <w:rStyle w:val="FootnoteReference"/>
        </w:rPr>
        <w:footnoteRef/>
      </w:r>
      <w:r>
        <w:tab/>
        <w:t>Emirates, Qatar Airways и Etihad.</w:t>
      </w:r>
    </w:p>
  </w:footnote>
  <w:footnote w:id="22">
    <w:p>
      <w:pPr>
        <w:pStyle w:val="FootnoteText"/>
      </w:pPr>
      <w:r>
        <w:rPr>
          <w:rStyle w:val="FootnoteReference"/>
        </w:rPr>
        <w:footnoteRef/>
      </w:r>
      <w:r>
        <w:tab/>
        <w:t>Turkish Airlines.</w:t>
      </w:r>
    </w:p>
  </w:footnote>
  <w:footnote w:id="23">
    <w:p>
      <w:pPr>
        <w:pStyle w:val="FootnoteText"/>
      </w:pPr>
      <w:r>
        <w:rPr>
          <w:rStyle w:val="FootnoteReference"/>
        </w:rPr>
        <w:footnoteRef/>
      </w:r>
      <w:r>
        <w:tab/>
        <w:t>MIDT означава система за проучване на продажбите.</w:t>
      </w:r>
    </w:p>
  </w:footnote>
  <w:footnote w:id="24">
    <w:p>
      <w:pPr>
        <w:pStyle w:val="FootnoteText"/>
      </w:pPr>
      <w:r>
        <w:rPr>
          <w:rStyle w:val="FootnoteReference"/>
        </w:rPr>
        <w:footnoteRef/>
      </w:r>
      <w:r>
        <w:tab/>
      </w:r>
      <w:hyperlink r:id="rId6" w:anchor="tableau-TCRD_025_tab1_regions2016">
        <w:r>
          <w:rPr>
            <w:rStyle w:val="Hyperlink"/>
          </w:rPr>
          <w:t>https://www.insee.fr/fr/statistiques/2012804#tableau-TCRD_025_tab1_regions2016</w:t>
        </w:r>
      </w:hyperlink>
    </w:p>
  </w:footnote>
  <w:footnote w:id="25">
    <w:p>
      <w:pPr>
        <w:pStyle w:val="FootnoteText"/>
      </w:pPr>
      <w:r>
        <w:rPr>
          <w:rStyle w:val="FootnoteReference"/>
        </w:rPr>
        <w:footnoteRef/>
      </w:r>
      <w:r>
        <w:tab/>
        <w:t>Четвърто тримесечие на 2017 г. за île-de-France и трето тримесечие на 2017 г. за PACA.</w:t>
      </w:r>
    </w:p>
  </w:footnote>
  <w:footnote w:id="26">
    <w:p>
      <w:pPr>
        <w:pStyle w:val="FootnoteText"/>
      </w:pPr>
      <w:r>
        <w:rPr>
          <w:rStyle w:val="FootnoteReference"/>
        </w:rPr>
        <w:footnoteRef/>
      </w:r>
      <w:r>
        <w:tab/>
      </w:r>
      <w:hyperlink r:id="rId7">
        <w:r>
          <w:rPr>
            <w:rStyle w:val="Hyperlink"/>
          </w:rPr>
          <w:t>http://idf.direccte.gouv.fr/sites/idf.direccte.gouv.fr/IMG/pdf/defm_12_2017_ile-de-france.pdf</w:t>
        </w:r>
      </w:hyperlink>
    </w:p>
  </w:footnote>
  <w:footnote w:id="27">
    <w:p>
      <w:pPr>
        <w:pStyle w:val="FootnoteText"/>
      </w:pPr>
      <w:r>
        <w:rPr>
          <w:rStyle w:val="FootnoteReference"/>
        </w:rPr>
        <w:footnoteRef/>
      </w:r>
      <w:r>
        <w:tab/>
        <w:t>Пак там.</w:t>
      </w:r>
    </w:p>
  </w:footnote>
  <w:footnote w:id="28">
    <w:p>
      <w:pPr>
        <w:pStyle w:val="FootnoteText"/>
      </w:pPr>
      <w:r>
        <w:rPr>
          <w:rStyle w:val="FootnoteReference"/>
        </w:rPr>
        <w:footnoteRef/>
      </w:r>
      <w:r>
        <w:tab/>
        <w:t>Пак там.</w:t>
      </w:r>
    </w:p>
  </w:footnote>
  <w:footnote w:id="29">
    <w:p>
      <w:pPr>
        <w:pStyle w:val="FootnoteText"/>
      </w:pPr>
      <w:r>
        <w:rPr>
          <w:rStyle w:val="FootnoteReference"/>
        </w:rPr>
        <w:footnoteRef/>
      </w:r>
      <w:r>
        <w:tab/>
      </w:r>
      <w:hyperlink r:id="rId8" w:anchor="tableau-TCRD_025_tab1_regions2016">
        <w:r>
          <w:rPr>
            <w:rStyle w:val="Hyperlink"/>
          </w:rPr>
          <w:t>https://www.insee.fr/fr/statistiques/2012804#tableau-TCRD_025_tab1_regions2016</w:t>
        </w:r>
      </w:hyperlink>
    </w:p>
  </w:footnote>
  <w:footnote w:id="30">
    <w:p>
      <w:pPr>
        <w:pStyle w:val="FootnoteText"/>
      </w:pPr>
      <w:r>
        <w:rPr>
          <w:rStyle w:val="FootnoteReference"/>
        </w:rPr>
        <w:footnoteRef/>
      </w:r>
      <w:r>
        <w:tab/>
      </w:r>
      <w:hyperlink r:id="rId9">
        <w:r>
          <w:rPr>
            <w:rStyle w:val="Hyperlink"/>
          </w:rPr>
          <w:t>http://paca.direccte.gouv.fr/sites/paca.direccte.gouv.fr/IMG/pdf/2018-01_-_synthese_paca.pdf</w:t>
        </w:r>
      </w:hyperlink>
    </w:p>
  </w:footnote>
  <w:footnote w:id="31">
    <w:p>
      <w:pPr>
        <w:pStyle w:val="FootnoteText"/>
      </w:pPr>
      <w:r>
        <w:rPr>
          <w:rStyle w:val="FootnoteReference"/>
        </w:rPr>
        <w:footnoteRef/>
      </w:r>
      <w:r>
        <w:tab/>
        <w:t>Пак там.</w:t>
      </w:r>
    </w:p>
  </w:footnote>
  <w:footnote w:id="32">
    <w:p>
      <w:pPr>
        <w:pStyle w:val="FootnoteText"/>
      </w:pPr>
      <w:r>
        <w:rPr>
          <w:rStyle w:val="FootnoteReference"/>
        </w:rPr>
        <w:footnoteRef/>
      </w:r>
      <w:r>
        <w:tab/>
        <w:t>Що се отнася до отпуска за преквалификация („</w:t>
      </w:r>
      <w:r>
        <w:rPr>
          <w:i/>
        </w:rPr>
        <w:t>congé de reclassement</w:t>
      </w:r>
      <w:r>
        <w:t>“), съгласно член L1233-71 от френския Кодекс на труда предприятие, което осигурява заетост на над хиляда души, е задължено да предложи предвидените в този член мерки с минимална продължителност четири месеца. Следователно съгласно горепосоченото законодателство периодът от петия месец нататък е по желание и може да бъде предмет на финансово участие от ЕФПГ в съответствие с член 9, параграф 1 от Регламент (ЕС) № 1309/2013. Air France взе решение да предложи тази мярка за минимален период от шест месеца и максимален период от дванадесет месеца. Заявлението не предвижда финансово участие за първите четири месеца на отпуска за преквалификация, който отговаря на минималната продължителност, предвидена по закон.</w:t>
      </w:r>
    </w:p>
  </w:footnote>
  <w:footnote w:id="33">
    <w:p>
      <w:pPr>
        <w:pStyle w:val="FootnoteText"/>
      </w:pPr>
      <w:r>
        <w:rPr>
          <w:rStyle w:val="FootnoteReference"/>
        </w:rPr>
        <w:footnoteRef/>
      </w:r>
      <w:r>
        <w:tab/>
        <w:t>По изключение работниците, които следват „</w:t>
      </w:r>
      <w:r>
        <w:rPr>
          <w:i/>
        </w:rPr>
        <w:t>parcours encadré</w:t>
      </w:r>
      <w:r>
        <w:t>“ (т.е. професионално обучение с дълга продължителност, насочено към работни места, за които има търсене), могат да получат удължаване на отпуска за преквалификация („</w:t>
      </w:r>
      <w:r>
        <w:rPr>
          <w:i/>
        </w:rPr>
        <w:t>congé de reclassement</w:t>
      </w:r>
      <w:r>
        <w:t>“) до 15 месеца, за да могат да завършат своето професионално обучение (</w:t>
      </w:r>
      <w:r>
        <w:rPr>
          <w:i/>
        </w:rPr>
        <w:t>parcours encadré</w:t>
      </w:r>
      <w:r>
        <w:t>) и още три месеца за помощ при търсенето на работа.</w:t>
      </w:r>
    </w:p>
  </w:footnote>
  <w:footnote w:id="34">
    <w:p>
      <w:pPr>
        <w:pStyle w:val="FootnoteText"/>
      </w:pPr>
      <w:r>
        <w:rPr>
          <w:rStyle w:val="FootnoteReference"/>
        </w:rPr>
        <w:footnoteRef/>
      </w:r>
      <w:r>
        <w:tab/>
        <w:t>Съкращението CPA означава удостоверение за професионална компетентност.</w:t>
      </w:r>
    </w:p>
  </w:footnote>
  <w:footnote w:id="35">
    <w:p>
      <w:pPr>
        <w:pStyle w:val="FootnoteText"/>
      </w:pPr>
      <w:r>
        <w:rPr>
          <w:rStyle w:val="FootnoteReference"/>
        </w:rPr>
        <w:footnoteRef/>
      </w:r>
      <w:r>
        <w:tab/>
        <w:t>Régime Social des Indépendants (социалноосигурителна система за самостоятелно заетите лица).</w:t>
      </w:r>
    </w:p>
  </w:footnote>
  <w:footnote w:id="36">
    <w:p>
      <w:pPr>
        <w:pStyle w:val="FootnoteText"/>
      </w:pPr>
      <w:r>
        <w:rPr>
          <w:rStyle w:val="FootnoteReference"/>
        </w:rPr>
        <w:footnoteRef/>
      </w:r>
      <w:r>
        <w:tab/>
        <w:t>Граждански пакт за солидарност (</w:t>
      </w:r>
      <w:r>
        <w:rPr>
          <w:i/>
        </w:rPr>
        <w:t>pact civil de solidarité (PACS)</w:t>
      </w:r>
      <w:r>
        <w:t>). Партньорите по PACS имат реципрочни задължения. PACS също така има последствия върху правата на социално и трудово възнаграждение, собствеността, жилищното настаняване на партньора и данъчното облагане.</w:t>
      </w:r>
    </w:p>
  </w:footnote>
  <w:footnote w:id="37">
    <w:p>
      <w:pPr>
        <w:pStyle w:val="FootnoteText"/>
      </w:pPr>
      <w:r>
        <w:rPr>
          <w:rStyle w:val="FootnoteReference"/>
        </w:rPr>
        <w:footnoteRef/>
      </w:r>
      <w:r>
        <w:tab/>
        <w:t>Общата сума не съвпада напълно поради закръгляване.</w:t>
      </w:r>
    </w:p>
  </w:footnote>
  <w:footnote w:id="38">
    <w:p>
      <w:pPr>
        <w:pStyle w:val="FootnoteText"/>
      </w:pPr>
      <w:r>
        <w:rPr>
          <w:rStyle w:val="FootnoteReference"/>
        </w:rPr>
        <w:footnoteRef/>
      </w:r>
      <w:r>
        <w:tab/>
        <w:t>ОВ L 347, 20.12.2013 г., стр. 884.</w:t>
      </w:r>
    </w:p>
  </w:footnote>
  <w:footnote w:id="39">
    <w:p>
      <w:pPr>
        <w:pStyle w:val="FootnoteText"/>
      </w:pPr>
      <w:r>
        <w:rPr>
          <w:rStyle w:val="FootnoteReference"/>
        </w:rPr>
        <w:footnoteRef/>
      </w:r>
      <w:r>
        <w:tab/>
        <w:t>ОВ C 373, 20.12.2013 г., стр. 1.</w:t>
      </w:r>
    </w:p>
  </w:footnote>
  <w:footnote w:id="40">
    <w:p>
      <w:pPr>
        <w:pStyle w:val="FootnoteText"/>
      </w:pPr>
      <w:r>
        <w:rPr>
          <w:rStyle w:val="FootnoteReference"/>
        </w:rPr>
        <w:footnoteRef/>
      </w:r>
      <w:r>
        <w:tab/>
        <w:t>ОВ L 347, 20.12.2013 г., стр. 855.</w:t>
      </w:r>
    </w:p>
  </w:footnote>
  <w:footnote w:id="41">
    <w:p>
      <w:pPr>
        <w:pStyle w:val="FootnoteText"/>
      </w:pPr>
      <w:r>
        <w:rPr>
          <w:rStyle w:val="FootnoteReference"/>
        </w:rPr>
        <w:footnoteRef/>
      </w:r>
      <w:r>
        <w:tab/>
        <w:t>ОВ C 373, 20.12.2013 г., стр. 1.</w:t>
      </w:r>
    </w:p>
  </w:footnote>
  <w:footnote w:id="42">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43">
    <w:p>
      <w:pPr>
        <w:pStyle w:val="FootnoteText"/>
        <w:rPr>
          <w:color w:val="FF0000"/>
        </w:rPr>
      </w:pPr>
      <w:r>
        <w:rPr>
          <w:rStyle w:val="FootnoteReference"/>
          <w:color w:val="FF0000"/>
        </w:rPr>
        <w:sym w:font="Symbol" w:char="F02A"/>
      </w:r>
      <w:r>
        <w:rPr>
          <w:color w:val="FF0000"/>
        </w:rPr>
        <w:t xml:space="preserve"> </w:t>
      </w:r>
      <w:r>
        <w:rPr>
          <w:color w:val="FF0000"/>
        </w:rPr>
        <w:tab/>
        <w:t>Датата да се попълни от Парламента преди публикуването в 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0:12:5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DC5434-1AA2-4ABD-BE8C-E79926E00967"/>
    <w:docVar w:name="LW_COVERPAGE_TYPE" w:val="1"/>
    <w:docVar w:name="LW_CROSSREFERENCE" w:val="&lt;UNUSED&gt;"/>
    <w:docVar w:name="LW_DocType" w:val="COM"/>
    <w:docVar w:name="LW_EMISSION" w:val="23.4.2018"/>
    <w:docVar w:name="LW_EMISSION_ISODATE" w:val="2018-04-23"/>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 \u1079?\u1072?\u1103?\u1074?\u1083?\u1077?\u1085?\u1080?\u1077? \u1086?\u1090? \u1060?\u1088?\u1072?\u1085?\u1094?\u1080?\u1103? \u8212? EGF/2017/009 FR/Air France"/>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see.fr/fr/statistiques/2012804" TargetMode="External"/><Relationship Id="rId3" Type="http://schemas.openxmlformats.org/officeDocument/2006/relationships/hyperlink" Target="http://www.oag.com/" TargetMode="External"/><Relationship Id="rId7" Type="http://schemas.openxmlformats.org/officeDocument/2006/relationships/hyperlink" Target="http://idf.direccte.gouv.fr/sites/idf.direccte.gouv.fr/IMG/pdf/defm_12_2017_ile-de-france.pdf" TargetMode="External"/><Relationship Id="rId2" Type="http://schemas.openxmlformats.org/officeDocument/2006/relationships/hyperlink" Target="http://ascend.flightglobal.com/" TargetMode="External"/><Relationship Id="rId1" Type="http://schemas.openxmlformats.org/officeDocument/2006/relationships/hyperlink" Target="http://www.icao.int/" TargetMode="External"/><Relationship Id="rId6" Type="http://schemas.openxmlformats.org/officeDocument/2006/relationships/hyperlink" Target="https://www.insee.fr/fr/statistiques/2012804" TargetMode="External"/><Relationship Id="rId5" Type="http://schemas.openxmlformats.org/officeDocument/2006/relationships/hyperlink" Target="http://www.openandfairskies.com/wp-content/uploads/2017/02/Tillerson-Letter-020117.pdf" TargetMode="External"/><Relationship Id="rId4" Type="http://schemas.openxmlformats.org/officeDocument/2006/relationships/hyperlink" Target="http://www.openandfairskies.com/wp-content/themes/custom/media/White.Paper.pdf" TargetMode="External"/><Relationship Id="rId9" Type="http://schemas.openxmlformats.org/officeDocument/2006/relationships/hyperlink" Target="http://paca.direccte.gouv.fr/sites/paca.direccte.gouv.fr/IMG/pdf/2018-01_-_synthese_pa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2C7FAF-2B58-459F-B4D4-819E1932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4674</Words>
  <Characters>25850</Characters>
  <Application>Microsoft Office Word</Application>
  <DocSecurity>0</DocSecurity>
  <Lines>662</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2018-02-22T17:51:00Z</cp:lastPrinted>
  <dcterms:created xsi:type="dcterms:W3CDTF">2018-04-17T11:13:00Z</dcterms:created>
  <dcterms:modified xsi:type="dcterms:W3CDTF">2018-04-20T08:12:00Z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