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0186A24-D3AF-43D2-9997-3DC0FF5129FE" style="width:450.7pt;height:306.7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rPr>
          <w:noProof/>
        </w:rPr>
      </w:pPr>
      <w:bookmarkStart w:id="1" w:name="_GoBack"/>
      <w:bookmarkEnd w:id="1"/>
      <w:r>
        <w:rPr>
          <w:noProof/>
        </w:rPr>
        <w:lastRenderedPageBreak/>
        <w:t>Vu:</w:t>
      </w:r>
    </w:p>
    <w:p>
      <w:pPr>
        <w:pStyle w:val="Tiret0"/>
        <w:rPr>
          <w:noProof/>
        </w:rPr>
      </w:pPr>
      <w:r>
        <w:rPr>
          <w:noProof/>
        </w:rPr>
        <w:t>le traité sur le fonctionnement de l'Union européenne, et notamment son article 314, lu en combinaison avec le traité instituant la Communauté européenne de l'énergie atomique, et notamment son article 106 </w:t>
      </w:r>
      <w:r>
        <w:rPr>
          <w:i/>
          <w:noProof/>
        </w:rPr>
        <w:t>bis</w:t>
      </w:r>
      <w:r>
        <w:rPr>
          <w:noProof/>
        </w:rPr>
        <w:t>,</w:t>
      </w:r>
    </w:p>
    <w:p>
      <w:pPr>
        <w:pStyle w:val="Tiret0"/>
        <w:rPr>
          <w:rFonts w:cs="Arial"/>
          <w:noProof/>
          <w:szCs w:val="18"/>
        </w:rPr>
      </w:pPr>
      <w:r>
        <w:rPr>
          <w:noProof/>
        </w:rPr>
        <w:t>le règlement (UE, Euratom) nº 966/2012 du Parlement européen et du Conseil du 25 octobre 2012 relatif aux règles financières applicables au budget général de l’Union</w:t>
      </w:r>
      <w:r>
        <w:rPr>
          <w:rStyle w:val="FootnoteReference"/>
          <w:noProof/>
        </w:rPr>
        <w:footnoteReference w:id="2"/>
      </w:r>
      <w:r>
        <w:rPr>
          <w:noProof/>
        </w:rPr>
        <w:t>, et notamment son article 18, paragraphe 3, et son article 41,</w:t>
      </w:r>
    </w:p>
    <w:p>
      <w:pPr>
        <w:pStyle w:val="Tiret0"/>
        <w:tabs>
          <w:tab w:val="clear" w:pos="850"/>
          <w:tab w:val="num" w:pos="927"/>
        </w:tabs>
        <w:rPr>
          <w:noProof/>
        </w:rPr>
      </w:pPr>
      <w:r>
        <w:rPr>
          <w:noProof/>
        </w:rPr>
        <w:t>le budget général de l'Union européenne pour l'exercice 2018, adopté le 30 novembre 2017</w:t>
      </w:r>
      <w:r>
        <w:rPr>
          <w:rStyle w:val="FootnoteReference"/>
          <w:noProof/>
        </w:rPr>
        <w:footnoteReference w:id="3"/>
      </w:r>
      <w:r>
        <w:rPr>
          <w:noProof/>
        </w:rPr>
        <w:t>,</w:t>
      </w:r>
    </w:p>
    <w:p>
      <w:pPr>
        <w:pStyle w:val="Tiret0"/>
        <w:tabs>
          <w:tab w:val="clear" w:pos="850"/>
          <w:tab w:val="num" w:pos="927"/>
        </w:tabs>
        <w:rPr>
          <w:noProof/>
        </w:rPr>
      </w:pPr>
      <w:r>
        <w:rPr>
          <w:noProof/>
        </w:rPr>
        <w:t>le projet de budget rectificatif nº 1/2018</w:t>
      </w:r>
      <w:r>
        <w:rPr>
          <w:rStyle w:val="FootnoteReference"/>
          <w:noProof/>
        </w:rPr>
        <w:footnoteReference w:id="4"/>
      </w:r>
      <w:r>
        <w:rPr>
          <w:noProof/>
        </w:rPr>
        <w:t>, adopté le 22 février 2018,</w:t>
      </w:r>
    </w:p>
    <w:p>
      <w:pPr>
        <w:jc w:val="both"/>
        <w:rPr>
          <w:noProof/>
        </w:rPr>
      </w:pPr>
      <w:r>
        <w:rPr>
          <w:noProof/>
        </w:rPr>
        <w:t>la Commission européenne présente ci-après au Parlement européen et au Conseil le projet de budget rectificatif nº 2 au budget 2018.</w:t>
      </w:r>
    </w:p>
    <w:p>
      <w:pPr>
        <w:rPr>
          <w:b/>
          <w:noProof/>
          <w:u w:val="single"/>
        </w:rPr>
      </w:pPr>
    </w:p>
    <w:p>
      <w:pPr>
        <w:jc w:val="both"/>
        <w:rPr>
          <w:b/>
          <w:noProof/>
          <w:u w:val="single"/>
        </w:rPr>
      </w:pPr>
      <w:r>
        <w:rPr>
          <w:b/>
          <w:noProof/>
          <w:u w:val="single"/>
        </w:rPr>
        <w:t>MODIFICATIONS À L’ÉTAT DES RECETTES ET DES DÉPENSES PAR SECTION</w:t>
      </w:r>
    </w:p>
    <w:p>
      <w:pPr>
        <w:rPr>
          <w:b/>
          <w:noProof/>
          <w:u w:val="single"/>
        </w:rPr>
      </w:pPr>
    </w:p>
    <w:p>
      <w:pPr>
        <w:jc w:val="both"/>
        <w:rPr>
          <w:noProof/>
        </w:rPr>
      </w:pPr>
      <w:r>
        <w:rPr>
          <w:noProof/>
        </w:rPr>
        <w:t>Les modifications apportées à l'état des recettes et des dépenses par section sont disponibles sur EUR-Lex (</w:t>
      </w:r>
      <w:hyperlink r:id="rId16">
        <w:r>
          <w:rPr>
            <w:rStyle w:val="Hyperlink"/>
            <w:noProof/>
            <w:color w:val="auto"/>
          </w:rPr>
          <w:t>http://eur-lex.europa.eu/budget/www/index-fr.htm</w:t>
        </w:r>
      </w:hyperlink>
      <w:r>
        <w:rPr>
          <w:noProof/>
        </w:rPr>
        <w:t>). Une version en anglais de ces modifications est jointe à titre indicatif en annexe budgétaire.</w:t>
      </w:r>
    </w:p>
    <w:p>
      <w:pPr>
        <w:rPr>
          <w:noProof/>
        </w:rPr>
        <w:sectPr>
          <w:headerReference w:type="even" r:id="rId17"/>
          <w:headerReference w:type="default" r:id="rId18"/>
          <w:footerReference w:type="even" r:id="rId19"/>
          <w:footerReference w:type="default" r:id="rId20"/>
          <w:headerReference w:type="first" r:id="rId21"/>
          <w:footerReference w:type="first" r:id="rId22"/>
          <w:pgSz w:w="11907" w:h="16839"/>
          <w:pgMar w:top="1134" w:right="1417" w:bottom="1134" w:left="1417" w:header="709" w:footer="709" w:gutter="0"/>
          <w:cols w:space="708"/>
          <w:docGrid w:linePitch="360"/>
        </w:sectPr>
      </w:pPr>
    </w:p>
    <w:p>
      <w:pPr>
        <w:pStyle w:val="Exposdesmotifstitre"/>
        <w:rPr>
          <w:noProof/>
        </w:rPr>
      </w:pPr>
      <w:bookmarkStart w:id="2" w:name="_Toc194220890"/>
      <w:bookmarkStart w:id="3" w:name="_Toc294675429"/>
      <w:bookmarkStart w:id="4" w:name="_Toc378575883"/>
      <w:r>
        <w:rPr>
          <w:noProof/>
        </w:rPr>
        <w:lastRenderedPageBreak/>
        <w:t>EXPOSÉ DES MOTIFS</w:t>
      </w:r>
    </w:p>
    <w:p>
      <w:pPr>
        <w:jc w:val="both"/>
        <w:rPr>
          <w:noProof/>
        </w:rPr>
      </w:pPr>
      <w:r>
        <w:rPr>
          <w:noProof/>
        </w:rPr>
        <w:t>Le projet de budget rectificatif (PBR) nº 2/2018 vise à inscrire au budget 2018 l'excédent résultant de l'exécution de l'exercice budgétaire 2017. Comme le prévoit l’article 18, paragraphe 3, du règlement financier applicable au budget général de l’Union</w:t>
      </w:r>
      <w:r>
        <w:rPr>
          <w:noProof/>
          <w:vertAlign w:val="superscript"/>
        </w:rPr>
        <w:footnoteReference w:id="5"/>
      </w:r>
      <w:r>
        <w:rPr>
          <w:noProof/>
        </w:rPr>
        <w:t>, ledit excédent constitue le seul objet du présent PBR, qu'il convient de présenter dans les quinze jours suivant la présentation des comptes provisoires, à la fin du mois de mars 2018.</w:t>
      </w:r>
    </w:p>
    <w:p>
      <w:pPr>
        <w:pStyle w:val="NumPar1"/>
        <w:rPr>
          <w:noProof/>
          <w:color w:val="000000"/>
        </w:rPr>
      </w:pPr>
      <w:r>
        <w:rPr>
          <w:noProof/>
        </w:rPr>
        <w:t>L'exécution de l'exercice 2017 présente un excédent de 555 542 325 EUR, qui est donc inscrit en recette dans le budget 2018.</w:t>
      </w:r>
    </w:p>
    <w:p>
      <w:pPr>
        <w:pStyle w:val="NumPar1"/>
        <w:numPr>
          <w:ilvl w:val="0"/>
          <w:numId w:val="0"/>
        </w:numPr>
        <w:spacing w:after="0"/>
        <w:ind w:left="5954"/>
        <w:rPr>
          <w:i/>
          <w:noProof/>
          <w:sz w:val="20"/>
          <w:szCs w:val="20"/>
        </w:rPr>
      </w:pPr>
      <w:r>
        <w:rPr>
          <w:i/>
          <w:noProof/>
          <w:sz w:val="20"/>
        </w:rPr>
        <w:t>(en EUR)</w:t>
      </w:r>
    </w:p>
    <w:tbl>
      <w:tblPr>
        <w:tblW w:w="3716" w:type="dxa"/>
        <w:jc w:val="center"/>
        <w:tblLook w:val="04A0" w:firstRow="1" w:lastRow="0" w:firstColumn="1" w:lastColumn="0" w:noHBand="0" w:noVBand="1"/>
      </w:tblPr>
      <w:tblGrid>
        <w:gridCol w:w="2159"/>
        <w:gridCol w:w="1557"/>
      </w:tblGrid>
      <w:tr>
        <w:trPr>
          <w:trHeight w:val="570"/>
          <w:jc w:val="center"/>
        </w:trPr>
        <w:tc>
          <w:tcPr>
            <w:tcW w:w="3716" w:type="dxa"/>
            <w:gridSpan w:val="2"/>
            <w:tcBorders>
              <w:top w:val="single" w:sz="4" w:space="0" w:color="auto"/>
              <w:left w:val="single" w:sz="4" w:space="0" w:color="auto"/>
              <w:bottom w:val="single" w:sz="4" w:space="0" w:color="auto"/>
              <w:right w:val="single" w:sz="4" w:space="0" w:color="auto"/>
            </w:tcBorders>
            <w:shd w:val="clear" w:color="000000" w:fill="E0E0E0"/>
            <w:vAlign w:val="center"/>
            <w:hideMark/>
          </w:tcPr>
          <w:p>
            <w:pPr>
              <w:jc w:val="center"/>
              <w:rPr>
                <w:b/>
                <w:bCs/>
                <w:noProof/>
                <w:color w:val="000000"/>
                <w:sz w:val="18"/>
                <w:szCs w:val="18"/>
              </w:rPr>
            </w:pPr>
            <w:r>
              <w:rPr>
                <w:b/>
                <w:noProof/>
                <w:color w:val="000000"/>
                <w:sz w:val="18"/>
              </w:rPr>
              <w:t>Ventilation du résultat de l'exécution 2017</w:t>
            </w:r>
          </w:p>
        </w:tc>
      </w:tr>
      <w:tr>
        <w:trPr>
          <w:trHeight w:val="270"/>
          <w:jc w:val="center"/>
        </w:trPr>
        <w:tc>
          <w:tcPr>
            <w:tcW w:w="2159"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b/>
                <w:bCs/>
                <w:noProof/>
                <w:color w:val="000000"/>
                <w:sz w:val="18"/>
                <w:szCs w:val="18"/>
              </w:rPr>
            </w:pPr>
            <w:r>
              <w:rPr>
                <w:b/>
                <w:noProof/>
                <w:color w:val="000000"/>
                <w:sz w:val="18"/>
              </w:rPr>
              <w:t xml:space="preserve">Excédent - recettes </w:t>
            </w:r>
          </w:p>
        </w:tc>
        <w:tc>
          <w:tcPr>
            <w:tcW w:w="1557" w:type="dxa"/>
            <w:tcBorders>
              <w:top w:val="nil"/>
              <w:left w:val="nil"/>
              <w:bottom w:val="nil"/>
              <w:right w:val="single" w:sz="4" w:space="0" w:color="auto"/>
            </w:tcBorders>
            <w:shd w:val="clear" w:color="auto" w:fill="auto"/>
            <w:vAlign w:val="center"/>
            <w:hideMark/>
          </w:tcPr>
          <w:p>
            <w:pPr>
              <w:jc w:val="right"/>
              <w:rPr>
                <w:b/>
                <w:bCs/>
                <w:noProof/>
                <w:color w:val="000000"/>
                <w:sz w:val="18"/>
                <w:szCs w:val="18"/>
              </w:rPr>
            </w:pPr>
            <w:r>
              <w:rPr>
                <w:b/>
                <w:noProof/>
                <w:color w:val="000000"/>
                <w:sz w:val="18"/>
              </w:rPr>
              <w:t>338 578 242</w:t>
            </w:r>
          </w:p>
        </w:tc>
      </w:tr>
      <w:tr>
        <w:trPr>
          <w:trHeight w:val="270"/>
          <w:jc w:val="center"/>
        </w:trPr>
        <w:tc>
          <w:tcPr>
            <w:tcW w:w="2159" w:type="dxa"/>
            <w:tcBorders>
              <w:top w:val="single" w:sz="4" w:space="0" w:color="auto"/>
              <w:left w:val="single" w:sz="4" w:space="0" w:color="auto"/>
              <w:bottom w:val="single" w:sz="4" w:space="0" w:color="auto"/>
              <w:right w:val="single" w:sz="4" w:space="0" w:color="000000"/>
            </w:tcBorders>
            <w:shd w:val="clear" w:color="auto" w:fill="auto"/>
            <w:vAlign w:val="center"/>
            <w:hideMark/>
          </w:tcPr>
          <w:p>
            <w:pPr>
              <w:rPr>
                <w:b/>
                <w:bCs/>
                <w:noProof/>
                <w:color w:val="000000"/>
                <w:sz w:val="18"/>
                <w:szCs w:val="18"/>
              </w:rPr>
            </w:pPr>
            <w:r>
              <w:rPr>
                <w:b/>
                <w:noProof/>
                <w:color w:val="000000"/>
                <w:sz w:val="18"/>
              </w:rPr>
              <w:t>Excédent - dépenses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pPr>
              <w:jc w:val="right"/>
              <w:rPr>
                <w:b/>
                <w:bCs/>
                <w:noProof/>
                <w:color w:val="000000"/>
                <w:sz w:val="18"/>
                <w:szCs w:val="18"/>
              </w:rPr>
            </w:pPr>
            <w:r>
              <w:rPr>
                <w:b/>
                <w:noProof/>
                <w:color w:val="000000"/>
                <w:sz w:val="18"/>
              </w:rPr>
              <w:t>216 964 083</w:t>
            </w:r>
          </w:p>
        </w:tc>
      </w:tr>
      <w:tr>
        <w:trPr>
          <w:trHeight w:val="270"/>
          <w:jc w:val="center"/>
        </w:trPr>
        <w:tc>
          <w:tcPr>
            <w:tcW w:w="2159" w:type="dxa"/>
            <w:tcBorders>
              <w:top w:val="single" w:sz="4" w:space="0" w:color="auto"/>
              <w:left w:val="single" w:sz="4" w:space="0" w:color="auto"/>
              <w:bottom w:val="single" w:sz="4" w:space="0" w:color="auto"/>
              <w:right w:val="single" w:sz="4" w:space="0" w:color="auto"/>
            </w:tcBorders>
            <w:shd w:val="clear" w:color="000000" w:fill="E0E0E0"/>
            <w:vAlign w:val="center"/>
          </w:tcPr>
          <w:p>
            <w:pPr>
              <w:rPr>
                <w:b/>
                <w:bCs/>
                <w:noProof/>
                <w:color w:val="000000"/>
                <w:sz w:val="18"/>
                <w:szCs w:val="18"/>
              </w:rPr>
            </w:pPr>
            <w:r>
              <w:rPr>
                <w:b/>
                <w:noProof/>
                <w:color w:val="000000"/>
                <w:sz w:val="18"/>
              </w:rPr>
              <w:t>Excédent total</w:t>
            </w:r>
          </w:p>
        </w:tc>
        <w:tc>
          <w:tcPr>
            <w:tcW w:w="1557" w:type="dxa"/>
            <w:tcBorders>
              <w:top w:val="nil"/>
              <w:left w:val="nil"/>
              <w:bottom w:val="single" w:sz="4" w:space="0" w:color="auto"/>
              <w:right w:val="single" w:sz="4" w:space="0" w:color="auto"/>
            </w:tcBorders>
            <w:shd w:val="clear" w:color="000000" w:fill="E0E0E0"/>
            <w:vAlign w:val="center"/>
          </w:tcPr>
          <w:p>
            <w:pPr>
              <w:jc w:val="right"/>
              <w:rPr>
                <w:b/>
                <w:bCs/>
                <w:noProof/>
                <w:color w:val="000000"/>
                <w:sz w:val="18"/>
                <w:szCs w:val="18"/>
              </w:rPr>
            </w:pPr>
            <w:r>
              <w:rPr>
                <w:b/>
                <w:noProof/>
                <w:color w:val="000000"/>
                <w:sz w:val="18"/>
              </w:rPr>
              <w:t>555 542 325</w:t>
            </w:r>
          </w:p>
        </w:tc>
      </w:tr>
    </w:tbl>
    <w:bookmarkEnd w:id="2"/>
    <w:p>
      <w:pPr>
        <w:pStyle w:val="NumPar1"/>
        <w:rPr>
          <w:noProof/>
        </w:rPr>
      </w:pPr>
      <w:r>
        <w:rPr>
          <w:noProof/>
        </w:rPr>
        <w:t>La budgétisation de l'excédent diminuera d'autant la contribution globale des États membres au financement du budget 2018. Les contributions des États membres seront également influencées par la mise à jour des prévisions relatives aux ressources propres [ressources propres traditionnelles (RPT), taxe sur la valeur ajoutée (TVA) et revenu national brut (RNB)], y compris celle du montant de la correction britannique; ces chiffres, qui seront disponibles après la réunion de mai 2018 du comité consultatif des ressources propres, seront intégrés dans un projet de budget rectificatif ultérieur.</w:t>
      </w:r>
    </w:p>
    <w:p>
      <w:pPr>
        <w:pStyle w:val="NumPar1"/>
        <w:spacing w:before="240" w:after="0"/>
        <w:ind w:left="851" w:hanging="851"/>
        <w:rPr>
          <w:noProof/>
        </w:rPr>
      </w:pPr>
      <w:r>
        <w:rPr>
          <w:noProof/>
        </w:rPr>
        <w:t>Le tableau ci-dessous présente la ventilation du résultat pour 2017 en termes d'exécution des recettes:</w:t>
      </w:r>
    </w:p>
    <w:p>
      <w:pPr>
        <w:pStyle w:val="NumPar1"/>
        <w:numPr>
          <w:ilvl w:val="0"/>
          <w:numId w:val="0"/>
        </w:numPr>
        <w:spacing w:after="0"/>
        <w:ind w:left="850" w:hanging="850"/>
        <w:jc w:val="right"/>
        <w:rPr>
          <w:i/>
          <w:noProof/>
          <w:sz w:val="20"/>
          <w:szCs w:val="20"/>
        </w:rPr>
      </w:pPr>
      <w:r>
        <w:rPr>
          <w:i/>
          <w:noProof/>
          <w:sz w:val="20"/>
        </w:rPr>
        <w:t>(en EUR)</w:t>
      </w:r>
    </w:p>
    <w:tbl>
      <w:tblPr>
        <w:tblW w:w="9926" w:type="dxa"/>
        <w:tblInd w:w="93" w:type="dxa"/>
        <w:tblLook w:val="04A0" w:firstRow="1" w:lastRow="0" w:firstColumn="1" w:lastColumn="0" w:noHBand="0" w:noVBand="1"/>
      </w:tblPr>
      <w:tblGrid>
        <w:gridCol w:w="377"/>
        <w:gridCol w:w="4883"/>
        <w:gridCol w:w="1555"/>
        <w:gridCol w:w="1555"/>
        <w:gridCol w:w="1556"/>
      </w:tblGrid>
      <w:tr>
        <w:trPr>
          <w:trHeight w:val="510"/>
        </w:trPr>
        <w:tc>
          <w:tcPr>
            <w:tcW w:w="5260" w:type="dxa"/>
            <w:gridSpan w:val="2"/>
            <w:tcBorders>
              <w:top w:val="single" w:sz="4" w:space="0" w:color="auto"/>
              <w:left w:val="single" w:sz="4" w:space="0" w:color="auto"/>
              <w:bottom w:val="single" w:sz="4" w:space="0" w:color="auto"/>
              <w:right w:val="single" w:sz="4" w:space="0" w:color="auto"/>
            </w:tcBorders>
            <w:shd w:val="clear" w:color="000000" w:fill="E0E0E0"/>
            <w:vAlign w:val="center"/>
            <w:hideMark/>
          </w:tcPr>
          <w:p>
            <w:pPr>
              <w:jc w:val="center"/>
              <w:rPr>
                <w:b/>
                <w:bCs/>
                <w:noProof/>
                <w:color w:val="000000"/>
                <w:sz w:val="18"/>
                <w:szCs w:val="18"/>
              </w:rPr>
            </w:pPr>
            <w:r>
              <w:rPr>
                <w:b/>
                <w:noProof/>
                <w:color w:val="000000"/>
                <w:sz w:val="18"/>
              </w:rPr>
              <w:t>Ventilation du résultat de l'exécution 2017</w:t>
            </w:r>
          </w:p>
        </w:tc>
        <w:tc>
          <w:tcPr>
            <w:tcW w:w="1555" w:type="dxa"/>
            <w:tcBorders>
              <w:top w:val="single" w:sz="4" w:space="0" w:color="auto"/>
              <w:left w:val="nil"/>
              <w:bottom w:val="single" w:sz="4" w:space="0" w:color="auto"/>
              <w:right w:val="single" w:sz="4" w:space="0" w:color="auto"/>
            </w:tcBorders>
            <w:shd w:val="clear" w:color="000000" w:fill="E0E0E0"/>
            <w:vAlign w:val="center"/>
            <w:hideMark/>
          </w:tcPr>
          <w:p>
            <w:pPr>
              <w:jc w:val="center"/>
              <w:rPr>
                <w:b/>
                <w:bCs/>
                <w:noProof/>
                <w:color w:val="000000"/>
                <w:sz w:val="18"/>
                <w:szCs w:val="18"/>
              </w:rPr>
            </w:pPr>
            <w:r>
              <w:rPr>
                <w:b/>
                <w:noProof/>
                <w:color w:val="000000"/>
                <w:sz w:val="18"/>
              </w:rPr>
              <w:t>Budget</w:t>
            </w:r>
            <w:r>
              <w:rPr>
                <w:b/>
                <w:bCs/>
                <w:noProof/>
                <w:color w:val="000000"/>
                <w:sz w:val="18"/>
                <w:szCs w:val="18"/>
              </w:rPr>
              <w:br/>
            </w:r>
            <w:r>
              <w:rPr>
                <w:b/>
                <w:noProof/>
                <w:color w:val="000000"/>
                <w:sz w:val="18"/>
              </w:rPr>
              <w:t>(y compris</w:t>
            </w:r>
            <w:r>
              <w:rPr>
                <w:b/>
                <w:bCs/>
                <w:noProof/>
                <w:color w:val="000000"/>
                <w:sz w:val="18"/>
                <w:szCs w:val="18"/>
              </w:rPr>
              <w:br/>
            </w:r>
            <w:r>
              <w:rPr>
                <w:b/>
                <w:noProof/>
                <w:color w:val="000000"/>
                <w:sz w:val="18"/>
              </w:rPr>
              <w:t>BR 1-6)</w:t>
            </w:r>
          </w:p>
        </w:tc>
        <w:tc>
          <w:tcPr>
            <w:tcW w:w="1555" w:type="dxa"/>
            <w:tcBorders>
              <w:top w:val="single" w:sz="4" w:space="0" w:color="auto"/>
              <w:left w:val="nil"/>
              <w:bottom w:val="single" w:sz="4" w:space="0" w:color="auto"/>
              <w:right w:val="single" w:sz="4" w:space="0" w:color="auto"/>
            </w:tcBorders>
            <w:shd w:val="clear" w:color="000000" w:fill="E0E0E0"/>
            <w:vAlign w:val="center"/>
            <w:hideMark/>
          </w:tcPr>
          <w:p>
            <w:pPr>
              <w:jc w:val="center"/>
              <w:rPr>
                <w:b/>
                <w:bCs/>
                <w:noProof/>
                <w:color w:val="000000"/>
                <w:sz w:val="18"/>
                <w:szCs w:val="18"/>
              </w:rPr>
            </w:pPr>
            <w:r>
              <w:rPr>
                <w:b/>
                <w:noProof/>
                <w:color w:val="000000"/>
                <w:sz w:val="18"/>
              </w:rPr>
              <w:t>Exécution</w:t>
            </w:r>
          </w:p>
        </w:tc>
        <w:tc>
          <w:tcPr>
            <w:tcW w:w="1556" w:type="dxa"/>
            <w:tcBorders>
              <w:top w:val="single" w:sz="4" w:space="0" w:color="auto"/>
              <w:left w:val="nil"/>
              <w:bottom w:val="single" w:sz="4" w:space="0" w:color="auto"/>
              <w:right w:val="single" w:sz="4" w:space="0" w:color="auto"/>
            </w:tcBorders>
            <w:shd w:val="clear" w:color="000000" w:fill="E0E0E0"/>
            <w:vAlign w:val="center"/>
            <w:hideMark/>
          </w:tcPr>
          <w:p>
            <w:pPr>
              <w:jc w:val="center"/>
              <w:rPr>
                <w:b/>
                <w:bCs/>
                <w:noProof/>
                <w:color w:val="000000"/>
                <w:sz w:val="18"/>
                <w:szCs w:val="18"/>
              </w:rPr>
            </w:pPr>
            <w:r>
              <w:rPr>
                <w:b/>
                <w:noProof/>
                <w:color w:val="000000"/>
                <w:sz w:val="18"/>
              </w:rPr>
              <w:t>Variation</w:t>
            </w:r>
          </w:p>
        </w:tc>
      </w:tr>
      <w:tr>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E0E0E0"/>
            <w:vAlign w:val="center"/>
            <w:hideMark/>
          </w:tcPr>
          <w:p>
            <w:pPr>
              <w:rPr>
                <w:b/>
                <w:bCs/>
                <w:noProof/>
                <w:color w:val="000000"/>
                <w:sz w:val="18"/>
                <w:szCs w:val="18"/>
              </w:rPr>
            </w:pPr>
            <w:r>
              <w:rPr>
                <w:b/>
                <w:noProof/>
                <w:color w:val="000000"/>
                <w:sz w:val="18"/>
              </w:rPr>
              <w:t>Sous-total recettes</w:t>
            </w:r>
          </w:p>
        </w:tc>
        <w:tc>
          <w:tcPr>
            <w:tcW w:w="1555" w:type="dxa"/>
            <w:tcBorders>
              <w:top w:val="nil"/>
              <w:left w:val="nil"/>
              <w:bottom w:val="single" w:sz="4" w:space="0" w:color="auto"/>
              <w:right w:val="single" w:sz="4" w:space="0" w:color="auto"/>
            </w:tcBorders>
            <w:shd w:val="clear" w:color="000000" w:fill="E0E0E0"/>
            <w:vAlign w:val="center"/>
            <w:hideMark/>
          </w:tcPr>
          <w:p>
            <w:pPr>
              <w:jc w:val="right"/>
              <w:rPr>
                <w:b/>
                <w:bCs/>
                <w:noProof/>
                <w:color w:val="000000"/>
                <w:sz w:val="18"/>
                <w:szCs w:val="18"/>
              </w:rPr>
            </w:pPr>
            <w:r>
              <w:rPr>
                <w:b/>
                <w:noProof/>
                <w:color w:val="000000"/>
                <w:sz w:val="18"/>
              </w:rPr>
              <w:t>126 770 711 153</w:t>
            </w:r>
          </w:p>
        </w:tc>
        <w:tc>
          <w:tcPr>
            <w:tcW w:w="1555" w:type="dxa"/>
            <w:tcBorders>
              <w:top w:val="nil"/>
              <w:left w:val="nil"/>
              <w:bottom w:val="single" w:sz="4" w:space="0" w:color="auto"/>
              <w:right w:val="single" w:sz="4" w:space="0" w:color="auto"/>
            </w:tcBorders>
            <w:shd w:val="clear" w:color="000000" w:fill="E0E0E0"/>
            <w:vAlign w:val="center"/>
            <w:hideMark/>
          </w:tcPr>
          <w:p>
            <w:pPr>
              <w:jc w:val="right"/>
              <w:rPr>
                <w:b/>
                <w:bCs/>
                <w:noProof/>
                <w:color w:val="000000"/>
                <w:sz w:val="18"/>
                <w:szCs w:val="18"/>
              </w:rPr>
            </w:pPr>
            <w:r>
              <w:rPr>
                <w:b/>
                <w:noProof/>
                <w:color w:val="000000"/>
                <w:sz w:val="18"/>
              </w:rPr>
              <w:t>127 109 289 395</w:t>
            </w:r>
          </w:p>
        </w:tc>
        <w:tc>
          <w:tcPr>
            <w:tcW w:w="1556" w:type="dxa"/>
            <w:tcBorders>
              <w:top w:val="nil"/>
              <w:left w:val="nil"/>
              <w:bottom w:val="single" w:sz="4" w:space="0" w:color="auto"/>
              <w:right w:val="single" w:sz="4" w:space="0" w:color="auto"/>
            </w:tcBorders>
            <w:shd w:val="clear" w:color="000000" w:fill="E0E0E0"/>
            <w:vAlign w:val="center"/>
            <w:hideMark/>
          </w:tcPr>
          <w:p>
            <w:pPr>
              <w:jc w:val="right"/>
              <w:rPr>
                <w:b/>
                <w:bCs/>
                <w:noProof/>
                <w:color w:val="000000"/>
                <w:sz w:val="18"/>
                <w:szCs w:val="18"/>
              </w:rPr>
            </w:pPr>
            <w:r>
              <w:rPr>
                <w:b/>
                <w:noProof/>
                <w:color w:val="000000"/>
                <w:sz w:val="18"/>
              </w:rPr>
              <w:t>338 578 242</w:t>
            </w:r>
          </w:p>
        </w:tc>
      </w:tr>
      <w:tr>
        <w:trPr>
          <w:trHeight w:val="270"/>
        </w:trPr>
        <w:tc>
          <w:tcPr>
            <w:tcW w:w="377" w:type="dxa"/>
            <w:tcBorders>
              <w:top w:val="nil"/>
              <w:left w:val="single" w:sz="4" w:space="0" w:color="auto"/>
              <w:bottom w:val="dotted" w:sz="4" w:space="0" w:color="auto"/>
              <w:right w:val="nil"/>
            </w:tcBorders>
            <w:shd w:val="clear" w:color="auto" w:fill="auto"/>
            <w:vAlign w:val="center"/>
            <w:hideMark/>
          </w:tcPr>
          <w:p>
            <w:pPr>
              <w:jc w:val="right"/>
              <w:rPr>
                <w:i/>
                <w:iCs/>
                <w:noProof/>
                <w:color w:val="000000"/>
                <w:sz w:val="18"/>
                <w:szCs w:val="18"/>
              </w:rPr>
            </w:pPr>
            <w:r>
              <w:rPr>
                <w:i/>
                <w:noProof/>
                <w:color w:val="000000"/>
                <w:sz w:val="18"/>
              </w:rPr>
              <w:t>—</w:t>
            </w:r>
          </w:p>
        </w:tc>
        <w:tc>
          <w:tcPr>
            <w:tcW w:w="4883" w:type="dxa"/>
            <w:tcBorders>
              <w:top w:val="nil"/>
              <w:left w:val="nil"/>
              <w:bottom w:val="dotted" w:sz="4" w:space="0" w:color="auto"/>
              <w:right w:val="single" w:sz="4" w:space="0" w:color="auto"/>
            </w:tcBorders>
            <w:shd w:val="clear" w:color="auto" w:fill="auto"/>
            <w:vAlign w:val="center"/>
            <w:hideMark/>
          </w:tcPr>
          <w:p>
            <w:pPr>
              <w:rPr>
                <w:noProof/>
                <w:color w:val="000000"/>
                <w:sz w:val="18"/>
                <w:szCs w:val="18"/>
              </w:rPr>
            </w:pPr>
            <w:r>
              <w:rPr>
                <w:noProof/>
                <w:color w:val="000000"/>
                <w:sz w:val="18"/>
              </w:rPr>
              <w:t>Titre 1 - Ressources propres</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115 483 788 464</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115 415 936 798</w:t>
            </w:r>
          </w:p>
        </w:tc>
        <w:tc>
          <w:tcPr>
            <w:tcW w:w="1556"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-67 851 666</w:t>
            </w:r>
          </w:p>
        </w:tc>
      </w:tr>
      <w:tr>
        <w:trPr>
          <w:trHeight w:val="270"/>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83"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Cotisations et autres droits dans le secteur du sucre</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133 300 000</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133 705 778</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405 778</w:t>
            </w:r>
          </w:p>
        </w:tc>
      </w:tr>
      <w:tr>
        <w:trPr>
          <w:trHeight w:val="270"/>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83"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Droits de douane</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20 374 000 000</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20 325 353 382</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-48 646 618</w:t>
            </w:r>
          </w:p>
        </w:tc>
      </w:tr>
      <w:tr>
        <w:trPr>
          <w:trHeight w:val="270"/>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83"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Ressources propres provenant de la TVA</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16 620 148 350</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16 584 027 142</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-36 121 208</w:t>
            </w:r>
          </w:p>
        </w:tc>
      </w:tr>
      <w:tr>
        <w:trPr>
          <w:trHeight w:val="270"/>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83"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Ressources propres fondées sur le RNB</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78 356 340 114</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78 279 403 346</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-76 936 768</w:t>
            </w:r>
          </w:p>
        </w:tc>
      </w:tr>
      <w:tr>
        <w:trPr>
          <w:trHeight w:val="270"/>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83"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Correction des déséquilibres budgétaires accordée au RU</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0</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93 838 118</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93 838 118</w:t>
            </w:r>
          </w:p>
        </w:tc>
      </w:tr>
      <w:tr>
        <w:trPr>
          <w:trHeight w:val="270"/>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83"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Réduction brute de la contribution RNB annuelle accordée à certains États membres</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0</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-390 968</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-390 968</w:t>
            </w:r>
          </w:p>
        </w:tc>
      </w:tr>
      <w:tr>
        <w:trPr>
          <w:trHeight w:val="270"/>
        </w:trPr>
        <w:tc>
          <w:tcPr>
            <w:tcW w:w="377" w:type="dxa"/>
            <w:tcBorders>
              <w:top w:val="nil"/>
              <w:left w:val="single" w:sz="4" w:space="0" w:color="auto"/>
              <w:bottom w:val="dotted" w:sz="4" w:space="0" w:color="auto"/>
              <w:right w:val="nil"/>
            </w:tcBorders>
            <w:shd w:val="clear" w:color="auto" w:fill="auto"/>
            <w:vAlign w:val="center"/>
            <w:hideMark/>
          </w:tcPr>
          <w:p>
            <w:pPr>
              <w:jc w:val="right"/>
              <w:rPr>
                <w:i/>
                <w:iCs/>
                <w:noProof/>
                <w:color w:val="000000"/>
                <w:sz w:val="18"/>
                <w:szCs w:val="18"/>
              </w:rPr>
            </w:pPr>
            <w:r>
              <w:rPr>
                <w:i/>
                <w:noProof/>
                <w:color w:val="000000"/>
                <w:sz w:val="18"/>
              </w:rPr>
              <w:t>—</w:t>
            </w:r>
          </w:p>
        </w:tc>
        <w:tc>
          <w:tcPr>
            <w:tcW w:w="4883" w:type="dxa"/>
            <w:tcBorders>
              <w:top w:val="nil"/>
              <w:left w:val="nil"/>
              <w:bottom w:val="dotted" w:sz="4" w:space="0" w:color="auto"/>
              <w:right w:val="single" w:sz="4" w:space="0" w:color="auto"/>
            </w:tcBorders>
            <w:shd w:val="clear" w:color="auto" w:fill="auto"/>
            <w:vAlign w:val="center"/>
            <w:hideMark/>
          </w:tcPr>
          <w:p>
            <w:pPr>
              <w:rPr>
                <w:noProof/>
                <w:color w:val="000000"/>
                <w:sz w:val="18"/>
                <w:szCs w:val="18"/>
              </w:rPr>
            </w:pPr>
            <w:r>
              <w:rPr>
                <w:noProof/>
                <w:color w:val="000000"/>
                <w:sz w:val="18"/>
              </w:rPr>
              <w:t>Titre 3 - Excédents, soldes et ajustements</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6 404 529 791</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6 416 271 649</w:t>
            </w:r>
          </w:p>
        </w:tc>
        <w:tc>
          <w:tcPr>
            <w:tcW w:w="1556"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11 741 858</w:t>
            </w:r>
          </w:p>
        </w:tc>
      </w:tr>
      <w:tr>
        <w:trPr>
          <w:trHeight w:val="270"/>
        </w:trPr>
        <w:tc>
          <w:tcPr>
            <w:tcW w:w="377" w:type="dxa"/>
            <w:tcBorders>
              <w:top w:val="nil"/>
              <w:left w:val="single" w:sz="4" w:space="0" w:color="auto"/>
              <w:bottom w:val="dotted" w:sz="4" w:space="0" w:color="auto"/>
              <w:right w:val="nil"/>
            </w:tcBorders>
            <w:shd w:val="clear" w:color="auto" w:fill="auto"/>
            <w:vAlign w:val="center"/>
            <w:hideMark/>
          </w:tcPr>
          <w:p>
            <w:pPr>
              <w:jc w:val="right"/>
              <w:rPr>
                <w:i/>
                <w:iCs/>
                <w:noProof/>
                <w:color w:val="000000"/>
                <w:sz w:val="18"/>
                <w:szCs w:val="18"/>
              </w:rPr>
            </w:pPr>
            <w:r>
              <w:rPr>
                <w:i/>
                <w:noProof/>
                <w:color w:val="000000"/>
                <w:sz w:val="18"/>
              </w:rPr>
              <w:t>—</w:t>
            </w:r>
          </w:p>
        </w:tc>
        <w:tc>
          <w:tcPr>
            <w:tcW w:w="4883" w:type="dxa"/>
            <w:tcBorders>
              <w:top w:val="nil"/>
              <w:left w:val="nil"/>
              <w:bottom w:val="dotted" w:sz="4" w:space="0" w:color="auto"/>
              <w:right w:val="single" w:sz="4" w:space="0" w:color="auto"/>
            </w:tcBorders>
            <w:shd w:val="clear" w:color="auto" w:fill="auto"/>
            <w:vAlign w:val="center"/>
            <w:hideMark/>
          </w:tcPr>
          <w:p>
            <w:pPr>
              <w:rPr>
                <w:noProof/>
                <w:color w:val="000000"/>
                <w:sz w:val="18"/>
                <w:szCs w:val="18"/>
              </w:rPr>
            </w:pPr>
            <w:r>
              <w:rPr>
                <w:noProof/>
                <w:color w:val="000000"/>
                <w:sz w:val="18"/>
              </w:rPr>
              <w:t>Titre 4 - Personnes liées aux institutions</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1 490 262 072</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1 485 257 588</w:t>
            </w:r>
          </w:p>
        </w:tc>
        <w:tc>
          <w:tcPr>
            <w:tcW w:w="1556"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-5 004 484</w:t>
            </w:r>
          </w:p>
        </w:tc>
      </w:tr>
      <w:tr>
        <w:trPr>
          <w:trHeight w:val="270"/>
        </w:trPr>
        <w:tc>
          <w:tcPr>
            <w:tcW w:w="377" w:type="dxa"/>
            <w:tcBorders>
              <w:top w:val="nil"/>
              <w:left w:val="single" w:sz="4" w:space="0" w:color="auto"/>
              <w:bottom w:val="dotted" w:sz="4" w:space="0" w:color="auto"/>
              <w:right w:val="nil"/>
            </w:tcBorders>
            <w:shd w:val="clear" w:color="auto" w:fill="auto"/>
            <w:vAlign w:val="center"/>
            <w:hideMark/>
          </w:tcPr>
          <w:p>
            <w:pPr>
              <w:jc w:val="right"/>
              <w:rPr>
                <w:i/>
                <w:iCs/>
                <w:noProof/>
                <w:color w:val="000000"/>
                <w:sz w:val="18"/>
                <w:szCs w:val="18"/>
              </w:rPr>
            </w:pPr>
            <w:r>
              <w:rPr>
                <w:i/>
                <w:noProof/>
                <w:color w:val="000000"/>
                <w:sz w:val="18"/>
              </w:rPr>
              <w:t>—</w:t>
            </w:r>
          </w:p>
        </w:tc>
        <w:tc>
          <w:tcPr>
            <w:tcW w:w="4883" w:type="dxa"/>
            <w:tcBorders>
              <w:top w:val="nil"/>
              <w:left w:val="nil"/>
              <w:bottom w:val="dotted" w:sz="4" w:space="0" w:color="auto"/>
              <w:right w:val="single" w:sz="4" w:space="0" w:color="auto"/>
            </w:tcBorders>
            <w:shd w:val="clear" w:color="auto" w:fill="auto"/>
            <w:vAlign w:val="center"/>
            <w:hideMark/>
          </w:tcPr>
          <w:p>
            <w:pPr>
              <w:rPr>
                <w:noProof/>
                <w:color w:val="000000"/>
                <w:sz w:val="18"/>
                <w:szCs w:val="18"/>
              </w:rPr>
            </w:pPr>
            <w:r>
              <w:rPr>
                <w:noProof/>
                <w:color w:val="000000"/>
                <w:sz w:val="18"/>
              </w:rPr>
              <w:t>Titre 5 - Fonctionnement administratif des institutions</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70 200 866</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26 114 195</w:t>
            </w:r>
          </w:p>
        </w:tc>
        <w:tc>
          <w:tcPr>
            <w:tcW w:w="1556"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-44 086 671</w:t>
            </w:r>
          </w:p>
        </w:tc>
      </w:tr>
      <w:tr>
        <w:trPr>
          <w:trHeight w:val="270"/>
        </w:trPr>
        <w:tc>
          <w:tcPr>
            <w:tcW w:w="377" w:type="dxa"/>
            <w:tcBorders>
              <w:top w:val="nil"/>
              <w:left w:val="single" w:sz="4" w:space="0" w:color="auto"/>
              <w:bottom w:val="dotted" w:sz="4" w:space="0" w:color="auto"/>
              <w:right w:val="nil"/>
            </w:tcBorders>
            <w:shd w:val="clear" w:color="auto" w:fill="auto"/>
            <w:vAlign w:val="center"/>
            <w:hideMark/>
          </w:tcPr>
          <w:p>
            <w:pPr>
              <w:jc w:val="right"/>
              <w:rPr>
                <w:i/>
                <w:iCs/>
                <w:noProof/>
                <w:color w:val="000000"/>
                <w:sz w:val="18"/>
                <w:szCs w:val="18"/>
              </w:rPr>
            </w:pPr>
            <w:r>
              <w:rPr>
                <w:i/>
                <w:noProof/>
                <w:color w:val="000000"/>
                <w:sz w:val="18"/>
              </w:rPr>
              <w:t>—</w:t>
            </w:r>
          </w:p>
        </w:tc>
        <w:tc>
          <w:tcPr>
            <w:tcW w:w="4883" w:type="dxa"/>
            <w:tcBorders>
              <w:top w:val="nil"/>
              <w:left w:val="nil"/>
              <w:bottom w:val="dotted" w:sz="4" w:space="0" w:color="auto"/>
              <w:right w:val="single" w:sz="4" w:space="0" w:color="auto"/>
            </w:tcBorders>
            <w:shd w:val="clear" w:color="auto" w:fill="auto"/>
            <w:vAlign w:val="center"/>
            <w:hideMark/>
          </w:tcPr>
          <w:p>
            <w:pPr>
              <w:rPr>
                <w:noProof/>
                <w:color w:val="000000"/>
                <w:sz w:val="18"/>
                <w:szCs w:val="18"/>
              </w:rPr>
            </w:pPr>
            <w:r>
              <w:rPr>
                <w:noProof/>
                <w:color w:val="000000"/>
                <w:sz w:val="18"/>
              </w:rPr>
              <w:t>Titre 6 - Restitutions dans le cadre des accords et programmes de l'Union</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60 000 000</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157 090 216</w:t>
            </w:r>
          </w:p>
        </w:tc>
        <w:tc>
          <w:tcPr>
            <w:tcW w:w="1556"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97 090 216</w:t>
            </w:r>
          </w:p>
        </w:tc>
      </w:tr>
      <w:tr>
        <w:trPr>
          <w:trHeight w:val="270"/>
        </w:trPr>
        <w:tc>
          <w:tcPr>
            <w:tcW w:w="377" w:type="dxa"/>
            <w:tcBorders>
              <w:top w:val="nil"/>
              <w:left w:val="single" w:sz="4" w:space="0" w:color="auto"/>
              <w:bottom w:val="dotted" w:sz="4" w:space="0" w:color="auto"/>
              <w:right w:val="nil"/>
            </w:tcBorders>
            <w:shd w:val="clear" w:color="auto" w:fill="auto"/>
            <w:vAlign w:val="center"/>
            <w:hideMark/>
          </w:tcPr>
          <w:p>
            <w:pPr>
              <w:jc w:val="right"/>
              <w:rPr>
                <w:i/>
                <w:iCs/>
                <w:noProof/>
                <w:color w:val="000000"/>
                <w:sz w:val="18"/>
                <w:szCs w:val="18"/>
              </w:rPr>
            </w:pPr>
            <w:r>
              <w:rPr>
                <w:i/>
                <w:noProof/>
                <w:color w:val="000000"/>
                <w:sz w:val="18"/>
              </w:rPr>
              <w:t>—</w:t>
            </w:r>
          </w:p>
        </w:tc>
        <w:tc>
          <w:tcPr>
            <w:tcW w:w="4883" w:type="dxa"/>
            <w:tcBorders>
              <w:top w:val="nil"/>
              <w:left w:val="nil"/>
              <w:bottom w:val="dotted" w:sz="4" w:space="0" w:color="auto"/>
              <w:right w:val="single" w:sz="4" w:space="0" w:color="auto"/>
            </w:tcBorders>
            <w:shd w:val="clear" w:color="auto" w:fill="auto"/>
            <w:vAlign w:val="center"/>
            <w:hideMark/>
          </w:tcPr>
          <w:p>
            <w:pPr>
              <w:rPr>
                <w:noProof/>
                <w:color w:val="000000"/>
                <w:sz w:val="18"/>
                <w:szCs w:val="18"/>
              </w:rPr>
            </w:pPr>
            <w:r>
              <w:rPr>
                <w:noProof/>
                <w:color w:val="000000"/>
                <w:sz w:val="18"/>
              </w:rPr>
              <w:t>Titre 7 - Intérêts de retard et amendes</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3 230 000 000</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3 572 609 579</w:t>
            </w:r>
          </w:p>
        </w:tc>
        <w:tc>
          <w:tcPr>
            <w:tcW w:w="1556"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342 609 579</w:t>
            </w:r>
          </w:p>
        </w:tc>
      </w:tr>
      <w:tr>
        <w:trPr>
          <w:trHeight w:val="270"/>
        </w:trPr>
        <w:tc>
          <w:tcPr>
            <w:tcW w:w="377" w:type="dxa"/>
            <w:tcBorders>
              <w:top w:val="nil"/>
              <w:left w:val="single" w:sz="4" w:space="0" w:color="auto"/>
              <w:bottom w:val="dotted" w:sz="4" w:space="0" w:color="auto"/>
              <w:right w:val="nil"/>
            </w:tcBorders>
            <w:shd w:val="clear" w:color="auto" w:fill="auto"/>
            <w:vAlign w:val="center"/>
            <w:hideMark/>
          </w:tcPr>
          <w:p>
            <w:pPr>
              <w:jc w:val="right"/>
              <w:rPr>
                <w:i/>
                <w:iCs/>
                <w:noProof/>
                <w:color w:val="000000"/>
                <w:sz w:val="18"/>
                <w:szCs w:val="18"/>
              </w:rPr>
            </w:pPr>
            <w:r>
              <w:rPr>
                <w:i/>
                <w:noProof/>
                <w:color w:val="000000"/>
                <w:sz w:val="18"/>
              </w:rPr>
              <w:t>—</w:t>
            </w:r>
          </w:p>
        </w:tc>
        <w:tc>
          <w:tcPr>
            <w:tcW w:w="4883" w:type="dxa"/>
            <w:tcBorders>
              <w:top w:val="nil"/>
              <w:left w:val="nil"/>
              <w:bottom w:val="dotted" w:sz="4" w:space="0" w:color="auto"/>
              <w:right w:val="single" w:sz="4" w:space="0" w:color="auto"/>
            </w:tcBorders>
            <w:shd w:val="clear" w:color="auto" w:fill="auto"/>
            <w:vAlign w:val="center"/>
            <w:hideMark/>
          </w:tcPr>
          <w:p>
            <w:pPr>
              <w:rPr>
                <w:noProof/>
                <w:color w:val="000000"/>
                <w:sz w:val="18"/>
                <w:szCs w:val="18"/>
              </w:rPr>
            </w:pPr>
            <w:r>
              <w:rPr>
                <w:noProof/>
                <w:color w:val="000000"/>
                <w:sz w:val="18"/>
              </w:rPr>
              <w:t>Titre 8 - Emprunts et prêts</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6 928 960</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28 396 476</w:t>
            </w:r>
          </w:p>
        </w:tc>
        <w:tc>
          <w:tcPr>
            <w:tcW w:w="1556"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21 467 516</w:t>
            </w:r>
          </w:p>
        </w:tc>
      </w:tr>
      <w:tr>
        <w:trPr>
          <w:trHeight w:val="270"/>
        </w:trPr>
        <w:tc>
          <w:tcPr>
            <w:tcW w:w="377" w:type="dxa"/>
            <w:tcBorders>
              <w:top w:val="nil"/>
              <w:left w:val="single" w:sz="4" w:space="0" w:color="auto"/>
              <w:bottom w:val="single" w:sz="4" w:space="0" w:color="auto"/>
              <w:right w:val="nil"/>
            </w:tcBorders>
            <w:shd w:val="clear" w:color="auto" w:fill="auto"/>
            <w:vAlign w:val="center"/>
            <w:hideMark/>
          </w:tcPr>
          <w:p>
            <w:pPr>
              <w:jc w:val="right"/>
              <w:rPr>
                <w:i/>
                <w:iCs/>
                <w:noProof/>
                <w:color w:val="000000"/>
                <w:sz w:val="18"/>
                <w:szCs w:val="18"/>
              </w:rPr>
            </w:pPr>
            <w:r>
              <w:rPr>
                <w:i/>
                <w:noProof/>
                <w:color w:val="000000"/>
                <w:sz w:val="18"/>
              </w:rPr>
              <w:t>—</w:t>
            </w:r>
          </w:p>
        </w:tc>
        <w:tc>
          <w:tcPr>
            <w:tcW w:w="4883" w:type="dxa"/>
            <w:tcBorders>
              <w:top w:val="nil"/>
              <w:left w:val="nil"/>
              <w:bottom w:val="single" w:sz="4" w:space="0" w:color="auto"/>
              <w:right w:val="single" w:sz="4" w:space="0" w:color="auto"/>
            </w:tcBorders>
            <w:shd w:val="clear" w:color="auto" w:fill="auto"/>
            <w:vAlign w:val="center"/>
            <w:hideMark/>
          </w:tcPr>
          <w:p>
            <w:pPr>
              <w:rPr>
                <w:noProof/>
                <w:color w:val="000000"/>
                <w:sz w:val="18"/>
                <w:szCs w:val="18"/>
              </w:rPr>
            </w:pPr>
            <w:r>
              <w:rPr>
                <w:noProof/>
                <w:color w:val="000000"/>
                <w:sz w:val="18"/>
              </w:rPr>
              <w:t>Titre 9 - Divers</w:t>
            </w:r>
          </w:p>
        </w:tc>
        <w:tc>
          <w:tcPr>
            <w:tcW w:w="1555" w:type="dxa"/>
            <w:tcBorders>
              <w:top w:val="nil"/>
              <w:left w:val="nil"/>
              <w:bottom w:val="single"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25 001 000</w:t>
            </w:r>
          </w:p>
        </w:tc>
        <w:tc>
          <w:tcPr>
            <w:tcW w:w="1555" w:type="dxa"/>
            <w:tcBorders>
              <w:top w:val="nil"/>
              <w:left w:val="nil"/>
              <w:bottom w:val="single"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7 612 894</w:t>
            </w:r>
          </w:p>
        </w:tc>
        <w:tc>
          <w:tcPr>
            <w:tcW w:w="1556" w:type="dxa"/>
            <w:tcBorders>
              <w:top w:val="nil"/>
              <w:left w:val="nil"/>
              <w:bottom w:val="single"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-17 388 106</w:t>
            </w:r>
          </w:p>
        </w:tc>
      </w:tr>
    </w:tbl>
    <w:bookmarkEnd w:id="3"/>
    <w:bookmarkEnd w:id="4"/>
    <w:p>
      <w:pPr>
        <w:pStyle w:val="NumPar1"/>
        <w:rPr>
          <w:noProof/>
        </w:rPr>
      </w:pPr>
      <w:r>
        <w:rPr>
          <w:noProof/>
        </w:rPr>
        <w:t>Les écarts enregistrés dans le titre 1 (</w:t>
      </w:r>
      <w:r>
        <w:rPr>
          <w:i/>
          <w:noProof/>
        </w:rPr>
        <w:t>Ressources propres</w:t>
      </w:r>
      <w:r>
        <w:rPr>
          <w:noProof/>
        </w:rPr>
        <w:t xml:space="preserve">) représentent 0,06 % des prévisions. Ils découlent d’un montant de recettes provenant des ressources propres traditionnelles inférieur de 48 millions d’EUR (perception à hauteur de 99,8 % par rapport aux prévisions), ainsi que des fluctuations des taux de change, soit 20 millions d’EUR (bien que payées en monnaie nationale, les ressources propres sont budgétisées et comptabilisées en euros). Dans le titre 3 </w:t>
      </w:r>
      <w:r>
        <w:rPr>
          <w:i/>
          <w:noProof/>
        </w:rPr>
        <w:t>(Excédents, soldes et ajustements)</w:t>
      </w:r>
      <w:r>
        <w:rPr>
          <w:noProof/>
        </w:rPr>
        <w:t>, en rapport avec les ajustements des ressources propres, l’écart se limite à 11 millions d’EUR.</w:t>
      </w:r>
    </w:p>
    <w:p>
      <w:pPr>
        <w:pStyle w:val="NumPar1"/>
        <w:spacing w:before="240" w:after="240"/>
        <w:ind w:left="851" w:hanging="851"/>
        <w:rPr>
          <w:noProof/>
        </w:rPr>
      </w:pPr>
      <w:r>
        <w:rPr>
          <w:noProof/>
        </w:rPr>
        <w:t xml:space="preserve">L’écart le plus important (343 millions d’EUR) concerne le titre 7 </w:t>
      </w:r>
      <w:r>
        <w:rPr>
          <w:i/>
          <w:noProof/>
        </w:rPr>
        <w:t>(Intérêts de retard et amendes)</w:t>
      </w:r>
      <w:r>
        <w:rPr>
          <w:noProof/>
        </w:rPr>
        <w:t>.</w:t>
      </w:r>
      <w:r>
        <w:rPr>
          <w:i/>
          <w:noProof/>
        </w:rPr>
        <w:t xml:space="preserve"> </w:t>
      </w:r>
      <w:r>
        <w:rPr>
          <w:noProof/>
        </w:rPr>
        <w:t>Le résultat de l’exécution comprend 3 273 millions d’EUR d’amendes infligées dans le cadre des affaires de concurrence et 300 millions d’EUR liés aux intérêts de retard, autres astreintes et intérêts relatifs aux amendes et astreintes.</w:t>
      </w:r>
    </w:p>
    <w:p>
      <w:pPr>
        <w:pStyle w:val="NumPar1"/>
        <w:spacing w:before="240" w:after="0"/>
        <w:ind w:left="851" w:hanging="851"/>
        <w:rPr>
          <w:noProof/>
        </w:rPr>
      </w:pPr>
      <w:r>
        <w:rPr>
          <w:noProof/>
        </w:rPr>
        <w:t>Le tableau ci-dessous présente une ventilation du résultat pour 2017 en termes d'exécution budgétaire des dépenses, toutes institutions confondues:</w:t>
      </w:r>
    </w:p>
    <w:p>
      <w:pPr>
        <w:pStyle w:val="NumPar1"/>
        <w:numPr>
          <w:ilvl w:val="0"/>
          <w:numId w:val="0"/>
        </w:numPr>
        <w:spacing w:after="0"/>
        <w:ind w:left="850" w:hanging="850"/>
        <w:jc w:val="right"/>
        <w:rPr>
          <w:i/>
          <w:noProof/>
          <w:sz w:val="20"/>
          <w:szCs w:val="20"/>
        </w:rPr>
      </w:pPr>
      <w:r>
        <w:rPr>
          <w:i/>
          <w:noProof/>
          <w:sz w:val="20"/>
        </w:rPr>
        <w:t>(en EUR)</w:t>
      </w:r>
    </w:p>
    <w:tbl>
      <w:tblPr>
        <w:tblW w:w="9941" w:type="dxa"/>
        <w:jc w:val="right"/>
        <w:tblLook w:val="04A0" w:firstRow="1" w:lastRow="0" w:firstColumn="1" w:lastColumn="0" w:noHBand="0" w:noVBand="1"/>
      </w:tblPr>
      <w:tblGrid>
        <w:gridCol w:w="377"/>
        <w:gridCol w:w="4898"/>
        <w:gridCol w:w="1555"/>
        <w:gridCol w:w="1555"/>
        <w:gridCol w:w="1556"/>
      </w:tblGrid>
      <w:tr>
        <w:trPr>
          <w:trHeight w:val="510"/>
          <w:jc w:val="right"/>
        </w:trPr>
        <w:tc>
          <w:tcPr>
            <w:tcW w:w="5275" w:type="dxa"/>
            <w:gridSpan w:val="2"/>
            <w:tcBorders>
              <w:top w:val="single" w:sz="4" w:space="0" w:color="auto"/>
              <w:left w:val="single" w:sz="4" w:space="0" w:color="auto"/>
              <w:bottom w:val="single" w:sz="4" w:space="0" w:color="auto"/>
              <w:right w:val="single" w:sz="4" w:space="0" w:color="auto"/>
            </w:tcBorders>
            <w:shd w:val="clear" w:color="000000" w:fill="E0E0E0"/>
            <w:vAlign w:val="center"/>
            <w:hideMark/>
          </w:tcPr>
          <w:p>
            <w:pPr>
              <w:jc w:val="center"/>
              <w:rPr>
                <w:b/>
                <w:bCs/>
                <w:noProof/>
                <w:color w:val="000000"/>
                <w:sz w:val="18"/>
                <w:szCs w:val="18"/>
              </w:rPr>
            </w:pPr>
            <w:r>
              <w:rPr>
                <w:b/>
                <w:noProof/>
                <w:color w:val="000000"/>
                <w:sz w:val="18"/>
              </w:rPr>
              <w:t>Ventilation du résultat de l'exécution 2017</w:t>
            </w:r>
          </w:p>
        </w:tc>
        <w:tc>
          <w:tcPr>
            <w:tcW w:w="1555" w:type="dxa"/>
            <w:tcBorders>
              <w:top w:val="single" w:sz="4" w:space="0" w:color="auto"/>
              <w:left w:val="nil"/>
              <w:bottom w:val="single" w:sz="4" w:space="0" w:color="auto"/>
              <w:right w:val="single" w:sz="4" w:space="0" w:color="auto"/>
            </w:tcBorders>
            <w:shd w:val="clear" w:color="000000" w:fill="E0E0E0"/>
            <w:vAlign w:val="center"/>
            <w:hideMark/>
          </w:tcPr>
          <w:p>
            <w:pPr>
              <w:jc w:val="center"/>
              <w:rPr>
                <w:b/>
                <w:bCs/>
                <w:noProof/>
                <w:color w:val="000000"/>
                <w:sz w:val="18"/>
                <w:szCs w:val="18"/>
              </w:rPr>
            </w:pPr>
            <w:r>
              <w:rPr>
                <w:b/>
                <w:noProof/>
                <w:color w:val="000000"/>
                <w:sz w:val="18"/>
              </w:rPr>
              <w:t>Budget</w:t>
            </w:r>
            <w:r>
              <w:rPr>
                <w:b/>
                <w:bCs/>
                <w:noProof/>
                <w:color w:val="000000"/>
                <w:sz w:val="18"/>
                <w:szCs w:val="18"/>
              </w:rPr>
              <w:br/>
            </w:r>
            <w:r>
              <w:rPr>
                <w:b/>
                <w:noProof/>
                <w:color w:val="000000"/>
                <w:sz w:val="18"/>
              </w:rPr>
              <w:t xml:space="preserve">(y compris </w:t>
            </w:r>
            <w:r>
              <w:rPr>
                <w:b/>
                <w:noProof/>
                <w:color w:val="000000"/>
                <w:sz w:val="18"/>
              </w:rPr>
              <w:br/>
              <w:t>BR 1-6)</w:t>
            </w:r>
          </w:p>
        </w:tc>
        <w:tc>
          <w:tcPr>
            <w:tcW w:w="1555" w:type="dxa"/>
            <w:tcBorders>
              <w:top w:val="single" w:sz="4" w:space="0" w:color="auto"/>
              <w:left w:val="nil"/>
              <w:bottom w:val="single" w:sz="4" w:space="0" w:color="auto"/>
              <w:right w:val="single" w:sz="4" w:space="0" w:color="auto"/>
            </w:tcBorders>
            <w:shd w:val="clear" w:color="000000" w:fill="E0E0E0"/>
            <w:vAlign w:val="center"/>
            <w:hideMark/>
          </w:tcPr>
          <w:p>
            <w:pPr>
              <w:jc w:val="center"/>
              <w:rPr>
                <w:b/>
                <w:bCs/>
                <w:noProof/>
                <w:color w:val="000000"/>
                <w:sz w:val="18"/>
                <w:szCs w:val="18"/>
              </w:rPr>
            </w:pPr>
            <w:r>
              <w:rPr>
                <w:b/>
                <w:noProof/>
                <w:color w:val="000000"/>
                <w:sz w:val="18"/>
              </w:rPr>
              <w:t>Exécution</w:t>
            </w:r>
          </w:p>
        </w:tc>
        <w:tc>
          <w:tcPr>
            <w:tcW w:w="1556" w:type="dxa"/>
            <w:tcBorders>
              <w:top w:val="single" w:sz="4" w:space="0" w:color="auto"/>
              <w:left w:val="nil"/>
              <w:bottom w:val="single" w:sz="4" w:space="0" w:color="auto"/>
              <w:right w:val="single" w:sz="4" w:space="0" w:color="auto"/>
            </w:tcBorders>
            <w:shd w:val="clear" w:color="000000" w:fill="E0E0E0"/>
            <w:vAlign w:val="center"/>
            <w:hideMark/>
          </w:tcPr>
          <w:p>
            <w:pPr>
              <w:jc w:val="center"/>
              <w:rPr>
                <w:b/>
                <w:bCs/>
                <w:noProof/>
                <w:color w:val="000000"/>
                <w:sz w:val="18"/>
                <w:szCs w:val="18"/>
              </w:rPr>
            </w:pPr>
            <w:r>
              <w:rPr>
                <w:b/>
                <w:noProof/>
                <w:color w:val="000000"/>
                <w:sz w:val="18"/>
              </w:rPr>
              <w:t>Variation</w:t>
            </w:r>
          </w:p>
        </w:tc>
      </w:tr>
      <w:tr>
        <w:trPr>
          <w:trHeight w:val="270"/>
          <w:jc w:val="right"/>
        </w:trPr>
        <w:tc>
          <w:tcPr>
            <w:tcW w:w="5275" w:type="dxa"/>
            <w:gridSpan w:val="2"/>
            <w:tcBorders>
              <w:top w:val="single" w:sz="4" w:space="0" w:color="auto"/>
              <w:left w:val="single" w:sz="4" w:space="0" w:color="auto"/>
              <w:bottom w:val="single" w:sz="4" w:space="0" w:color="auto"/>
              <w:right w:val="single" w:sz="4" w:space="0" w:color="000000"/>
            </w:tcBorders>
            <w:shd w:val="clear" w:color="000000" w:fill="E0E0E0"/>
            <w:vAlign w:val="center"/>
            <w:hideMark/>
          </w:tcPr>
          <w:p>
            <w:pPr>
              <w:rPr>
                <w:b/>
                <w:bCs/>
                <w:noProof/>
                <w:color w:val="000000"/>
                <w:sz w:val="18"/>
                <w:szCs w:val="18"/>
              </w:rPr>
            </w:pPr>
            <w:r>
              <w:rPr>
                <w:b/>
                <w:noProof/>
                <w:color w:val="000000"/>
                <w:sz w:val="18"/>
              </w:rPr>
              <w:t>Sous-total dépenses</w:t>
            </w:r>
          </w:p>
        </w:tc>
        <w:tc>
          <w:tcPr>
            <w:tcW w:w="1555" w:type="dxa"/>
            <w:tcBorders>
              <w:top w:val="single" w:sz="4" w:space="0" w:color="auto"/>
              <w:left w:val="nil"/>
              <w:bottom w:val="single" w:sz="4" w:space="0" w:color="auto"/>
              <w:right w:val="single" w:sz="4" w:space="0" w:color="auto"/>
            </w:tcBorders>
            <w:shd w:val="clear" w:color="000000" w:fill="E0E0E0"/>
            <w:vAlign w:val="center"/>
            <w:hideMark/>
          </w:tcPr>
          <w:p>
            <w:pPr>
              <w:jc w:val="right"/>
              <w:rPr>
                <w:b/>
                <w:bCs/>
                <w:noProof/>
                <w:color w:val="000000"/>
                <w:sz w:val="18"/>
                <w:szCs w:val="18"/>
              </w:rPr>
            </w:pPr>
            <w:r>
              <w:rPr>
                <w:b/>
                <w:noProof/>
                <w:color w:val="000000"/>
                <w:sz w:val="18"/>
              </w:rPr>
              <w:t>126 770 711 153</w:t>
            </w:r>
          </w:p>
        </w:tc>
        <w:tc>
          <w:tcPr>
            <w:tcW w:w="1555" w:type="dxa"/>
            <w:tcBorders>
              <w:top w:val="single" w:sz="4" w:space="0" w:color="auto"/>
              <w:left w:val="nil"/>
              <w:bottom w:val="single" w:sz="4" w:space="0" w:color="auto"/>
              <w:right w:val="single" w:sz="4" w:space="0" w:color="auto"/>
            </w:tcBorders>
            <w:shd w:val="clear" w:color="000000" w:fill="E0E0E0"/>
            <w:vAlign w:val="center"/>
            <w:hideMark/>
          </w:tcPr>
          <w:p>
            <w:pPr>
              <w:jc w:val="right"/>
              <w:rPr>
                <w:b/>
                <w:bCs/>
                <w:noProof/>
                <w:color w:val="000000"/>
                <w:sz w:val="18"/>
                <w:szCs w:val="18"/>
              </w:rPr>
            </w:pPr>
            <w:r>
              <w:rPr>
                <w:b/>
                <w:noProof/>
                <w:color w:val="000000"/>
                <w:sz w:val="18"/>
              </w:rPr>
              <w:t>126 553 747 069</w:t>
            </w:r>
          </w:p>
        </w:tc>
        <w:tc>
          <w:tcPr>
            <w:tcW w:w="1556" w:type="dxa"/>
            <w:tcBorders>
              <w:top w:val="single" w:sz="4" w:space="0" w:color="auto"/>
              <w:left w:val="nil"/>
              <w:bottom w:val="single" w:sz="4" w:space="0" w:color="auto"/>
              <w:right w:val="single" w:sz="4" w:space="0" w:color="auto"/>
            </w:tcBorders>
            <w:shd w:val="clear" w:color="000000" w:fill="E0E0E0"/>
            <w:vAlign w:val="center"/>
            <w:hideMark/>
          </w:tcPr>
          <w:p>
            <w:pPr>
              <w:jc w:val="right"/>
              <w:rPr>
                <w:b/>
                <w:bCs/>
                <w:noProof/>
                <w:color w:val="000000"/>
                <w:sz w:val="18"/>
                <w:szCs w:val="18"/>
              </w:rPr>
            </w:pPr>
            <w:r>
              <w:rPr>
                <w:b/>
                <w:noProof/>
                <w:color w:val="000000"/>
                <w:sz w:val="18"/>
              </w:rPr>
              <w:t>-216 964 083</w:t>
            </w:r>
          </w:p>
        </w:tc>
      </w:tr>
      <w:tr>
        <w:trPr>
          <w:trHeight w:val="270"/>
          <w:jc w:val="right"/>
        </w:trPr>
        <w:tc>
          <w:tcPr>
            <w:tcW w:w="5275" w:type="dxa"/>
            <w:gridSpan w:val="2"/>
            <w:tcBorders>
              <w:top w:val="nil"/>
              <w:left w:val="single" w:sz="4" w:space="0" w:color="auto"/>
              <w:bottom w:val="dotted" w:sz="4" w:space="0" w:color="auto"/>
              <w:right w:val="single" w:sz="4" w:space="0" w:color="000000"/>
            </w:tcBorders>
            <w:shd w:val="clear" w:color="auto" w:fill="auto"/>
            <w:vAlign w:val="center"/>
            <w:hideMark/>
          </w:tcPr>
          <w:p>
            <w:pPr>
              <w:rPr>
                <w:b/>
                <w:bCs/>
                <w:noProof/>
                <w:color w:val="000000"/>
                <w:sz w:val="18"/>
                <w:szCs w:val="18"/>
              </w:rPr>
            </w:pPr>
            <w:r>
              <w:rPr>
                <w:b/>
                <w:noProof/>
                <w:color w:val="000000"/>
                <w:sz w:val="18"/>
              </w:rPr>
              <w:t>Exécution des crédits autorisés dans le budget</w:t>
            </w:r>
          </w:p>
        </w:tc>
        <w:tc>
          <w:tcPr>
            <w:tcW w:w="1555"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8"/>
                <w:szCs w:val="18"/>
              </w:rPr>
            </w:pPr>
            <w:r>
              <w:rPr>
                <w:b/>
                <w:noProof/>
                <w:color w:val="000000"/>
                <w:sz w:val="18"/>
              </w:rPr>
              <w:t>126 770 711 153</w:t>
            </w:r>
          </w:p>
        </w:tc>
        <w:tc>
          <w:tcPr>
            <w:tcW w:w="1555"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8"/>
                <w:szCs w:val="18"/>
              </w:rPr>
            </w:pPr>
            <w:r>
              <w:rPr>
                <w:b/>
                <w:noProof/>
                <w:color w:val="000000"/>
                <w:sz w:val="18"/>
              </w:rPr>
              <w:t>126 486 573 860</w:t>
            </w:r>
          </w:p>
        </w:tc>
        <w:tc>
          <w:tcPr>
            <w:tcW w:w="1556"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8"/>
                <w:szCs w:val="18"/>
              </w:rPr>
            </w:pPr>
            <w:r>
              <w:rPr>
                <w:b/>
                <w:noProof/>
                <w:color w:val="000000"/>
                <w:sz w:val="18"/>
              </w:rPr>
              <w:t>-284 137 292</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rPr>
                <w:i/>
                <w:iCs/>
                <w:noProof/>
                <w:color w:val="000000"/>
                <w:sz w:val="18"/>
                <w:szCs w:val="18"/>
              </w:rPr>
            </w:pPr>
            <w:r>
              <w:rPr>
                <w:i/>
                <w:noProof/>
                <w:color w:val="000000"/>
                <w:sz w:val="18"/>
              </w:rPr>
              <w:t>—</w:t>
            </w:r>
          </w:p>
        </w:tc>
        <w:tc>
          <w:tcPr>
            <w:tcW w:w="4898" w:type="dxa"/>
            <w:tcBorders>
              <w:top w:val="nil"/>
              <w:left w:val="nil"/>
              <w:bottom w:val="dotted" w:sz="4" w:space="0" w:color="auto"/>
              <w:right w:val="single" w:sz="4" w:space="0" w:color="auto"/>
            </w:tcBorders>
            <w:shd w:val="clear" w:color="auto" w:fill="auto"/>
            <w:vAlign w:val="center"/>
            <w:hideMark/>
          </w:tcPr>
          <w:p>
            <w:pPr>
              <w:rPr>
                <w:noProof/>
                <w:color w:val="000000"/>
                <w:sz w:val="18"/>
                <w:szCs w:val="18"/>
              </w:rPr>
            </w:pPr>
            <w:r>
              <w:rPr>
                <w:noProof/>
                <w:color w:val="000000"/>
                <w:sz w:val="18"/>
              </w:rPr>
              <w:t>Commission européenne</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122 849 648 693</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122 648 159 028</w:t>
            </w:r>
          </w:p>
        </w:tc>
        <w:tc>
          <w:tcPr>
            <w:tcW w:w="1556"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-201 489 665</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Rubrique 1a - Compétitivité pour la croissance et l'emploi</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20 064 937 314</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20 053 126 487</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-11 810 827</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Rubrique 1b - Cohésion économique, sociale et territoriale</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29 775 078 105</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29 766 215 736</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-8 862 370</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Rubrique 2 - Croissance durable: ressources naturelles</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54 467 015 484</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54 450 165 619</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-16 849 864</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Rubrique 3 - Sécurité et citoyenneté</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2 793 205 540</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2 782 591 803</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-10 613 736</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Rubrique 4 - L'Europe dans le monde</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8 937 589 174</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8 925 596 636</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-11 992 537</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Rubrique 5 - Administration</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5 471 071 063</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5 428 991 135</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-42 079 928</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Autres instruments spéciaux</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1 340 752 013</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1 241 471 611</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-99 280 402</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rPr>
                <w:i/>
                <w:iCs/>
                <w:noProof/>
                <w:color w:val="000000"/>
                <w:sz w:val="18"/>
                <w:szCs w:val="18"/>
              </w:rPr>
            </w:pPr>
            <w:r>
              <w:rPr>
                <w:i/>
                <w:noProof/>
                <w:color w:val="000000"/>
                <w:sz w:val="18"/>
              </w:rPr>
              <w:t>—</w:t>
            </w:r>
          </w:p>
        </w:tc>
        <w:tc>
          <w:tcPr>
            <w:tcW w:w="4898" w:type="dxa"/>
            <w:tcBorders>
              <w:top w:val="nil"/>
              <w:left w:val="nil"/>
              <w:bottom w:val="dotted" w:sz="4" w:space="0" w:color="auto"/>
              <w:right w:val="single" w:sz="4" w:space="0" w:color="auto"/>
            </w:tcBorders>
            <w:shd w:val="clear" w:color="auto" w:fill="auto"/>
            <w:vAlign w:val="center"/>
            <w:hideMark/>
          </w:tcPr>
          <w:p>
            <w:pPr>
              <w:rPr>
                <w:noProof/>
                <w:color w:val="000000"/>
                <w:sz w:val="18"/>
                <w:szCs w:val="18"/>
              </w:rPr>
            </w:pPr>
            <w:r>
              <w:rPr>
                <w:noProof/>
                <w:color w:val="000000"/>
                <w:sz w:val="18"/>
              </w:rPr>
              <w:t>Autres institutions</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3 921 062 460</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3 838 414 833</w:t>
            </w:r>
          </w:p>
        </w:tc>
        <w:tc>
          <w:tcPr>
            <w:tcW w:w="1556"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-82 647 627</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Parlement européen</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1 909 590 000</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1 889 574 057</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-20 015 943</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Conseil et Conseil européen</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561 576 000</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517 762 473</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-43 813 527</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Cour de justice de l’Union européenne</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399 344 000</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394 095 585</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-5 248 415</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Cour des comptes européenne</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141 240 000</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138 039 689</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-3 200 311</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Comité économique et social européen</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133 807 338</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129 096 473</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-4 710 865</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Comité des régions</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93 294 946</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91 463 960</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-1 830 986</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Médiateur européen</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10 905 441</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10 241 301</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-664 140</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Contrôleur européen de la protection des données</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11 324 735</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10 075 534</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-1 249 201</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outlineLvl w:val="0"/>
              <w:rPr>
                <w:i/>
                <w:iCs/>
                <w:noProof/>
                <w:color w:val="000000"/>
                <w:sz w:val="18"/>
                <w:szCs w:val="18"/>
              </w:rPr>
            </w:pPr>
            <w:r>
              <w:rPr>
                <w:i/>
                <w:noProof/>
                <w:color w:val="000000"/>
                <w:sz w:val="18"/>
              </w:rPr>
              <w:t> </w:t>
            </w:r>
          </w:p>
        </w:tc>
        <w:tc>
          <w:tcPr>
            <w:tcW w:w="4898"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Service européen pour l’action extérieure</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659 980 000</w:t>
            </w:r>
          </w:p>
        </w:tc>
        <w:tc>
          <w:tcPr>
            <w:tcW w:w="1555"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658 065 760</w:t>
            </w:r>
          </w:p>
        </w:tc>
        <w:tc>
          <w:tcPr>
            <w:tcW w:w="1556" w:type="dxa"/>
            <w:tcBorders>
              <w:top w:val="nil"/>
              <w:left w:val="nil"/>
              <w:bottom w:val="dotted" w:sz="4" w:space="0" w:color="auto"/>
              <w:right w:val="single" w:sz="4" w:space="0" w:color="auto"/>
            </w:tcBorders>
            <w:shd w:val="clear" w:color="auto" w:fill="auto"/>
            <w:vAlign w:val="center"/>
            <w:hideMark/>
          </w:tcPr>
          <w:p>
            <w:pPr>
              <w:jc w:val="right"/>
              <w:outlineLvl w:val="0"/>
              <w:rPr>
                <w:i/>
                <w:iCs/>
                <w:noProof/>
                <w:color w:val="000000"/>
                <w:sz w:val="16"/>
                <w:szCs w:val="16"/>
              </w:rPr>
            </w:pPr>
            <w:r>
              <w:rPr>
                <w:i/>
                <w:noProof/>
                <w:color w:val="000000"/>
                <w:sz w:val="16"/>
              </w:rPr>
              <w:t>-1 914 240</w:t>
            </w:r>
          </w:p>
        </w:tc>
      </w:tr>
      <w:tr>
        <w:trPr>
          <w:trHeight w:val="270"/>
          <w:jc w:val="right"/>
        </w:trPr>
        <w:tc>
          <w:tcPr>
            <w:tcW w:w="5275"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rPr>
                <w:b/>
                <w:bCs/>
                <w:noProof/>
                <w:color w:val="000000"/>
                <w:sz w:val="18"/>
                <w:szCs w:val="18"/>
              </w:rPr>
            </w:pPr>
            <w:r>
              <w:rPr>
                <w:b/>
                <w:noProof/>
                <w:color w:val="000000"/>
                <w:sz w:val="18"/>
              </w:rPr>
              <w:t>Annulation de crédits reportés des exercices antérieurs</w:t>
            </w:r>
          </w:p>
        </w:tc>
        <w:tc>
          <w:tcPr>
            <w:tcW w:w="1555"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8"/>
                <w:szCs w:val="18"/>
              </w:rPr>
            </w:pPr>
            <w:r>
              <w:rPr>
                <w:b/>
                <w:noProof/>
                <w:color w:val="000000"/>
                <w:sz w:val="18"/>
              </w:rPr>
              <w:t>0</w:t>
            </w:r>
          </w:p>
        </w:tc>
        <w:tc>
          <w:tcPr>
            <w:tcW w:w="1555"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8"/>
                <w:szCs w:val="18"/>
              </w:rPr>
            </w:pPr>
            <w:r>
              <w:rPr>
                <w:b/>
                <w:noProof/>
                <w:color w:val="000000"/>
                <w:sz w:val="18"/>
              </w:rPr>
              <w:t>-99 258 260</w:t>
            </w:r>
          </w:p>
        </w:tc>
        <w:tc>
          <w:tcPr>
            <w:tcW w:w="1556" w:type="dxa"/>
            <w:tcBorders>
              <w:top w:val="nil"/>
              <w:left w:val="nil"/>
              <w:bottom w:val="dotted" w:sz="4" w:space="0" w:color="auto"/>
              <w:right w:val="single" w:sz="4" w:space="0" w:color="auto"/>
            </w:tcBorders>
            <w:shd w:val="clear" w:color="auto" w:fill="auto"/>
            <w:vAlign w:val="center"/>
            <w:hideMark/>
          </w:tcPr>
          <w:p>
            <w:pPr>
              <w:jc w:val="right"/>
              <w:rPr>
                <w:b/>
                <w:bCs/>
                <w:noProof/>
                <w:color w:val="000000"/>
                <w:sz w:val="18"/>
                <w:szCs w:val="18"/>
              </w:rPr>
            </w:pPr>
            <w:r>
              <w:rPr>
                <w:b/>
                <w:noProof/>
                <w:color w:val="000000"/>
                <w:sz w:val="18"/>
              </w:rPr>
              <w:t>-99 258 260</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rPr>
                <w:i/>
                <w:iCs/>
                <w:noProof/>
                <w:color w:val="000000"/>
                <w:sz w:val="18"/>
                <w:szCs w:val="18"/>
              </w:rPr>
            </w:pPr>
            <w:r>
              <w:rPr>
                <w:i/>
                <w:noProof/>
                <w:color w:val="000000"/>
                <w:sz w:val="18"/>
              </w:rPr>
              <w:t>—</w:t>
            </w:r>
          </w:p>
        </w:tc>
        <w:tc>
          <w:tcPr>
            <w:tcW w:w="4898" w:type="dxa"/>
            <w:tcBorders>
              <w:top w:val="nil"/>
              <w:left w:val="nil"/>
              <w:bottom w:val="dotted" w:sz="4" w:space="0" w:color="auto"/>
              <w:right w:val="single" w:sz="4" w:space="0" w:color="auto"/>
            </w:tcBorders>
            <w:shd w:val="clear" w:color="auto" w:fill="auto"/>
            <w:vAlign w:val="center"/>
            <w:hideMark/>
          </w:tcPr>
          <w:p>
            <w:pPr>
              <w:rPr>
                <w:noProof/>
                <w:color w:val="000000"/>
                <w:sz w:val="18"/>
                <w:szCs w:val="18"/>
              </w:rPr>
            </w:pPr>
            <w:r>
              <w:rPr>
                <w:noProof/>
                <w:color w:val="000000"/>
                <w:sz w:val="18"/>
              </w:rPr>
              <w:t>Commission européenne</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0</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-53 513 927</w:t>
            </w:r>
          </w:p>
        </w:tc>
        <w:tc>
          <w:tcPr>
            <w:tcW w:w="1556"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-53 513 927</w:t>
            </w:r>
          </w:p>
        </w:tc>
      </w:tr>
      <w:tr>
        <w:trPr>
          <w:trHeight w:val="270"/>
          <w:jc w:val="right"/>
        </w:trPr>
        <w:tc>
          <w:tcPr>
            <w:tcW w:w="377" w:type="dxa"/>
            <w:tcBorders>
              <w:top w:val="nil"/>
              <w:left w:val="single" w:sz="4" w:space="0" w:color="auto"/>
              <w:bottom w:val="dotted" w:sz="4" w:space="0" w:color="auto"/>
              <w:right w:val="nil"/>
            </w:tcBorders>
            <w:shd w:val="clear" w:color="auto" w:fill="auto"/>
            <w:vAlign w:val="center"/>
            <w:hideMark/>
          </w:tcPr>
          <w:p>
            <w:pPr>
              <w:jc w:val="right"/>
              <w:rPr>
                <w:i/>
                <w:iCs/>
                <w:noProof/>
                <w:color w:val="000000"/>
                <w:sz w:val="18"/>
                <w:szCs w:val="18"/>
              </w:rPr>
            </w:pPr>
            <w:r>
              <w:rPr>
                <w:i/>
                <w:noProof/>
                <w:color w:val="000000"/>
                <w:sz w:val="18"/>
              </w:rPr>
              <w:t>—</w:t>
            </w:r>
          </w:p>
        </w:tc>
        <w:tc>
          <w:tcPr>
            <w:tcW w:w="4898" w:type="dxa"/>
            <w:tcBorders>
              <w:top w:val="nil"/>
              <w:left w:val="nil"/>
              <w:bottom w:val="dotted" w:sz="4" w:space="0" w:color="auto"/>
              <w:right w:val="single" w:sz="4" w:space="0" w:color="auto"/>
            </w:tcBorders>
            <w:shd w:val="clear" w:color="auto" w:fill="auto"/>
            <w:vAlign w:val="center"/>
            <w:hideMark/>
          </w:tcPr>
          <w:p>
            <w:pPr>
              <w:rPr>
                <w:noProof/>
                <w:color w:val="000000"/>
                <w:sz w:val="18"/>
                <w:szCs w:val="18"/>
              </w:rPr>
            </w:pPr>
            <w:r>
              <w:rPr>
                <w:noProof/>
                <w:color w:val="000000"/>
                <w:sz w:val="18"/>
              </w:rPr>
              <w:t>Autres institutions</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0</w:t>
            </w:r>
          </w:p>
        </w:tc>
        <w:tc>
          <w:tcPr>
            <w:tcW w:w="1555"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-45 744 333</w:t>
            </w:r>
          </w:p>
        </w:tc>
        <w:tc>
          <w:tcPr>
            <w:tcW w:w="1556" w:type="dxa"/>
            <w:tcBorders>
              <w:top w:val="nil"/>
              <w:left w:val="nil"/>
              <w:bottom w:val="dotted" w:sz="4" w:space="0" w:color="auto"/>
              <w:right w:val="single" w:sz="4" w:space="0" w:color="auto"/>
            </w:tcBorders>
            <w:shd w:val="clear" w:color="auto" w:fill="auto"/>
            <w:vAlign w:val="center"/>
            <w:hideMark/>
          </w:tcPr>
          <w:p>
            <w:pPr>
              <w:jc w:val="right"/>
              <w:rPr>
                <w:noProof/>
                <w:color w:val="000000"/>
                <w:sz w:val="18"/>
                <w:szCs w:val="18"/>
              </w:rPr>
            </w:pPr>
            <w:r>
              <w:rPr>
                <w:noProof/>
                <w:color w:val="000000"/>
                <w:sz w:val="18"/>
              </w:rPr>
              <w:t>-45 744 333</w:t>
            </w:r>
          </w:p>
        </w:tc>
      </w:tr>
      <w:tr>
        <w:trPr>
          <w:trHeight w:val="270"/>
          <w:jc w:val="right"/>
        </w:trPr>
        <w:tc>
          <w:tcPr>
            <w:tcW w:w="5275" w:type="dxa"/>
            <w:gridSpan w:val="2"/>
            <w:tcBorders>
              <w:top w:val="dotted" w:sz="4" w:space="0" w:color="auto"/>
              <w:left w:val="single" w:sz="4" w:space="0" w:color="auto"/>
              <w:bottom w:val="single" w:sz="4" w:space="0" w:color="auto"/>
              <w:right w:val="single" w:sz="4" w:space="0" w:color="000000"/>
            </w:tcBorders>
            <w:shd w:val="clear" w:color="auto" w:fill="auto"/>
            <w:vAlign w:val="center"/>
            <w:hideMark/>
          </w:tcPr>
          <w:p>
            <w:pPr>
              <w:rPr>
                <w:b/>
                <w:bCs/>
                <w:noProof/>
                <w:color w:val="000000"/>
                <w:sz w:val="18"/>
                <w:szCs w:val="18"/>
              </w:rPr>
            </w:pPr>
            <w:r>
              <w:rPr>
                <w:b/>
                <w:noProof/>
                <w:color w:val="000000"/>
                <w:sz w:val="18"/>
              </w:rPr>
              <w:t>Variations du taux de change sur les dépenses</w:t>
            </w:r>
          </w:p>
        </w:tc>
        <w:tc>
          <w:tcPr>
            <w:tcW w:w="1555" w:type="dxa"/>
            <w:tcBorders>
              <w:top w:val="nil"/>
              <w:left w:val="nil"/>
              <w:bottom w:val="single" w:sz="4" w:space="0" w:color="auto"/>
              <w:right w:val="single" w:sz="4" w:space="0" w:color="auto"/>
            </w:tcBorders>
            <w:shd w:val="clear" w:color="auto" w:fill="auto"/>
            <w:vAlign w:val="center"/>
            <w:hideMark/>
          </w:tcPr>
          <w:p>
            <w:pPr>
              <w:jc w:val="right"/>
              <w:rPr>
                <w:b/>
                <w:bCs/>
                <w:noProof/>
                <w:color w:val="000000"/>
                <w:sz w:val="18"/>
                <w:szCs w:val="18"/>
              </w:rPr>
            </w:pPr>
            <w:r>
              <w:rPr>
                <w:b/>
                <w:noProof/>
                <w:color w:val="000000"/>
                <w:sz w:val="18"/>
              </w:rPr>
              <w:t>0</w:t>
            </w:r>
          </w:p>
        </w:tc>
        <w:tc>
          <w:tcPr>
            <w:tcW w:w="1555" w:type="dxa"/>
            <w:tcBorders>
              <w:top w:val="nil"/>
              <w:left w:val="nil"/>
              <w:bottom w:val="single" w:sz="4" w:space="0" w:color="auto"/>
              <w:right w:val="single" w:sz="4" w:space="0" w:color="auto"/>
            </w:tcBorders>
            <w:shd w:val="clear" w:color="auto" w:fill="auto"/>
            <w:vAlign w:val="center"/>
            <w:hideMark/>
          </w:tcPr>
          <w:p>
            <w:pPr>
              <w:jc w:val="right"/>
              <w:rPr>
                <w:b/>
                <w:bCs/>
                <w:noProof/>
                <w:color w:val="000000"/>
                <w:sz w:val="18"/>
                <w:szCs w:val="18"/>
              </w:rPr>
            </w:pPr>
            <w:r>
              <w:rPr>
                <w:b/>
                <w:noProof/>
                <w:color w:val="000000"/>
                <w:sz w:val="18"/>
              </w:rPr>
              <w:t>166 431 469</w:t>
            </w:r>
          </w:p>
        </w:tc>
        <w:tc>
          <w:tcPr>
            <w:tcW w:w="1556" w:type="dxa"/>
            <w:tcBorders>
              <w:top w:val="nil"/>
              <w:left w:val="nil"/>
              <w:bottom w:val="single" w:sz="4" w:space="0" w:color="auto"/>
              <w:right w:val="single" w:sz="4" w:space="0" w:color="auto"/>
            </w:tcBorders>
            <w:shd w:val="clear" w:color="auto" w:fill="auto"/>
            <w:vAlign w:val="center"/>
            <w:hideMark/>
          </w:tcPr>
          <w:p>
            <w:pPr>
              <w:jc w:val="right"/>
              <w:rPr>
                <w:b/>
                <w:bCs/>
                <w:noProof/>
                <w:color w:val="000000"/>
                <w:sz w:val="18"/>
                <w:szCs w:val="18"/>
              </w:rPr>
            </w:pPr>
            <w:r>
              <w:rPr>
                <w:b/>
                <w:noProof/>
                <w:color w:val="000000"/>
                <w:sz w:val="18"/>
              </w:rPr>
              <w:t>166 431 469</w:t>
            </w:r>
          </w:p>
        </w:tc>
      </w:tr>
    </w:tbl>
    <w:p>
      <w:pPr>
        <w:pStyle w:val="NumPar1"/>
        <w:spacing w:before="240" w:after="240"/>
        <w:ind w:left="851" w:hanging="851"/>
        <w:rPr>
          <w:noProof/>
        </w:rPr>
      </w:pPr>
      <w:r>
        <w:rPr>
          <w:noProof/>
        </w:rPr>
        <w:t>L’exécution par la Commission s’est établie à 99,9 % des crédits de paiement autorisés. Le montant non exécuté était de 201 millions d’EUR, dont 99 millions inscrits dans la réserve d’aide d’urgence.</w:t>
      </w:r>
    </w:p>
    <w:p>
      <w:pPr>
        <w:pStyle w:val="NumPar1"/>
        <w:spacing w:before="240" w:after="240"/>
        <w:ind w:left="851" w:hanging="851"/>
        <w:rPr>
          <w:noProof/>
        </w:rPr>
      </w:pPr>
      <w:r>
        <w:rPr>
          <w:noProof/>
        </w:rPr>
        <w:t>La sous-exécution enregistrée par les autres institutions, à hauteur de 83 millions d’EUR, était inférieure à celle des deux exercices précédents (103 millions d’EUR en 2016 et 94 millions d’EUR en 2015).</w:t>
      </w:r>
    </w:p>
    <w:sectPr>
      <w:headerReference w:type="even" r:id="rId23"/>
      <w:headerReference w:type="default" r:id="rId24"/>
      <w:footerReference w:type="even" r:id="rId25"/>
      <w:footerReference w:type="default" r:id="rId26"/>
      <w:headerReference w:type="first" r:id="rId27"/>
      <w:footerReference w:type="first" r:id="rId28"/>
      <w:pgSz w:w="11907" w:h="1683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851" w:right="-851"/>
      <w:rPr>
        <w:rFonts w:ascii="Arial" w:hAnsi="Arial" w:cs="Arial"/>
        <w:b/>
        <w:sz w:val="48"/>
      </w:rPr>
    </w:pPr>
    <w:r>
      <w:tab/>
    </w:r>
    <w:r>
      <w:fldChar w:fldCharType="begin"/>
    </w:r>
    <w:r>
      <w:instrText xml:space="preserve"> PAGE  \* MERGEFORMAT </w:instrText>
    </w:r>
    <w:r>
      <w:fldChar w:fldCharType="separate"/>
    </w:r>
    <w:r>
      <w:rPr>
        <w:noProof/>
      </w:rPr>
      <w:t>2</w:t>
    </w:r>
    <w:r>
      <w:fldChar w:fldCharType="end"/>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851" w:right="-851"/>
      <w:rPr>
        <w:rFonts w:ascii="Arial" w:hAnsi="Arial" w:cs="Arial"/>
        <w:b/>
        <w:sz w:val="48"/>
      </w:rPr>
    </w:pPr>
    <w:r>
      <w:tab/>
    </w:r>
    <w:r>
      <w:fldChar w:fldCharType="begin"/>
    </w:r>
    <w:r>
      <w:instrText xml:space="preserve"> PAGE  \* MERGEFORMAT </w:instrText>
    </w:r>
    <w:r>
      <w:fldChar w:fldCharType="separate"/>
    </w:r>
    <w:r>
      <w:rPr>
        <w:noProof/>
      </w:rPr>
      <w:t>3</w:t>
    </w:r>
    <w:r>
      <w:fldChar w:fldCharType="end"/>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lang w:val="pt-PT"/>
        </w:rPr>
      </w:pPr>
      <w:r>
        <w:rPr>
          <w:rStyle w:val="FootnoteReference"/>
        </w:rPr>
        <w:footnoteRef/>
      </w:r>
      <w:r>
        <w:tab/>
      </w:r>
      <w:r>
        <w:rPr>
          <w:sz w:val="18"/>
        </w:rPr>
        <w:t>JO L 298 du 26.10.2012, p. 1.</w:t>
      </w:r>
    </w:p>
  </w:footnote>
  <w:footnote w:id="3">
    <w:p>
      <w:pPr>
        <w:pStyle w:val="FootnoteText"/>
        <w:rPr>
          <w:lang w:val="pt-PT"/>
        </w:rPr>
      </w:pPr>
      <w:r>
        <w:rPr>
          <w:rStyle w:val="FootnoteReference"/>
        </w:rPr>
        <w:footnoteRef/>
      </w:r>
      <w:r>
        <w:t>.</w:t>
      </w:r>
      <w:r>
        <w:tab/>
      </w:r>
      <w:r>
        <w:rPr>
          <w:sz w:val="18"/>
        </w:rPr>
        <w:t>JO L 57 du 28.2.2018, p. 1.</w:t>
      </w:r>
    </w:p>
  </w:footnote>
  <w:footnote w:id="4">
    <w:p>
      <w:pPr>
        <w:pStyle w:val="FootnoteText"/>
        <w:rPr>
          <w:lang w:val="pt-PT"/>
        </w:rPr>
      </w:pPr>
      <w:r>
        <w:rPr>
          <w:rStyle w:val="FootnoteReference"/>
        </w:rPr>
        <w:footnoteRef/>
      </w:r>
      <w:r>
        <w:t xml:space="preserve"> </w:t>
      </w:r>
      <w:r>
        <w:tab/>
      </w:r>
      <w:r>
        <w:rPr>
          <w:sz w:val="18"/>
        </w:rPr>
        <w:t>COM(2018) 155.</w:t>
      </w:r>
    </w:p>
  </w:footnote>
  <w:footnote w:id="5">
    <w:p>
      <w:pPr>
        <w:pStyle w:val="FootnoteText"/>
        <w:rPr>
          <w:lang w:val="pt-PT"/>
        </w:rPr>
      </w:pPr>
      <w:r>
        <w:rPr>
          <w:rStyle w:val="FootnoteReference"/>
        </w:rPr>
        <w:footnoteRef/>
      </w:r>
      <w:r>
        <w:tab/>
      </w:r>
      <w:r>
        <w:rPr>
          <w:sz w:val="18"/>
        </w:rPr>
        <w:t>JO L 298 du 26.10.2012,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BA72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7ED41C8C"/>
    <w:lvl w:ilvl="0">
      <w:start w:val="1"/>
      <w:numFmt w:val="decimal"/>
      <w:lvlText w:val="%1."/>
      <w:lvlJc w:val="left"/>
      <w:pPr>
        <w:tabs>
          <w:tab w:val="num" w:pos="360"/>
        </w:tabs>
        <w:ind w:left="360" w:hanging="360"/>
      </w:pPr>
    </w:lvl>
  </w:abstractNum>
  <w:abstractNum w:abstractNumId="2">
    <w:nsid w:val="00A856D4"/>
    <w:multiLevelType w:val="hybridMultilevel"/>
    <w:tmpl w:val="B07CF3C4"/>
    <w:lvl w:ilvl="0" w:tplc="3D900F3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354526B"/>
    <w:multiLevelType w:val="hybridMultilevel"/>
    <w:tmpl w:val="18D88870"/>
    <w:lvl w:ilvl="0" w:tplc="8A36BA8C">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401886"/>
    <w:multiLevelType w:val="hybridMultilevel"/>
    <w:tmpl w:val="FBA0B950"/>
    <w:lvl w:ilvl="0" w:tplc="D1CAE414">
      <w:numFmt w:val="bullet"/>
      <w:lvlText w:val="-"/>
      <w:lvlJc w:val="left"/>
      <w:pPr>
        <w:tabs>
          <w:tab w:val="num" w:pos="810"/>
        </w:tabs>
        <w:ind w:left="810" w:hanging="45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9F20AC0"/>
    <w:multiLevelType w:val="hybridMultilevel"/>
    <w:tmpl w:val="32B0E5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7936C33"/>
    <w:multiLevelType w:val="hybridMultilevel"/>
    <w:tmpl w:val="4036C0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8795CFC"/>
    <w:multiLevelType w:val="hybridMultilevel"/>
    <w:tmpl w:val="D988CAFC"/>
    <w:lvl w:ilvl="0" w:tplc="040C000F">
      <w:start w:val="1"/>
      <w:numFmt w:val="decimal"/>
      <w:lvlText w:val="%1."/>
      <w:lvlJc w:val="left"/>
      <w:pPr>
        <w:tabs>
          <w:tab w:val="num" w:pos="720"/>
        </w:tabs>
        <w:ind w:left="720" w:hanging="360"/>
      </w:pPr>
    </w:lvl>
    <w:lvl w:ilvl="1" w:tplc="94027E84">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9">
    <w:nsid w:val="2F78565E"/>
    <w:multiLevelType w:val="hybridMultilevel"/>
    <w:tmpl w:val="3F76E5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nsid w:val="31246D7F"/>
    <w:multiLevelType w:val="hybridMultilevel"/>
    <w:tmpl w:val="E1EA8208"/>
    <w:lvl w:ilvl="0" w:tplc="94027E84">
      <w:start w:val="1"/>
      <w:numFmt w:val="bullet"/>
      <w:lvlText w:val=""/>
      <w:lvlJc w:val="left"/>
      <w:pPr>
        <w:tabs>
          <w:tab w:val="num" w:pos="1437"/>
        </w:tabs>
        <w:ind w:left="1437"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2">
    <w:nsid w:val="33BE45BD"/>
    <w:multiLevelType w:val="hybridMultilevel"/>
    <w:tmpl w:val="6D2219A0"/>
    <w:lvl w:ilvl="0" w:tplc="08090001">
      <w:start w:val="1"/>
      <w:numFmt w:val="bullet"/>
      <w:lvlText w:val=""/>
      <w:lvlJc w:val="left"/>
      <w:pPr>
        <w:tabs>
          <w:tab w:val="num" w:pos="720"/>
        </w:tabs>
        <w:ind w:left="720" w:hanging="360"/>
      </w:pPr>
      <w:rPr>
        <w:rFonts w:ascii="Symbol" w:hAnsi="Symbol" w:hint="default"/>
      </w:rPr>
    </w:lvl>
    <w:lvl w:ilvl="1" w:tplc="94027E84">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4EA3932"/>
    <w:multiLevelType w:val="hybridMultilevel"/>
    <w:tmpl w:val="FA52B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3F090162"/>
    <w:multiLevelType w:val="hybridMultilevel"/>
    <w:tmpl w:val="97F2B26A"/>
    <w:lvl w:ilvl="0" w:tplc="61E27E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7">
    <w:nsid w:val="41AF2082"/>
    <w:multiLevelType w:val="hybridMultilevel"/>
    <w:tmpl w:val="A672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8628B4"/>
    <w:multiLevelType w:val="hybridMultilevel"/>
    <w:tmpl w:val="7706A2BE"/>
    <w:lvl w:ilvl="0" w:tplc="3D900F36">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D2B5511"/>
    <w:multiLevelType w:val="singleLevel"/>
    <w:tmpl w:val="74A09970"/>
    <w:name w:val="Heading__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1">
    <w:nsid w:val="7123216D"/>
    <w:multiLevelType w:val="hybridMultilevel"/>
    <w:tmpl w:val="F648ECEA"/>
    <w:lvl w:ilvl="0" w:tplc="AB00A56E">
      <w:start w:val="1"/>
      <w:numFmt w:val="bullet"/>
      <w:lvlText w:val=""/>
      <w:lvlJc w:val="left"/>
      <w:pPr>
        <w:tabs>
          <w:tab w:val="num" w:pos="720"/>
        </w:tabs>
        <w:ind w:left="720" w:hanging="360"/>
      </w:pPr>
      <w:rPr>
        <w:rFonts w:ascii="Symbol" w:hAnsi="Symbol" w:hint="default"/>
      </w:rPr>
    </w:lvl>
    <w:lvl w:ilvl="1" w:tplc="047A04A6" w:tentative="1">
      <w:start w:val="1"/>
      <w:numFmt w:val="bullet"/>
      <w:lvlText w:val="o"/>
      <w:lvlJc w:val="left"/>
      <w:pPr>
        <w:tabs>
          <w:tab w:val="num" w:pos="1440"/>
        </w:tabs>
        <w:ind w:left="1440" w:hanging="360"/>
      </w:pPr>
      <w:rPr>
        <w:rFonts w:ascii="Courier New" w:hAnsi="Courier New" w:cs="Courier New" w:hint="default"/>
      </w:rPr>
    </w:lvl>
    <w:lvl w:ilvl="2" w:tplc="CED8E37C" w:tentative="1">
      <w:start w:val="1"/>
      <w:numFmt w:val="bullet"/>
      <w:lvlText w:val=""/>
      <w:lvlJc w:val="left"/>
      <w:pPr>
        <w:tabs>
          <w:tab w:val="num" w:pos="2160"/>
        </w:tabs>
        <w:ind w:left="2160" w:hanging="360"/>
      </w:pPr>
      <w:rPr>
        <w:rFonts w:ascii="Wingdings" w:hAnsi="Wingdings" w:hint="default"/>
      </w:rPr>
    </w:lvl>
    <w:lvl w:ilvl="3" w:tplc="99803BDA" w:tentative="1">
      <w:start w:val="1"/>
      <w:numFmt w:val="bullet"/>
      <w:lvlText w:val=""/>
      <w:lvlJc w:val="left"/>
      <w:pPr>
        <w:tabs>
          <w:tab w:val="num" w:pos="2880"/>
        </w:tabs>
        <w:ind w:left="2880" w:hanging="360"/>
      </w:pPr>
      <w:rPr>
        <w:rFonts w:ascii="Symbol" w:hAnsi="Symbol" w:hint="default"/>
      </w:rPr>
    </w:lvl>
    <w:lvl w:ilvl="4" w:tplc="64F20456" w:tentative="1">
      <w:start w:val="1"/>
      <w:numFmt w:val="bullet"/>
      <w:lvlText w:val="o"/>
      <w:lvlJc w:val="left"/>
      <w:pPr>
        <w:tabs>
          <w:tab w:val="num" w:pos="3600"/>
        </w:tabs>
        <w:ind w:left="3600" w:hanging="360"/>
      </w:pPr>
      <w:rPr>
        <w:rFonts w:ascii="Courier New" w:hAnsi="Courier New" w:cs="Courier New" w:hint="default"/>
      </w:rPr>
    </w:lvl>
    <w:lvl w:ilvl="5" w:tplc="9D789344" w:tentative="1">
      <w:start w:val="1"/>
      <w:numFmt w:val="bullet"/>
      <w:lvlText w:val=""/>
      <w:lvlJc w:val="left"/>
      <w:pPr>
        <w:tabs>
          <w:tab w:val="num" w:pos="4320"/>
        </w:tabs>
        <w:ind w:left="4320" w:hanging="360"/>
      </w:pPr>
      <w:rPr>
        <w:rFonts w:ascii="Wingdings" w:hAnsi="Wingdings" w:hint="default"/>
      </w:rPr>
    </w:lvl>
    <w:lvl w:ilvl="6" w:tplc="440617F6" w:tentative="1">
      <w:start w:val="1"/>
      <w:numFmt w:val="bullet"/>
      <w:lvlText w:val=""/>
      <w:lvlJc w:val="left"/>
      <w:pPr>
        <w:tabs>
          <w:tab w:val="num" w:pos="5040"/>
        </w:tabs>
        <w:ind w:left="5040" w:hanging="360"/>
      </w:pPr>
      <w:rPr>
        <w:rFonts w:ascii="Symbol" w:hAnsi="Symbol" w:hint="default"/>
      </w:rPr>
    </w:lvl>
    <w:lvl w:ilvl="7" w:tplc="BA5AA682" w:tentative="1">
      <w:start w:val="1"/>
      <w:numFmt w:val="bullet"/>
      <w:lvlText w:val="o"/>
      <w:lvlJc w:val="left"/>
      <w:pPr>
        <w:tabs>
          <w:tab w:val="num" w:pos="5760"/>
        </w:tabs>
        <w:ind w:left="5760" w:hanging="360"/>
      </w:pPr>
      <w:rPr>
        <w:rFonts w:ascii="Courier New" w:hAnsi="Courier New" w:cs="Courier New" w:hint="default"/>
      </w:rPr>
    </w:lvl>
    <w:lvl w:ilvl="8" w:tplc="64C40A7C" w:tentative="1">
      <w:start w:val="1"/>
      <w:numFmt w:val="bullet"/>
      <w:lvlText w:val=""/>
      <w:lvlJc w:val="left"/>
      <w:pPr>
        <w:tabs>
          <w:tab w:val="num" w:pos="6480"/>
        </w:tabs>
        <w:ind w:left="6480" w:hanging="360"/>
      </w:pPr>
      <w:rPr>
        <w:rFonts w:ascii="Wingdings" w:hAnsi="Wingdings" w:hint="default"/>
      </w:rPr>
    </w:lvl>
  </w:abstractNum>
  <w:abstractNum w:abstractNumId="22">
    <w:nsid w:val="7BE95D7F"/>
    <w:multiLevelType w:val="multilevel"/>
    <w:tmpl w:val="F126F78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3">
    <w:nsid w:val="7C966381"/>
    <w:multiLevelType w:val="multilevel"/>
    <w:tmpl w:val="DCC8806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6"/>
  </w:num>
  <w:num w:numId="3">
    <w:abstractNumId w:val="2"/>
  </w:num>
  <w:num w:numId="4">
    <w:abstractNumId w:val="16"/>
  </w:num>
  <w:num w:numId="5">
    <w:abstractNumId w:val="21"/>
  </w:num>
  <w:num w:numId="6">
    <w:abstractNumId w:val="16"/>
  </w:num>
  <w:num w:numId="7">
    <w:abstractNumId w:val="20"/>
  </w:num>
  <w:num w:numId="8">
    <w:abstractNumId w:val="14"/>
  </w:num>
  <w:num w:numId="9">
    <w:abstractNumId w:val="7"/>
  </w:num>
  <w:num w:numId="10">
    <w:abstractNumId w:val="12"/>
  </w:num>
  <w:num w:numId="11">
    <w:abstractNumId w:val="13"/>
  </w:num>
  <w:num w:numId="12">
    <w:abstractNumId w:val="5"/>
  </w:num>
  <w:num w:numId="13">
    <w:abstractNumId w:val="6"/>
  </w:num>
  <w:num w:numId="14">
    <w:abstractNumId w:val="8"/>
  </w:num>
  <w:num w:numId="15">
    <w:abstractNumId w:val="10"/>
  </w:num>
  <w:num w:numId="16">
    <w:abstractNumId w:val="18"/>
  </w:num>
  <w:num w:numId="17">
    <w:abstractNumId w:val="16"/>
  </w:num>
  <w:num w:numId="18">
    <w:abstractNumId w:val="19"/>
  </w:num>
  <w:num w:numId="19">
    <w:abstractNumId w:val="4"/>
  </w:num>
  <w:num w:numId="20">
    <w:abstractNumId w:val="9"/>
  </w:num>
  <w:num w:numId="21">
    <w:abstractNumId w:val="16"/>
  </w:num>
  <w:num w:numId="22">
    <w:abstractNumId w:val="16"/>
  </w:num>
  <w:num w:numId="23">
    <w:abstractNumId w:val="0"/>
  </w:num>
  <w:num w:numId="24">
    <w:abstractNumId w:val="17"/>
  </w:num>
  <w:num w:numId="25">
    <w:abstractNumId w:val="15"/>
  </w:num>
  <w:num w:numId="26">
    <w:abstractNumId w:val="3"/>
  </w:num>
  <w:num w:numId="27">
    <w:abstractNumId w:val="22"/>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3"/>
  </w:num>
  <w:num w:numId="38">
    <w:abstractNumId w:val="23"/>
  </w:num>
  <w:num w:numId="39">
    <w:abstractNumId w:val="2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DocumentType" w:val="ERR"/>
    <w:docVar w:name="FigNum" w:val="1"/>
    <w:docVar w:name="LW_CORRIGENDUM" w:val="&lt;UNUSED&gt;"/>
    <w:docVar w:name="LW_COVERPAGE_EXISTS" w:val="True"/>
    <w:docVar w:name="LW_COVERPAGE_GUID" w:val="D0186A24-D3AF-43D2-9997-3DC0FF5129FE"/>
    <w:docVar w:name="LW_COVERPAGE_TYPE" w:val="1"/>
    <w:docVar w:name="LW_CROSSREFERENCE" w:val="&lt;UNUSED&gt;"/>
    <w:docVar w:name="LW_DocType" w:val="NORMAL"/>
    <w:docVar w:name="LW_EMISSION" w:val="13.4.2018"/>
    <w:docVar w:name="LW_EMISSION_ISODATE" w:val="2018-04-13"/>
    <w:docVar w:name="LW_EMISSION_LOCATION" w:val="BRX"/>
    <w:docVar w:name="LW_EMISSION_PREFIX" w:val="Bruxelles, le "/>
    <w:docVar w:name="LW_EMISSION_SUFFIX" w:val="&lt;EMPTY&gt;"/>
    <w:docVar w:name="LW_ID_DOCTYPE_NONLW" w:val="CP-035"/>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2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BUDGÉTISATION DE L\u8217?EXCÉDENT DE L\u8217?EXERCICE 2017 "/>
    <w:docVar w:name="LW_TITRE.OBJ.CP_PREVIOUS" w:val="&lt;UNUSED&gt;"/>
    <w:docVar w:name="LW_TYPE.DOC.CP" w:val="PROJET DE BUDGET RECTIFICATIF N° 2_x000b_AU BUDGET GÉNÉRAL 2018"/>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autoRedefine/>
    <w:qFormat/>
    <w:pPr>
      <w:keepNext/>
      <w:spacing w:before="240" w:after="120"/>
      <w:outlineLvl w:val="0"/>
    </w:pPr>
    <w:rPr>
      <w:rFonts w:ascii="Arial" w:hAnsi="Arial" w:cs="Arial"/>
      <w:b/>
      <w:bCs/>
      <w:kern w:val="32"/>
      <w:sz w:val="32"/>
      <w:szCs w:val="32"/>
    </w:rPr>
  </w:style>
  <w:style w:type="paragraph" w:styleId="Heading2">
    <w:name w:val="heading 2"/>
    <w:basedOn w:val="Normal"/>
    <w:next w:val="Normal"/>
    <w:autoRedefine/>
    <w:qFormat/>
    <w:pPr>
      <w:keepNext/>
      <w:spacing w:before="240" w:after="120"/>
      <w:ind w:left="720" w:hanging="720"/>
      <w:outlineLvl w:val="1"/>
    </w:pPr>
    <w:rPr>
      <w:rFonts w:ascii="Arial" w:hAnsi="Arial" w:cs="Arial"/>
      <w:b/>
      <w:bCs/>
      <w:i/>
      <w:iCs/>
      <w:sz w:val="28"/>
      <w:szCs w:val="28"/>
    </w:rPr>
  </w:style>
  <w:style w:type="paragraph" w:styleId="Heading3">
    <w:name w:val="heading 3"/>
    <w:basedOn w:val="Normal"/>
    <w:next w:val="Normal"/>
    <w:autoRedefine/>
    <w:qFormat/>
    <w:pPr>
      <w:keepNext/>
      <w:numPr>
        <w:ilvl w:val="2"/>
      </w:numPr>
      <w:tabs>
        <w:tab w:val="num" w:pos="850"/>
      </w:tabs>
      <w:spacing w:before="120" w:after="120"/>
      <w:ind w:left="850" w:hanging="850"/>
      <w:jc w:val="both"/>
      <w:outlineLvl w:val="2"/>
    </w:pPr>
    <w:rPr>
      <w:rFonts w:ascii="Arial" w:hAnsi="Arial" w:cs="Arial"/>
      <w:b/>
      <w:bCs/>
      <w:i/>
      <w:sz w:val="26"/>
      <w:szCs w:val="26"/>
    </w:rPr>
  </w:style>
  <w:style w:type="paragraph" w:styleId="Heading4">
    <w:name w:val="heading 4"/>
    <w:basedOn w:val="Normal"/>
    <w:next w:val="Normal"/>
    <w:qFormat/>
    <w:pPr>
      <w:keepNext/>
      <w:numPr>
        <w:ilvl w:val="3"/>
      </w:numPr>
      <w:tabs>
        <w:tab w:val="num" w:pos="1030"/>
      </w:tabs>
      <w:spacing w:before="120" w:after="120"/>
      <w:ind w:left="1030" w:hanging="850"/>
      <w:jc w:val="both"/>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paragraph" w:styleId="FootnoteText">
    <w:name w:val="footnote text"/>
    <w:basedOn w:val="Normal"/>
    <w:link w:val="FootnoteTextChar"/>
    <w:pPr>
      <w:ind w:left="720" w:hanging="720"/>
      <w:jc w:val="both"/>
    </w:pPr>
    <w:rPr>
      <w:sz w:val="20"/>
      <w:szCs w:val="20"/>
    </w:rPr>
  </w:style>
  <w:style w:type="paragraph" w:styleId="TOC1">
    <w:name w:val="toc 1"/>
    <w:basedOn w:val="Normal"/>
    <w:next w:val="Normal"/>
    <w:uiPriority w:val="39"/>
    <w:pPr>
      <w:spacing w:before="120" w:after="120"/>
    </w:pPr>
    <w:rPr>
      <w:b/>
      <w:bCs/>
      <w:caps/>
      <w:sz w:val="20"/>
      <w:szCs w:val="20"/>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rPr>
      <w:vertAlign w:val="superscript"/>
    </w:rPr>
  </w:style>
  <w:style w:type="paragraph" w:customStyle="1" w:styleId="Text1">
    <w:name w:val="Text 1"/>
    <w:basedOn w:val="Normal"/>
    <w:pPr>
      <w:spacing w:before="120" w:after="120"/>
      <w:ind w:left="850"/>
      <w:jc w:val="both"/>
    </w:pPr>
  </w:style>
  <w:style w:type="paragraph" w:customStyle="1" w:styleId="Tiret0">
    <w:name w:val="Tiret 0"/>
    <w:basedOn w:val="Normal"/>
    <w:pPr>
      <w:numPr>
        <w:numId w:val="1"/>
      </w:numPr>
      <w:spacing w:before="120" w:after="120"/>
      <w:jc w:val="both"/>
    </w:p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b/>
    </w:rPr>
  </w:style>
  <w:style w:type="paragraph" w:customStyle="1" w:styleId="ListDash">
    <w:name w:val="List Dash"/>
    <w:basedOn w:val="Normal"/>
    <w:link w:val="ListDashChar"/>
    <w:pPr>
      <w:numPr>
        <w:numId w:val="2"/>
      </w:numPr>
      <w:spacing w:before="120" w:after="120"/>
      <w:jc w:val="both"/>
    </w:pPr>
  </w:style>
  <w:style w:type="paragraph" w:styleId="TOCHeading">
    <w:name w:val="TOC Heading"/>
    <w:basedOn w:val="Normal"/>
    <w:next w:val="Normal"/>
    <w:qFormat/>
    <w:pPr>
      <w:spacing w:before="120" w:after="240"/>
      <w:jc w:val="center"/>
    </w:pPr>
    <w:rPr>
      <w:b/>
      <w:sz w:val="28"/>
    </w:r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jc w:val="center"/>
    </w:pPr>
    <w:rPr>
      <w:b/>
    </w:rPr>
  </w:style>
  <w:style w:type="character" w:styleId="Hyperlink">
    <w:name w:val="Hyperlink"/>
    <w:uiPriority w:val="99"/>
    <w:rPr>
      <w:color w:val="0000FF"/>
      <w:u w:val="singl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120" w:after="120"/>
      <w:jc w:val="both"/>
    </w:p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HeaderCoverPage">
    <w:name w:val="Header Cover Page"/>
    <w:basedOn w:val="Normal"/>
    <w:pPr>
      <w:tabs>
        <w:tab w:val="center" w:pos="4535"/>
        <w:tab w:val="right" w:pos="9071"/>
      </w:tabs>
      <w:spacing w:after="120"/>
      <w:jc w:val="both"/>
    </w:p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ListBullet">
    <w:name w:val="List Bullet"/>
    <w:basedOn w:val="Normal"/>
    <w:pPr>
      <w:numPr>
        <w:numId w:val="7"/>
      </w:numPr>
      <w:spacing w:before="120" w:after="120"/>
      <w:jc w:val="both"/>
    </w:pPr>
  </w:style>
  <w:style w:type="paragraph" w:customStyle="1" w:styleId="ListDash2">
    <w:name w:val="List Dash 2"/>
    <w:basedOn w:val="Normal"/>
    <w:pPr>
      <w:tabs>
        <w:tab w:val="num" w:pos="1134"/>
      </w:tabs>
      <w:spacing w:before="120" w:after="120"/>
      <w:ind w:left="1134" w:hanging="283"/>
      <w:jc w:val="both"/>
    </w:pPr>
  </w:style>
  <w:style w:type="paragraph" w:customStyle="1" w:styleId="ListBullet1">
    <w:name w:val="List Bullet 1"/>
    <w:basedOn w:val="Text1"/>
    <w:pPr>
      <w:numPr>
        <w:numId w:val="8"/>
      </w:numPr>
      <w:spacing w:before="0" w:after="240"/>
    </w:pPr>
    <w:rPr>
      <w:szCs w:val="20"/>
    </w:rPr>
  </w:style>
  <w:style w:type="paragraph" w:styleId="ListBullet2">
    <w:name w:val="List Bullet 2"/>
    <w:basedOn w:val="Normal"/>
    <w:pPr>
      <w:numPr>
        <w:numId w:val="14"/>
      </w:numPr>
      <w:spacing w:after="240"/>
      <w:jc w:val="both"/>
    </w:pPr>
    <w:rPr>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paragraph" w:customStyle="1" w:styleId="Typedudocument">
    <w:name w:val="Type du document"/>
    <w:basedOn w:val="Normal"/>
    <w:next w:val="Titreobjet"/>
    <w:pPr>
      <w:spacing w:before="360"/>
      <w:jc w:val="center"/>
    </w:pPr>
    <w:rPr>
      <w:b/>
    </w:rPr>
  </w:style>
  <w:style w:type="paragraph" w:customStyle="1" w:styleId="Titreobjet">
    <w:name w:val="Titre objet"/>
    <w:basedOn w:val="Normal"/>
    <w:next w:val="Normal"/>
    <w:pPr>
      <w:spacing w:before="360" w:after="360"/>
      <w:jc w:val="center"/>
    </w:pPr>
    <w:rPr>
      <w:b/>
    </w:rPr>
  </w:style>
  <w:style w:type="character" w:styleId="Emphasis">
    <w:name w:val="Emphasis"/>
    <w:qFormat/>
    <w:rPr>
      <w:i/>
      <w:iCs/>
    </w:rPr>
  </w:style>
  <w:style w:type="paragraph" w:styleId="NormalWeb">
    <w:name w:val="Normal (Web)"/>
    <w:basedOn w:val="Normal"/>
    <w:pPr>
      <w:spacing w:before="100" w:beforeAutospacing="1" w:after="100" w:afterAutospacing="1"/>
    </w:pPr>
  </w:style>
  <w:style w:type="paragraph" w:customStyle="1" w:styleId="Text2">
    <w:name w:val="Text 2"/>
    <w:basedOn w:val="Normal"/>
    <w:pPr>
      <w:spacing w:before="120" w:after="120"/>
      <w:ind w:left="850"/>
      <w:jc w:val="both"/>
    </w:pPr>
  </w:style>
  <w:style w:type="paragraph" w:styleId="BalloonText">
    <w:name w:val="Balloon Text"/>
    <w:basedOn w:val="Normal"/>
    <w:semiHidden/>
    <w:rPr>
      <w:rFonts w:ascii="Tahoma" w:hAnsi="Tahoma" w:cs="Tahoma"/>
      <w:sz w:val="16"/>
      <w:szCs w:val="16"/>
    </w:rPr>
  </w:style>
  <w:style w:type="paragraph" w:styleId="ListNumber">
    <w:name w:val="List Number"/>
    <w:basedOn w:val="Normal"/>
    <w:pPr>
      <w:numPr>
        <w:numId w:val="28"/>
      </w:numPr>
      <w:spacing w:before="120" w:after="120"/>
      <w:jc w:val="both"/>
    </w:pPr>
  </w:style>
  <w:style w:type="paragraph" w:customStyle="1" w:styleId="ListNumberLevel2">
    <w:name w:val="List Number (Level 2)"/>
    <w:basedOn w:val="Normal"/>
    <w:pPr>
      <w:numPr>
        <w:ilvl w:val="1"/>
        <w:numId w:val="28"/>
      </w:numPr>
      <w:spacing w:before="120" w:after="120"/>
      <w:jc w:val="both"/>
    </w:pPr>
  </w:style>
  <w:style w:type="paragraph" w:customStyle="1" w:styleId="ListNumberLevel3">
    <w:name w:val="List Number (Level 3)"/>
    <w:basedOn w:val="Normal"/>
    <w:pPr>
      <w:numPr>
        <w:ilvl w:val="2"/>
        <w:numId w:val="28"/>
      </w:numPr>
      <w:spacing w:before="120" w:after="120"/>
      <w:jc w:val="both"/>
    </w:pPr>
  </w:style>
  <w:style w:type="paragraph" w:customStyle="1" w:styleId="ListNumberLevel4">
    <w:name w:val="List Number (Level 4)"/>
    <w:basedOn w:val="Normal"/>
    <w:pPr>
      <w:numPr>
        <w:ilvl w:val="3"/>
        <w:numId w:val="28"/>
      </w:numPr>
      <w:spacing w:before="120" w:after="120"/>
      <w:jc w:val="both"/>
    </w:pPr>
  </w:style>
  <w:style w:type="character" w:customStyle="1" w:styleId="ListDashChar">
    <w:name w:val="List Dash Char"/>
    <w:link w:val="ListDash"/>
    <w:rPr>
      <w:sz w:val="24"/>
      <w:szCs w:val="24"/>
      <w:lang w:eastAsia="fr-FR"/>
    </w:rPr>
  </w:style>
  <w:style w:type="paragraph" w:customStyle="1" w:styleId="StyleManualHeading2Italic">
    <w:name w:val="Style Manual Heading 2 + Italic"/>
    <w:basedOn w:val="ManualHeading2"/>
    <w:autoRedefine/>
    <w:pPr>
      <w:spacing w:before="160" w:after="160"/>
      <w:ind w:left="851" w:hanging="851"/>
    </w:pPr>
    <w:rPr>
      <w:bCs/>
      <w:i/>
      <w:iCs/>
    </w:rPr>
  </w:style>
  <w:style w:type="character" w:customStyle="1" w:styleId="FootnoteTextChar">
    <w:name w:val="Footnote Text Char"/>
    <w:link w:val="FootnoteText"/>
    <w:rPr>
      <w:lang w:eastAsia="fr-FR"/>
    </w:rPr>
  </w:style>
  <w:style w:type="paragraph" w:customStyle="1" w:styleId="NormalCentered">
    <w:name w:val="Normal Centered"/>
    <w:basedOn w:val="Normal"/>
    <w:pPr>
      <w:spacing w:before="120" w:after="120"/>
      <w:jc w:val="center"/>
    </w:pPr>
  </w:style>
  <w:style w:type="paragraph" w:customStyle="1" w:styleId="NormalRight">
    <w:name w:val="Normal Right"/>
    <w:basedOn w:val="Normal"/>
    <w:pPr>
      <w:spacing w:before="120" w:after="120"/>
      <w:jc w:val="right"/>
    </w:pPr>
  </w:style>
  <w:style w:type="paragraph" w:customStyle="1" w:styleId="NormalLeft">
    <w:name w:val="Normal Left"/>
    <w:basedOn w:val="Normal"/>
    <w:pPr>
      <w:spacing w:before="120" w:after="120"/>
    </w:pPr>
  </w:style>
  <w:style w:type="paragraph" w:customStyle="1" w:styleId="Point0number">
    <w:name w:val="Point 0 (number)"/>
    <w:basedOn w:val="Normal"/>
    <w:uiPriority w:val="99"/>
    <w:pPr>
      <w:numPr>
        <w:numId w:val="27"/>
      </w:numPr>
      <w:spacing w:before="120" w:after="120"/>
      <w:jc w:val="both"/>
    </w:pPr>
  </w:style>
  <w:style w:type="paragraph" w:customStyle="1" w:styleId="Point1number">
    <w:name w:val="Point 1 (number)"/>
    <w:basedOn w:val="Normal"/>
    <w:uiPriority w:val="99"/>
    <w:pPr>
      <w:numPr>
        <w:ilvl w:val="2"/>
        <w:numId w:val="27"/>
      </w:numPr>
      <w:spacing w:before="120" w:after="120"/>
      <w:jc w:val="both"/>
    </w:pPr>
  </w:style>
  <w:style w:type="paragraph" w:customStyle="1" w:styleId="Point2number">
    <w:name w:val="Point 2 (number)"/>
    <w:basedOn w:val="Normal"/>
    <w:uiPriority w:val="99"/>
    <w:pPr>
      <w:numPr>
        <w:ilvl w:val="4"/>
        <w:numId w:val="27"/>
      </w:numPr>
      <w:spacing w:before="120" w:after="120"/>
      <w:jc w:val="both"/>
    </w:pPr>
  </w:style>
  <w:style w:type="paragraph" w:customStyle="1" w:styleId="Point3number">
    <w:name w:val="Point 3 (number)"/>
    <w:basedOn w:val="Normal"/>
    <w:uiPriority w:val="99"/>
    <w:pPr>
      <w:numPr>
        <w:ilvl w:val="6"/>
        <w:numId w:val="27"/>
      </w:numPr>
      <w:spacing w:before="120" w:after="120"/>
      <w:jc w:val="both"/>
    </w:pPr>
  </w:style>
  <w:style w:type="paragraph" w:customStyle="1" w:styleId="Point0letter">
    <w:name w:val="Point 0 (letter)"/>
    <w:basedOn w:val="Normal"/>
    <w:uiPriority w:val="99"/>
    <w:pPr>
      <w:numPr>
        <w:ilvl w:val="1"/>
        <w:numId w:val="27"/>
      </w:numPr>
      <w:spacing w:before="120" w:after="120"/>
      <w:jc w:val="both"/>
    </w:pPr>
  </w:style>
  <w:style w:type="paragraph" w:customStyle="1" w:styleId="Point1letter">
    <w:name w:val="Point 1 (letter)"/>
    <w:basedOn w:val="Normal"/>
    <w:uiPriority w:val="99"/>
    <w:pPr>
      <w:numPr>
        <w:ilvl w:val="3"/>
        <w:numId w:val="27"/>
      </w:numPr>
      <w:spacing w:before="120" w:after="120"/>
      <w:jc w:val="both"/>
    </w:pPr>
  </w:style>
  <w:style w:type="paragraph" w:customStyle="1" w:styleId="Point2letter">
    <w:name w:val="Point 2 (letter)"/>
    <w:basedOn w:val="Normal"/>
    <w:uiPriority w:val="99"/>
    <w:pPr>
      <w:numPr>
        <w:ilvl w:val="5"/>
        <w:numId w:val="27"/>
      </w:numPr>
      <w:spacing w:before="120" w:after="120"/>
      <w:jc w:val="both"/>
    </w:pPr>
  </w:style>
  <w:style w:type="paragraph" w:customStyle="1" w:styleId="Point3letter">
    <w:name w:val="Point 3 (letter)"/>
    <w:basedOn w:val="Normal"/>
    <w:uiPriority w:val="99"/>
    <w:pPr>
      <w:numPr>
        <w:ilvl w:val="7"/>
        <w:numId w:val="27"/>
      </w:numPr>
      <w:spacing w:before="120" w:after="120"/>
      <w:jc w:val="both"/>
    </w:pPr>
  </w:style>
  <w:style w:type="paragraph" w:customStyle="1" w:styleId="Point4letter">
    <w:name w:val="Point 4 (letter)"/>
    <w:basedOn w:val="Normal"/>
    <w:uiPriority w:val="99"/>
    <w:pPr>
      <w:numPr>
        <w:ilvl w:val="8"/>
        <w:numId w:val="27"/>
      </w:numPr>
      <w:spacing w:before="120" w:after="120"/>
      <w:jc w:val="both"/>
    </w:pPr>
  </w:style>
  <w:style w:type="paragraph" w:customStyle="1" w:styleId="NumPar1">
    <w:name w:val="NumPar 1"/>
    <w:basedOn w:val="Normal"/>
    <w:next w:val="Text1"/>
    <w:pPr>
      <w:numPr>
        <w:numId w:val="36"/>
      </w:numPr>
      <w:spacing w:before="120" w:after="120"/>
      <w:jc w:val="both"/>
    </w:pPr>
  </w:style>
  <w:style w:type="paragraph" w:customStyle="1" w:styleId="NumPar2">
    <w:name w:val="NumPar 2"/>
    <w:basedOn w:val="Normal"/>
    <w:next w:val="Normal"/>
    <w:pPr>
      <w:numPr>
        <w:ilvl w:val="1"/>
        <w:numId w:val="36"/>
      </w:numPr>
      <w:spacing w:before="120" w:after="120"/>
      <w:jc w:val="both"/>
    </w:pPr>
  </w:style>
  <w:style w:type="paragraph" w:customStyle="1" w:styleId="NumPar3">
    <w:name w:val="NumPar 3"/>
    <w:basedOn w:val="Normal"/>
    <w:next w:val="Normal"/>
    <w:pPr>
      <w:numPr>
        <w:ilvl w:val="2"/>
        <w:numId w:val="36"/>
      </w:numPr>
      <w:spacing w:before="120" w:after="120"/>
      <w:jc w:val="both"/>
    </w:pPr>
  </w:style>
  <w:style w:type="paragraph" w:customStyle="1" w:styleId="NumPar4">
    <w:name w:val="NumPar 4"/>
    <w:basedOn w:val="Normal"/>
    <w:next w:val="Normal"/>
    <w:pPr>
      <w:numPr>
        <w:ilvl w:val="3"/>
        <w:numId w:val="36"/>
      </w:numPr>
      <w:spacing w:before="120" w:after="120"/>
      <w:jc w:val="both"/>
    </w:pPr>
  </w:style>
  <w:style w:type="paragraph" w:customStyle="1" w:styleId="Exposdesmotifstitre">
    <w:name w:val="Exposé des motifs titre"/>
    <w:basedOn w:val="Normal"/>
    <w:next w:val="Normal"/>
    <w:pPr>
      <w:spacing w:before="120" w:after="120"/>
      <w:jc w:val="center"/>
    </w:pPr>
    <w:rPr>
      <w:b/>
      <w:u w:val="single"/>
    </w:rPr>
  </w:style>
  <w:style w:type="character" w:styleId="CommentReference">
    <w:name w:val="annotation reference"/>
    <w:rPr>
      <w:sz w:val="16"/>
      <w:szCs w:val="16"/>
    </w:rPr>
  </w:style>
  <w:style w:type="paragraph" w:customStyle="1" w:styleId="Statut">
    <w:name w:val="Statut"/>
    <w:basedOn w:val="Normal"/>
    <w:next w:val="Typedudocument"/>
    <w:pPr>
      <w:spacing w:before="360"/>
      <w:jc w:val="center"/>
    </w:pPr>
    <w:rPr>
      <w:rFonts w:eastAsia="Calibri"/>
      <w:szCs w:val="22"/>
    </w:rPr>
  </w:style>
  <w:style w:type="paragraph" w:customStyle="1" w:styleId="Declassification">
    <w:name w:val="Declassification"/>
    <w:basedOn w:val="Normal"/>
    <w:next w:val="Normal"/>
    <w:pPr>
      <w:jc w:val="both"/>
    </w:pPr>
    <w:rPr>
      <w:rFonts w:eastAsiaTheme="minorHAnsi"/>
      <w:szCs w:val="22"/>
    </w:rPr>
  </w:style>
  <w:style w:type="character" w:customStyle="1" w:styleId="HeaderChar">
    <w:name w:val="Header Char"/>
    <w:basedOn w:val="DefaultParagraphFont"/>
    <w:link w:val="Header"/>
    <w:uiPriority w:val="99"/>
    <w:rPr>
      <w:rFonts w:eastAsiaTheme="minorHAnsi"/>
      <w:sz w:val="24"/>
      <w:szCs w:val="22"/>
      <w:lang w:eastAsia="fr-FR"/>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lang w:eastAsia="fr-FR"/>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autoRedefine/>
    <w:qFormat/>
    <w:pPr>
      <w:keepNext/>
      <w:spacing w:before="240" w:after="120"/>
      <w:outlineLvl w:val="0"/>
    </w:pPr>
    <w:rPr>
      <w:rFonts w:ascii="Arial" w:hAnsi="Arial" w:cs="Arial"/>
      <w:b/>
      <w:bCs/>
      <w:kern w:val="32"/>
      <w:sz w:val="32"/>
      <w:szCs w:val="32"/>
    </w:rPr>
  </w:style>
  <w:style w:type="paragraph" w:styleId="Heading2">
    <w:name w:val="heading 2"/>
    <w:basedOn w:val="Normal"/>
    <w:next w:val="Normal"/>
    <w:autoRedefine/>
    <w:qFormat/>
    <w:pPr>
      <w:keepNext/>
      <w:spacing w:before="240" w:after="120"/>
      <w:ind w:left="720" w:hanging="720"/>
      <w:outlineLvl w:val="1"/>
    </w:pPr>
    <w:rPr>
      <w:rFonts w:ascii="Arial" w:hAnsi="Arial" w:cs="Arial"/>
      <w:b/>
      <w:bCs/>
      <w:i/>
      <w:iCs/>
      <w:sz w:val="28"/>
      <w:szCs w:val="28"/>
    </w:rPr>
  </w:style>
  <w:style w:type="paragraph" w:styleId="Heading3">
    <w:name w:val="heading 3"/>
    <w:basedOn w:val="Normal"/>
    <w:next w:val="Normal"/>
    <w:autoRedefine/>
    <w:qFormat/>
    <w:pPr>
      <w:keepNext/>
      <w:numPr>
        <w:ilvl w:val="2"/>
      </w:numPr>
      <w:tabs>
        <w:tab w:val="num" w:pos="850"/>
      </w:tabs>
      <w:spacing w:before="120" w:after="120"/>
      <w:ind w:left="850" w:hanging="850"/>
      <w:jc w:val="both"/>
      <w:outlineLvl w:val="2"/>
    </w:pPr>
    <w:rPr>
      <w:rFonts w:ascii="Arial" w:hAnsi="Arial" w:cs="Arial"/>
      <w:b/>
      <w:bCs/>
      <w:i/>
      <w:sz w:val="26"/>
      <w:szCs w:val="26"/>
    </w:rPr>
  </w:style>
  <w:style w:type="paragraph" w:styleId="Heading4">
    <w:name w:val="heading 4"/>
    <w:basedOn w:val="Normal"/>
    <w:next w:val="Normal"/>
    <w:qFormat/>
    <w:pPr>
      <w:keepNext/>
      <w:numPr>
        <w:ilvl w:val="3"/>
      </w:numPr>
      <w:tabs>
        <w:tab w:val="num" w:pos="1030"/>
      </w:tabs>
      <w:spacing w:before="120" w:after="120"/>
      <w:ind w:left="1030" w:hanging="850"/>
      <w:jc w:val="both"/>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paragraph" w:styleId="FootnoteText">
    <w:name w:val="footnote text"/>
    <w:basedOn w:val="Normal"/>
    <w:link w:val="FootnoteTextChar"/>
    <w:pPr>
      <w:ind w:left="720" w:hanging="720"/>
      <w:jc w:val="both"/>
    </w:pPr>
    <w:rPr>
      <w:sz w:val="20"/>
      <w:szCs w:val="20"/>
    </w:rPr>
  </w:style>
  <w:style w:type="paragraph" w:styleId="TOC1">
    <w:name w:val="toc 1"/>
    <w:basedOn w:val="Normal"/>
    <w:next w:val="Normal"/>
    <w:uiPriority w:val="39"/>
    <w:pPr>
      <w:spacing w:before="120" w:after="120"/>
    </w:pPr>
    <w:rPr>
      <w:b/>
      <w:bCs/>
      <w:caps/>
      <w:sz w:val="20"/>
      <w:szCs w:val="20"/>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rPr>
      <w:vertAlign w:val="superscript"/>
    </w:rPr>
  </w:style>
  <w:style w:type="paragraph" w:customStyle="1" w:styleId="Text1">
    <w:name w:val="Text 1"/>
    <w:basedOn w:val="Normal"/>
    <w:pPr>
      <w:spacing w:before="120" w:after="120"/>
      <w:ind w:left="850"/>
      <w:jc w:val="both"/>
    </w:pPr>
  </w:style>
  <w:style w:type="paragraph" w:customStyle="1" w:styleId="Tiret0">
    <w:name w:val="Tiret 0"/>
    <w:basedOn w:val="Normal"/>
    <w:pPr>
      <w:numPr>
        <w:numId w:val="1"/>
      </w:numPr>
      <w:spacing w:before="120" w:after="120"/>
      <w:jc w:val="both"/>
    </w:p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b/>
    </w:rPr>
  </w:style>
  <w:style w:type="paragraph" w:customStyle="1" w:styleId="ListDash">
    <w:name w:val="List Dash"/>
    <w:basedOn w:val="Normal"/>
    <w:link w:val="ListDashChar"/>
    <w:pPr>
      <w:numPr>
        <w:numId w:val="2"/>
      </w:numPr>
      <w:spacing w:before="120" w:after="120"/>
      <w:jc w:val="both"/>
    </w:pPr>
  </w:style>
  <w:style w:type="paragraph" w:styleId="TOCHeading">
    <w:name w:val="TOC Heading"/>
    <w:basedOn w:val="Normal"/>
    <w:next w:val="Normal"/>
    <w:qFormat/>
    <w:pPr>
      <w:spacing w:before="120" w:after="240"/>
      <w:jc w:val="center"/>
    </w:pPr>
    <w:rPr>
      <w:b/>
      <w:sz w:val="28"/>
    </w:r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jc w:val="center"/>
    </w:pPr>
    <w:rPr>
      <w:b/>
    </w:rPr>
  </w:style>
  <w:style w:type="character" w:styleId="Hyperlink">
    <w:name w:val="Hyperlink"/>
    <w:uiPriority w:val="99"/>
    <w:rPr>
      <w:color w:val="0000FF"/>
      <w:u w:val="singl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120" w:after="120"/>
      <w:jc w:val="both"/>
    </w:p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HeaderCoverPage">
    <w:name w:val="Header Cover Page"/>
    <w:basedOn w:val="Normal"/>
    <w:pPr>
      <w:tabs>
        <w:tab w:val="center" w:pos="4535"/>
        <w:tab w:val="right" w:pos="9071"/>
      </w:tabs>
      <w:spacing w:after="120"/>
      <w:jc w:val="both"/>
    </w:p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ListBullet">
    <w:name w:val="List Bullet"/>
    <w:basedOn w:val="Normal"/>
    <w:pPr>
      <w:numPr>
        <w:numId w:val="7"/>
      </w:numPr>
      <w:spacing w:before="120" w:after="120"/>
      <w:jc w:val="both"/>
    </w:pPr>
  </w:style>
  <w:style w:type="paragraph" w:customStyle="1" w:styleId="ListDash2">
    <w:name w:val="List Dash 2"/>
    <w:basedOn w:val="Normal"/>
    <w:pPr>
      <w:tabs>
        <w:tab w:val="num" w:pos="1134"/>
      </w:tabs>
      <w:spacing w:before="120" w:after="120"/>
      <w:ind w:left="1134" w:hanging="283"/>
      <w:jc w:val="both"/>
    </w:pPr>
  </w:style>
  <w:style w:type="paragraph" w:customStyle="1" w:styleId="ListBullet1">
    <w:name w:val="List Bullet 1"/>
    <w:basedOn w:val="Text1"/>
    <w:pPr>
      <w:numPr>
        <w:numId w:val="8"/>
      </w:numPr>
      <w:spacing w:before="0" w:after="240"/>
    </w:pPr>
    <w:rPr>
      <w:szCs w:val="20"/>
    </w:rPr>
  </w:style>
  <w:style w:type="paragraph" w:styleId="ListBullet2">
    <w:name w:val="List Bullet 2"/>
    <w:basedOn w:val="Normal"/>
    <w:pPr>
      <w:numPr>
        <w:numId w:val="14"/>
      </w:numPr>
      <w:spacing w:after="240"/>
      <w:jc w:val="both"/>
    </w:pPr>
    <w:rPr>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paragraph" w:customStyle="1" w:styleId="Typedudocument">
    <w:name w:val="Type du document"/>
    <w:basedOn w:val="Normal"/>
    <w:next w:val="Titreobjet"/>
    <w:pPr>
      <w:spacing w:before="360"/>
      <w:jc w:val="center"/>
    </w:pPr>
    <w:rPr>
      <w:b/>
    </w:rPr>
  </w:style>
  <w:style w:type="paragraph" w:customStyle="1" w:styleId="Titreobjet">
    <w:name w:val="Titre objet"/>
    <w:basedOn w:val="Normal"/>
    <w:next w:val="Normal"/>
    <w:pPr>
      <w:spacing w:before="360" w:after="360"/>
      <w:jc w:val="center"/>
    </w:pPr>
    <w:rPr>
      <w:b/>
    </w:rPr>
  </w:style>
  <w:style w:type="character" w:styleId="Emphasis">
    <w:name w:val="Emphasis"/>
    <w:qFormat/>
    <w:rPr>
      <w:i/>
      <w:iCs/>
    </w:rPr>
  </w:style>
  <w:style w:type="paragraph" w:styleId="NormalWeb">
    <w:name w:val="Normal (Web)"/>
    <w:basedOn w:val="Normal"/>
    <w:pPr>
      <w:spacing w:before="100" w:beforeAutospacing="1" w:after="100" w:afterAutospacing="1"/>
    </w:pPr>
  </w:style>
  <w:style w:type="paragraph" w:customStyle="1" w:styleId="Text2">
    <w:name w:val="Text 2"/>
    <w:basedOn w:val="Normal"/>
    <w:pPr>
      <w:spacing w:before="120" w:after="120"/>
      <w:ind w:left="850"/>
      <w:jc w:val="both"/>
    </w:pPr>
  </w:style>
  <w:style w:type="paragraph" w:styleId="BalloonText">
    <w:name w:val="Balloon Text"/>
    <w:basedOn w:val="Normal"/>
    <w:semiHidden/>
    <w:rPr>
      <w:rFonts w:ascii="Tahoma" w:hAnsi="Tahoma" w:cs="Tahoma"/>
      <w:sz w:val="16"/>
      <w:szCs w:val="16"/>
    </w:rPr>
  </w:style>
  <w:style w:type="paragraph" w:styleId="ListNumber">
    <w:name w:val="List Number"/>
    <w:basedOn w:val="Normal"/>
    <w:pPr>
      <w:numPr>
        <w:numId w:val="28"/>
      </w:numPr>
      <w:spacing w:before="120" w:after="120"/>
      <w:jc w:val="both"/>
    </w:pPr>
  </w:style>
  <w:style w:type="paragraph" w:customStyle="1" w:styleId="ListNumberLevel2">
    <w:name w:val="List Number (Level 2)"/>
    <w:basedOn w:val="Normal"/>
    <w:pPr>
      <w:numPr>
        <w:ilvl w:val="1"/>
        <w:numId w:val="28"/>
      </w:numPr>
      <w:spacing w:before="120" w:after="120"/>
      <w:jc w:val="both"/>
    </w:pPr>
  </w:style>
  <w:style w:type="paragraph" w:customStyle="1" w:styleId="ListNumberLevel3">
    <w:name w:val="List Number (Level 3)"/>
    <w:basedOn w:val="Normal"/>
    <w:pPr>
      <w:numPr>
        <w:ilvl w:val="2"/>
        <w:numId w:val="28"/>
      </w:numPr>
      <w:spacing w:before="120" w:after="120"/>
      <w:jc w:val="both"/>
    </w:pPr>
  </w:style>
  <w:style w:type="paragraph" w:customStyle="1" w:styleId="ListNumberLevel4">
    <w:name w:val="List Number (Level 4)"/>
    <w:basedOn w:val="Normal"/>
    <w:pPr>
      <w:numPr>
        <w:ilvl w:val="3"/>
        <w:numId w:val="28"/>
      </w:numPr>
      <w:spacing w:before="120" w:after="120"/>
      <w:jc w:val="both"/>
    </w:pPr>
  </w:style>
  <w:style w:type="character" w:customStyle="1" w:styleId="ListDashChar">
    <w:name w:val="List Dash Char"/>
    <w:link w:val="ListDash"/>
    <w:rPr>
      <w:sz w:val="24"/>
      <w:szCs w:val="24"/>
      <w:lang w:eastAsia="fr-FR"/>
    </w:rPr>
  </w:style>
  <w:style w:type="paragraph" w:customStyle="1" w:styleId="StyleManualHeading2Italic">
    <w:name w:val="Style Manual Heading 2 + Italic"/>
    <w:basedOn w:val="ManualHeading2"/>
    <w:autoRedefine/>
    <w:pPr>
      <w:spacing w:before="160" w:after="160"/>
      <w:ind w:left="851" w:hanging="851"/>
    </w:pPr>
    <w:rPr>
      <w:bCs/>
      <w:i/>
      <w:iCs/>
    </w:rPr>
  </w:style>
  <w:style w:type="character" w:customStyle="1" w:styleId="FootnoteTextChar">
    <w:name w:val="Footnote Text Char"/>
    <w:link w:val="FootnoteText"/>
    <w:rPr>
      <w:lang w:eastAsia="fr-FR"/>
    </w:rPr>
  </w:style>
  <w:style w:type="paragraph" w:customStyle="1" w:styleId="NormalCentered">
    <w:name w:val="Normal Centered"/>
    <w:basedOn w:val="Normal"/>
    <w:pPr>
      <w:spacing w:before="120" w:after="120"/>
      <w:jc w:val="center"/>
    </w:pPr>
  </w:style>
  <w:style w:type="paragraph" w:customStyle="1" w:styleId="NormalRight">
    <w:name w:val="Normal Right"/>
    <w:basedOn w:val="Normal"/>
    <w:pPr>
      <w:spacing w:before="120" w:after="120"/>
      <w:jc w:val="right"/>
    </w:pPr>
  </w:style>
  <w:style w:type="paragraph" w:customStyle="1" w:styleId="NormalLeft">
    <w:name w:val="Normal Left"/>
    <w:basedOn w:val="Normal"/>
    <w:pPr>
      <w:spacing w:before="120" w:after="120"/>
    </w:pPr>
  </w:style>
  <w:style w:type="paragraph" w:customStyle="1" w:styleId="Point0number">
    <w:name w:val="Point 0 (number)"/>
    <w:basedOn w:val="Normal"/>
    <w:uiPriority w:val="99"/>
    <w:pPr>
      <w:numPr>
        <w:numId w:val="27"/>
      </w:numPr>
      <w:spacing w:before="120" w:after="120"/>
      <w:jc w:val="both"/>
    </w:pPr>
  </w:style>
  <w:style w:type="paragraph" w:customStyle="1" w:styleId="Point1number">
    <w:name w:val="Point 1 (number)"/>
    <w:basedOn w:val="Normal"/>
    <w:uiPriority w:val="99"/>
    <w:pPr>
      <w:numPr>
        <w:ilvl w:val="2"/>
        <w:numId w:val="27"/>
      </w:numPr>
      <w:spacing w:before="120" w:after="120"/>
      <w:jc w:val="both"/>
    </w:pPr>
  </w:style>
  <w:style w:type="paragraph" w:customStyle="1" w:styleId="Point2number">
    <w:name w:val="Point 2 (number)"/>
    <w:basedOn w:val="Normal"/>
    <w:uiPriority w:val="99"/>
    <w:pPr>
      <w:numPr>
        <w:ilvl w:val="4"/>
        <w:numId w:val="27"/>
      </w:numPr>
      <w:spacing w:before="120" w:after="120"/>
      <w:jc w:val="both"/>
    </w:pPr>
  </w:style>
  <w:style w:type="paragraph" w:customStyle="1" w:styleId="Point3number">
    <w:name w:val="Point 3 (number)"/>
    <w:basedOn w:val="Normal"/>
    <w:uiPriority w:val="99"/>
    <w:pPr>
      <w:numPr>
        <w:ilvl w:val="6"/>
        <w:numId w:val="27"/>
      </w:numPr>
      <w:spacing w:before="120" w:after="120"/>
      <w:jc w:val="both"/>
    </w:pPr>
  </w:style>
  <w:style w:type="paragraph" w:customStyle="1" w:styleId="Point0letter">
    <w:name w:val="Point 0 (letter)"/>
    <w:basedOn w:val="Normal"/>
    <w:uiPriority w:val="99"/>
    <w:pPr>
      <w:numPr>
        <w:ilvl w:val="1"/>
        <w:numId w:val="27"/>
      </w:numPr>
      <w:spacing w:before="120" w:after="120"/>
      <w:jc w:val="both"/>
    </w:pPr>
  </w:style>
  <w:style w:type="paragraph" w:customStyle="1" w:styleId="Point1letter">
    <w:name w:val="Point 1 (letter)"/>
    <w:basedOn w:val="Normal"/>
    <w:uiPriority w:val="99"/>
    <w:pPr>
      <w:numPr>
        <w:ilvl w:val="3"/>
        <w:numId w:val="27"/>
      </w:numPr>
      <w:spacing w:before="120" w:after="120"/>
      <w:jc w:val="both"/>
    </w:pPr>
  </w:style>
  <w:style w:type="paragraph" w:customStyle="1" w:styleId="Point2letter">
    <w:name w:val="Point 2 (letter)"/>
    <w:basedOn w:val="Normal"/>
    <w:uiPriority w:val="99"/>
    <w:pPr>
      <w:numPr>
        <w:ilvl w:val="5"/>
        <w:numId w:val="27"/>
      </w:numPr>
      <w:spacing w:before="120" w:after="120"/>
      <w:jc w:val="both"/>
    </w:pPr>
  </w:style>
  <w:style w:type="paragraph" w:customStyle="1" w:styleId="Point3letter">
    <w:name w:val="Point 3 (letter)"/>
    <w:basedOn w:val="Normal"/>
    <w:uiPriority w:val="99"/>
    <w:pPr>
      <w:numPr>
        <w:ilvl w:val="7"/>
        <w:numId w:val="27"/>
      </w:numPr>
      <w:spacing w:before="120" w:after="120"/>
      <w:jc w:val="both"/>
    </w:pPr>
  </w:style>
  <w:style w:type="paragraph" w:customStyle="1" w:styleId="Point4letter">
    <w:name w:val="Point 4 (letter)"/>
    <w:basedOn w:val="Normal"/>
    <w:uiPriority w:val="99"/>
    <w:pPr>
      <w:numPr>
        <w:ilvl w:val="8"/>
        <w:numId w:val="27"/>
      </w:numPr>
      <w:spacing w:before="120" w:after="120"/>
      <w:jc w:val="both"/>
    </w:pPr>
  </w:style>
  <w:style w:type="paragraph" w:customStyle="1" w:styleId="NumPar1">
    <w:name w:val="NumPar 1"/>
    <w:basedOn w:val="Normal"/>
    <w:next w:val="Text1"/>
    <w:pPr>
      <w:numPr>
        <w:numId w:val="36"/>
      </w:numPr>
      <w:spacing w:before="120" w:after="120"/>
      <w:jc w:val="both"/>
    </w:pPr>
  </w:style>
  <w:style w:type="paragraph" w:customStyle="1" w:styleId="NumPar2">
    <w:name w:val="NumPar 2"/>
    <w:basedOn w:val="Normal"/>
    <w:next w:val="Normal"/>
    <w:pPr>
      <w:numPr>
        <w:ilvl w:val="1"/>
        <w:numId w:val="36"/>
      </w:numPr>
      <w:spacing w:before="120" w:after="120"/>
      <w:jc w:val="both"/>
    </w:pPr>
  </w:style>
  <w:style w:type="paragraph" w:customStyle="1" w:styleId="NumPar3">
    <w:name w:val="NumPar 3"/>
    <w:basedOn w:val="Normal"/>
    <w:next w:val="Normal"/>
    <w:pPr>
      <w:numPr>
        <w:ilvl w:val="2"/>
        <w:numId w:val="36"/>
      </w:numPr>
      <w:spacing w:before="120" w:after="120"/>
      <w:jc w:val="both"/>
    </w:pPr>
  </w:style>
  <w:style w:type="paragraph" w:customStyle="1" w:styleId="NumPar4">
    <w:name w:val="NumPar 4"/>
    <w:basedOn w:val="Normal"/>
    <w:next w:val="Normal"/>
    <w:pPr>
      <w:numPr>
        <w:ilvl w:val="3"/>
        <w:numId w:val="36"/>
      </w:numPr>
      <w:spacing w:before="120" w:after="120"/>
      <w:jc w:val="both"/>
    </w:pPr>
  </w:style>
  <w:style w:type="paragraph" w:customStyle="1" w:styleId="Exposdesmotifstitre">
    <w:name w:val="Exposé des motifs titre"/>
    <w:basedOn w:val="Normal"/>
    <w:next w:val="Normal"/>
    <w:pPr>
      <w:spacing w:before="120" w:after="120"/>
      <w:jc w:val="center"/>
    </w:pPr>
    <w:rPr>
      <w:b/>
      <w:u w:val="single"/>
    </w:rPr>
  </w:style>
  <w:style w:type="character" w:styleId="CommentReference">
    <w:name w:val="annotation reference"/>
    <w:rPr>
      <w:sz w:val="16"/>
      <w:szCs w:val="16"/>
    </w:rPr>
  </w:style>
  <w:style w:type="paragraph" w:customStyle="1" w:styleId="Statut">
    <w:name w:val="Statut"/>
    <w:basedOn w:val="Normal"/>
    <w:next w:val="Typedudocument"/>
    <w:pPr>
      <w:spacing w:before="360"/>
      <w:jc w:val="center"/>
    </w:pPr>
    <w:rPr>
      <w:rFonts w:eastAsia="Calibri"/>
      <w:szCs w:val="22"/>
    </w:rPr>
  </w:style>
  <w:style w:type="paragraph" w:customStyle="1" w:styleId="Declassification">
    <w:name w:val="Declassification"/>
    <w:basedOn w:val="Normal"/>
    <w:next w:val="Normal"/>
    <w:pPr>
      <w:jc w:val="both"/>
    </w:pPr>
    <w:rPr>
      <w:rFonts w:eastAsiaTheme="minorHAnsi"/>
      <w:szCs w:val="22"/>
    </w:rPr>
  </w:style>
  <w:style w:type="character" w:customStyle="1" w:styleId="HeaderChar">
    <w:name w:val="Header Char"/>
    <w:basedOn w:val="DefaultParagraphFont"/>
    <w:link w:val="Header"/>
    <w:uiPriority w:val="99"/>
    <w:rPr>
      <w:rFonts w:eastAsiaTheme="minorHAnsi"/>
      <w:sz w:val="24"/>
      <w:szCs w:val="22"/>
      <w:lang w:eastAsia="fr-FR"/>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lang w:eastAsia="fr-FR"/>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4795">
      <w:bodyDiv w:val="1"/>
      <w:marLeft w:val="0"/>
      <w:marRight w:val="0"/>
      <w:marTop w:val="0"/>
      <w:marBottom w:val="0"/>
      <w:divBdr>
        <w:top w:val="none" w:sz="0" w:space="0" w:color="auto"/>
        <w:left w:val="none" w:sz="0" w:space="0" w:color="auto"/>
        <w:bottom w:val="none" w:sz="0" w:space="0" w:color="auto"/>
        <w:right w:val="none" w:sz="0" w:space="0" w:color="auto"/>
      </w:divBdr>
    </w:div>
    <w:div w:id="129058754">
      <w:bodyDiv w:val="1"/>
      <w:marLeft w:val="0"/>
      <w:marRight w:val="0"/>
      <w:marTop w:val="0"/>
      <w:marBottom w:val="0"/>
      <w:divBdr>
        <w:top w:val="none" w:sz="0" w:space="0" w:color="auto"/>
        <w:left w:val="none" w:sz="0" w:space="0" w:color="auto"/>
        <w:bottom w:val="none" w:sz="0" w:space="0" w:color="auto"/>
        <w:right w:val="none" w:sz="0" w:space="0" w:color="auto"/>
      </w:divBdr>
    </w:div>
    <w:div w:id="269511476">
      <w:bodyDiv w:val="1"/>
      <w:marLeft w:val="0"/>
      <w:marRight w:val="0"/>
      <w:marTop w:val="0"/>
      <w:marBottom w:val="0"/>
      <w:divBdr>
        <w:top w:val="none" w:sz="0" w:space="0" w:color="auto"/>
        <w:left w:val="none" w:sz="0" w:space="0" w:color="auto"/>
        <w:bottom w:val="none" w:sz="0" w:space="0" w:color="auto"/>
        <w:right w:val="none" w:sz="0" w:space="0" w:color="auto"/>
      </w:divBdr>
    </w:div>
    <w:div w:id="526875107">
      <w:bodyDiv w:val="1"/>
      <w:marLeft w:val="0"/>
      <w:marRight w:val="0"/>
      <w:marTop w:val="0"/>
      <w:marBottom w:val="0"/>
      <w:divBdr>
        <w:top w:val="none" w:sz="0" w:space="0" w:color="auto"/>
        <w:left w:val="none" w:sz="0" w:space="0" w:color="auto"/>
        <w:bottom w:val="none" w:sz="0" w:space="0" w:color="auto"/>
        <w:right w:val="none" w:sz="0" w:space="0" w:color="auto"/>
      </w:divBdr>
    </w:div>
    <w:div w:id="631600828">
      <w:bodyDiv w:val="1"/>
      <w:marLeft w:val="0"/>
      <w:marRight w:val="0"/>
      <w:marTop w:val="0"/>
      <w:marBottom w:val="0"/>
      <w:divBdr>
        <w:top w:val="none" w:sz="0" w:space="0" w:color="auto"/>
        <w:left w:val="none" w:sz="0" w:space="0" w:color="auto"/>
        <w:bottom w:val="none" w:sz="0" w:space="0" w:color="auto"/>
        <w:right w:val="none" w:sz="0" w:space="0" w:color="auto"/>
      </w:divBdr>
    </w:div>
    <w:div w:id="744688616">
      <w:bodyDiv w:val="1"/>
      <w:marLeft w:val="0"/>
      <w:marRight w:val="0"/>
      <w:marTop w:val="0"/>
      <w:marBottom w:val="0"/>
      <w:divBdr>
        <w:top w:val="none" w:sz="0" w:space="0" w:color="auto"/>
        <w:left w:val="none" w:sz="0" w:space="0" w:color="auto"/>
        <w:bottom w:val="none" w:sz="0" w:space="0" w:color="auto"/>
        <w:right w:val="none" w:sz="0" w:space="0" w:color="auto"/>
      </w:divBdr>
    </w:div>
    <w:div w:id="874540662">
      <w:bodyDiv w:val="1"/>
      <w:marLeft w:val="0"/>
      <w:marRight w:val="0"/>
      <w:marTop w:val="0"/>
      <w:marBottom w:val="0"/>
      <w:divBdr>
        <w:top w:val="none" w:sz="0" w:space="0" w:color="auto"/>
        <w:left w:val="none" w:sz="0" w:space="0" w:color="auto"/>
        <w:bottom w:val="none" w:sz="0" w:space="0" w:color="auto"/>
        <w:right w:val="none" w:sz="0" w:space="0" w:color="auto"/>
      </w:divBdr>
    </w:div>
    <w:div w:id="898131723">
      <w:bodyDiv w:val="1"/>
      <w:marLeft w:val="0"/>
      <w:marRight w:val="0"/>
      <w:marTop w:val="0"/>
      <w:marBottom w:val="0"/>
      <w:divBdr>
        <w:top w:val="none" w:sz="0" w:space="0" w:color="auto"/>
        <w:left w:val="none" w:sz="0" w:space="0" w:color="auto"/>
        <w:bottom w:val="none" w:sz="0" w:space="0" w:color="auto"/>
        <w:right w:val="none" w:sz="0" w:space="0" w:color="auto"/>
      </w:divBdr>
    </w:div>
    <w:div w:id="1288586908">
      <w:bodyDiv w:val="1"/>
      <w:marLeft w:val="0"/>
      <w:marRight w:val="0"/>
      <w:marTop w:val="0"/>
      <w:marBottom w:val="0"/>
      <w:divBdr>
        <w:top w:val="none" w:sz="0" w:space="0" w:color="auto"/>
        <w:left w:val="none" w:sz="0" w:space="0" w:color="auto"/>
        <w:bottom w:val="none" w:sz="0" w:space="0" w:color="auto"/>
        <w:right w:val="none" w:sz="0" w:space="0" w:color="auto"/>
      </w:divBdr>
    </w:div>
    <w:div w:id="1691947953">
      <w:bodyDiv w:val="1"/>
      <w:marLeft w:val="0"/>
      <w:marRight w:val="0"/>
      <w:marTop w:val="0"/>
      <w:marBottom w:val="0"/>
      <w:divBdr>
        <w:top w:val="none" w:sz="0" w:space="0" w:color="auto"/>
        <w:left w:val="none" w:sz="0" w:space="0" w:color="auto"/>
        <w:bottom w:val="none" w:sz="0" w:space="0" w:color="auto"/>
        <w:right w:val="none" w:sz="0" w:space="0" w:color="auto"/>
      </w:divBdr>
    </w:div>
    <w:div w:id="1695381422">
      <w:bodyDiv w:val="1"/>
      <w:marLeft w:val="0"/>
      <w:marRight w:val="0"/>
      <w:marTop w:val="0"/>
      <w:marBottom w:val="0"/>
      <w:divBdr>
        <w:top w:val="none" w:sz="0" w:space="0" w:color="auto"/>
        <w:left w:val="none" w:sz="0" w:space="0" w:color="auto"/>
        <w:bottom w:val="none" w:sz="0" w:space="0" w:color="auto"/>
        <w:right w:val="none" w:sz="0" w:space="0" w:color="auto"/>
      </w:divBdr>
    </w:div>
    <w:div w:id="1725518721">
      <w:bodyDiv w:val="1"/>
      <w:marLeft w:val="0"/>
      <w:marRight w:val="0"/>
      <w:marTop w:val="0"/>
      <w:marBottom w:val="0"/>
      <w:divBdr>
        <w:top w:val="none" w:sz="0" w:space="0" w:color="auto"/>
        <w:left w:val="none" w:sz="0" w:space="0" w:color="auto"/>
        <w:bottom w:val="none" w:sz="0" w:space="0" w:color="auto"/>
        <w:right w:val="none" w:sz="0" w:space="0" w:color="auto"/>
      </w:divBdr>
    </w:div>
    <w:div w:id="1777287212">
      <w:bodyDiv w:val="1"/>
      <w:marLeft w:val="0"/>
      <w:marRight w:val="0"/>
      <w:marTop w:val="0"/>
      <w:marBottom w:val="0"/>
      <w:divBdr>
        <w:top w:val="none" w:sz="0" w:space="0" w:color="auto"/>
        <w:left w:val="none" w:sz="0" w:space="0" w:color="auto"/>
        <w:bottom w:val="none" w:sz="0" w:space="0" w:color="auto"/>
        <w:right w:val="none" w:sz="0" w:space="0" w:color="auto"/>
      </w:divBdr>
    </w:div>
    <w:div w:id="1825969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eur-lex.europa.eu/budget/www/index-fr.htm"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29C4D-9822-4167-B5AD-787AC00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1263</Words>
  <Characters>5991</Characters>
  <Application>Microsoft Office Word</Application>
  <DocSecurity>0</DocSecurity>
  <Lines>285</Lines>
  <Paragraphs>233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7021</CharactersWithSpaces>
  <SharedDoc>false</SharedDoc>
  <HLinks>
    <vt:vector size="6" baseType="variant">
      <vt:variant>
        <vt:i4>5046279</vt:i4>
      </vt:variant>
      <vt:variant>
        <vt:i4>0</vt:i4>
      </vt:variant>
      <vt:variant>
        <vt:i4>0</vt:i4>
      </vt:variant>
      <vt:variant>
        <vt:i4>5</vt:i4>
      </vt:variant>
      <vt:variant>
        <vt:lpwstr>http://eur-lex.europa.eu/budget/www/index-en.htm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22</cp:revision>
  <cp:lastPrinted>2018-04-05T13:21:00Z</cp:lastPrinted>
  <dcterms:created xsi:type="dcterms:W3CDTF">2018-04-06T12:12:00Z</dcterms:created>
  <dcterms:modified xsi:type="dcterms:W3CDTF">2018-04-24T15:57:00Z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