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alt="BA5796E3-9F14-4194-911E-C2654B0E5F54" style="width:450.75pt;height:307.5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rPr>
          <w:noProof/>
        </w:rPr>
      </w:pPr>
      <w:bookmarkStart w:id="1" w:name="_GoBack"/>
      <w:bookmarkEnd w:id="1"/>
      <w:r>
        <w:rPr>
          <w:noProof/>
        </w:rPr>
        <w:lastRenderedPageBreak/>
        <w:t>Като взе предвид:</w:t>
      </w:r>
    </w:p>
    <w:p>
      <w:pPr>
        <w:pStyle w:val="Tiret0"/>
        <w:rPr>
          <w:noProof/>
        </w:rPr>
      </w:pPr>
      <w:r>
        <w:rPr>
          <w:noProof/>
        </w:rPr>
        <w:t>Договора за функционирането на Европейския съюз, и по-специално член 314 от него, във връзка с Договора за създаване на Европейската общност за атомна енергия, и по-специално член 106а от него,</w:t>
      </w:r>
    </w:p>
    <w:p>
      <w:pPr>
        <w:pStyle w:val="Tiret0"/>
        <w:rPr>
          <w:rFonts w:cs="Arial"/>
          <w:noProof/>
          <w:szCs w:val="18"/>
        </w:rPr>
      </w:pPr>
      <w:r>
        <w:rPr>
          <w:noProof/>
        </w:rPr>
        <w:t>Регламент (ЕС, Евратом) № 966/2012 на Европейския парламент и на Съвета от 25 октомври 2012 г. относно финансовите правила, приложими за общия бюджет на Съюза</w:t>
      </w:r>
      <w:r>
        <w:rPr>
          <w:rStyle w:val="FootnoteReference"/>
          <w:noProof/>
        </w:rPr>
        <w:footnoteReference w:id="2"/>
      </w:r>
      <w:r>
        <w:rPr>
          <w:noProof/>
        </w:rPr>
        <w:t>, и по-специално член 18, параграф 3 и член 41 от него,</w:t>
      </w:r>
    </w:p>
    <w:p>
      <w:pPr>
        <w:pStyle w:val="Tiret0"/>
        <w:tabs>
          <w:tab w:val="clear" w:pos="850"/>
          <w:tab w:val="num" w:pos="927"/>
        </w:tabs>
        <w:rPr>
          <w:noProof/>
        </w:rPr>
      </w:pPr>
      <w:r>
        <w:rPr>
          <w:noProof/>
        </w:rPr>
        <w:t>общия бюджет на Европейския съюз за 2018 финансова година, приет на 30 ноември 2017 г.</w:t>
      </w:r>
      <w:r>
        <w:rPr>
          <w:rStyle w:val="FootnoteReference"/>
          <w:noProof/>
        </w:rPr>
        <w:footnoteReference w:id="3"/>
      </w:r>
      <w:r>
        <w:rPr>
          <w:noProof/>
        </w:rPr>
        <w:t>,</w:t>
      </w:r>
    </w:p>
    <w:p>
      <w:pPr>
        <w:pStyle w:val="Tiret0"/>
        <w:tabs>
          <w:tab w:val="clear" w:pos="850"/>
          <w:tab w:val="num" w:pos="927"/>
        </w:tabs>
        <w:rPr>
          <w:noProof/>
        </w:rPr>
      </w:pPr>
      <w:r>
        <w:rPr>
          <w:noProof/>
        </w:rPr>
        <w:t>проект на коригиращ бюджет № 1/2018</w:t>
      </w:r>
      <w:r>
        <w:rPr>
          <w:rStyle w:val="FootnoteReference"/>
          <w:noProof/>
        </w:rPr>
        <w:footnoteReference w:id="4"/>
      </w:r>
      <w:r>
        <w:rPr>
          <w:noProof/>
        </w:rPr>
        <w:t>, приет на 22 февруари 2018 г.,</w:t>
      </w:r>
    </w:p>
    <w:p>
      <w:pPr>
        <w:jc w:val="both"/>
        <w:rPr>
          <w:noProof/>
        </w:rPr>
      </w:pPr>
      <w:r>
        <w:rPr>
          <w:noProof/>
        </w:rPr>
        <w:t>С настоящото Европейската комисия представя на Европейския парламент и на Съвета проект на коригиращ бюджет № 2 към бюджета за 2018 г.</w:t>
      </w:r>
    </w:p>
    <w:p>
      <w:pPr>
        <w:rPr>
          <w:b/>
          <w:noProof/>
          <w:u w:val="single"/>
        </w:rPr>
      </w:pPr>
    </w:p>
    <w:p>
      <w:pPr>
        <w:jc w:val="both"/>
        <w:rPr>
          <w:b/>
          <w:noProof/>
          <w:u w:val="single"/>
        </w:rPr>
      </w:pPr>
      <w:r>
        <w:rPr>
          <w:b/>
          <w:noProof/>
          <w:u w:val="single"/>
        </w:rPr>
        <w:t>ПРОМЕНИ В ПРИХОДНАТА И РАЗХОДНАТА ЧАСТ НА БЮДЖЕТА ПО РАЗДЕЛИ</w:t>
      </w:r>
    </w:p>
    <w:p>
      <w:pPr>
        <w:rPr>
          <w:b/>
          <w:noProof/>
          <w:u w:val="single"/>
        </w:rPr>
      </w:pPr>
    </w:p>
    <w:p>
      <w:pPr>
        <w:jc w:val="both"/>
        <w:rPr>
          <w:noProof/>
        </w:rPr>
      </w:pPr>
      <w:r>
        <w:rPr>
          <w:noProof/>
        </w:rPr>
        <w:t>Промените в приходната и разходната част на бюджета по раздели са достъпни в EUR-Lex (</w:t>
      </w:r>
      <w:hyperlink r:id="rId16">
        <w:r>
          <w:rPr>
            <w:rStyle w:val="Hyperlink"/>
            <w:noProof/>
            <w:color w:val="auto"/>
          </w:rPr>
          <w:t>http://eur-lex.europa.eu/budget/www/index-bg.htm</w:t>
        </w:r>
      </w:hyperlink>
      <w:r>
        <w:rPr>
          <w:noProof/>
        </w:rPr>
        <w:t>). За информация като бюджетно приложение се прилага версия на английски език на промените в тези части.</w:t>
      </w:r>
    </w:p>
    <w:p>
      <w:pPr>
        <w:rPr>
          <w:noProof/>
        </w:rPr>
        <w:sectPr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Exposdesmotifstitre"/>
        <w:rPr>
          <w:noProof/>
        </w:rPr>
      </w:pPr>
      <w:bookmarkStart w:id="2" w:name="_Toc194220890"/>
      <w:bookmarkStart w:id="3" w:name="_Toc294675429"/>
      <w:bookmarkStart w:id="4" w:name="_Toc378575883"/>
      <w:r>
        <w:rPr>
          <w:noProof/>
        </w:rPr>
        <w:t>ОБЯСНИТЕЛЕН МЕМОРАНДУМ</w:t>
      </w:r>
    </w:p>
    <w:p>
      <w:pPr>
        <w:jc w:val="both"/>
        <w:rPr>
          <w:noProof/>
        </w:rPr>
      </w:pPr>
      <w:r>
        <w:rPr>
          <w:noProof/>
        </w:rPr>
        <w:t>Проект на коригиращ бюджет (ПКБ) № 2/2018 има за цел да бъде включен в бюджета за 2018 г. излишъкът в резултат на изпълнението на 2017 бюджетна година. Както е предвидено в член 18, параграф 3 от Финансовия регламент, приложим за общия бюджет на Съюза</w:t>
      </w:r>
      <w:r>
        <w:rPr>
          <w:noProof/>
          <w:vertAlign w:val="superscript"/>
        </w:rPr>
        <w:footnoteReference w:id="5"/>
      </w:r>
      <w:r>
        <w:rPr>
          <w:noProof/>
        </w:rPr>
        <w:t>, излишъкът е единственият предмет на настоящия ПКБ и той трябва да бъде внесен в срок от 15 дни след внасянето на междинните отчети в края на март 2018 г.</w:t>
      </w:r>
    </w:p>
    <w:p>
      <w:pPr>
        <w:pStyle w:val="NumPar1"/>
        <w:rPr>
          <w:noProof/>
          <w:color w:val="000000"/>
        </w:rPr>
      </w:pPr>
      <w:r>
        <w:rPr>
          <w:noProof/>
        </w:rPr>
        <w:t>Изпълнението на 2017 бюджетна година показва излишък в размер на 555 542 325 EUR, който следователно се записва като приход в бюджета за 2018 г.</w:t>
      </w:r>
    </w:p>
    <w:p>
      <w:pPr>
        <w:pStyle w:val="NumPar1"/>
        <w:numPr>
          <w:ilvl w:val="0"/>
          <w:numId w:val="0"/>
        </w:numPr>
        <w:spacing w:after="0"/>
        <w:ind w:left="5954"/>
        <w:rPr>
          <w:i/>
          <w:noProof/>
          <w:sz w:val="20"/>
          <w:szCs w:val="20"/>
        </w:rPr>
      </w:pPr>
      <w:r>
        <w:rPr>
          <w:i/>
          <w:noProof/>
          <w:sz w:val="20"/>
        </w:rPr>
        <w:t>(в евро)</w:t>
      </w:r>
    </w:p>
    <w:tbl>
      <w:tblPr>
        <w:tblW w:w="3716" w:type="dxa"/>
        <w:jc w:val="center"/>
        <w:tblLook w:val="04A0" w:firstRow="1" w:lastRow="0" w:firstColumn="1" w:lastColumn="0" w:noHBand="0" w:noVBand="1"/>
      </w:tblPr>
      <w:tblGrid>
        <w:gridCol w:w="2159"/>
        <w:gridCol w:w="1557"/>
      </w:tblGrid>
      <w:tr>
        <w:trPr>
          <w:trHeight w:val="570"/>
          <w:jc w:val="center"/>
        </w:trPr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Разбивка на резултата от изпълнението на бюджета за 2017 г.</w:t>
            </w:r>
          </w:p>
        </w:tc>
      </w:tr>
      <w:tr>
        <w:trPr>
          <w:trHeight w:val="270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 xml:space="preserve">Излишък при приходите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338 578 242</w:t>
            </w:r>
          </w:p>
        </w:tc>
      </w:tr>
      <w:tr>
        <w:trPr>
          <w:trHeight w:val="270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Излишък при разходите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216 964 083</w:t>
            </w:r>
          </w:p>
        </w:tc>
      </w:tr>
      <w:tr>
        <w:trPr>
          <w:trHeight w:val="270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Общо излишък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>
            <w:pPr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555 542 325</w:t>
            </w:r>
          </w:p>
        </w:tc>
      </w:tr>
    </w:tbl>
    <w:bookmarkEnd w:id="2"/>
    <w:p>
      <w:pPr>
        <w:pStyle w:val="NumPar1"/>
        <w:rPr>
          <w:noProof/>
        </w:rPr>
      </w:pPr>
      <w:r>
        <w:rPr>
          <w:noProof/>
        </w:rPr>
        <w:t>Включването на излишъка в бюджета ще намали в съответната степен общото финансово участие на държавите членки във финансирането на бюджета за 2018 г. Вноските на държавите членки ще бъдат повлияни и от актуализираната прогноза за собствените ресурси (традиционни собствени ресурси (ТСР), данък върху добавената стойност (ДДС) и брутен национален доход (БНД)), включително от актуализирания размер на корекцията за Обединеното кралство, който ще стане известен след срещата на Консултативния комитет по собствените ресурси през май 2018 г. и ще бъде включен в следващ проект на коригиращ бюджет.</w:t>
      </w:r>
    </w:p>
    <w:p>
      <w:pPr>
        <w:pStyle w:val="NumPar1"/>
        <w:spacing w:before="240" w:after="0"/>
        <w:ind w:left="851" w:hanging="851"/>
        <w:rPr>
          <w:noProof/>
        </w:rPr>
      </w:pPr>
      <w:r>
        <w:rPr>
          <w:noProof/>
        </w:rPr>
        <w:t>Таблицата по-долу представя разбивка на резултата от изпълнението на бюджета за 2017 г. от гледна точка на изпълнението на приходите:</w:t>
      </w:r>
    </w:p>
    <w:p>
      <w:pPr>
        <w:pStyle w:val="NumPar1"/>
        <w:numPr>
          <w:ilvl w:val="0"/>
          <w:numId w:val="0"/>
        </w:numPr>
        <w:spacing w:after="0"/>
        <w:ind w:left="850" w:hanging="850"/>
        <w:jc w:val="right"/>
        <w:rPr>
          <w:i/>
          <w:noProof/>
          <w:sz w:val="20"/>
          <w:szCs w:val="20"/>
        </w:rPr>
      </w:pPr>
      <w:r>
        <w:rPr>
          <w:i/>
          <w:noProof/>
          <w:sz w:val="20"/>
        </w:rPr>
        <w:t>(в евро)</w:t>
      </w:r>
    </w:p>
    <w:tbl>
      <w:tblPr>
        <w:tblW w:w="9926" w:type="dxa"/>
        <w:tblInd w:w="93" w:type="dxa"/>
        <w:tblLook w:val="04A0" w:firstRow="1" w:lastRow="0" w:firstColumn="1" w:lastColumn="0" w:noHBand="0" w:noVBand="1"/>
      </w:tblPr>
      <w:tblGrid>
        <w:gridCol w:w="377"/>
        <w:gridCol w:w="4883"/>
        <w:gridCol w:w="1555"/>
        <w:gridCol w:w="1555"/>
        <w:gridCol w:w="1556"/>
      </w:tblGrid>
      <w:tr>
        <w:trPr>
          <w:trHeight w:val="51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Разбивка на резултата от изпълнението на бюджета за 2017 г.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Бюджет</w:t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br/>
            </w:r>
            <w:r>
              <w:rPr>
                <w:b/>
                <w:noProof/>
                <w:color w:val="000000"/>
                <w:sz w:val="18"/>
              </w:rPr>
              <w:t>(вкл. КБ1—6)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Резултат от изпълнението на бюджета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Промяна</w:t>
            </w:r>
          </w:p>
        </w:tc>
      </w:tr>
      <w:tr>
        <w:trPr>
          <w:trHeight w:val="27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Междинна сума на приходите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126 770 711 153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127 109 289 395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338 578 242</w:t>
            </w:r>
          </w:p>
        </w:tc>
      </w:tr>
      <w:tr>
        <w:trPr>
          <w:trHeight w:val="270"/>
        </w:trPr>
        <w:tc>
          <w:tcPr>
            <w:tcW w:w="37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—</w:t>
            </w:r>
          </w:p>
        </w:tc>
        <w:tc>
          <w:tcPr>
            <w:tcW w:w="488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Дял 1 — Собствени ресурси</w:t>
            </w: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115 483 788 464</w:t>
            </w: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115 415 936 798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-67 851 666</w:t>
            </w:r>
          </w:p>
        </w:tc>
      </w:tr>
      <w:tr>
        <w:trPr>
          <w:trHeight w:val="270"/>
        </w:trPr>
        <w:tc>
          <w:tcPr>
            <w:tcW w:w="37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 </w:t>
            </w:r>
          </w:p>
        </w:tc>
        <w:tc>
          <w:tcPr>
            <w:tcW w:w="488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Налози и други задължения в сектора на захарта</w:t>
            </w: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133 300 000</w:t>
            </w: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133 705 778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405 778</w:t>
            </w:r>
          </w:p>
        </w:tc>
      </w:tr>
      <w:tr>
        <w:trPr>
          <w:trHeight w:val="270"/>
        </w:trPr>
        <w:tc>
          <w:tcPr>
            <w:tcW w:w="37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 </w:t>
            </w:r>
          </w:p>
        </w:tc>
        <w:tc>
          <w:tcPr>
            <w:tcW w:w="488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Мита</w:t>
            </w: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20 374 000 000</w:t>
            </w: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20 325 353 382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-48 646 618</w:t>
            </w:r>
          </w:p>
        </w:tc>
      </w:tr>
      <w:tr>
        <w:trPr>
          <w:trHeight w:val="270"/>
        </w:trPr>
        <w:tc>
          <w:tcPr>
            <w:tcW w:w="37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 </w:t>
            </w:r>
          </w:p>
        </w:tc>
        <w:tc>
          <w:tcPr>
            <w:tcW w:w="488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Собствени ресурси от ДДС</w:t>
            </w: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16 620 148 350</w:t>
            </w: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16 584 027 142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-36 121 208</w:t>
            </w:r>
          </w:p>
        </w:tc>
      </w:tr>
      <w:tr>
        <w:trPr>
          <w:trHeight w:val="270"/>
        </w:trPr>
        <w:tc>
          <w:tcPr>
            <w:tcW w:w="37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 </w:t>
            </w:r>
          </w:p>
        </w:tc>
        <w:tc>
          <w:tcPr>
            <w:tcW w:w="488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Собствени ресурси на база БНД</w:t>
            </w: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78 356 340 114</w:t>
            </w: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78 279 403 346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-76 936 768</w:t>
            </w:r>
          </w:p>
        </w:tc>
      </w:tr>
      <w:tr>
        <w:trPr>
          <w:trHeight w:val="270"/>
        </w:trPr>
        <w:tc>
          <w:tcPr>
            <w:tcW w:w="37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 </w:t>
            </w:r>
          </w:p>
        </w:tc>
        <w:tc>
          <w:tcPr>
            <w:tcW w:w="488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Корекция на бюджетните дисбаланси, предоставена на Обединеното кралство</w:t>
            </w: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93 838 118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93 838 118</w:t>
            </w:r>
          </w:p>
        </w:tc>
      </w:tr>
      <w:tr>
        <w:trPr>
          <w:trHeight w:val="270"/>
        </w:trPr>
        <w:tc>
          <w:tcPr>
            <w:tcW w:w="37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 </w:t>
            </w:r>
          </w:p>
        </w:tc>
        <w:tc>
          <w:tcPr>
            <w:tcW w:w="488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Брутно намаление на годишната вноска на база БНД, предоставено на определени държави членки</w:t>
            </w: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-390 968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-390 968</w:t>
            </w:r>
          </w:p>
        </w:tc>
      </w:tr>
      <w:tr>
        <w:trPr>
          <w:trHeight w:val="270"/>
        </w:trPr>
        <w:tc>
          <w:tcPr>
            <w:tcW w:w="37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—</w:t>
            </w:r>
          </w:p>
        </w:tc>
        <w:tc>
          <w:tcPr>
            <w:tcW w:w="488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Дял 3 — Излишъци, салда и корекции</w:t>
            </w: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6 404 529 791</w:t>
            </w: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6 416 271 649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11 741 858</w:t>
            </w:r>
          </w:p>
        </w:tc>
      </w:tr>
      <w:tr>
        <w:trPr>
          <w:trHeight w:val="270"/>
        </w:trPr>
        <w:tc>
          <w:tcPr>
            <w:tcW w:w="37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—</w:t>
            </w:r>
          </w:p>
        </w:tc>
        <w:tc>
          <w:tcPr>
            <w:tcW w:w="488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Дял 4 — Лица, работещи в институциите</w:t>
            </w: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1 490 262 072</w:t>
            </w: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1 485 257 588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-5 004 484</w:t>
            </w:r>
          </w:p>
        </w:tc>
      </w:tr>
      <w:tr>
        <w:trPr>
          <w:trHeight w:val="270"/>
        </w:trPr>
        <w:tc>
          <w:tcPr>
            <w:tcW w:w="37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—</w:t>
            </w:r>
          </w:p>
        </w:tc>
        <w:tc>
          <w:tcPr>
            <w:tcW w:w="488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Дял 5 — Административна дейност на институциите</w:t>
            </w: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70 200 866</w:t>
            </w: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26 114 195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-44 086 671</w:t>
            </w:r>
          </w:p>
        </w:tc>
      </w:tr>
      <w:tr>
        <w:trPr>
          <w:trHeight w:val="270"/>
        </w:trPr>
        <w:tc>
          <w:tcPr>
            <w:tcW w:w="37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—</w:t>
            </w:r>
          </w:p>
        </w:tc>
        <w:tc>
          <w:tcPr>
            <w:tcW w:w="488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Дял 6 — Възстановявания във връзка със споразумения и програми на Съюза</w:t>
            </w: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60 000 000</w:t>
            </w: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157 090 216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97 090 216</w:t>
            </w:r>
          </w:p>
        </w:tc>
      </w:tr>
      <w:tr>
        <w:trPr>
          <w:trHeight w:val="270"/>
        </w:trPr>
        <w:tc>
          <w:tcPr>
            <w:tcW w:w="37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—</w:t>
            </w:r>
          </w:p>
        </w:tc>
        <w:tc>
          <w:tcPr>
            <w:tcW w:w="488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Дял 7 — Лихви за забава и глоби</w:t>
            </w: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3 230 000 000</w:t>
            </w: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3 572 609 579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342 609 579</w:t>
            </w:r>
          </w:p>
        </w:tc>
      </w:tr>
      <w:tr>
        <w:trPr>
          <w:trHeight w:val="270"/>
        </w:trPr>
        <w:tc>
          <w:tcPr>
            <w:tcW w:w="37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—</w:t>
            </w:r>
          </w:p>
        </w:tc>
        <w:tc>
          <w:tcPr>
            <w:tcW w:w="488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Дял 8 — Операции по получаване и отпускане на заеми</w:t>
            </w: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6 928 960</w:t>
            </w: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28 396 476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21 467 516</w:t>
            </w:r>
          </w:p>
        </w:tc>
      </w:tr>
      <w:tr>
        <w:trPr>
          <w:trHeight w:val="27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—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Дял 9 — Други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25 001 000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7 612 894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-17 388 106</w:t>
            </w:r>
          </w:p>
        </w:tc>
      </w:tr>
    </w:tbl>
    <w:bookmarkEnd w:id="3"/>
    <w:bookmarkEnd w:id="4"/>
    <w:p>
      <w:pPr>
        <w:pStyle w:val="NumPar1"/>
        <w:rPr>
          <w:noProof/>
        </w:rPr>
      </w:pPr>
      <w:r>
        <w:rPr>
          <w:noProof/>
        </w:rPr>
        <w:t>Разликите в дял 1 (Собствени ресурси) представляват 0,06 % от прогнозата. Те включват с 48 милиона евро по-малко приходи от традиционните собствени ресурси (събрани са 99,8 % от прогнозните средства) и 20 милиона евро, които са следствие от колебанията в обменните курсове (тъй като собствените ресурси се плащат в националната валута, но се записват в бюджета и се отчитат в евро). В дял 3 (Излишъци, салда и корекции), който е свързан с корекциите на собствените ресурси, разликата е ограничена до 11 милиона евро.</w:t>
      </w:r>
    </w:p>
    <w:p>
      <w:pPr>
        <w:pStyle w:val="NumPar1"/>
        <w:spacing w:before="240" w:after="240"/>
        <w:ind w:left="851" w:hanging="851"/>
        <w:rPr>
          <w:noProof/>
        </w:rPr>
      </w:pPr>
      <w:r>
        <w:rPr>
          <w:noProof/>
        </w:rPr>
        <w:t>Най-голямата разлика (343 милиона евро) се намира в дял 7 (Лихви за забава и глоби).</w:t>
      </w:r>
      <w:r>
        <w:rPr>
          <w:i/>
          <w:noProof/>
        </w:rPr>
        <w:t xml:space="preserve"> </w:t>
      </w:r>
      <w:r>
        <w:rPr>
          <w:noProof/>
        </w:rPr>
        <w:t>Резултатът от изпълнението на бюджета включва 3 273 милиона евро глоби от областта на конкуренцията и 300 милиона евро, свързани с лихви за забава, други имуществени санкции и лихви, свързани с глоби и имуществени санкции.</w:t>
      </w:r>
    </w:p>
    <w:p>
      <w:pPr>
        <w:pStyle w:val="NumPar1"/>
        <w:spacing w:before="240" w:after="0"/>
        <w:ind w:left="851" w:hanging="851"/>
        <w:rPr>
          <w:noProof/>
        </w:rPr>
      </w:pPr>
      <w:r>
        <w:rPr>
          <w:noProof/>
        </w:rPr>
        <w:t>Таблицата по-долу представя разбивка на резултата от изпълнението на бюджета за 2017 г. от гледна точка на бюджетното изпълнение разходите за всички институции:</w:t>
      </w:r>
    </w:p>
    <w:p>
      <w:pPr>
        <w:pStyle w:val="NumPar1"/>
        <w:numPr>
          <w:ilvl w:val="0"/>
          <w:numId w:val="0"/>
        </w:numPr>
        <w:spacing w:after="0"/>
        <w:ind w:left="850" w:hanging="850"/>
        <w:jc w:val="right"/>
        <w:rPr>
          <w:i/>
          <w:noProof/>
          <w:sz w:val="20"/>
          <w:szCs w:val="20"/>
        </w:rPr>
      </w:pPr>
      <w:r>
        <w:rPr>
          <w:i/>
          <w:noProof/>
          <w:sz w:val="20"/>
        </w:rPr>
        <w:t>(в евро)</w:t>
      </w:r>
    </w:p>
    <w:tbl>
      <w:tblPr>
        <w:tblW w:w="9941" w:type="dxa"/>
        <w:jc w:val="right"/>
        <w:tblLook w:val="04A0" w:firstRow="1" w:lastRow="0" w:firstColumn="1" w:lastColumn="0" w:noHBand="0" w:noVBand="1"/>
      </w:tblPr>
      <w:tblGrid>
        <w:gridCol w:w="377"/>
        <w:gridCol w:w="4898"/>
        <w:gridCol w:w="1555"/>
        <w:gridCol w:w="1555"/>
        <w:gridCol w:w="1556"/>
      </w:tblGrid>
      <w:tr>
        <w:trPr>
          <w:trHeight w:val="510"/>
          <w:jc w:val="right"/>
        </w:trPr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Разбивка на резултата от изпълнението на бюджета за 2017 г.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Бюджет</w:t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br/>
            </w:r>
            <w:r>
              <w:rPr>
                <w:b/>
                <w:noProof/>
                <w:color w:val="000000"/>
                <w:sz w:val="18"/>
              </w:rPr>
              <w:t>(вкл. КБ1—6)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Резултат от изпълнението на бюджета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Промяна</w:t>
            </w:r>
          </w:p>
        </w:tc>
      </w:tr>
      <w:tr>
        <w:trPr>
          <w:trHeight w:val="270"/>
          <w:jc w:val="right"/>
        </w:trPr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0E0E0"/>
            <w:vAlign w:val="center"/>
            <w:hideMark/>
          </w:tcPr>
          <w:p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Междинна сума на разходите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126 770 711 153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126 553 747 069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-216 964 083</w:t>
            </w:r>
          </w:p>
        </w:tc>
      </w:tr>
      <w:tr>
        <w:trPr>
          <w:trHeight w:val="270"/>
          <w:jc w:val="right"/>
        </w:trPr>
        <w:tc>
          <w:tcPr>
            <w:tcW w:w="5275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Резултат за разрешените бюджетни кредити в бюджета</w:t>
            </w: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126 770 711 153</w:t>
            </w: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126 486 573 860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-284 137 292</w:t>
            </w:r>
          </w:p>
        </w:tc>
      </w:tr>
      <w:tr>
        <w:trPr>
          <w:trHeight w:val="270"/>
          <w:jc w:val="right"/>
        </w:trPr>
        <w:tc>
          <w:tcPr>
            <w:tcW w:w="37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—</w:t>
            </w:r>
          </w:p>
        </w:tc>
        <w:tc>
          <w:tcPr>
            <w:tcW w:w="48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Европейска комисия</w:t>
            </w: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122 849 648 693</w:t>
            </w: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122 648 159 028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-201 489 665</w:t>
            </w:r>
          </w:p>
        </w:tc>
      </w:tr>
      <w:tr>
        <w:trPr>
          <w:trHeight w:val="270"/>
          <w:jc w:val="right"/>
        </w:trPr>
        <w:tc>
          <w:tcPr>
            <w:tcW w:w="37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Функция 1а — Конкурентоспособност за растеж и работни места</w:t>
            </w: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20 064 937 314</w:t>
            </w: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20 053 126 487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-11 810 827</w:t>
            </w:r>
          </w:p>
        </w:tc>
      </w:tr>
      <w:tr>
        <w:trPr>
          <w:trHeight w:val="270"/>
          <w:jc w:val="right"/>
        </w:trPr>
        <w:tc>
          <w:tcPr>
            <w:tcW w:w="37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Функция 1б — Икономическо, социално и териториално сближаване</w:t>
            </w: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29 775 078 105</w:t>
            </w: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29 766 215 736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-8 862 370</w:t>
            </w:r>
          </w:p>
        </w:tc>
      </w:tr>
      <w:tr>
        <w:trPr>
          <w:trHeight w:val="270"/>
          <w:jc w:val="right"/>
        </w:trPr>
        <w:tc>
          <w:tcPr>
            <w:tcW w:w="37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Функция 2 — Устойчив растеж: природни ресурси</w:t>
            </w: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54 467 015 484</w:t>
            </w: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54 450 165 619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-16 849 864</w:t>
            </w:r>
          </w:p>
        </w:tc>
      </w:tr>
      <w:tr>
        <w:trPr>
          <w:trHeight w:val="270"/>
          <w:jc w:val="right"/>
        </w:trPr>
        <w:tc>
          <w:tcPr>
            <w:tcW w:w="37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Функция 3 — Сигурност и гражданство</w:t>
            </w: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2 793 205 540</w:t>
            </w: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2 782 591 803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-10 613 736</w:t>
            </w:r>
          </w:p>
        </w:tc>
      </w:tr>
      <w:tr>
        <w:trPr>
          <w:trHeight w:val="270"/>
          <w:jc w:val="right"/>
        </w:trPr>
        <w:tc>
          <w:tcPr>
            <w:tcW w:w="37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Функция 4 – Глобална Европа</w:t>
            </w: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8 937 589 174</w:t>
            </w: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8 925 596 636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-11 992 537</w:t>
            </w:r>
          </w:p>
        </w:tc>
      </w:tr>
      <w:tr>
        <w:trPr>
          <w:trHeight w:val="270"/>
          <w:jc w:val="right"/>
        </w:trPr>
        <w:tc>
          <w:tcPr>
            <w:tcW w:w="37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Функция 5 — Администрация</w:t>
            </w: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5 471 071 063</w:t>
            </w: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5 428 991 135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-42 079 928</w:t>
            </w:r>
          </w:p>
        </w:tc>
      </w:tr>
      <w:tr>
        <w:trPr>
          <w:trHeight w:val="270"/>
          <w:jc w:val="right"/>
        </w:trPr>
        <w:tc>
          <w:tcPr>
            <w:tcW w:w="37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Други специални инструменти</w:t>
            </w: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1 340 752 013</w:t>
            </w: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1 241 471 611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-99 280 402</w:t>
            </w:r>
          </w:p>
        </w:tc>
      </w:tr>
      <w:tr>
        <w:trPr>
          <w:trHeight w:val="270"/>
          <w:jc w:val="right"/>
        </w:trPr>
        <w:tc>
          <w:tcPr>
            <w:tcW w:w="37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—</w:t>
            </w:r>
          </w:p>
        </w:tc>
        <w:tc>
          <w:tcPr>
            <w:tcW w:w="48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Други институции</w:t>
            </w: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3 921 062 460</w:t>
            </w: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3 838 414 833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-82 647 627</w:t>
            </w:r>
          </w:p>
        </w:tc>
      </w:tr>
      <w:tr>
        <w:trPr>
          <w:trHeight w:val="270"/>
          <w:jc w:val="right"/>
        </w:trPr>
        <w:tc>
          <w:tcPr>
            <w:tcW w:w="37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Европейски парламент</w:t>
            </w: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1 909 590 000</w:t>
            </w: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1 889 574 057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-20 015 943</w:t>
            </w:r>
          </w:p>
        </w:tc>
      </w:tr>
      <w:tr>
        <w:trPr>
          <w:trHeight w:val="270"/>
          <w:jc w:val="right"/>
        </w:trPr>
        <w:tc>
          <w:tcPr>
            <w:tcW w:w="37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Съвет и Европейски съвет</w:t>
            </w: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561 576 000</w:t>
            </w: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517 762 473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-43 813 527</w:t>
            </w:r>
          </w:p>
        </w:tc>
      </w:tr>
      <w:tr>
        <w:trPr>
          <w:trHeight w:val="270"/>
          <w:jc w:val="right"/>
        </w:trPr>
        <w:tc>
          <w:tcPr>
            <w:tcW w:w="37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Съд на Европейския съюз</w:t>
            </w: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399 344 000</w:t>
            </w: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394 095 585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-5 248 415</w:t>
            </w:r>
          </w:p>
        </w:tc>
      </w:tr>
      <w:tr>
        <w:trPr>
          <w:trHeight w:val="270"/>
          <w:jc w:val="right"/>
        </w:trPr>
        <w:tc>
          <w:tcPr>
            <w:tcW w:w="37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Европейска сметна палата</w:t>
            </w: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141 240 000</w:t>
            </w: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138 039 689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-3 200 311</w:t>
            </w:r>
          </w:p>
        </w:tc>
      </w:tr>
      <w:tr>
        <w:trPr>
          <w:trHeight w:val="270"/>
          <w:jc w:val="right"/>
        </w:trPr>
        <w:tc>
          <w:tcPr>
            <w:tcW w:w="37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Европейски икономически и социален комитет</w:t>
            </w: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133 807 338</w:t>
            </w: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129 096 473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-4 710 865</w:t>
            </w:r>
          </w:p>
        </w:tc>
      </w:tr>
      <w:tr>
        <w:trPr>
          <w:trHeight w:val="270"/>
          <w:jc w:val="right"/>
        </w:trPr>
        <w:tc>
          <w:tcPr>
            <w:tcW w:w="37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Комитет на регионите</w:t>
            </w: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93 294 946</w:t>
            </w: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91 463 960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-1 830 986</w:t>
            </w:r>
          </w:p>
        </w:tc>
      </w:tr>
      <w:tr>
        <w:trPr>
          <w:trHeight w:val="270"/>
          <w:jc w:val="right"/>
        </w:trPr>
        <w:tc>
          <w:tcPr>
            <w:tcW w:w="37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Европейски омбудсман</w:t>
            </w: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10 905 441</w:t>
            </w: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10 241 301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-664 140</w:t>
            </w:r>
          </w:p>
        </w:tc>
      </w:tr>
      <w:tr>
        <w:trPr>
          <w:trHeight w:val="270"/>
          <w:jc w:val="right"/>
        </w:trPr>
        <w:tc>
          <w:tcPr>
            <w:tcW w:w="37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Европейски надзорен орган по защита на данните</w:t>
            </w: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11 324 735</w:t>
            </w: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10 075 534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-1 249 201</w:t>
            </w:r>
          </w:p>
        </w:tc>
      </w:tr>
      <w:tr>
        <w:trPr>
          <w:trHeight w:val="270"/>
          <w:jc w:val="right"/>
        </w:trPr>
        <w:tc>
          <w:tcPr>
            <w:tcW w:w="37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Европейска служба за външна дейност</w:t>
            </w: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659 980 000</w:t>
            </w: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658 065 760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outlineLvl w:val="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noProof/>
                <w:color w:val="000000"/>
                <w:sz w:val="16"/>
              </w:rPr>
              <w:t>-1 914 240</w:t>
            </w:r>
          </w:p>
        </w:tc>
      </w:tr>
      <w:tr>
        <w:trPr>
          <w:trHeight w:val="270"/>
          <w:jc w:val="right"/>
        </w:trPr>
        <w:tc>
          <w:tcPr>
            <w:tcW w:w="527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Отмяна на бюджетни кредити, пренесени от предходни години</w:t>
            </w: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-99 258 260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-99 258 260</w:t>
            </w:r>
          </w:p>
        </w:tc>
      </w:tr>
      <w:tr>
        <w:trPr>
          <w:trHeight w:val="270"/>
          <w:jc w:val="right"/>
        </w:trPr>
        <w:tc>
          <w:tcPr>
            <w:tcW w:w="37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—</w:t>
            </w:r>
          </w:p>
        </w:tc>
        <w:tc>
          <w:tcPr>
            <w:tcW w:w="48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Европейска комисия</w:t>
            </w: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-53 513 927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-53 513 927</w:t>
            </w:r>
          </w:p>
        </w:tc>
      </w:tr>
      <w:tr>
        <w:trPr>
          <w:trHeight w:val="270"/>
          <w:jc w:val="right"/>
        </w:trPr>
        <w:tc>
          <w:tcPr>
            <w:tcW w:w="37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—</w:t>
            </w:r>
          </w:p>
        </w:tc>
        <w:tc>
          <w:tcPr>
            <w:tcW w:w="48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Други институции</w:t>
            </w: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-45 744 333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-45 744 333</w:t>
            </w:r>
          </w:p>
        </w:tc>
      </w:tr>
      <w:tr>
        <w:trPr>
          <w:trHeight w:val="270"/>
          <w:jc w:val="right"/>
        </w:trPr>
        <w:tc>
          <w:tcPr>
            <w:tcW w:w="527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Колебания в обменните курсове при разходите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166 431 469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166 431 469</w:t>
            </w:r>
          </w:p>
        </w:tc>
      </w:tr>
    </w:tbl>
    <w:p>
      <w:pPr>
        <w:pStyle w:val="NumPar1"/>
        <w:spacing w:before="240" w:after="240"/>
        <w:ind w:left="851" w:hanging="851"/>
        <w:rPr>
          <w:noProof/>
        </w:rPr>
      </w:pPr>
      <w:r>
        <w:rPr>
          <w:noProof/>
        </w:rPr>
        <w:t>Изпълнението от Комисията достигна 99,9 % от разрешените бюджетни кредити за плащания. Неусвоената сума бе 201 милиона евро, от които 99 милиона евро от резерва за спешна помощ.</w:t>
      </w:r>
    </w:p>
    <w:p>
      <w:pPr>
        <w:pStyle w:val="NumPar1"/>
        <w:spacing w:before="240" w:after="240"/>
        <w:ind w:left="851" w:hanging="851"/>
        <w:rPr>
          <w:noProof/>
        </w:rPr>
      </w:pPr>
      <w:r>
        <w:rPr>
          <w:noProof/>
        </w:rPr>
        <w:t>Непълното усвояване при другите институции в размер на 83 милиона евро бе по-ниско в сравнение с предишните две години (103 милиона евро през 2016 г. и 94 милиона евро през 2015 г.).</w:t>
      </w:r>
    </w:p>
    <w:sectPr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  <w:endnote w:type="continuationNotice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spacing w:before="0"/>
      <w:ind w:left="-851" w:right="-851"/>
      <w:rPr>
        <w:rFonts w:ascii="Arial" w:hAnsi="Arial" w:cs="Arial"/>
        <w:b/>
        <w:sz w:val="48"/>
      </w:rPr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spacing w:before="0"/>
      <w:ind w:left="-851" w:right="-851"/>
      <w:rPr>
        <w:rFonts w:ascii="Arial" w:hAnsi="Arial" w:cs="Arial"/>
        <w:b/>
        <w:sz w:val="48"/>
      </w:rPr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fldChar w:fldCharType="end"/>
    </w:r>
    <w:r>
      <w:tab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1">
    <w:p/>
  </w:footnote>
  <w:footnote w:id="2">
    <w:p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ab/>
      </w:r>
      <w:r>
        <w:rPr>
          <w:sz w:val="18"/>
        </w:rPr>
        <w:t>ОВ L 298, 26.10.2012 г., стр. 1.</w:t>
      </w:r>
    </w:p>
  </w:footnote>
  <w:footnote w:id="3">
    <w:p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>.</w:t>
      </w:r>
      <w:r>
        <w:tab/>
      </w:r>
      <w:r>
        <w:rPr>
          <w:sz w:val="18"/>
        </w:rPr>
        <w:t>ОВ L 57, 28.2.2018 г., стр. 1.</w:t>
      </w:r>
    </w:p>
  </w:footnote>
  <w:footnote w:id="4">
    <w:p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sz w:val="18"/>
        </w:rPr>
        <w:t>COM(2018) 155.</w:t>
      </w:r>
    </w:p>
  </w:footnote>
  <w:footnote w:id="5">
    <w:p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ab/>
      </w:r>
      <w:r>
        <w:rPr>
          <w:sz w:val="18"/>
        </w:rPr>
        <w:t>ОВ L 298, 26.10.2012 г., стр. 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rPr>
        <w:sz w:val="2"/>
        <w:szCs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9BA72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7ED41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A856D4"/>
    <w:multiLevelType w:val="hybridMultilevel"/>
    <w:tmpl w:val="B07CF3C4"/>
    <w:lvl w:ilvl="0" w:tplc="3D900F3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54526B"/>
    <w:multiLevelType w:val="hybridMultilevel"/>
    <w:tmpl w:val="18D88870"/>
    <w:lvl w:ilvl="0" w:tplc="8A36BA8C">
      <w:numFmt w:val="bullet"/>
      <w:lvlText w:val="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01886"/>
    <w:multiLevelType w:val="hybridMultilevel"/>
    <w:tmpl w:val="FBA0B950"/>
    <w:lvl w:ilvl="0" w:tplc="D1CAE414"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F20AC0"/>
    <w:multiLevelType w:val="hybridMultilevel"/>
    <w:tmpl w:val="32B0E5D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936C33"/>
    <w:multiLevelType w:val="hybridMultilevel"/>
    <w:tmpl w:val="4036C0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795CFC"/>
    <w:multiLevelType w:val="hybridMultilevel"/>
    <w:tmpl w:val="D988CAF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027E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9">
    <w:nsid w:val="2F78565E"/>
    <w:multiLevelType w:val="hybridMultilevel"/>
    <w:tmpl w:val="3F76E56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1246D7F"/>
    <w:multiLevelType w:val="hybridMultilevel"/>
    <w:tmpl w:val="E1EA8208"/>
    <w:lvl w:ilvl="0" w:tplc="94027E84">
      <w:start w:val="1"/>
      <w:numFmt w:val="bullet"/>
      <w:lvlText w:val="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A52C4F"/>
    <w:multiLevelType w:val="singleLevel"/>
    <w:tmpl w:val="CEFC5A2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">
    <w:nsid w:val="33BE45BD"/>
    <w:multiLevelType w:val="hybridMultilevel"/>
    <w:tmpl w:val="6D2219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027E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EA3932"/>
    <w:multiLevelType w:val="hybridMultilevel"/>
    <w:tmpl w:val="FA52BE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5">
    <w:nsid w:val="3F090162"/>
    <w:multiLevelType w:val="hybridMultilevel"/>
    <w:tmpl w:val="97F2B26A"/>
    <w:lvl w:ilvl="0" w:tplc="61E27E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315490"/>
    <w:multiLevelType w:val="singleLevel"/>
    <w:tmpl w:val="1F86C700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</w:abstractNum>
  <w:abstractNum w:abstractNumId="17">
    <w:nsid w:val="41AF2082"/>
    <w:multiLevelType w:val="hybridMultilevel"/>
    <w:tmpl w:val="A672F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8628B4"/>
    <w:multiLevelType w:val="hybridMultilevel"/>
    <w:tmpl w:val="7706A2BE"/>
    <w:lvl w:ilvl="0" w:tplc="3D900F3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F8C3B69"/>
    <w:multiLevelType w:val="multilevel"/>
    <w:tmpl w:val="9B14DAA8"/>
    <w:lvl w:ilvl="0">
      <w:start w:val="1"/>
      <w:numFmt w:val="decimal"/>
      <w:lvlRestart w:val="0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6D2B5511"/>
    <w:multiLevelType w:val="singleLevel"/>
    <w:tmpl w:val="74A09970"/>
    <w:name w:val="Heading__2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21">
    <w:nsid w:val="7123216D"/>
    <w:multiLevelType w:val="hybridMultilevel"/>
    <w:tmpl w:val="F648ECEA"/>
    <w:lvl w:ilvl="0" w:tplc="AB00A56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7A04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D8E3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03B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F204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7893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0617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5AA6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C40A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BE95D7F"/>
    <w:multiLevelType w:val="multilevel"/>
    <w:tmpl w:val="F126F78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23">
    <w:nsid w:val="7C966381"/>
    <w:multiLevelType w:val="multilevel"/>
    <w:tmpl w:val="DCC88062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6"/>
  </w:num>
  <w:num w:numId="3">
    <w:abstractNumId w:val="2"/>
  </w:num>
  <w:num w:numId="4">
    <w:abstractNumId w:val="16"/>
  </w:num>
  <w:num w:numId="5">
    <w:abstractNumId w:val="21"/>
  </w:num>
  <w:num w:numId="6">
    <w:abstractNumId w:val="16"/>
  </w:num>
  <w:num w:numId="7">
    <w:abstractNumId w:val="20"/>
  </w:num>
  <w:num w:numId="8">
    <w:abstractNumId w:val="14"/>
  </w:num>
  <w:num w:numId="9">
    <w:abstractNumId w:val="7"/>
  </w:num>
  <w:num w:numId="10">
    <w:abstractNumId w:val="12"/>
  </w:num>
  <w:num w:numId="11">
    <w:abstractNumId w:val="13"/>
  </w:num>
  <w:num w:numId="12">
    <w:abstractNumId w:val="5"/>
  </w:num>
  <w:num w:numId="13">
    <w:abstractNumId w:val="6"/>
  </w:num>
  <w:num w:numId="14">
    <w:abstractNumId w:val="8"/>
  </w:num>
  <w:num w:numId="15">
    <w:abstractNumId w:val="10"/>
  </w:num>
  <w:num w:numId="16">
    <w:abstractNumId w:val="18"/>
  </w:num>
  <w:num w:numId="17">
    <w:abstractNumId w:val="16"/>
  </w:num>
  <w:num w:numId="18">
    <w:abstractNumId w:val="19"/>
  </w:num>
  <w:num w:numId="19">
    <w:abstractNumId w:val="4"/>
  </w:num>
  <w:num w:numId="20">
    <w:abstractNumId w:val="9"/>
  </w:num>
  <w:num w:numId="21">
    <w:abstractNumId w:val="16"/>
  </w:num>
  <w:num w:numId="22">
    <w:abstractNumId w:val="16"/>
  </w:num>
  <w:num w:numId="23">
    <w:abstractNumId w:val="0"/>
  </w:num>
  <w:num w:numId="24">
    <w:abstractNumId w:val="17"/>
  </w:num>
  <w:num w:numId="25">
    <w:abstractNumId w:val="15"/>
  </w:num>
  <w:num w:numId="26">
    <w:abstractNumId w:val="3"/>
  </w:num>
  <w:num w:numId="27">
    <w:abstractNumId w:val="22"/>
  </w:num>
  <w:num w:numId="28">
    <w:abstractNumId w:val="19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DocumentType" w:val="ERR"/>
    <w:docVar w:name="FigNum" w:val="1"/>
    <w:docVar w:name="LW_CORRIGENDUM" w:val="&lt;UNUSED&gt;"/>
    <w:docVar w:name="LW_COVERPAGE_EXISTS" w:val="True"/>
    <w:docVar w:name="LW_COVERPAGE_GUID" w:val="BA5796E3-9F14-4194-911E-C2654B0E5F54"/>
    <w:docVar w:name="LW_COVERPAGE_TYPE" w:val="1"/>
    <w:docVar w:name="LW_CROSSREFERENCE" w:val="&lt;UNUSED&gt;"/>
    <w:docVar w:name="LW_DocType" w:val="NORMAL"/>
    <w:docVar w:name="LW_EMISSION" w:val="13.4.2018"/>
    <w:docVar w:name="LW_EMISSION_ISODATE" w:val="2018-04-13"/>
    <w:docVar w:name="LW_EMISSION_LOCATION" w:val="BRX"/>
    <w:docVar w:name="LW_EMISSION_PREFIX" w:val="Брюксел, "/>
    <w:docVar w:name="LW_EMISSION_SUFFIX" w:val="\u1075?."/>
    <w:docVar w:name="LW_ID_DOCTYPE_NONLW" w:val="CP-035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8"/>
    <w:docVar w:name="LW_REF.INST.NEW" w:val="COM"/>
    <w:docVar w:name="LW_REF.INST.NEW_ADOPTED" w:val="final"/>
    <w:docVar w:name="LW_REF.INST.NEW_TEXT" w:val="(2018) 22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OUS.TITRE.OBJ.CP" w:val="&lt;UNUSED&gt;"/>
    <w:docVar w:name="LW_SUPERTITRE" w:val="&lt;UNUSED&gt;"/>
    <w:docVar w:name="LW_TITRE.OBJ.CP" w:val="\u1042?\u1055?\u1048?\u1057?\u1042?\u1040?\u1053?\u1045? \u1053?\u1040? \u1048?\u1047?\u1051?\u1048?\u1064?\u1066?\u1050?\u1040? \u1054?\u1058? 2017 \u1060?\u1048?\u1053?\u1040?\u1053?\u1057?\u1054?\u1042?\u1040? \u1043?\u1054?\u1044?\u1048?\u1053?\u1040?"/>
    <w:docVar w:name="LW_TITRE.OBJ.CP_PREVIOUS" w:val="&lt;UNUSED&gt;"/>
    <w:docVar w:name="LW_TYPE.DOC.CP" w:val="\u1055?\u1056?\u1054?\u1045?\u1050?\u1058? \u1053?\u1040? \u1050?\u1054?\u1056?\u1048?\u1043?\u1048?\u1056?\u1040?\u1065? \u1041?\u1070?\u1044?\u1046?\u1045?\u1058? \u8470? 2_x000b_\u1047?\u1040? \u1054?\u1041?\u1065?\u1048?\u1071? \u1041?\u1070?\u1044?\u1046?\u1045?\u1058? \u1047?\u1040? 2018 \u1043?.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pPr>
      <w:keepNext/>
      <w:spacing w:before="24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pPr>
      <w:keepNext/>
      <w:spacing w:before="240" w:after="120"/>
      <w:ind w:left="720" w:hanging="72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autoRedefine/>
    <w:qFormat/>
    <w:pPr>
      <w:keepNext/>
      <w:numPr>
        <w:ilvl w:val="2"/>
      </w:numPr>
      <w:tabs>
        <w:tab w:val="num" w:pos="850"/>
      </w:tabs>
      <w:spacing w:before="120" w:after="120"/>
      <w:ind w:left="850" w:hanging="850"/>
      <w:jc w:val="both"/>
      <w:outlineLvl w:val="2"/>
    </w:pPr>
    <w:rPr>
      <w:rFonts w:ascii="Arial" w:hAnsi="Arial" w:cs="Arial"/>
      <w:b/>
      <w:bCs/>
      <w:i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</w:numPr>
      <w:tabs>
        <w:tab w:val="num" w:pos="1030"/>
      </w:tabs>
      <w:spacing w:before="120" w:after="120"/>
      <w:ind w:left="1030" w:hanging="850"/>
      <w:jc w:val="both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eastAsiaTheme="minorHAnsi"/>
      <w:szCs w:val="22"/>
    </w:rPr>
  </w:style>
  <w:style w:type="paragraph" w:styleId="FootnoteText">
    <w:name w:val="footnote text"/>
    <w:basedOn w:val="Normal"/>
    <w:link w:val="FootnoteTextChar"/>
    <w:pPr>
      <w:ind w:left="720" w:hanging="720"/>
      <w:jc w:val="both"/>
    </w:pPr>
    <w:rPr>
      <w:sz w:val="20"/>
      <w:szCs w:val="20"/>
    </w:rPr>
  </w:style>
  <w:style w:type="paragraph" w:styleId="TOC1">
    <w:name w:val="toc 1"/>
    <w:basedOn w:val="Normal"/>
    <w:next w:val="Normal"/>
    <w:uiPriority w:val="39"/>
    <w:pPr>
      <w:spacing w:before="120" w:after="120"/>
    </w:pPr>
    <w:rPr>
      <w:b/>
      <w:bCs/>
      <w:caps/>
      <w:sz w:val="20"/>
      <w:szCs w:val="20"/>
    </w:rPr>
  </w:style>
  <w:style w:type="character" w:styleId="FootnoteReference">
    <w:name w:val="footnote reference"/>
    <w:aliases w:val="stylish,Footnote Reference Superscript,BVI fnr,Footnote symbol,Footnote symboFußnotenzeichen,Footnote sign,Footnote Reference Number,E FNZ,-E Fußnotenzeichen,Footnote#,Footnote,Times 10 Point,Exposant 3 Point,Ref,de nota al pie,SUPER"/>
    <w:rPr>
      <w:vertAlign w:val="superscript"/>
    </w:rPr>
  </w:style>
  <w:style w:type="paragraph" w:customStyle="1" w:styleId="Text1">
    <w:name w:val="Text 1"/>
    <w:basedOn w:val="Normal"/>
    <w:pPr>
      <w:spacing w:before="120" w:after="120"/>
      <w:ind w:left="850"/>
      <w:jc w:val="both"/>
    </w:pPr>
  </w:style>
  <w:style w:type="paragraph" w:customStyle="1" w:styleId="Tiret0">
    <w:name w:val="Tiret 0"/>
    <w:basedOn w:val="Normal"/>
    <w:pPr>
      <w:numPr>
        <w:numId w:val="1"/>
      </w:numPr>
      <w:spacing w:before="120" w:after="120"/>
      <w:jc w:val="both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Normal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b/>
    </w:rPr>
  </w:style>
  <w:style w:type="paragraph" w:customStyle="1" w:styleId="ListDash">
    <w:name w:val="List Dash"/>
    <w:basedOn w:val="Normal"/>
    <w:link w:val="ListDashChar"/>
    <w:pPr>
      <w:numPr>
        <w:numId w:val="2"/>
      </w:numPr>
      <w:spacing w:before="120" w:after="120"/>
      <w:jc w:val="both"/>
    </w:pPr>
  </w:style>
  <w:style w:type="paragraph" w:styleId="TOCHeading">
    <w:name w:val="TOC Heading"/>
    <w:basedOn w:val="Normal"/>
    <w:next w:val="Normal"/>
    <w:qFormat/>
    <w:pPr>
      <w:spacing w:before="120" w:after="240"/>
      <w:jc w:val="center"/>
    </w:pPr>
    <w:rPr>
      <w:b/>
      <w:sz w:val="28"/>
    </w:rPr>
  </w:style>
  <w:style w:type="paragraph" w:customStyle="1" w:styleId="Prliminairetitre">
    <w:name w:val="Préliminaire titre"/>
    <w:basedOn w:val="Normal"/>
    <w:next w:val="Normal"/>
    <w:pPr>
      <w:spacing w:before="360" w:after="360"/>
      <w:jc w:val="center"/>
    </w:pPr>
    <w:rPr>
      <w:b/>
    </w:rPr>
  </w:style>
  <w:style w:type="paragraph" w:customStyle="1" w:styleId="Prliminairetype">
    <w:name w:val="Préliminaire type"/>
    <w:basedOn w:val="Normal"/>
    <w:next w:val="Normal"/>
    <w:pPr>
      <w:spacing w:before="360"/>
      <w:jc w:val="center"/>
    </w:pPr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120" w:after="120"/>
      <w:jc w:val="both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/>
      <w:jc w:val="both"/>
    </w:pPr>
    <w:rPr>
      <w:rFonts w:eastAsiaTheme="minorHAnsi"/>
      <w:szCs w:val="22"/>
    </w:rPr>
  </w:style>
  <w:style w:type="paragraph" w:customStyle="1" w:styleId="FooterCoverPage">
    <w:name w:val="Footer Cover Page"/>
    <w:basedOn w:val="Normal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paragraph" w:customStyle="1" w:styleId="HeaderCoverPage">
    <w:name w:val="Header Cover Page"/>
    <w:basedOn w:val="Normal"/>
    <w:pPr>
      <w:tabs>
        <w:tab w:val="center" w:pos="4535"/>
        <w:tab w:val="right" w:pos="9071"/>
      </w:tabs>
      <w:spacing w:after="120"/>
      <w:jc w:val="both"/>
    </w:pPr>
  </w:style>
  <w:style w:type="paragraph" w:styleId="TOC2">
    <w:name w:val="toc 2"/>
    <w:basedOn w:val="Normal"/>
    <w:next w:val="Normal"/>
    <w:autoRedefine/>
    <w:uiPriority w:val="39"/>
    <w:pPr>
      <w:ind w:left="24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styleId="ListBullet">
    <w:name w:val="List Bullet"/>
    <w:basedOn w:val="Normal"/>
    <w:pPr>
      <w:numPr>
        <w:numId w:val="7"/>
      </w:numPr>
      <w:spacing w:before="120" w:after="120"/>
      <w:jc w:val="both"/>
    </w:pPr>
  </w:style>
  <w:style w:type="paragraph" w:customStyle="1" w:styleId="ListDash2">
    <w:name w:val="List Dash 2"/>
    <w:basedOn w:val="Normal"/>
    <w:pPr>
      <w:tabs>
        <w:tab w:val="num" w:pos="1134"/>
      </w:tabs>
      <w:spacing w:before="120" w:after="120"/>
      <w:ind w:left="1134" w:hanging="283"/>
      <w:jc w:val="both"/>
    </w:pPr>
  </w:style>
  <w:style w:type="paragraph" w:customStyle="1" w:styleId="ListBullet1">
    <w:name w:val="List Bullet 1"/>
    <w:basedOn w:val="Text1"/>
    <w:pPr>
      <w:numPr>
        <w:numId w:val="8"/>
      </w:numPr>
      <w:spacing w:before="0" w:after="240"/>
    </w:pPr>
    <w:rPr>
      <w:szCs w:val="20"/>
    </w:rPr>
  </w:style>
  <w:style w:type="paragraph" w:styleId="ListBullet2">
    <w:name w:val="List Bullet 2"/>
    <w:basedOn w:val="Normal"/>
    <w:pPr>
      <w:numPr>
        <w:numId w:val="14"/>
      </w:numPr>
      <w:spacing w:after="240"/>
      <w:jc w:val="both"/>
    </w:pPr>
    <w:rPr>
      <w:szCs w:val="20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Pr>
      <w:color w:val="800080"/>
      <w:u w:val="single"/>
    </w:rPr>
  </w:style>
  <w:style w:type="paragraph" w:customStyle="1" w:styleId="Typedudocument">
    <w:name w:val="Type du document"/>
    <w:basedOn w:val="Normal"/>
    <w:next w:val="Titreobjet"/>
    <w:pPr>
      <w:spacing w:before="360"/>
      <w:jc w:val="center"/>
    </w:pPr>
    <w:rPr>
      <w:b/>
    </w:rPr>
  </w:style>
  <w:style w:type="paragraph" w:customStyle="1" w:styleId="Titreobjet">
    <w:name w:val="Titre objet"/>
    <w:basedOn w:val="Normal"/>
    <w:next w:val="Normal"/>
    <w:pPr>
      <w:spacing w:before="360" w:after="360"/>
      <w:jc w:val="center"/>
    </w:pPr>
    <w:rPr>
      <w:b/>
    </w:rPr>
  </w:style>
  <w:style w:type="character" w:styleId="Emphasis">
    <w:name w:val="Emphasis"/>
    <w:qFormat/>
    <w:rPr>
      <w:i/>
      <w:iCs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Text2">
    <w:name w:val="Text 2"/>
    <w:basedOn w:val="Normal"/>
    <w:pPr>
      <w:spacing w:before="120" w:after="120"/>
      <w:ind w:left="850"/>
      <w:jc w:val="both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Number">
    <w:name w:val="List Number"/>
    <w:basedOn w:val="Normal"/>
    <w:pPr>
      <w:numPr>
        <w:numId w:val="28"/>
      </w:numPr>
      <w:spacing w:before="120" w:after="120"/>
      <w:jc w:val="both"/>
    </w:pPr>
  </w:style>
  <w:style w:type="paragraph" w:customStyle="1" w:styleId="ListNumberLevel2">
    <w:name w:val="List Number (Level 2)"/>
    <w:basedOn w:val="Normal"/>
    <w:pPr>
      <w:numPr>
        <w:ilvl w:val="1"/>
        <w:numId w:val="28"/>
      </w:numPr>
      <w:spacing w:before="120" w:after="120"/>
      <w:jc w:val="both"/>
    </w:pPr>
  </w:style>
  <w:style w:type="paragraph" w:customStyle="1" w:styleId="ListNumberLevel3">
    <w:name w:val="List Number (Level 3)"/>
    <w:basedOn w:val="Normal"/>
    <w:pPr>
      <w:numPr>
        <w:ilvl w:val="2"/>
        <w:numId w:val="28"/>
      </w:numPr>
      <w:spacing w:before="120" w:after="120"/>
      <w:jc w:val="both"/>
    </w:pPr>
  </w:style>
  <w:style w:type="paragraph" w:customStyle="1" w:styleId="ListNumberLevel4">
    <w:name w:val="List Number (Level 4)"/>
    <w:basedOn w:val="Normal"/>
    <w:pPr>
      <w:numPr>
        <w:ilvl w:val="3"/>
        <w:numId w:val="28"/>
      </w:numPr>
      <w:spacing w:before="120" w:after="120"/>
      <w:jc w:val="both"/>
    </w:pPr>
  </w:style>
  <w:style w:type="character" w:customStyle="1" w:styleId="ListDashChar">
    <w:name w:val="List Dash Char"/>
    <w:link w:val="ListDash"/>
    <w:rPr>
      <w:sz w:val="24"/>
      <w:szCs w:val="24"/>
      <w:lang w:eastAsia="bg-BG"/>
    </w:rPr>
  </w:style>
  <w:style w:type="paragraph" w:customStyle="1" w:styleId="StyleManualHeading2Italic">
    <w:name w:val="Style Manual Heading 2 + Italic"/>
    <w:basedOn w:val="ManualHeading2"/>
    <w:autoRedefine/>
    <w:pPr>
      <w:spacing w:before="160" w:after="160"/>
      <w:ind w:left="851" w:hanging="851"/>
    </w:pPr>
    <w:rPr>
      <w:bCs/>
      <w:i/>
      <w:iCs/>
    </w:rPr>
  </w:style>
  <w:style w:type="character" w:customStyle="1" w:styleId="FootnoteTextChar">
    <w:name w:val="Footnote Text Char"/>
    <w:link w:val="FootnoteText"/>
    <w:rPr>
      <w:lang w:eastAsia="bg-BG"/>
    </w:rPr>
  </w:style>
  <w:style w:type="paragraph" w:customStyle="1" w:styleId="NormalCentered">
    <w:name w:val="Normal Centered"/>
    <w:basedOn w:val="Normal"/>
    <w:pPr>
      <w:spacing w:before="120" w:after="120"/>
      <w:jc w:val="center"/>
    </w:pPr>
  </w:style>
  <w:style w:type="paragraph" w:customStyle="1" w:styleId="NormalRight">
    <w:name w:val="Normal Right"/>
    <w:basedOn w:val="Normal"/>
    <w:pPr>
      <w:spacing w:before="120" w:after="120"/>
      <w:jc w:val="right"/>
    </w:pPr>
  </w:style>
  <w:style w:type="paragraph" w:customStyle="1" w:styleId="NormalLeft">
    <w:name w:val="Normal Left"/>
    <w:basedOn w:val="Normal"/>
    <w:pPr>
      <w:spacing w:before="120" w:after="120"/>
    </w:pPr>
  </w:style>
  <w:style w:type="paragraph" w:customStyle="1" w:styleId="Point0number">
    <w:name w:val="Point 0 (number)"/>
    <w:basedOn w:val="Normal"/>
    <w:uiPriority w:val="99"/>
    <w:pPr>
      <w:numPr>
        <w:numId w:val="27"/>
      </w:numPr>
      <w:spacing w:before="120" w:after="120"/>
      <w:jc w:val="both"/>
    </w:pPr>
  </w:style>
  <w:style w:type="paragraph" w:customStyle="1" w:styleId="Point1number">
    <w:name w:val="Point 1 (number)"/>
    <w:basedOn w:val="Normal"/>
    <w:uiPriority w:val="99"/>
    <w:pPr>
      <w:numPr>
        <w:ilvl w:val="2"/>
        <w:numId w:val="27"/>
      </w:numPr>
      <w:spacing w:before="120" w:after="120"/>
      <w:jc w:val="both"/>
    </w:pPr>
  </w:style>
  <w:style w:type="paragraph" w:customStyle="1" w:styleId="Point2number">
    <w:name w:val="Point 2 (number)"/>
    <w:basedOn w:val="Normal"/>
    <w:uiPriority w:val="99"/>
    <w:pPr>
      <w:numPr>
        <w:ilvl w:val="4"/>
        <w:numId w:val="27"/>
      </w:numPr>
      <w:spacing w:before="120" w:after="120"/>
      <w:jc w:val="both"/>
    </w:pPr>
  </w:style>
  <w:style w:type="paragraph" w:customStyle="1" w:styleId="Point3number">
    <w:name w:val="Point 3 (number)"/>
    <w:basedOn w:val="Normal"/>
    <w:uiPriority w:val="99"/>
    <w:pPr>
      <w:numPr>
        <w:ilvl w:val="6"/>
        <w:numId w:val="27"/>
      </w:numPr>
      <w:spacing w:before="120" w:after="120"/>
      <w:jc w:val="both"/>
    </w:pPr>
  </w:style>
  <w:style w:type="paragraph" w:customStyle="1" w:styleId="Point0letter">
    <w:name w:val="Point 0 (letter)"/>
    <w:basedOn w:val="Normal"/>
    <w:uiPriority w:val="99"/>
    <w:pPr>
      <w:numPr>
        <w:ilvl w:val="1"/>
        <w:numId w:val="27"/>
      </w:numPr>
      <w:spacing w:before="120" w:after="120"/>
      <w:jc w:val="both"/>
    </w:pPr>
  </w:style>
  <w:style w:type="paragraph" w:customStyle="1" w:styleId="Point1letter">
    <w:name w:val="Point 1 (letter)"/>
    <w:basedOn w:val="Normal"/>
    <w:uiPriority w:val="99"/>
    <w:pPr>
      <w:numPr>
        <w:ilvl w:val="3"/>
        <w:numId w:val="27"/>
      </w:numPr>
      <w:spacing w:before="120" w:after="120"/>
      <w:jc w:val="both"/>
    </w:pPr>
  </w:style>
  <w:style w:type="paragraph" w:customStyle="1" w:styleId="Point2letter">
    <w:name w:val="Point 2 (letter)"/>
    <w:basedOn w:val="Normal"/>
    <w:uiPriority w:val="99"/>
    <w:pPr>
      <w:numPr>
        <w:ilvl w:val="5"/>
        <w:numId w:val="27"/>
      </w:numPr>
      <w:spacing w:before="120" w:after="120"/>
      <w:jc w:val="both"/>
    </w:pPr>
  </w:style>
  <w:style w:type="paragraph" w:customStyle="1" w:styleId="Point3letter">
    <w:name w:val="Point 3 (letter)"/>
    <w:basedOn w:val="Normal"/>
    <w:uiPriority w:val="99"/>
    <w:pPr>
      <w:numPr>
        <w:ilvl w:val="7"/>
        <w:numId w:val="27"/>
      </w:numPr>
      <w:spacing w:before="120" w:after="120"/>
      <w:jc w:val="both"/>
    </w:pPr>
  </w:style>
  <w:style w:type="paragraph" w:customStyle="1" w:styleId="Point4letter">
    <w:name w:val="Point 4 (letter)"/>
    <w:basedOn w:val="Normal"/>
    <w:uiPriority w:val="99"/>
    <w:pPr>
      <w:numPr>
        <w:ilvl w:val="8"/>
        <w:numId w:val="27"/>
      </w:numPr>
      <w:spacing w:before="120" w:after="120"/>
      <w:jc w:val="both"/>
    </w:pPr>
  </w:style>
  <w:style w:type="paragraph" w:customStyle="1" w:styleId="NumPar1">
    <w:name w:val="NumPar 1"/>
    <w:basedOn w:val="Normal"/>
    <w:next w:val="Text1"/>
    <w:pPr>
      <w:numPr>
        <w:numId w:val="36"/>
      </w:numPr>
      <w:spacing w:before="120" w:after="120"/>
      <w:jc w:val="both"/>
    </w:pPr>
  </w:style>
  <w:style w:type="paragraph" w:customStyle="1" w:styleId="NumPar2">
    <w:name w:val="NumPar 2"/>
    <w:basedOn w:val="Normal"/>
    <w:next w:val="Normal"/>
    <w:pPr>
      <w:numPr>
        <w:ilvl w:val="1"/>
        <w:numId w:val="36"/>
      </w:numPr>
      <w:spacing w:before="120" w:after="120"/>
      <w:jc w:val="both"/>
    </w:pPr>
  </w:style>
  <w:style w:type="paragraph" w:customStyle="1" w:styleId="NumPar3">
    <w:name w:val="NumPar 3"/>
    <w:basedOn w:val="Normal"/>
    <w:next w:val="Normal"/>
    <w:pPr>
      <w:numPr>
        <w:ilvl w:val="2"/>
        <w:numId w:val="36"/>
      </w:numPr>
      <w:spacing w:before="120" w:after="120"/>
      <w:jc w:val="both"/>
    </w:pPr>
  </w:style>
  <w:style w:type="paragraph" w:customStyle="1" w:styleId="NumPar4">
    <w:name w:val="NumPar 4"/>
    <w:basedOn w:val="Normal"/>
    <w:next w:val="Normal"/>
    <w:pPr>
      <w:numPr>
        <w:ilvl w:val="3"/>
        <w:numId w:val="36"/>
      </w:numPr>
      <w:spacing w:before="120" w:after="120"/>
      <w:jc w:val="both"/>
    </w:pPr>
  </w:style>
  <w:style w:type="paragraph" w:customStyle="1" w:styleId="Exposdesmotifstitre">
    <w:name w:val="Exposé des motifs titre"/>
    <w:basedOn w:val="Normal"/>
    <w:next w:val="Normal"/>
    <w:pPr>
      <w:spacing w:before="120" w:after="120"/>
      <w:jc w:val="center"/>
    </w:pPr>
    <w:rPr>
      <w:b/>
      <w:u w:val="single"/>
    </w:rPr>
  </w:style>
  <w:style w:type="character" w:styleId="CommentReference">
    <w:name w:val="annotation reference"/>
    <w:rPr>
      <w:sz w:val="16"/>
      <w:szCs w:val="16"/>
    </w:rPr>
  </w:style>
  <w:style w:type="paragraph" w:customStyle="1" w:styleId="Statut">
    <w:name w:val="Statut"/>
    <w:basedOn w:val="Normal"/>
    <w:next w:val="Typedudocument"/>
    <w:pPr>
      <w:spacing w:before="360"/>
      <w:jc w:val="center"/>
    </w:pPr>
    <w:rPr>
      <w:rFonts w:eastAsia="Calibri"/>
      <w:szCs w:val="22"/>
    </w:rPr>
  </w:style>
  <w:style w:type="paragraph" w:customStyle="1" w:styleId="Declassification">
    <w:name w:val="Declassification"/>
    <w:basedOn w:val="Normal"/>
    <w:next w:val="Normal"/>
    <w:pPr>
      <w:jc w:val="both"/>
    </w:pPr>
    <w:rPr>
      <w:rFonts w:eastAsiaTheme="minorHAnsi"/>
      <w:szCs w:val="22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Theme="minorHAnsi"/>
      <w:sz w:val="24"/>
      <w:szCs w:val="22"/>
      <w:lang w:eastAsia="bg-BG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/>
      <w:jc w:val="both"/>
    </w:pPr>
    <w:rPr>
      <w:rFonts w:eastAsiaTheme="minorHAnsi"/>
      <w:szCs w:val="22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/>
      <w:jc w:val="center"/>
    </w:pPr>
    <w:rPr>
      <w:b/>
      <w:sz w:val="32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Theme="minorHAnsi"/>
      <w:sz w:val="24"/>
      <w:szCs w:val="22"/>
      <w:lang w:eastAsia="bg-BG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eastAsiaTheme="minorHAnsi"/>
      <w:szCs w:val="2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/>
      <w:ind w:left="113" w:right="113"/>
      <w:jc w:val="center"/>
    </w:pPr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pPr>
      <w:keepNext/>
      <w:spacing w:before="24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pPr>
      <w:keepNext/>
      <w:spacing w:before="240" w:after="120"/>
      <w:ind w:left="720" w:hanging="72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autoRedefine/>
    <w:qFormat/>
    <w:pPr>
      <w:keepNext/>
      <w:numPr>
        <w:ilvl w:val="2"/>
      </w:numPr>
      <w:tabs>
        <w:tab w:val="num" w:pos="850"/>
      </w:tabs>
      <w:spacing w:before="120" w:after="120"/>
      <w:ind w:left="850" w:hanging="850"/>
      <w:jc w:val="both"/>
      <w:outlineLvl w:val="2"/>
    </w:pPr>
    <w:rPr>
      <w:rFonts w:ascii="Arial" w:hAnsi="Arial" w:cs="Arial"/>
      <w:b/>
      <w:bCs/>
      <w:i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</w:numPr>
      <w:tabs>
        <w:tab w:val="num" w:pos="1030"/>
      </w:tabs>
      <w:spacing w:before="120" w:after="120"/>
      <w:ind w:left="1030" w:hanging="850"/>
      <w:jc w:val="both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eastAsiaTheme="minorHAnsi"/>
      <w:szCs w:val="22"/>
    </w:rPr>
  </w:style>
  <w:style w:type="paragraph" w:styleId="FootnoteText">
    <w:name w:val="footnote text"/>
    <w:basedOn w:val="Normal"/>
    <w:link w:val="FootnoteTextChar"/>
    <w:pPr>
      <w:ind w:left="720" w:hanging="720"/>
      <w:jc w:val="both"/>
    </w:pPr>
    <w:rPr>
      <w:sz w:val="20"/>
      <w:szCs w:val="20"/>
    </w:rPr>
  </w:style>
  <w:style w:type="paragraph" w:styleId="TOC1">
    <w:name w:val="toc 1"/>
    <w:basedOn w:val="Normal"/>
    <w:next w:val="Normal"/>
    <w:uiPriority w:val="39"/>
    <w:pPr>
      <w:spacing w:before="120" w:after="120"/>
    </w:pPr>
    <w:rPr>
      <w:b/>
      <w:bCs/>
      <w:caps/>
      <w:sz w:val="20"/>
      <w:szCs w:val="20"/>
    </w:rPr>
  </w:style>
  <w:style w:type="character" w:styleId="FootnoteReference">
    <w:name w:val="footnote reference"/>
    <w:aliases w:val="stylish,Footnote Reference Superscript,BVI fnr,Footnote symbol,Footnote symboFußnotenzeichen,Footnote sign,Footnote Reference Number,E FNZ,-E Fußnotenzeichen,Footnote#,Footnote,Times 10 Point,Exposant 3 Point,Ref,de nota al pie,SUPER"/>
    <w:rPr>
      <w:vertAlign w:val="superscript"/>
    </w:rPr>
  </w:style>
  <w:style w:type="paragraph" w:customStyle="1" w:styleId="Text1">
    <w:name w:val="Text 1"/>
    <w:basedOn w:val="Normal"/>
    <w:pPr>
      <w:spacing w:before="120" w:after="120"/>
      <w:ind w:left="850"/>
      <w:jc w:val="both"/>
    </w:pPr>
  </w:style>
  <w:style w:type="paragraph" w:customStyle="1" w:styleId="Tiret0">
    <w:name w:val="Tiret 0"/>
    <w:basedOn w:val="Normal"/>
    <w:pPr>
      <w:numPr>
        <w:numId w:val="1"/>
      </w:numPr>
      <w:spacing w:before="120" w:after="120"/>
      <w:jc w:val="both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Normal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b/>
    </w:rPr>
  </w:style>
  <w:style w:type="paragraph" w:customStyle="1" w:styleId="ListDash">
    <w:name w:val="List Dash"/>
    <w:basedOn w:val="Normal"/>
    <w:link w:val="ListDashChar"/>
    <w:pPr>
      <w:numPr>
        <w:numId w:val="2"/>
      </w:numPr>
      <w:spacing w:before="120" w:after="120"/>
      <w:jc w:val="both"/>
    </w:pPr>
  </w:style>
  <w:style w:type="paragraph" w:styleId="TOCHeading">
    <w:name w:val="TOC Heading"/>
    <w:basedOn w:val="Normal"/>
    <w:next w:val="Normal"/>
    <w:qFormat/>
    <w:pPr>
      <w:spacing w:before="120" w:after="240"/>
      <w:jc w:val="center"/>
    </w:pPr>
    <w:rPr>
      <w:b/>
      <w:sz w:val="28"/>
    </w:rPr>
  </w:style>
  <w:style w:type="paragraph" w:customStyle="1" w:styleId="Prliminairetitre">
    <w:name w:val="Préliminaire titre"/>
    <w:basedOn w:val="Normal"/>
    <w:next w:val="Normal"/>
    <w:pPr>
      <w:spacing w:before="360" w:after="360"/>
      <w:jc w:val="center"/>
    </w:pPr>
    <w:rPr>
      <w:b/>
    </w:rPr>
  </w:style>
  <w:style w:type="paragraph" w:customStyle="1" w:styleId="Prliminairetype">
    <w:name w:val="Préliminaire type"/>
    <w:basedOn w:val="Normal"/>
    <w:next w:val="Normal"/>
    <w:pPr>
      <w:spacing w:before="360"/>
      <w:jc w:val="center"/>
    </w:pPr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120" w:after="120"/>
      <w:jc w:val="both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/>
      <w:jc w:val="both"/>
    </w:pPr>
    <w:rPr>
      <w:rFonts w:eastAsiaTheme="minorHAnsi"/>
      <w:szCs w:val="22"/>
    </w:rPr>
  </w:style>
  <w:style w:type="paragraph" w:customStyle="1" w:styleId="FooterCoverPage">
    <w:name w:val="Footer Cover Page"/>
    <w:basedOn w:val="Normal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paragraph" w:customStyle="1" w:styleId="HeaderCoverPage">
    <w:name w:val="Header Cover Page"/>
    <w:basedOn w:val="Normal"/>
    <w:pPr>
      <w:tabs>
        <w:tab w:val="center" w:pos="4535"/>
        <w:tab w:val="right" w:pos="9071"/>
      </w:tabs>
      <w:spacing w:after="120"/>
      <w:jc w:val="both"/>
    </w:pPr>
  </w:style>
  <w:style w:type="paragraph" w:styleId="TOC2">
    <w:name w:val="toc 2"/>
    <w:basedOn w:val="Normal"/>
    <w:next w:val="Normal"/>
    <w:autoRedefine/>
    <w:uiPriority w:val="39"/>
    <w:pPr>
      <w:ind w:left="24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styleId="ListBullet">
    <w:name w:val="List Bullet"/>
    <w:basedOn w:val="Normal"/>
    <w:pPr>
      <w:numPr>
        <w:numId w:val="7"/>
      </w:numPr>
      <w:spacing w:before="120" w:after="120"/>
      <w:jc w:val="both"/>
    </w:pPr>
  </w:style>
  <w:style w:type="paragraph" w:customStyle="1" w:styleId="ListDash2">
    <w:name w:val="List Dash 2"/>
    <w:basedOn w:val="Normal"/>
    <w:pPr>
      <w:tabs>
        <w:tab w:val="num" w:pos="1134"/>
      </w:tabs>
      <w:spacing w:before="120" w:after="120"/>
      <w:ind w:left="1134" w:hanging="283"/>
      <w:jc w:val="both"/>
    </w:pPr>
  </w:style>
  <w:style w:type="paragraph" w:customStyle="1" w:styleId="ListBullet1">
    <w:name w:val="List Bullet 1"/>
    <w:basedOn w:val="Text1"/>
    <w:pPr>
      <w:numPr>
        <w:numId w:val="8"/>
      </w:numPr>
      <w:spacing w:before="0" w:after="240"/>
    </w:pPr>
    <w:rPr>
      <w:szCs w:val="20"/>
    </w:rPr>
  </w:style>
  <w:style w:type="paragraph" w:styleId="ListBullet2">
    <w:name w:val="List Bullet 2"/>
    <w:basedOn w:val="Normal"/>
    <w:pPr>
      <w:numPr>
        <w:numId w:val="14"/>
      </w:numPr>
      <w:spacing w:after="240"/>
      <w:jc w:val="both"/>
    </w:pPr>
    <w:rPr>
      <w:szCs w:val="20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Pr>
      <w:color w:val="800080"/>
      <w:u w:val="single"/>
    </w:rPr>
  </w:style>
  <w:style w:type="paragraph" w:customStyle="1" w:styleId="Typedudocument">
    <w:name w:val="Type du document"/>
    <w:basedOn w:val="Normal"/>
    <w:next w:val="Titreobjet"/>
    <w:pPr>
      <w:spacing w:before="360"/>
      <w:jc w:val="center"/>
    </w:pPr>
    <w:rPr>
      <w:b/>
    </w:rPr>
  </w:style>
  <w:style w:type="paragraph" w:customStyle="1" w:styleId="Titreobjet">
    <w:name w:val="Titre objet"/>
    <w:basedOn w:val="Normal"/>
    <w:next w:val="Normal"/>
    <w:pPr>
      <w:spacing w:before="360" w:after="360"/>
      <w:jc w:val="center"/>
    </w:pPr>
    <w:rPr>
      <w:b/>
    </w:rPr>
  </w:style>
  <w:style w:type="character" w:styleId="Emphasis">
    <w:name w:val="Emphasis"/>
    <w:qFormat/>
    <w:rPr>
      <w:i/>
      <w:iCs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Text2">
    <w:name w:val="Text 2"/>
    <w:basedOn w:val="Normal"/>
    <w:pPr>
      <w:spacing w:before="120" w:after="120"/>
      <w:ind w:left="850"/>
      <w:jc w:val="both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Number">
    <w:name w:val="List Number"/>
    <w:basedOn w:val="Normal"/>
    <w:pPr>
      <w:numPr>
        <w:numId w:val="28"/>
      </w:numPr>
      <w:spacing w:before="120" w:after="120"/>
      <w:jc w:val="both"/>
    </w:pPr>
  </w:style>
  <w:style w:type="paragraph" w:customStyle="1" w:styleId="ListNumberLevel2">
    <w:name w:val="List Number (Level 2)"/>
    <w:basedOn w:val="Normal"/>
    <w:pPr>
      <w:numPr>
        <w:ilvl w:val="1"/>
        <w:numId w:val="28"/>
      </w:numPr>
      <w:spacing w:before="120" w:after="120"/>
      <w:jc w:val="both"/>
    </w:pPr>
  </w:style>
  <w:style w:type="paragraph" w:customStyle="1" w:styleId="ListNumberLevel3">
    <w:name w:val="List Number (Level 3)"/>
    <w:basedOn w:val="Normal"/>
    <w:pPr>
      <w:numPr>
        <w:ilvl w:val="2"/>
        <w:numId w:val="28"/>
      </w:numPr>
      <w:spacing w:before="120" w:after="120"/>
      <w:jc w:val="both"/>
    </w:pPr>
  </w:style>
  <w:style w:type="paragraph" w:customStyle="1" w:styleId="ListNumberLevel4">
    <w:name w:val="List Number (Level 4)"/>
    <w:basedOn w:val="Normal"/>
    <w:pPr>
      <w:numPr>
        <w:ilvl w:val="3"/>
        <w:numId w:val="28"/>
      </w:numPr>
      <w:spacing w:before="120" w:after="120"/>
      <w:jc w:val="both"/>
    </w:pPr>
  </w:style>
  <w:style w:type="character" w:customStyle="1" w:styleId="ListDashChar">
    <w:name w:val="List Dash Char"/>
    <w:link w:val="ListDash"/>
    <w:rPr>
      <w:sz w:val="24"/>
      <w:szCs w:val="24"/>
      <w:lang w:eastAsia="bg-BG"/>
    </w:rPr>
  </w:style>
  <w:style w:type="paragraph" w:customStyle="1" w:styleId="StyleManualHeading2Italic">
    <w:name w:val="Style Manual Heading 2 + Italic"/>
    <w:basedOn w:val="ManualHeading2"/>
    <w:autoRedefine/>
    <w:pPr>
      <w:spacing w:before="160" w:after="160"/>
      <w:ind w:left="851" w:hanging="851"/>
    </w:pPr>
    <w:rPr>
      <w:bCs/>
      <w:i/>
      <w:iCs/>
    </w:rPr>
  </w:style>
  <w:style w:type="character" w:customStyle="1" w:styleId="FootnoteTextChar">
    <w:name w:val="Footnote Text Char"/>
    <w:link w:val="FootnoteText"/>
    <w:rPr>
      <w:lang w:eastAsia="bg-BG"/>
    </w:rPr>
  </w:style>
  <w:style w:type="paragraph" w:customStyle="1" w:styleId="NormalCentered">
    <w:name w:val="Normal Centered"/>
    <w:basedOn w:val="Normal"/>
    <w:pPr>
      <w:spacing w:before="120" w:after="120"/>
      <w:jc w:val="center"/>
    </w:pPr>
  </w:style>
  <w:style w:type="paragraph" w:customStyle="1" w:styleId="NormalRight">
    <w:name w:val="Normal Right"/>
    <w:basedOn w:val="Normal"/>
    <w:pPr>
      <w:spacing w:before="120" w:after="120"/>
      <w:jc w:val="right"/>
    </w:pPr>
  </w:style>
  <w:style w:type="paragraph" w:customStyle="1" w:styleId="NormalLeft">
    <w:name w:val="Normal Left"/>
    <w:basedOn w:val="Normal"/>
    <w:pPr>
      <w:spacing w:before="120" w:after="120"/>
    </w:pPr>
  </w:style>
  <w:style w:type="paragraph" w:customStyle="1" w:styleId="Point0number">
    <w:name w:val="Point 0 (number)"/>
    <w:basedOn w:val="Normal"/>
    <w:uiPriority w:val="99"/>
    <w:pPr>
      <w:numPr>
        <w:numId w:val="27"/>
      </w:numPr>
      <w:spacing w:before="120" w:after="120"/>
      <w:jc w:val="both"/>
    </w:pPr>
  </w:style>
  <w:style w:type="paragraph" w:customStyle="1" w:styleId="Point1number">
    <w:name w:val="Point 1 (number)"/>
    <w:basedOn w:val="Normal"/>
    <w:uiPriority w:val="99"/>
    <w:pPr>
      <w:numPr>
        <w:ilvl w:val="2"/>
        <w:numId w:val="27"/>
      </w:numPr>
      <w:spacing w:before="120" w:after="120"/>
      <w:jc w:val="both"/>
    </w:pPr>
  </w:style>
  <w:style w:type="paragraph" w:customStyle="1" w:styleId="Point2number">
    <w:name w:val="Point 2 (number)"/>
    <w:basedOn w:val="Normal"/>
    <w:uiPriority w:val="99"/>
    <w:pPr>
      <w:numPr>
        <w:ilvl w:val="4"/>
        <w:numId w:val="27"/>
      </w:numPr>
      <w:spacing w:before="120" w:after="120"/>
      <w:jc w:val="both"/>
    </w:pPr>
  </w:style>
  <w:style w:type="paragraph" w:customStyle="1" w:styleId="Point3number">
    <w:name w:val="Point 3 (number)"/>
    <w:basedOn w:val="Normal"/>
    <w:uiPriority w:val="99"/>
    <w:pPr>
      <w:numPr>
        <w:ilvl w:val="6"/>
        <w:numId w:val="27"/>
      </w:numPr>
      <w:spacing w:before="120" w:after="120"/>
      <w:jc w:val="both"/>
    </w:pPr>
  </w:style>
  <w:style w:type="paragraph" w:customStyle="1" w:styleId="Point0letter">
    <w:name w:val="Point 0 (letter)"/>
    <w:basedOn w:val="Normal"/>
    <w:uiPriority w:val="99"/>
    <w:pPr>
      <w:numPr>
        <w:ilvl w:val="1"/>
        <w:numId w:val="27"/>
      </w:numPr>
      <w:spacing w:before="120" w:after="120"/>
      <w:jc w:val="both"/>
    </w:pPr>
  </w:style>
  <w:style w:type="paragraph" w:customStyle="1" w:styleId="Point1letter">
    <w:name w:val="Point 1 (letter)"/>
    <w:basedOn w:val="Normal"/>
    <w:uiPriority w:val="99"/>
    <w:pPr>
      <w:numPr>
        <w:ilvl w:val="3"/>
        <w:numId w:val="27"/>
      </w:numPr>
      <w:spacing w:before="120" w:after="120"/>
      <w:jc w:val="both"/>
    </w:pPr>
  </w:style>
  <w:style w:type="paragraph" w:customStyle="1" w:styleId="Point2letter">
    <w:name w:val="Point 2 (letter)"/>
    <w:basedOn w:val="Normal"/>
    <w:uiPriority w:val="99"/>
    <w:pPr>
      <w:numPr>
        <w:ilvl w:val="5"/>
        <w:numId w:val="27"/>
      </w:numPr>
      <w:spacing w:before="120" w:after="120"/>
      <w:jc w:val="both"/>
    </w:pPr>
  </w:style>
  <w:style w:type="paragraph" w:customStyle="1" w:styleId="Point3letter">
    <w:name w:val="Point 3 (letter)"/>
    <w:basedOn w:val="Normal"/>
    <w:uiPriority w:val="99"/>
    <w:pPr>
      <w:numPr>
        <w:ilvl w:val="7"/>
        <w:numId w:val="27"/>
      </w:numPr>
      <w:spacing w:before="120" w:after="120"/>
      <w:jc w:val="both"/>
    </w:pPr>
  </w:style>
  <w:style w:type="paragraph" w:customStyle="1" w:styleId="Point4letter">
    <w:name w:val="Point 4 (letter)"/>
    <w:basedOn w:val="Normal"/>
    <w:uiPriority w:val="99"/>
    <w:pPr>
      <w:numPr>
        <w:ilvl w:val="8"/>
        <w:numId w:val="27"/>
      </w:numPr>
      <w:spacing w:before="120" w:after="120"/>
      <w:jc w:val="both"/>
    </w:pPr>
  </w:style>
  <w:style w:type="paragraph" w:customStyle="1" w:styleId="NumPar1">
    <w:name w:val="NumPar 1"/>
    <w:basedOn w:val="Normal"/>
    <w:next w:val="Text1"/>
    <w:pPr>
      <w:numPr>
        <w:numId w:val="36"/>
      </w:numPr>
      <w:spacing w:before="120" w:after="120"/>
      <w:jc w:val="both"/>
    </w:pPr>
  </w:style>
  <w:style w:type="paragraph" w:customStyle="1" w:styleId="NumPar2">
    <w:name w:val="NumPar 2"/>
    <w:basedOn w:val="Normal"/>
    <w:next w:val="Normal"/>
    <w:pPr>
      <w:numPr>
        <w:ilvl w:val="1"/>
        <w:numId w:val="36"/>
      </w:numPr>
      <w:spacing w:before="120" w:after="120"/>
      <w:jc w:val="both"/>
    </w:pPr>
  </w:style>
  <w:style w:type="paragraph" w:customStyle="1" w:styleId="NumPar3">
    <w:name w:val="NumPar 3"/>
    <w:basedOn w:val="Normal"/>
    <w:next w:val="Normal"/>
    <w:pPr>
      <w:numPr>
        <w:ilvl w:val="2"/>
        <w:numId w:val="36"/>
      </w:numPr>
      <w:spacing w:before="120" w:after="120"/>
      <w:jc w:val="both"/>
    </w:pPr>
  </w:style>
  <w:style w:type="paragraph" w:customStyle="1" w:styleId="NumPar4">
    <w:name w:val="NumPar 4"/>
    <w:basedOn w:val="Normal"/>
    <w:next w:val="Normal"/>
    <w:pPr>
      <w:numPr>
        <w:ilvl w:val="3"/>
        <w:numId w:val="36"/>
      </w:numPr>
      <w:spacing w:before="120" w:after="120"/>
      <w:jc w:val="both"/>
    </w:pPr>
  </w:style>
  <w:style w:type="paragraph" w:customStyle="1" w:styleId="Exposdesmotifstitre">
    <w:name w:val="Exposé des motifs titre"/>
    <w:basedOn w:val="Normal"/>
    <w:next w:val="Normal"/>
    <w:pPr>
      <w:spacing w:before="120" w:after="120"/>
      <w:jc w:val="center"/>
    </w:pPr>
    <w:rPr>
      <w:b/>
      <w:u w:val="single"/>
    </w:rPr>
  </w:style>
  <w:style w:type="character" w:styleId="CommentReference">
    <w:name w:val="annotation reference"/>
    <w:rPr>
      <w:sz w:val="16"/>
      <w:szCs w:val="16"/>
    </w:rPr>
  </w:style>
  <w:style w:type="paragraph" w:customStyle="1" w:styleId="Statut">
    <w:name w:val="Statut"/>
    <w:basedOn w:val="Normal"/>
    <w:next w:val="Typedudocument"/>
    <w:pPr>
      <w:spacing w:before="360"/>
      <w:jc w:val="center"/>
    </w:pPr>
    <w:rPr>
      <w:rFonts w:eastAsia="Calibri"/>
      <w:szCs w:val="22"/>
    </w:rPr>
  </w:style>
  <w:style w:type="paragraph" w:customStyle="1" w:styleId="Declassification">
    <w:name w:val="Declassification"/>
    <w:basedOn w:val="Normal"/>
    <w:next w:val="Normal"/>
    <w:pPr>
      <w:jc w:val="both"/>
    </w:pPr>
    <w:rPr>
      <w:rFonts w:eastAsiaTheme="minorHAnsi"/>
      <w:szCs w:val="22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Theme="minorHAnsi"/>
      <w:sz w:val="24"/>
      <w:szCs w:val="22"/>
      <w:lang w:eastAsia="bg-BG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/>
      <w:jc w:val="both"/>
    </w:pPr>
    <w:rPr>
      <w:rFonts w:eastAsiaTheme="minorHAnsi"/>
      <w:szCs w:val="22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/>
      <w:jc w:val="center"/>
    </w:pPr>
    <w:rPr>
      <w:b/>
      <w:sz w:val="32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Theme="minorHAnsi"/>
      <w:sz w:val="24"/>
      <w:szCs w:val="22"/>
      <w:lang w:eastAsia="bg-BG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eastAsiaTheme="minorHAnsi"/>
      <w:szCs w:val="2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/>
      <w:ind w:left="113" w:right="113"/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yperlink" Target="http://eur-lex.europa.eu/budget/www/index-bg.htm" TargetMode="Externa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8D795-73C9-4BBE-91D1-F87FB0947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1269</Words>
  <Characters>5852</Characters>
  <Application>Microsoft Office Word</Application>
  <DocSecurity>0</DocSecurity>
  <Lines>292</Lines>
  <Paragraphs>237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6884</CharactersWithSpaces>
  <SharedDoc>false</SharedDoc>
  <HLinks>
    <vt:vector size="6" baseType="variant">
      <vt:variant>
        <vt:i4>5046279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http://eur-lex.europa.eu/budget/www/index-en.htm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16</cp:revision>
  <cp:lastPrinted>2018-04-05T13:21:00Z</cp:lastPrinted>
  <dcterms:created xsi:type="dcterms:W3CDTF">2018-04-06T12:12:00Z</dcterms:created>
  <dcterms:modified xsi:type="dcterms:W3CDTF">2018-04-24T15:58:00Z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DocStatus">
    <vt:lpwstr>Green</vt:lpwstr>
  </property>
  <property fmtid="{D5CDD505-2E9C-101B-9397-08002B2CF9AE}" pid="5" name="Level of sensitivity">
    <vt:lpwstr>Standard treatment</vt:lpwstr>
  </property>
</Properties>
</file>