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BA7CF72-F0D9-4CA6-9AA1-E8CD321FB0BA" style="width:450.75pt;height:348.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before="360" w:after="0" w:line="240" w:lineRule="auto"/>
        <w:jc w:val="center"/>
        <w:rPr>
          <w:rFonts w:ascii="Times New Roman" w:eastAsia="Times New Roman" w:hAnsi="Times New Roman" w:cs="Times New Roman"/>
          <w:b/>
          <w:noProof/>
          <w:sz w:val="24"/>
        </w:rPr>
      </w:pPr>
      <w:bookmarkStart w:id="1" w:name="_GoBack"/>
      <w:bookmarkEnd w:id="1"/>
      <w:r>
        <w:rPr>
          <w:rFonts w:ascii="Times New Roman" w:hAnsi="Times New Roman"/>
          <w:b/>
          <w:noProof/>
          <w:sz w:val="24"/>
        </w:rPr>
        <w:lastRenderedPageBreak/>
        <w:t>ДОКЛАД НА КОМИСИЯТА ДО ЕВРОПЕЙСКИЯ ПАРЛАМЕНТ, СЪВЕТА, ЕВРОПЕЙСКИЯ ИКОНОМИЧЕСКИ И СОЦИАЛЕН КОМИТЕТ И КОМИТЕТА НА РЕГИОНИТЕ</w:t>
      </w:r>
    </w:p>
    <w:p>
      <w:pPr>
        <w:spacing w:before="360" w:after="360" w:line="240" w:lineRule="auto"/>
        <w:jc w:val="center"/>
        <w:rPr>
          <w:rFonts w:ascii="Times New Roman" w:eastAsia="Times New Roman" w:hAnsi="Times New Roman" w:cs="Times New Roman"/>
          <w:b/>
          <w:noProof/>
          <w:sz w:val="24"/>
        </w:rPr>
      </w:pPr>
      <w:r>
        <w:rPr>
          <w:rFonts w:ascii="Times New Roman" w:hAnsi="Times New Roman"/>
          <w:b/>
          <w:noProof/>
          <w:sz w:val="24"/>
        </w:rPr>
        <w:t>Последваща оценка на европейските столици на културата за 2016 г. (Доностия-Сан Себастиан и Вроцлав)</w:t>
      </w:r>
    </w:p>
    <w:p>
      <w:pPr>
        <w:keepNext/>
        <w:numPr>
          <w:ilvl w:val="0"/>
          <w:numId w:val="1"/>
        </w:numPr>
        <w:spacing w:before="360" w:after="120" w:line="240" w:lineRule="auto"/>
        <w:jc w:val="both"/>
        <w:outlineLvl w:val="0"/>
        <w:rPr>
          <w:rFonts w:ascii="Times New Roman" w:eastAsia="Times New Roman" w:hAnsi="Times New Roman" w:cs="Times New Roman"/>
          <w:b/>
          <w:bCs/>
          <w:smallCaps/>
          <w:noProof/>
          <w:sz w:val="24"/>
          <w:szCs w:val="28"/>
        </w:rPr>
      </w:pPr>
      <w:r>
        <w:rPr>
          <w:rFonts w:ascii="Times New Roman" w:hAnsi="Times New Roman"/>
          <w:b/>
          <w:smallCaps/>
          <w:noProof/>
          <w:sz w:val="24"/>
        </w:rPr>
        <w:t>Въведение</w:t>
      </w:r>
    </w:p>
    <w:p>
      <w:pPr>
        <w:spacing w:line="240" w:lineRule="auto"/>
        <w:jc w:val="both"/>
        <w:rPr>
          <w:rFonts w:ascii="Times New Roman" w:eastAsia="Times New Roman" w:hAnsi="Times New Roman" w:cs="Times New Roman"/>
          <w:noProof/>
          <w:sz w:val="24"/>
        </w:rPr>
      </w:pPr>
      <w:bookmarkStart w:id="2" w:name="_Toc246230956"/>
      <w:r>
        <w:rPr>
          <w:rFonts w:ascii="Times New Roman" w:hAnsi="Times New Roman"/>
          <w:noProof/>
          <w:sz w:val="24"/>
        </w:rPr>
        <w:t>Настоящият доклад се представя въз основа на член 12 от Решение № 1622/2006/ЕО на Европейския парламент и на Съвета от 24 октомври 2006 г. за установяване на действията на Общността „Европейска столица на културата“ за годините 2007—2019</w:t>
      </w:r>
      <w:r>
        <w:rPr>
          <w:noProof/>
          <w:vertAlign w:val="superscript"/>
        </w:rPr>
        <w:footnoteReference w:id="1"/>
      </w:r>
      <w:r>
        <w:rPr>
          <w:rFonts w:ascii="Times New Roman" w:hAnsi="Times New Roman"/>
          <w:noProof/>
          <w:sz w:val="24"/>
        </w:rPr>
        <w:t>, в който се изисква всяка година Комисията да осигурява външно и независимо оценяване на резултатите от завършилото през предишната година събитие „Европейска столица на културата“ и да представя доклад относно тази оценка на Европейския парламент, Съвета и Комитета на регионите</w:t>
      </w:r>
      <w:r>
        <w:rPr>
          <w:noProof/>
          <w:vertAlign w:val="superscript"/>
        </w:rPr>
        <w:footnoteReference w:id="2"/>
      </w:r>
      <w:r>
        <w:rPr>
          <w:rFonts w:ascii="Times New Roman" w:hAnsi="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noProof/>
          <w:sz w:val="24"/>
        </w:rPr>
        <w:t>Резултатите и методологията на последващата оценка са представени по-подробно в придружаващия работен документ на службите на Комисията.</w:t>
      </w:r>
    </w:p>
    <w:p>
      <w:pPr>
        <w:keepNext/>
        <w:numPr>
          <w:ilvl w:val="0"/>
          <w:numId w:val="1"/>
        </w:numPr>
        <w:spacing w:before="360" w:after="120" w:line="240" w:lineRule="auto"/>
        <w:jc w:val="both"/>
        <w:outlineLvl w:val="0"/>
        <w:rPr>
          <w:rFonts w:ascii="Times New Roman" w:eastAsia="Times New Roman" w:hAnsi="Times New Roman" w:cs="Times New Roman"/>
          <w:b/>
          <w:bCs/>
          <w:smallCaps/>
          <w:noProof/>
          <w:sz w:val="24"/>
          <w:szCs w:val="28"/>
        </w:rPr>
      </w:pPr>
      <w:r>
        <w:rPr>
          <w:rFonts w:ascii="Times New Roman" w:hAnsi="Times New Roman"/>
          <w:b/>
          <w:smallCaps/>
          <w:noProof/>
          <w:sz w:val="24"/>
        </w:rPr>
        <w:t>Контекст на действието</w:t>
      </w:r>
      <w:bookmarkEnd w:id="2"/>
    </w:p>
    <w:p>
      <w:pPr>
        <w:keepNext/>
        <w:numPr>
          <w:ilvl w:val="1"/>
          <w:numId w:val="1"/>
        </w:numPr>
        <w:spacing w:before="120" w:after="120" w:line="240" w:lineRule="auto"/>
        <w:jc w:val="both"/>
        <w:outlineLvl w:val="1"/>
        <w:rPr>
          <w:rFonts w:ascii="Times New Roman" w:eastAsia="Times New Roman" w:hAnsi="Times New Roman" w:cs="Times New Roman"/>
          <w:b/>
          <w:bCs/>
          <w:noProof/>
          <w:sz w:val="24"/>
          <w:szCs w:val="26"/>
        </w:rPr>
      </w:pPr>
      <w:bookmarkStart w:id="3" w:name="_Toc246230957"/>
      <w:r>
        <w:rPr>
          <w:rFonts w:ascii="Times New Roman" w:hAnsi="Times New Roman"/>
          <w:b/>
          <w:noProof/>
          <w:sz w:val="24"/>
        </w:rPr>
        <w:t>Действие на ЕС „Европейска столица на културата“ (ЕСК)</w:t>
      </w:r>
      <w:bookmarkEnd w:id="3"/>
    </w:p>
    <w:p>
      <w:pPr>
        <w:spacing w:line="240" w:lineRule="auto"/>
        <w:jc w:val="both"/>
        <w:rPr>
          <w:rFonts w:ascii="Times New Roman" w:hAnsi="Times New Roman" w:cs="Times New Roman"/>
          <w:noProof/>
          <w:sz w:val="24"/>
          <w:szCs w:val="24"/>
        </w:rPr>
      </w:pPr>
      <w:bookmarkStart w:id="4" w:name="_Toc246230958"/>
      <w:r>
        <w:rPr>
          <w:rFonts w:ascii="Times New Roman" w:hAnsi="Times New Roman"/>
          <w:noProof/>
          <w:sz w:val="24"/>
        </w:rPr>
        <w:t>След стартирането на междуправителствено равнище на инициативата „Европейска столица на културата“ през 1985 г.</w:t>
      </w:r>
      <w:r>
        <w:rPr>
          <w:noProof/>
          <w:vertAlign w:val="superscript"/>
        </w:rPr>
        <w:footnoteReference w:id="3"/>
      </w:r>
      <w:r>
        <w:rPr>
          <w:rFonts w:ascii="Times New Roman" w:hAnsi="Times New Roman"/>
          <w:noProof/>
          <w:sz w:val="24"/>
        </w:rPr>
        <w:t xml:space="preserve"> тя се разви, като през 1999 г. достигна формата на напълно самостоятелно действие на ЕС</w:t>
      </w:r>
      <w:r>
        <w:rPr>
          <w:noProof/>
          <w:vertAlign w:val="superscript"/>
        </w:rPr>
        <w:footnoteReference w:id="4"/>
      </w:r>
      <w:r>
        <w:rPr>
          <w:rFonts w:ascii="Times New Roman" w:hAnsi="Times New Roman"/>
          <w:noProof/>
          <w:sz w:val="24"/>
        </w:rPr>
        <w:t>. Понастоящем тя се урежда от Решение № 445/2014/ЕС</w:t>
      </w:r>
      <w:r>
        <w:rPr>
          <w:noProof/>
          <w:vertAlign w:val="superscript"/>
        </w:rPr>
        <w:footnoteReference w:id="5"/>
      </w:r>
      <w:r>
        <w:rPr>
          <w:rFonts w:ascii="Times New Roman" w:hAnsi="Times New Roman"/>
          <w:noProof/>
          <w:sz w:val="24"/>
        </w:rPr>
        <w:t>, а градовете, които бяха избрани за ЕСК за годините до 2019 г., бяха уредени с Решение № 1622/2006/ЕО.</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Действието ЕСК има за цел да подчертае богатството и многообразието на културите в Европа и техните общи черти, като по този начин стимулира по-силното взаимно разбирателство между европейските граждани. Действието цели също така да стимулира основаното на културата дългосрочно развитие на градовете в широкия смисъл на понятието, което води до социално-икономическо въздействие, до засилване на сътрудничеството между културните оператори, хората на изкуството и градовете в Европа, както и до участие в културата на местните (и чуждестранните) граждани. </w:t>
      </w:r>
    </w:p>
    <w:p>
      <w:pPr>
        <w:keepNext/>
        <w:numPr>
          <w:ilvl w:val="1"/>
          <w:numId w:val="1"/>
        </w:numPr>
        <w:spacing w:before="120" w:after="120" w:line="240" w:lineRule="auto"/>
        <w:jc w:val="both"/>
        <w:outlineLvl w:val="1"/>
        <w:rPr>
          <w:rFonts w:ascii="Times New Roman" w:eastAsia="Times New Roman" w:hAnsi="Times New Roman" w:cs="Times New Roman"/>
          <w:b/>
          <w:bCs/>
          <w:noProof/>
          <w:sz w:val="24"/>
          <w:szCs w:val="26"/>
        </w:rPr>
      </w:pPr>
      <w:r>
        <w:rPr>
          <w:rFonts w:ascii="Times New Roman" w:hAnsi="Times New Roman"/>
          <w:b/>
          <w:noProof/>
          <w:sz w:val="24"/>
        </w:rPr>
        <w:t>Подбор и мониторинг на ЕСК за 2016 г.</w:t>
      </w:r>
      <w:bookmarkEnd w:id="4"/>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В съответствие с Решение № 1622/2006/ЕО Испания и Полша бяха двете държави членки, домакини на събитието ЕСК през 2016 г.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Двуетапният процес на подбор (предварителен подбор и окончателна препоръка) беше извършен паралелно от съответните органи на тези две държави членки (т.е. съответните министерства на културата). Кандидатурите на кандидатстващите градове бяха разгледани въз основа на целите и критериите, посочени в Решение № 1622/2006/ЕО, от комисия, съставена от тринадесет членове, като шестима са номинирани от съответната държава членка, а останалите седем — от институциите и органите на Европейския съюз. Петнадесет града в Испания и единадесет града в Полша се включиха в надпреварата през 2010 г. и през 2011 г. комисията препоръча за ЕСК 2016 г. да бъдат обявени Доностия-Сан Себастиан и Вроцлав</w:t>
      </w:r>
      <w:r>
        <w:rPr>
          <w:rFonts w:ascii="Times New Roman" w:hAnsi="Times New Roman"/>
          <w:noProof/>
          <w:sz w:val="24"/>
          <w:vertAlign w:val="superscript"/>
        </w:rPr>
        <w:footnoteReference w:id="6"/>
      </w:r>
      <w:r>
        <w:rPr>
          <w:rFonts w:ascii="Times New Roman" w:hAnsi="Times New Roman"/>
          <w:noProof/>
          <w:sz w:val="24"/>
        </w:rPr>
        <w:t>. Двата града бяха официално посочени от Съвета на Европейския съюз през май 2012 г</w:t>
      </w:r>
      <w:r>
        <w:rPr>
          <w:rFonts w:ascii="Times New Roman" w:hAnsi="Times New Roman"/>
          <w:noProof/>
          <w:sz w:val="24"/>
          <w:vertAlign w:val="superscript"/>
        </w:rPr>
        <w:footnoteReference w:id="7"/>
      </w:r>
      <w:r>
        <w:rPr>
          <w:rFonts w:ascii="Times New Roman" w:hAnsi="Times New Roman"/>
          <w:noProof/>
          <w:sz w:val="24"/>
        </w:rPr>
        <w:t>.</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Впоследствие двата града преминаха процедура на мониторинг: напредъкът в подготовката на градовете беше следен и напътстван от комисия, съставена от седем независими експерти, излъчени от институциите и органите на ЕС, чиято допълнителна задача беше да гарантират спазването на програмата и ангажиментите, въз основа на които са били избрани градовете. Представителите на Доностия-Сан Себастиан и Вроцлав участваха в две официални срещи за мониторинг, свикани от Комисията през есента на 2013 г. и пролетта на 2015 г. Процесът на мониторинг приключи с положителна препоръка, която комисията отправи към Европейската комисия да отпусне награда от 1,5 милиона евро за всеки от двата града в памет на Мелина Меркури. Паричната награда, финансирана по линия на програмата „Творческа Европа“</w:t>
      </w:r>
      <w:r>
        <w:rPr>
          <w:rFonts w:ascii="Times New Roman" w:hAnsi="Times New Roman"/>
          <w:noProof/>
          <w:sz w:val="24"/>
          <w:vertAlign w:val="superscript"/>
        </w:rPr>
        <w:footnoteReference w:id="8"/>
      </w:r>
      <w:r>
        <w:rPr>
          <w:rFonts w:ascii="Times New Roman" w:hAnsi="Times New Roman"/>
          <w:noProof/>
          <w:sz w:val="24"/>
        </w:rPr>
        <w:t>, бе изплатена на двете ЕСК през есента на 2015 г.</w:t>
      </w:r>
    </w:p>
    <w:p>
      <w:pPr>
        <w:keepNext/>
        <w:numPr>
          <w:ilvl w:val="1"/>
          <w:numId w:val="1"/>
        </w:numPr>
        <w:spacing w:before="120" w:after="120" w:line="240" w:lineRule="auto"/>
        <w:jc w:val="both"/>
        <w:outlineLvl w:val="1"/>
        <w:rPr>
          <w:rFonts w:ascii="Times New Roman" w:eastAsia="Times New Roman" w:hAnsi="Times New Roman" w:cs="Times New Roman"/>
          <w:noProof/>
          <w:sz w:val="24"/>
        </w:rPr>
      </w:pPr>
      <w:r>
        <w:rPr>
          <w:rFonts w:ascii="Times New Roman" w:hAnsi="Times New Roman"/>
          <w:b/>
          <w:noProof/>
          <w:sz w:val="24"/>
        </w:rPr>
        <w:t>Теми и акценти на двете ЕСК за 2016 г.</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Кандидатурата на Доностия-Сан Себастиан бе озаглавена „Cultura para la convivencia“ (култура за съвместно съществуване) и е със силна местна конотация: тя бе изготвена с оглед на близкото минало на града, което беше белязано от терористични дейности в продължение на десетилетия.</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Тъй като предлагането на култура в града и капацитетът на неговия културен сектор бяха вече много развити към момента на подаване на кандидатурата, акцентът бе в по-голяма степен върху одобряването на качествено различни проекти, свързани с чувствителни теми, като насилието или тероризма, с цел да се помогне на гражданите да се помирят с миналото си.</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Основите на програмата бяха положени върху двете понятия „съвместно съществуване“ и „градът“. Първото понятие беше формулирано около трите оси „Фарът на мира“, „Фарът на живота“ и „Фарът на гласовете“, насочени съответно към интеграцията и съвместното съществуване; здравето, труда и околната среда; и комуникацията. Последното понятие изпълняваше вертикална функция, като предоставяше методологии — в областта на устойчивостта на езиковото многообразие, критичното мислене чрез съвременно изкуство, гражданската ангажираност, връзката между култура и технологията и разработването на интерактивни ситуации в културни пространства — които имаха за цел да подпомагат всички индивидуални проекти да постигнат целите си.</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Кандидатурата на Вроцлав се разви в резултат от по-широката стратегия на град Вроцлав, която подчерта потенциала за градско развитие, което да бъде подкрепяно чрез приоритизиране на инвестициите в културни и спортни събития и инфраструктури.</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 xml:space="preserve">Приетото общо понятие бе „метаморфози на културата“, което послужи като метафора за историческата трансформация на града и за съвременните процеси на културни и социални промени (включително глобализацията, имиграцията, разширяването на ЕС и нарастващата роля на цифровите комуникации). Като лозунг за програмата на ЕСК бе използван изразът „пространства за красота“, тъй като намерението бе „да се създадат пространства, в които да се възстанови присъствието на красотата в обществения живот и в ежедневните навици“.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Вроцлав представи много ясна визия, особено по отношение на дългосрочните цели, които варират от повишаване на осведомеността и признаването на културната идентичност на Вроцлав/Долна Силезия до създаването на публични пространства за социални дейности и оформянето на гражданско поведение, както и до увеличаването на броя на посещаващите туристи. Културните прояви бяха организирани в подпрограми по дисциплини (напр. архитектура, филми, опера и др.) и формулирани около четири „етапа“ в зависимост от целта, вариращи от диалог с местните жители до подчертаване на ролята на града в европейската и световната култура.</w:t>
      </w:r>
    </w:p>
    <w:p>
      <w:pPr>
        <w:keepNext/>
        <w:numPr>
          <w:ilvl w:val="0"/>
          <w:numId w:val="1"/>
        </w:numPr>
        <w:spacing w:before="360" w:after="120" w:line="240" w:lineRule="auto"/>
        <w:jc w:val="both"/>
        <w:outlineLvl w:val="0"/>
        <w:rPr>
          <w:rFonts w:ascii="Times New Roman" w:eastAsia="Times New Roman" w:hAnsi="Times New Roman" w:cs="Times New Roman"/>
          <w:b/>
          <w:bCs/>
          <w:smallCaps/>
          <w:noProof/>
          <w:sz w:val="24"/>
          <w:szCs w:val="28"/>
        </w:rPr>
      </w:pPr>
      <w:bookmarkStart w:id="5" w:name="_Toc246230959"/>
      <w:r>
        <w:rPr>
          <w:rFonts w:ascii="Times New Roman" w:hAnsi="Times New Roman"/>
          <w:b/>
          <w:smallCaps/>
          <w:noProof/>
          <w:sz w:val="24"/>
        </w:rPr>
        <w:t>Външно проучване</w:t>
      </w:r>
      <w:bookmarkEnd w:id="5"/>
    </w:p>
    <w:p>
      <w:pPr>
        <w:keepNext/>
        <w:numPr>
          <w:ilvl w:val="1"/>
          <w:numId w:val="1"/>
        </w:numPr>
        <w:spacing w:before="120" w:after="120" w:line="240" w:lineRule="auto"/>
        <w:jc w:val="both"/>
        <w:outlineLvl w:val="1"/>
        <w:rPr>
          <w:rFonts w:ascii="Times New Roman" w:eastAsia="Times New Roman" w:hAnsi="Times New Roman" w:cs="Times New Roman"/>
          <w:b/>
          <w:bCs/>
          <w:noProof/>
          <w:sz w:val="24"/>
          <w:szCs w:val="26"/>
        </w:rPr>
      </w:pPr>
      <w:bookmarkStart w:id="6" w:name="_Toc246230960"/>
      <w:r>
        <w:rPr>
          <w:rFonts w:ascii="Times New Roman" w:hAnsi="Times New Roman"/>
          <w:b/>
          <w:noProof/>
          <w:sz w:val="24"/>
        </w:rPr>
        <w:t>Параметри на оценката</w:t>
      </w:r>
      <w:bookmarkEnd w:id="6"/>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В оценката се разглежда осъществяването на двете програми ЕСК 2016 г. през целия им жизнен цикъл — от началния им замисъл до трайността им и оставените от тях устойчиви резултати.</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По-конкретно, прави се оценка на целесъобразността, ефикасността, ефективността и трайните резултати, постигнати от двете ЕСК 2016 г. и се разглеждат добавената стойност на ЕС и съгласуваността и взаимното допълване на действието с други инициативи на ЕС. На последно място, в оценката са формулирани индивидуални и общи заключения във връзка с двете мероприятия и се разглеждат последиците за бъдещите носители на званието ЕСК, за кандидатите и за институциите на ЕС.</w:t>
      </w:r>
    </w:p>
    <w:p>
      <w:pPr>
        <w:keepNext/>
        <w:numPr>
          <w:ilvl w:val="1"/>
          <w:numId w:val="1"/>
        </w:numPr>
        <w:spacing w:before="120" w:after="120" w:line="240" w:lineRule="auto"/>
        <w:jc w:val="both"/>
        <w:outlineLvl w:val="1"/>
        <w:rPr>
          <w:rFonts w:ascii="Times New Roman" w:eastAsia="Times New Roman" w:hAnsi="Times New Roman" w:cs="Times New Roman"/>
          <w:b/>
          <w:bCs/>
          <w:noProof/>
          <w:sz w:val="24"/>
          <w:szCs w:val="26"/>
        </w:rPr>
      </w:pPr>
      <w:bookmarkStart w:id="7" w:name="_Toc246230961"/>
      <w:r>
        <w:rPr>
          <w:rFonts w:ascii="Times New Roman" w:hAnsi="Times New Roman"/>
          <w:b/>
          <w:noProof/>
          <w:sz w:val="24"/>
        </w:rPr>
        <w:t>Методология</w:t>
      </w:r>
      <w:bookmarkEnd w:id="7"/>
      <w:r>
        <w:rPr>
          <w:rFonts w:ascii="Times New Roman" w:hAnsi="Times New Roman"/>
          <w:b/>
          <w:noProof/>
          <w:sz w:val="24"/>
        </w:rPr>
        <w:t xml:space="preserve"> и ограничения на избрания подход</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Оценката и използваната за нея методология бяха предназначени да изпълнят изискванията на Решение № 1622/2006/ЕО и да допринесат за по-задълбочено разбиране на изпълнението и постиженията на действието. По-специално, оценката представлява ценна възможност за критично преосмисляне на последната година, за да се изведат поуки и препоръки за преформулиране на сегашната мъдрост и прозрения в светлината на новия опит на градовете домакини.</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Що се отнася до предишните оценки на ЕСК за периода 2007—2015 г., използваната от оценителя логика на интервенцията се основава на йерархия от цели, съответстващи на Решение № 1622/2006/ЕО</w:t>
      </w:r>
      <w:r>
        <w:rPr>
          <w:noProof/>
        </w:rPr>
        <w:t>.</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За да могат резултатите да бъдат съпоставими, методиката на тази оценка следваше подхода за събиране на данни и анализ, възприет при предишните оценки на действието</w:t>
      </w:r>
      <w:r>
        <w:rPr>
          <w:noProof/>
          <w:vertAlign w:val="superscript"/>
        </w:rPr>
        <w:footnoteReference w:id="9"/>
      </w:r>
      <w:r>
        <w:rPr>
          <w:rFonts w:ascii="Times New Roman" w:hAnsi="Times New Roman"/>
          <w:noProof/>
          <w:sz w:val="24"/>
        </w:rPr>
        <w:t xml:space="preserve">. </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Оценката беше основана на два вида данни и съответните източници:</w:t>
      </w:r>
    </w:p>
    <w:p>
      <w:pPr>
        <w:numPr>
          <w:ilvl w:val="0"/>
          <w:numId w:val="2"/>
        </w:numPr>
        <w:spacing w:before="120" w:after="120" w:line="240" w:lineRule="auto"/>
        <w:contextualSpacing/>
        <w:jc w:val="both"/>
        <w:rPr>
          <w:rFonts w:ascii="Times New Roman" w:eastAsia="Times New Roman" w:hAnsi="Times New Roman" w:cs="Times New Roman"/>
          <w:noProof/>
          <w:sz w:val="24"/>
        </w:rPr>
      </w:pPr>
      <w:r>
        <w:rPr>
          <w:rFonts w:ascii="Times New Roman" w:hAnsi="Times New Roman"/>
          <w:noProof/>
          <w:sz w:val="24"/>
        </w:rPr>
        <w:t>Първичните данни включваха данните, събрани на място или предоставени от всяка ЕСК, като интервюта, онлайн въпросници и проучвания. Целта на интервютата беше да се потърсят гледните точки на различни участници по всяка ЕСК, в това число на ръководните екипи, лицата, натоварени да вземат решения на местно и национално равнище, както и ключови културни организации, множество партньори, участващи в осъществяването на програмата, и редица организации, които ръководеха или участваха в конкретни проекти.</w:t>
      </w:r>
    </w:p>
    <w:p>
      <w:pPr>
        <w:numPr>
          <w:ilvl w:val="0"/>
          <w:numId w:val="3"/>
        </w:numPr>
        <w:spacing w:before="120" w:after="120" w:line="240" w:lineRule="auto"/>
        <w:contextualSpacing/>
        <w:jc w:val="both"/>
        <w:rPr>
          <w:rFonts w:ascii="Times New Roman" w:eastAsia="Times New Roman" w:hAnsi="Times New Roman" w:cs="Times New Roman"/>
          <w:noProof/>
          <w:sz w:val="24"/>
        </w:rPr>
      </w:pPr>
      <w:r>
        <w:rPr>
          <w:rFonts w:ascii="Times New Roman" w:hAnsi="Times New Roman"/>
          <w:noProof/>
          <w:sz w:val="24"/>
        </w:rPr>
        <w:t>Източниците на вторични данни включваха документи на ЕС, първоначални оферти и кандидатури, вътрешни доклади, свързани с процедурите за кандидатстване, доклади за мониторинг и оценка, проучвания и доклади, изработени или възложени от ЕСК, програми за събитията, информационни материали и уебсайтове, статистически данни относно културата и туризма и количествени данни, предоставени от ЕСК, относно финансите, дейностите, продуктите и резултатите.</w:t>
      </w:r>
    </w:p>
    <w:p>
      <w:pPr>
        <w:numPr>
          <w:ilvl w:val="0"/>
          <w:numId w:val="3"/>
        </w:numPr>
        <w:spacing w:before="120" w:after="120" w:line="240" w:lineRule="auto"/>
        <w:contextualSpacing/>
        <w:jc w:val="both"/>
        <w:rPr>
          <w:rFonts w:ascii="Times New Roman" w:eastAsia="Times New Roman" w:hAnsi="Times New Roman" w:cs="Times New Roman"/>
          <w:noProof/>
          <w:sz w:val="24"/>
        </w:rPr>
      </w:pPr>
      <w:r>
        <w:rPr>
          <w:rFonts w:ascii="Times New Roman" w:hAnsi="Times New Roman"/>
          <w:noProof/>
          <w:sz w:val="24"/>
        </w:rPr>
        <w:t>Оценката не включва по-широка обществена консултация. Както е обяснено в пътната карта</w:t>
      </w:r>
      <w:r>
        <w:rPr>
          <w:rFonts w:ascii="Times New Roman" w:hAnsi="Times New Roman"/>
          <w:noProof/>
          <w:sz w:val="24"/>
          <w:vertAlign w:val="superscript"/>
        </w:rPr>
        <w:footnoteReference w:id="10"/>
      </w:r>
      <w:r>
        <w:rPr>
          <w:rFonts w:ascii="Times New Roman" w:hAnsi="Times New Roman"/>
          <w:noProof/>
          <w:sz w:val="24"/>
        </w:rPr>
        <w:t>, действието се счита за действие на местно равнище. Международното участие е разпръснато в рамките на Европа и извън нея и е трудно да се обхване. От друга страна, изразените становища биха се основавали на участие в конкретни прояви и не биха предоставили полезна информация за оценката на действието ЕСК като цяло.</w:t>
      </w:r>
    </w:p>
    <w:p>
      <w:pPr>
        <w:spacing w:before="120" w:after="120" w:line="240" w:lineRule="auto"/>
        <w:ind w:left="720"/>
        <w:contextualSpacing/>
        <w:jc w:val="both"/>
        <w:rPr>
          <w:rFonts w:ascii="Times New Roman" w:eastAsia="Times New Roman" w:hAnsi="Times New Roman" w:cs="Times New Roman"/>
          <w:noProof/>
          <w:sz w:val="24"/>
        </w:rPr>
      </w:pPr>
    </w:p>
    <w:p>
      <w:pPr>
        <w:spacing w:before="120" w:after="0" w:line="240" w:lineRule="auto"/>
        <w:jc w:val="both"/>
        <w:rPr>
          <w:rFonts w:ascii="Times New Roman" w:eastAsia="Times New Roman" w:hAnsi="Times New Roman" w:cs="Times New Roman"/>
          <w:noProof/>
          <w:sz w:val="24"/>
        </w:rPr>
      </w:pPr>
      <w:r>
        <w:rPr>
          <w:rFonts w:ascii="Times New Roman" w:hAnsi="Times New Roman"/>
          <w:noProof/>
          <w:sz w:val="24"/>
        </w:rPr>
        <w:t>Както при всички предишни последващи оценки на ЕСК Комисията поддържа становището, че приетата методология е целесъобразна, за да се изготви доклад, който да осигури достатъчно солидна основа за извеждане на надеждни заключения относно провеждането на ЕСК.</w:t>
      </w:r>
    </w:p>
    <w:p>
      <w:pPr>
        <w:spacing w:before="120" w:after="0" w:line="240" w:lineRule="auto"/>
        <w:jc w:val="both"/>
        <w:rPr>
          <w:rFonts w:ascii="Times New Roman" w:eastAsia="Times New Roman" w:hAnsi="Times New Roman" w:cs="Times New Roman"/>
          <w:noProof/>
          <w:sz w:val="24"/>
        </w:rPr>
      </w:pPr>
      <w:r>
        <w:rPr>
          <w:rFonts w:ascii="Times New Roman" w:hAnsi="Times New Roman"/>
          <w:noProof/>
          <w:sz w:val="24"/>
        </w:rPr>
        <w:t>Ограничение обаче представлява липсата на базови данни, които да се включат в сравнително проучване на града преди спечелването на званието, началото на годината и след изпълнението на събитието ЕСК. Тези данни са от първостепенно значение, за да се постигне балансирана представа, подкрепена с убедителна и обширна база данни за действителното отражение на действието върху съответния град. При все това бюджетът, отпуснат за работата по оценката (приблизително 70 000 EUR годишно), е пропорционален на ниското равнище на прякото финансиране от ЕС за ЕСК (1,5 милиона евро за наградата „Мелина Меркури“) и не позволява да се разполага с проучване на състоянието преди („базов сценарий“) и след действието („последваща оценка“). Друга последица от скромния бюджет е, че събирането на първични доказателствени данни е по-скоро от качествен, отколкото от количествен характер; въпреки че качествените данни все още имат голямо значение за оценката, липсата на количествени данни води до по-малка надеждност например в процеса на доказване на наличието на обективни резултати и въздействието на действието ЕСК за по-широко участие на населението в културата.</w:t>
      </w:r>
    </w:p>
    <w:p>
      <w:pPr>
        <w:spacing w:before="120" w:after="0" w:line="240" w:lineRule="auto"/>
        <w:jc w:val="both"/>
        <w:rPr>
          <w:rFonts w:ascii="Times New Roman" w:eastAsia="Times New Roman" w:hAnsi="Times New Roman" w:cs="Times New Roman"/>
          <w:noProof/>
          <w:sz w:val="24"/>
        </w:rPr>
      </w:pPr>
      <w:r>
        <w:rPr>
          <w:rFonts w:ascii="Times New Roman" w:hAnsi="Times New Roman"/>
          <w:noProof/>
          <w:sz w:val="24"/>
        </w:rPr>
        <w:t>Поради това заключенията на доклада са обосновани по-скоро от широк спектър от качествени и „меки“ данни (например възгледите и становищата на различни видове заинтересовани страни), отколкото от всеобхватен количествен набор от данни.</w:t>
      </w:r>
    </w:p>
    <w:p>
      <w:pPr>
        <w:spacing w:before="120" w:after="0" w:line="240" w:lineRule="auto"/>
        <w:jc w:val="both"/>
        <w:rPr>
          <w:rFonts w:ascii="Times New Roman" w:eastAsia="Times New Roman" w:hAnsi="Times New Roman" w:cs="Times New Roman"/>
          <w:noProof/>
          <w:sz w:val="24"/>
        </w:rPr>
      </w:pPr>
      <w:r>
        <w:rPr>
          <w:rFonts w:ascii="Times New Roman" w:hAnsi="Times New Roman"/>
          <w:noProof/>
          <w:sz w:val="24"/>
        </w:rPr>
        <w:t>Комисията е напълно запозната — и приема — тези ограничения, които вече бяха набелязани и съобщени в работен документ на службите на Комисията, придружаващ предложението за решение за установяване на действие на Съюза „Европейски столици на културата“ за годините 2020 — 2033 г</w:t>
      </w:r>
      <w:r>
        <w:rPr>
          <w:rFonts w:ascii="Times New Roman" w:hAnsi="Times New Roman"/>
          <w:noProof/>
          <w:sz w:val="24"/>
          <w:vertAlign w:val="superscript"/>
        </w:rPr>
        <w:footnoteReference w:id="11"/>
      </w:r>
      <w:r>
        <w:rPr>
          <w:rFonts w:ascii="Times New Roman" w:hAnsi="Times New Roman"/>
          <w:noProof/>
          <w:sz w:val="24"/>
        </w:rPr>
        <w:t>. Във връзка с това затруднение, в последващо предложение на Комисията и в решение, което ще бъде окончателно прието от Европейския парламент и Съвета</w:t>
      </w:r>
      <w:r>
        <w:rPr>
          <w:rFonts w:ascii="Times New Roman" w:hAnsi="Times New Roman"/>
          <w:noProof/>
          <w:sz w:val="24"/>
          <w:vertAlign w:val="superscript"/>
        </w:rPr>
        <w:footnoteReference w:id="12"/>
      </w:r>
      <w:r>
        <w:rPr>
          <w:rFonts w:ascii="Times New Roman" w:hAnsi="Times New Roman"/>
          <w:noProof/>
          <w:sz w:val="24"/>
        </w:rPr>
        <w:t>, се предвижда, че самите посочени градове — които са в по-добра позиция да притежават базови данни и да събират първични данни за въздействието на званието — се превръщат в основни изпълнители на процеса на оценяване.</w:t>
      </w:r>
    </w:p>
    <w:p>
      <w:pPr>
        <w:spacing w:before="120" w:after="0" w:line="240" w:lineRule="auto"/>
        <w:jc w:val="both"/>
        <w:rPr>
          <w:rFonts w:ascii="Times New Roman" w:eastAsia="Times New Roman" w:hAnsi="Times New Roman" w:cs="Times New Roman"/>
          <w:noProof/>
          <w:sz w:val="24"/>
        </w:rPr>
      </w:pPr>
      <w:r>
        <w:rPr>
          <w:rFonts w:ascii="Times New Roman" w:hAnsi="Times New Roman"/>
          <w:noProof/>
          <w:sz w:val="24"/>
        </w:rPr>
        <w:t>В това отношение следва да се подчертае, че Доностия-Сан Себастиан и Вроцлав възложиха местни дейности по проучване</w:t>
      </w:r>
      <w:r>
        <w:rPr>
          <w:rFonts w:ascii="Times New Roman" w:hAnsi="Times New Roman"/>
          <w:noProof/>
          <w:sz w:val="24"/>
          <w:vertAlign w:val="superscript"/>
        </w:rPr>
        <w:footnoteReference w:id="13"/>
      </w:r>
      <w:r>
        <w:rPr>
          <w:rFonts w:ascii="Times New Roman" w:hAnsi="Times New Roman"/>
          <w:noProof/>
          <w:sz w:val="24"/>
        </w:rPr>
        <w:t xml:space="preserve"> — извършени съответно от Фондацията на Сан Себастиан и Института по социология към Университета на Вроцлав — за да подобрят своето разбиране на въздействието на ЕСК върху ключови участници, като културните институции, културните и творческите индустрии и гражданите, както и по отношение на показатели, като международното измерение и икономиката.</w:t>
      </w:r>
    </w:p>
    <w:p>
      <w:pPr>
        <w:spacing w:before="120" w:after="0" w:line="240" w:lineRule="auto"/>
        <w:jc w:val="both"/>
        <w:rPr>
          <w:rFonts w:ascii="Times New Roman" w:eastAsia="Times New Roman" w:hAnsi="Times New Roman" w:cs="Times New Roman"/>
          <w:noProof/>
          <w:sz w:val="24"/>
        </w:rPr>
      </w:pPr>
      <w:r>
        <w:rPr>
          <w:rFonts w:ascii="Times New Roman" w:hAnsi="Times New Roman"/>
          <w:noProof/>
          <w:sz w:val="24"/>
        </w:rPr>
        <w:t>В заключение, въпреки липсата на количествени данни и други независими доказателства, Комисията установява, че събраните доказателства са достатъчна солидни, за да подкрепят оценката, и споделя цялостната си оценка и заключения, за които като цяло се счита, че предоставят точна и пълна картина на действието ЕСК 2016 г.</w:t>
      </w:r>
    </w:p>
    <w:p>
      <w:pPr>
        <w:keepNext/>
        <w:numPr>
          <w:ilvl w:val="0"/>
          <w:numId w:val="1"/>
        </w:numPr>
        <w:spacing w:before="360" w:after="120" w:line="240" w:lineRule="auto"/>
        <w:jc w:val="both"/>
        <w:outlineLvl w:val="0"/>
        <w:rPr>
          <w:rFonts w:ascii="Times New Roman" w:eastAsia="Times New Roman" w:hAnsi="Times New Roman" w:cs="Times New Roman"/>
          <w:b/>
          <w:bCs/>
          <w:smallCaps/>
          <w:noProof/>
          <w:sz w:val="24"/>
          <w:szCs w:val="28"/>
        </w:rPr>
      </w:pPr>
      <w:r>
        <w:rPr>
          <w:rFonts w:ascii="Times New Roman" w:hAnsi="Times New Roman"/>
          <w:b/>
          <w:smallCaps/>
          <w:noProof/>
          <w:sz w:val="24"/>
        </w:rPr>
        <w:t>Основни констатации от доклада за оценка</w:t>
      </w:r>
    </w:p>
    <w:p>
      <w:pPr>
        <w:keepNext/>
        <w:numPr>
          <w:ilvl w:val="1"/>
          <w:numId w:val="1"/>
        </w:numPr>
        <w:spacing w:before="120" w:after="120" w:line="240" w:lineRule="auto"/>
        <w:jc w:val="both"/>
        <w:outlineLvl w:val="1"/>
        <w:rPr>
          <w:rFonts w:ascii="Times New Roman" w:eastAsia="Times New Roman" w:hAnsi="Times New Roman" w:cs="Times New Roman"/>
          <w:b/>
          <w:bCs/>
          <w:noProof/>
          <w:sz w:val="24"/>
          <w:szCs w:val="26"/>
        </w:rPr>
      </w:pPr>
      <w:bookmarkStart w:id="8" w:name="_Toc246230963"/>
      <w:r>
        <w:rPr>
          <w:rFonts w:ascii="Times New Roman" w:hAnsi="Times New Roman"/>
          <w:b/>
          <w:noProof/>
          <w:sz w:val="24"/>
        </w:rPr>
        <w:t>Целесъобразност на действието ЕСК</w:t>
      </w:r>
      <w:bookmarkEnd w:id="8"/>
      <w:r>
        <w:rPr>
          <w:rFonts w:ascii="Times New Roman" w:hAnsi="Times New Roman"/>
          <w:b/>
          <w:noProof/>
          <w:sz w:val="24"/>
        </w:rPr>
        <w:t xml:space="preserve"> и на ЕСК 2016 г.</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Според констатациите в оценката двата града домакини са разработили и приложили програми в областта на културата, които са в съответствие и във връзка с член 167 от Договора за функционирането на Европейския съюз, що се отнася до приноса на Съюза за „разцвета на културите на държавите членки“. Домакинството на ЕСК също така допринесе за икономическото и социалното развитие в двата града, особено в контекста на градското развитие, което също е в съответствие с целите на Решение № 1622/2006/ЕО.</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 В оценката се заключава, че програмата на Доностия-Сан Себастиан отразява местните тревоги и контекст и е със със силна социална и политическа насоченост. Доколкото вече съществуващото предлагане на културни мероприятия в града беше доста стабилно, с голям брой международни посетители и големи европейски фестивали, беше решено да се използва събитието ЕСК за развиване на по-тесни връзки с новите европейски участници в областта на културата — особено по-малките културни организации, но главно да се предлага със същата отдаденост нов вид чувствителни области на съдържание, имащи отношение към сложната идентичност на града и социалното и личното благосъстояние на неговите жители, които също имат ясно изразено европейско измерение.</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Вроцлав предложи програма с амбициозни дългосрочни цели, силно европейско измерение и съгласувано взаимодействие с по-широката стратегия за развитие на града; тя бе насочена към по-нататъшно укрепване на европейския характер на града, привличане на национални и чуждестранни туристи, подобряване на културната инфраструктура на града, увеличаване на публиката и активно участие на гражданите в културни дейности. В програмата също така бяха разгледани някои от най-трудните елементи от най-новата история на града, а именно прехвърлянето на население между Съветския съюз, Полша и Германия в края на Втората световна война. </w:t>
      </w:r>
    </w:p>
    <w:p>
      <w:pPr>
        <w:keepNext/>
        <w:numPr>
          <w:ilvl w:val="1"/>
          <w:numId w:val="1"/>
        </w:numPr>
        <w:spacing w:before="120" w:after="120" w:line="240" w:lineRule="auto"/>
        <w:jc w:val="both"/>
        <w:outlineLvl w:val="1"/>
        <w:rPr>
          <w:rFonts w:ascii="Times New Roman" w:eastAsia="Times New Roman" w:hAnsi="Times New Roman" w:cs="Times New Roman"/>
          <w:b/>
          <w:bCs/>
          <w:noProof/>
          <w:sz w:val="24"/>
          <w:szCs w:val="26"/>
        </w:rPr>
      </w:pPr>
      <w:bookmarkStart w:id="9" w:name="_Toc246230965"/>
      <w:r>
        <w:rPr>
          <w:rFonts w:ascii="Times New Roman" w:hAnsi="Times New Roman"/>
          <w:b/>
          <w:noProof/>
          <w:sz w:val="24"/>
        </w:rPr>
        <w:t>Ефикасност</w:t>
      </w:r>
      <w:bookmarkEnd w:id="9"/>
    </w:p>
    <w:p>
      <w:pPr>
        <w:keepNext/>
        <w:spacing w:before="120" w:after="120" w:line="240" w:lineRule="auto"/>
        <w:jc w:val="both"/>
        <w:outlineLvl w:val="1"/>
        <w:rPr>
          <w:rFonts w:ascii="Times New Roman" w:hAnsi="Times New Roman" w:cs="Times New Roman"/>
          <w:noProof/>
          <w:sz w:val="24"/>
          <w:szCs w:val="24"/>
        </w:rPr>
      </w:pPr>
      <w:r>
        <w:rPr>
          <w:rFonts w:ascii="Times New Roman" w:hAnsi="Times New Roman"/>
          <w:noProof/>
          <w:sz w:val="24"/>
        </w:rPr>
        <w:t>Като цяло наличните доказателства (предимно качествени) показват, че ЕСК продължава да бъде ефикасно действие на ЕС за осигуряване на добро ниво на възвръщаемост на равнището на ЕС за относително скромна инвестиция от страна на ЕС: самото присъждане на званието — обявяването на град за Европейска столица на културата, има значителен ефект на ливъридж върху размера на финансирането, което градовете домакини предоставят за изготвянето и изпълнението на културната програма на ЕСК, и поражда значителен интерес и привлича финансиране от широк кръг заинтересовани страни, включително регионални и национални органи и частни финансиращи субекти. Освен това абсолютната стойност на наградата „Мелина Меркури“ — единствената парична вноска, която градовете домакини на събитието получават от Европейския съюз, е минимална (1,5 милиона евро за всяка ЕСК) в сравнение с общите разходи за ЕСК: оперативните разходи на ЕСК за 2016 г. бяха около 86,4 милиона евро за Вроцлав и 49,6 милиона евро за Доностия-Сан Себастиан.</w:t>
      </w:r>
    </w:p>
    <w:p>
      <w:pPr>
        <w:autoSpaceDE w:val="0"/>
        <w:autoSpaceDN w:val="0"/>
        <w:adjustRightInd w:val="0"/>
        <w:spacing w:after="0" w:line="240" w:lineRule="auto"/>
        <w:jc w:val="both"/>
        <w:rPr>
          <w:rFonts w:ascii="Times New Roman" w:hAnsi="Times New Roman" w:cs="Times New Roman"/>
          <w:noProof/>
          <w:color w:val="000000"/>
          <w:sz w:val="24"/>
          <w:szCs w:val="24"/>
        </w:rPr>
      </w:pPr>
      <w:r>
        <w:rPr>
          <w:rFonts w:ascii="Times New Roman" w:hAnsi="Times New Roman"/>
          <w:noProof/>
          <w:color w:val="000000"/>
          <w:sz w:val="24"/>
        </w:rPr>
        <w:t xml:space="preserve">На градско равнище както Доностия-Сан Себастиан, така и Вроцлав създадоха много стабилни и ефикасни механизми за изпълнение и за управление, като използваха национални средства и средства от фондовете на ЕС (напр. Европейския фонд за регионално развитие), за да осъществят културни програми с висока художествена стойност и със значително по-голям мащаб от обичайния. </w:t>
      </w:r>
    </w:p>
    <w:p>
      <w:pPr>
        <w:keepNext/>
        <w:spacing w:before="120" w:after="120" w:line="240" w:lineRule="auto"/>
        <w:jc w:val="both"/>
        <w:outlineLvl w:val="1"/>
        <w:rPr>
          <w:rFonts w:ascii="Times New Roman" w:hAnsi="Times New Roman" w:cs="Times New Roman"/>
          <w:noProof/>
          <w:sz w:val="24"/>
          <w:szCs w:val="24"/>
        </w:rPr>
      </w:pPr>
      <w:r>
        <w:rPr>
          <w:rFonts w:ascii="Times New Roman" w:hAnsi="Times New Roman"/>
          <w:noProof/>
          <w:sz w:val="24"/>
        </w:rPr>
        <w:t>Въпреки това оценката показва също така, че ЕСК е ресурсоемко събитие за града домакин, което може да се окаже предизвикателство: например, Доностия-Сан Себастиан отбеляза значително намаляване на своя текущ бюджет в сравнение с етапа на първоначалната оферта (което представлява спад с повече от 40 %), което се дължи на прекалено амбициозното първоначално предложение, но също така и на много силния натиск върху публичните бюджетни сектори на всички териториални равнища, политически натиск да се даде приоритет на бюджетите на други проблеми на града и липса на способност да се търси финансиране от частния сектор в съчетание с лошите икономически условия.</w:t>
      </w:r>
    </w:p>
    <w:p>
      <w:pPr>
        <w:keepNext/>
        <w:numPr>
          <w:ilvl w:val="1"/>
          <w:numId w:val="1"/>
        </w:numPr>
        <w:spacing w:before="120" w:after="120" w:line="240" w:lineRule="auto"/>
        <w:jc w:val="both"/>
        <w:outlineLvl w:val="1"/>
        <w:rPr>
          <w:rFonts w:ascii="Times New Roman" w:eastAsia="Times New Roman" w:hAnsi="Times New Roman" w:cs="Times New Roman"/>
          <w:noProof/>
          <w:sz w:val="24"/>
        </w:rPr>
      </w:pPr>
      <w:r>
        <w:rPr>
          <w:rFonts w:ascii="Times New Roman" w:hAnsi="Times New Roman"/>
          <w:b/>
          <w:noProof/>
          <w:sz w:val="24"/>
        </w:rPr>
        <w:t>Ефективност</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И двата града — носители на званието ЕСК, постигнаха успехи в постигането на краткосрочните цели, поставени в кандидатурите им, най-вече изпълнението на широки и новаторски културни програми с европейско измерение и с изразено участие на гражданите. Въпреки съвсем различните концепции, програми и стил на изпълнение и двата града използваха ЕСК ефикасно, за да проучват и формулират теми от местен интерес с европейски отзвук.</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Доностия-Сан Себастиан подкрепи дейности, които ясно се различават от предишната културна програма на града; събитието ЕСК беше използвано за справяне със сложен и деликатен въпрос, а именно насилието и различията между общностите в града в миналото — а не просто за предлагането на културна програма за забавление на местната и международната публика или за рекламиране на града. Въпреки признанието, че това е „смел избор“, в оценката се посочва също, че е трудно да се измерят количествено и да се разберат бъдещите обществени въздействия на такъв избор. Докато Доностия-Сан Себастиан не си поставяше за цел да повиши вече значителния си международен профил чрез международен обмен и привличане на туристи, цифрите все пак показват, че общо 1,08 милиона души са присъствали на събитията, организирани в рамките на ЕСК, като 5—10 % от тях са били посетители от други държави.</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От друга страна, местните културни оператори отчетоха значително разширяване на мрежата: почти 80 % от организациите, участвали в годината, са си сътрудничили с други организации, в повечето случаи изграждайки нови професионални отношения, които може би нямаше да бъдат осъществени без годината ЕСК.</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Вроцлав изпълни широка културна програма като неразделна част от своята по-широка стратегия за развитие на града, но също постигна особен успех в привличането на чуждестранни посетители: според изследвания, извършени от името на град Вроцлав, около 5 милиона туристи са посетили Вроцлав през 2016 г., от които 1,6 милиона — от други държави. Данните, предоставени от Централната статистическа служба на Полша също показват, че през 2016 г. в хотели във Вроцлав са отседнали 50 000 чуждестранни туристи повече в сравнение с 2015 г. Инициативата ЕСК е ефективна и за укрепването на културното сътрудничество и на мрежите в града и тези с международните оператори: две трети от изпълнените проекти са с международно участие и отчитат сътрудничество под различни форми с организации или хора на изкуството в 42 други държави — най-вече европейски, но също и държави като Бразилия, Япония и САЩ. Комуникационната стратегия като цяло също беше ефективна. Така във връзка с годината ЕСК през 2016 г. бяха публикувани около 5 500 статии в печата в Полша и в 38 други държави.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Ако градовете не бяха определени за Европейски столици на културата, нямаше да бъде възможно тези ползи да бъдат толкова големи; в този смисъл действието ЕСК несъмнено има европейска добавена стойност.</w:t>
      </w:r>
    </w:p>
    <w:p>
      <w:pPr>
        <w:keepNext/>
        <w:numPr>
          <w:ilvl w:val="1"/>
          <w:numId w:val="1"/>
        </w:numPr>
        <w:spacing w:before="120" w:after="120" w:line="240" w:lineRule="auto"/>
        <w:jc w:val="both"/>
        <w:outlineLvl w:val="1"/>
        <w:rPr>
          <w:rFonts w:ascii="Times New Roman" w:eastAsia="Times New Roman" w:hAnsi="Times New Roman" w:cs="Times New Roman"/>
          <w:b/>
          <w:bCs/>
          <w:noProof/>
          <w:sz w:val="24"/>
          <w:szCs w:val="26"/>
        </w:rPr>
      </w:pPr>
      <w:bookmarkStart w:id="10" w:name="_Toc246230971"/>
      <w:r>
        <w:rPr>
          <w:rFonts w:ascii="Times New Roman" w:hAnsi="Times New Roman"/>
          <w:b/>
          <w:noProof/>
          <w:sz w:val="24"/>
        </w:rPr>
        <w:t>Устойчивост</w:t>
      </w:r>
      <w:bookmarkEnd w:id="10"/>
    </w:p>
    <w:p>
      <w:pPr>
        <w:spacing w:before="120" w:after="120" w:line="240" w:lineRule="auto"/>
        <w:jc w:val="both"/>
        <w:rPr>
          <w:rFonts w:ascii="Times New Roman" w:hAnsi="Times New Roman" w:cs="Times New Roman"/>
          <w:bCs/>
          <w:noProof/>
          <w:sz w:val="24"/>
          <w:szCs w:val="24"/>
        </w:rPr>
      </w:pPr>
      <w:r>
        <w:rPr>
          <w:rFonts w:ascii="Times New Roman" w:hAnsi="Times New Roman"/>
          <w:noProof/>
          <w:sz w:val="24"/>
        </w:rPr>
        <w:t>В оценката се стига до заключението, че и двете Европейски столици на културата за 2016 г. предлагат много различен потенциал за устойчивост на техните дейности и подобряване на управлението на културата.</w:t>
      </w:r>
    </w:p>
    <w:p>
      <w:pPr>
        <w:spacing w:before="120" w:after="120" w:line="240" w:lineRule="auto"/>
        <w:jc w:val="both"/>
        <w:rPr>
          <w:rFonts w:ascii="Times New Roman" w:hAnsi="Times New Roman" w:cs="Times New Roman"/>
          <w:bCs/>
          <w:noProof/>
          <w:sz w:val="24"/>
          <w:szCs w:val="24"/>
        </w:rPr>
      </w:pPr>
      <w:r>
        <w:rPr>
          <w:rFonts w:ascii="Times New Roman" w:hAnsi="Times New Roman"/>
          <w:noProof/>
          <w:sz w:val="24"/>
        </w:rPr>
        <w:t xml:space="preserve">Що се отнася до Доностия-Сан Себастиан, планирането на очакваните постижения, които да оставят трайна следа от провеждането на годината ЕСК като цяло е ограничено, поради липсата от самото начало на ясна официална стратегия и недостатъчно взаиморазбиране от страна на политическите партии по въпроса как изглежда на практика трайната следа от провеждането на събитието „Европейска столица на културата“. Въпреки че операторите в сферата на културата като цяло все още съществуват и продължават да осигуряват стабилно културно съдържание и след 2016 г., това се дължи повече на вече съществуващия стабилен културен отпечатък на града, отколкото на конкретните постижения на програмата за ЕСК.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От друга страна, планирането на постижения, които да оставят трайна следа, бе много развито и координирано във Вроцлав, и предложи по-голям потенциал за дългосрочна устойчивост на въздействието на ЕСК — също така благодарение на стабилно и последователно политическо лидерство. Тази стратегия също се базира на различните научни изследвания и дейности по оценката, предприети от университета във Вроцлав през годината ЕСК. Структурата за провеждане на ЕСК и отделите на градската администрация за социални въпроси и за култура внесоха предложение за стратегия за периода 2017—2020 г. и след това: „Култура — Настоящата“ (Kultura – Obecna!). Те освен това ще запазят в действие проекта „mikroGRANTY“, инициатива за отпускане на помощ с цел изграждане на местен капацитет в областта на културата.</w:t>
      </w:r>
    </w:p>
    <w:p>
      <w:pPr>
        <w:keepNext/>
        <w:numPr>
          <w:ilvl w:val="1"/>
          <w:numId w:val="1"/>
        </w:numPr>
        <w:spacing w:before="120" w:after="120" w:line="240" w:lineRule="auto"/>
        <w:jc w:val="both"/>
        <w:outlineLvl w:val="1"/>
        <w:rPr>
          <w:rFonts w:ascii="Times New Roman" w:eastAsia="Times New Roman" w:hAnsi="Times New Roman" w:cs="Times New Roman"/>
          <w:b/>
          <w:bCs/>
          <w:noProof/>
          <w:sz w:val="24"/>
          <w:szCs w:val="26"/>
        </w:rPr>
      </w:pPr>
      <w:r>
        <w:rPr>
          <w:rFonts w:ascii="Times New Roman" w:hAnsi="Times New Roman"/>
          <w:b/>
          <w:noProof/>
          <w:sz w:val="24"/>
        </w:rPr>
        <w:t>Съгласуваност</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Действието ЕСК е полезно и допълващо към редица политики и програми на ЕС, които оказват въздействие не само върху заинтересованите страни в областта на културата, но и тези, които са свързани със заетостта (с неговото въздействие върху изграждането на капацитет например), предприятията (като например 14 % от дружествата от секторите на културата и творчеството във Вроцлав са участвали в ЕСК, т.е. около 450 от над 3 000 дружества, като 52 % от тях считат, че те са извлекли търговски ползи от ЕСК и 40,7 % са отчели ръст на оборота през 2016 г.) или туризъм (през 2016 г. в хотели във Вроцлав са отседнали 50 000 чуждестранни туристи повече в сравнение с 2015 г.). То може също така да даде импулс за инвестиции в културната инфраструктура, съфинансирани от Европейския фонд за регионално развитие, пример за което е значителният успех, постигнат от новооткритата концертна зала на музикалния форум във Вроцлав, съфинансирана от ЕФРР (с повече от 500 000 посетители през 2016 г.).</w:t>
      </w:r>
    </w:p>
    <w:p>
      <w:pPr>
        <w:keepNext/>
        <w:numPr>
          <w:ilvl w:val="1"/>
          <w:numId w:val="1"/>
        </w:numPr>
        <w:spacing w:before="120" w:after="120" w:line="240" w:lineRule="auto"/>
        <w:jc w:val="both"/>
        <w:outlineLvl w:val="1"/>
        <w:rPr>
          <w:rFonts w:ascii="Times New Roman" w:eastAsia="Times New Roman" w:hAnsi="Times New Roman" w:cs="Times New Roman"/>
          <w:b/>
          <w:bCs/>
          <w:noProof/>
          <w:sz w:val="24"/>
          <w:szCs w:val="26"/>
        </w:rPr>
      </w:pPr>
      <w:r>
        <w:rPr>
          <w:rFonts w:ascii="Times New Roman" w:hAnsi="Times New Roman"/>
          <w:b/>
          <w:noProof/>
          <w:sz w:val="24"/>
        </w:rPr>
        <w:t>Добавена стойност за ЕС</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Както бе споменато и показано по-горе действието ЕСК постигна въздействие, което нямаше да бъде възможно при самостоятелни действия от страна на държавите членки. </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 xml:space="preserve">Самото „звание“е ключов аспект на европейската добавена стойност на това действие, тъй като събитието поражда значителен интерес от страна на заинтересованите страни не само от града, но и далече отвъд границите, и предлага големи възможности за европейско сътрудничество по отношение на партньорството и обмена на добри практики, например по отношение на изграждането на солидно управление за провеждането на годината ЕСК, повишаване на капацитета на местните организации в областта на културата или привличане на идеи за проекти от местните жители. </w:t>
      </w:r>
    </w:p>
    <w:p>
      <w:pPr>
        <w:keepNext/>
        <w:numPr>
          <w:ilvl w:val="0"/>
          <w:numId w:val="1"/>
        </w:numPr>
        <w:spacing w:before="360" w:after="120" w:line="240" w:lineRule="auto"/>
        <w:jc w:val="both"/>
        <w:outlineLvl w:val="0"/>
        <w:rPr>
          <w:rFonts w:ascii="Times New Roman" w:eastAsia="Times New Roman" w:hAnsi="Times New Roman" w:cs="Times New Roman"/>
          <w:b/>
          <w:bCs/>
          <w:smallCaps/>
          <w:noProof/>
          <w:sz w:val="24"/>
          <w:szCs w:val="28"/>
        </w:rPr>
      </w:pPr>
      <w:bookmarkStart w:id="11" w:name="_Toc246230972"/>
      <w:r>
        <w:rPr>
          <w:rFonts w:ascii="Times New Roman" w:hAnsi="Times New Roman"/>
          <w:b/>
          <w:smallCaps/>
          <w:noProof/>
          <w:sz w:val="24"/>
        </w:rPr>
        <w:t>Основни препоръки, заключения и действия от страна на Комисията</w:t>
      </w:r>
    </w:p>
    <w:bookmarkEnd w:id="11"/>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От този доклад Комисията стига до заключението, че действието ЕСК продължава да бъде от значение на равнището на ЕС, както и много ценно за градовете домакини, води до създаването на богати културни програми с положителни резултати и въздействия, които обаче не могат да бъдат напълно оценени на настоящия етап на оценка, тъй като е твърде рано след провеждането на годината ЕСК. Както беше посочено по-горе, само оценките, направени от самите градове домакини, биха могли да предоставят по-надеждна представа в тази връзка.</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Освен това Комисията счита, че програмите, изпълнени от двата града — носители на званието през 2016 г.:</w:t>
      </w:r>
    </w:p>
    <w:p>
      <w:pPr>
        <w:numPr>
          <w:ilvl w:val="0"/>
          <w:numId w:val="3"/>
        </w:numPr>
        <w:spacing w:before="120" w:after="120" w:line="240" w:lineRule="auto"/>
        <w:contextualSpacing/>
        <w:jc w:val="both"/>
        <w:rPr>
          <w:rFonts w:ascii="Times New Roman" w:eastAsia="Times New Roman" w:hAnsi="Times New Roman" w:cs="Times New Roman"/>
          <w:noProof/>
          <w:sz w:val="24"/>
        </w:rPr>
      </w:pPr>
      <w:r>
        <w:rPr>
          <w:rFonts w:ascii="Times New Roman" w:hAnsi="Times New Roman"/>
          <w:noProof/>
          <w:sz w:val="24"/>
        </w:rPr>
        <w:t xml:space="preserve">са били иновативни и съответстващи на целите на действието ЕСК, </w:t>
      </w:r>
    </w:p>
    <w:p>
      <w:pPr>
        <w:numPr>
          <w:ilvl w:val="0"/>
          <w:numId w:val="3"/>
        </w:numPr>
        <w:spacing w:before="120" w:after="120" w:line="240" w:lineRule="auto"/>
        <w:contextualSpacing/>
        <w:jc w:val="both"/>
        <w:rPr>
          <w:rFonts w:ascii="Times New Roman" w:eastAsia="Times New Roman" w:hAnsi="Times New Roman" w:cs="Times New Roman"/>
          <w:noProof/>
          <w:sz w:val="24"/>
        </w:rPr>
      </w:pPr>
      <w:r>
        <w:rPr>
          <w:rFonts w:ascii="Times New Roman" w:hAnsi="Times New Roman"/>
          <w:noProof/>
          <w:sz w:val="24"/>
        </w:rPr>
        <w:t>отразили са неговото европейско измерение (по-специално Вроцлав, в по-малка степен Доностия-Сан Себастиан, доколкото ЕСК в него е била насочена в по-голяма степен към местните жители),</w:t>
      </w:r>
    </w:p>
    <w:p>
      <w:pPr>
        <w:numPr>
          <w:ilvl w:val="0"/>
          <w:numId w:val="3"/>
        </w:numPr>
        <w:spacing w:before="120" w:after="120" w:line="240" w:lineRule="auto"/>
        <w:contextualSpacing/>
        <w:jc w:val="both"/>
        <w:rPr>
          <w:rFonts w:ascii="Times New Roman" w:eastAsia="Times New Roman" w:hAnsi="Times New Roman" w:cs="Times New Roman"/>
          <w:noProof/>
          <w:sz w:val="24"/>
        </w:rPr>
      </w:pPr>
      <w:r>
        <w:rPr>
          <w:rFonts w:ascii="Times New Roman" w:hAnsi="Times New Roman"/>
          <w:noProof/>
          <w:sz w:val="24"/>
        </w:rPr>
        <w:t>привлекли са за участие местните жители и заинтересованите страни (в Сан Себастиан в 60 % от проектите по различни начини са участвали местни хора и са дарени 10 493 часа доброволчески труд, а във Вроцлав са разработени дейности, насочени към специфични групи),</w:t>
      </w:r>
    </w:p>
    <w:p>
      <w:pPr>
        <w:numPr>
          <w:ilvl w:val="0"/>
          <w:numId w:val="3"/>
        </w:numPr>
        <w:spacing w:before="120" w:after="120" w:line="240" w:lineRule="auto"/>
        <w:contextualSpacing/>
        <w:jc w:val="both"/>
        <w:rPr>
          <w:rFonts w:ascii="Times New Roman" w:eastAsia="Times New Roman" w:hAnsi="Times New Roman" w:cs="Times New Roman"/>
          <w:noProof/>
          <w:sz w:val="24"/>
        </w:rPr>
      </w:pPr>
      <w:r>
        <w:rPr>
          <w:rFonts w:ascii="Times New Roman" w:hAnsi="Times New Roman"/>
          <w:noProof/>
          <w:sz w:val="24"/>
        </w:rPr>
        <w:t xml:space="preserve">благодарение на тях културата е достигнала до нова публика чрез специфични стратегии (като например „Вълните на енергията“ в Доностия-Сан Себастиан и „MikroGRANTY“ във Вроцлав) и </w:t>
      </w:r>
    </w:p>
    <w:p>
      <w:pPr>
        <w:numPr>
          <w:ilvl w:val="0"/>
          <w:numId w:val="3"/>
        </w:numPr>
        <w:spacing w:before="120" w:after="120" w:line="240" w:lineRule="auto"/>
        <w:contextualSpacing/>
        <w:jc w:val="both"/>
        <w:rPr>
          <w:rFonts w:ascii="Times New Roman" w:eastAsia="Times New Roman" w:hAnsi="Times New Roman" w:cs="Times New Roman"/>
          <w:noProof/>
          <w:sz w:val="24"/>
        </w:rPr>
      </w:pPr>
      <w:r>
        <w:rPr>
          <w:rFonts w:ascii="Times New Roman" w:hAnsi="Times New Roman"/>
          <w:noProof/>
          <w:sz w:val="24"/>
        </w:rPr>
        <w:t>може да оставят трайна следа както материална (под формата на нова или обновена инфраструктура в областта на културата и логистиката, какъвто е случаят във Вроцлав), така и нематериална (чрез създаването на пространство и платформа, които дадоха възможност на общностите да споделят, разбират и превъзмогнат различията, останали от миналото, и допринесоха за по-доброто съжителстване на жителите на града в бъдеще, както се случи в Доностия-Сан Себастиан), въпреки липсата на правилно планиране на постиженията, които се очаква да оставят трайна следа.</w:t>
      </w:r>
    </w:p>
    <w:p>
      <w:pPr>
        <w:spacing w:before="120" w:after="120" w:line="240" w:lineRule="auto"/>
        <w:ind w:left="720"/>
        <w:contextualSpacing/>
        <w:jc w:val="both"/>
        <w:rPr>
          <w:rFonts w:ascii="Times New Roman" w:eastAsia="Times New Roman" w:hAnsi="Times New Roman" w:cs="Times New Roman"/>
          <w:noProof/>
          <w:sz w:val="24"/>
        </w:rPr>
      </w:pP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Тези основни констатации потвърждават констатациите от оценките от 2015 г. и предходните оценки на ЕСК, т.е. Европейските столици на културата имат културни програми, които са по-широки и новаторски в сравнение с обичайно предлаганите културни мероприятия, със силно изразено европейско измерение и привличат за участие както местни жители, така и чуждестранни посетители, в съответствие с целите на Договора, както и с тези на действието ЕСК.</w:t>
      </w:r>
    </w:p>
    <w:p>
      <w:pPr>
        <w:spacing w:before="120" w:after="120" w:line="240" w:lineRule="auto"/>
        <w:jc w:val="both"/>
        <w:rPr>
          <w:rFonts w:ascii="Times New Roman" w:hAnsi="Times New Roman" w:cs="Times New Roman"/>
          <w:noProof/>
          <w:sz w:val="24"/>
          <w:szCs w:val="24"/>
        </w:rPr>
      </w:pPr>
      <w:r>
        <w:rPr>
          <w:rFonts w:ascii="Times New Roman" w:hAnsi="Times New Roman"/>
          <w:noProof/>
          <w:sz w:val="24"/>
        </w:rPr>
        <w:t>Друг проблем, произтичащ от външното проучване — отчасти в съответствие с констатациите от предходни оценки на ЕСК, е липсата на базови данни. Идеален процедурен метод на оценка на действието ЕСК би предположил извършването на проучване, основано на предварителни и последващи оценки. Бюджетните</w:t>
      </w:r>
      <w:r>
        <w:rPr>
          <w:rStyle w:val="FootnoteReference"/>
          <w:rFonts w:ascii="Times New Roman" w:hAnsi="Times New Roman"/>
          <w:noProof/>
          <w:sz w:val="24"/>
        </w:rPr>
        <w:footnoteReference w:id="14"/>
      </w:r>
      <w:r>
        <w:rPr>
          <w:rFonts w:ascii="Times New Roman" w:hAnsi="Times New Roman"/>
          <w:noProof/>
          <w:sz w:val="24"/>
        </w:rPr>
        <w:t xml:space="preserve"> и времевите</w:t>
      </w:r>
      <w:r>
        <w:rPr>
          <w:rStyle w:val="FootnoteReference"/>
          <w:rFonts w:ascii="Times New Roman" w:hAnsi="Times New Roman"/>
          <w:noProof/>
          <w:sz w:val="24"/>
        </w:rPr>
        <w:footnoteReference w:id="15"/>
      </w:r>
      <w:r>
        <w:rPr>
          <w:rFonts w:ascii="Times New Roman" w:hAnsi="Times New Roman"/>
          <w:noProof/>
          <w:sz w:val="24"/>
        </w:rPr>
        <w:t xml:space="preserve"> ограничения обаче позволяват да се извърши само последваща оценка, което води до липса на конкретни доказателства относно ползите и въздействието на действието. </w:t>
      </w:r>
    </w:p>
    <w:p>
      <w:pPr>
        <w:spacing w:before="120" w:after="120" w:line="240" w:lineRule="auto"/>
        <w:jc w:val="both"/>
        <w:rPr>
          <w:rFonts w:ascii="Times New Roman" w:hAnsi="Times New Roman"/>
          <w:noProof/>
          <w:sz w:val="24"/>
          <w:szCs w:val="24"/>
        </w:rPr>
      </w:pPr>
      <w:r>
        <w:rPr>
          <w:rFonts w:ascii="Times New Roman" w:hAnsi="Times New Roman"/>
          <w:noProof/>
          <w:sz w:val="24"/>
        </w:rPr>
        <w:t>Съзаконодателите признаха това затруднение. При приемането на Решение № 445/2014/ЕС, което ще се прилага по отношение на избраните за европейски столици на културата градове за периода 2020—2033 г., Европейският парламент и Съветът решиха да прехвърлят отговорността за оценката от Комисията върху носителите на званието ЕСК, тъй като последните са основните инвеститори и бенефициери на действието ЕСК, и са в по-добра позиция да съберат всички необходими данни. Такова изискване ще насърчава дейности за събиране на данни от градовете кандидати за званието и бъдещите носители на званието от ранните етапи на програмата. По този начин ще се помогне на ЕСК да постигнат резултати, които съответстват по-добре на поставените цели за годината на проявата. За подпомагане на градовете в това начинание, Комисията публикува насоки на своя уебсайт</w:t>
      </w:r>
      <w:r>
        <w:rPr>
          <w:rStyle w:val="FootnoteReference"/>
          <w:rFonts w:ascii="Times New Roman" w:hAnsi="Times New Roman"/>
          <w:noProof/>
          <w:sz w:val="24"/>
        </w:rPr>
        <w:footnoteReference w:id="16"/>
      </w:r>
      <w:r>
        <w:rPr>
          <w:rFonts w:ascii="Times New Roman" w:hAnsi="Times New Roman"/>
          <w:noProof/>
          <w:sz w:val="24"/>
        </w:rPr>
        <w:t xml:space="preserve">.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След осем подобни годишни оценки — всеки път за различна двойка градове ЕСК — външното проучване включва само ограничен брой препоръки и повечето от тях са много специфични и се отнасят до някои измерения на действието ЕСК като цяло. Те успешно допълват многобройните препоръки, направени през предходни години, и приети от Комисията, по-специално необходимостта да се създаде институционална уредба в разумен срок, да се изгради стабилен и ефективен екип за провеждане на събитието, който да се ползва от силна политическа подкрепа, да се осигури подкрепа и участие на национално равнище, да се гарантира правилният баланс между контрола и творческата независимост, да се поддържат ангажиментите на заинтересованите страни от областта на културата, европейското сътрудничество да се включи в културната програма, като същевременно активно се подкрепя по-широкото участие в културата и планирането на ранен етап на постиженията, които се очаква да оставят трайна следа</w:t>
      </w:r>
      <w:r>
        <w:rPr>
          <w:rStyle w:val="FootnoteReference"/>
          <w:rFonts w:ascii="Times New Roman" w:hAnsi="Times New Roman"/>
          <w:noProof/>
          <w:sz w:val="24"/>
        </w:rPr>
        <w:footnoteReference w:id="17"/>
      </w:r>
      <w:r>
        <w:rPr>
          <w:rFonts w:ascii="Times New Roman" w:hAnsi="Times New Roman"/>
          <w:noProof/>
          <w:sz w:val="24"/>
        </w:rPr>
        <w:t>. Комисията е съгласна с общите препоръки на оценителя, че действието ЕСК трябва да продължи, и Решение № 445/2014/ЕС вече предвижда такова продължаване до 2033 г. На по-конкретно ниво, оценителят препоръчва на градовете да събират и анализират големи информационни масиви, а формулярът за кандидатстване за домакинство на ЕСК да бъде преразгледан, за да показва как кандидатстващите градове възнамеряват да направят това. Въпреки че признава интересът за градовете домакини да използват по-добре големите информационни масиви, Комисията не може да включи във формуляра за кандидатстване критерии, които не са посочени изрично в решението, уреждащо действието ЕСК. В своите насоки за оценка тя все пак ще проучи как по-добре да се работи с големи информационни масиви, каквато бе и препоръката на оценителя.</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Освен това Комисията споделя препоръката на изпълнителите, че формалната и неформалната подкрепа от страна на комисията за мониторинг по време на фазата на разработване на ЕСК е от решаващо значение и следва да продължи, в т.ч. посещенията в определените градове.</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На последно място, по отношение на препоръките, които са специално насочени към институциите на ЕС, Комисията изтъква, че съгласно препоръките на оценителя, докладите за напредъка и мониторинга вече отделят изрично внимание на въпросите, обхванати от критериите за подбор, изложени в Решение № 445/2014/ЕС, и че предложенията на градовете във връзка с мониторинга и оценката се оценяват в различни моменти в периода на процедурите по подбор и мониторинг.</w:t>
      </w:r>
    </w:p>
    <w:p>
      <w:pPr>
        <w:jc w:val="both"/>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721625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40" w:hanging="240"/>
        <w:jc w:val="both"/>
      </w:pPr>
      <w:r>
        <w:rPr>
          <w:rStyle w:val="FootnoteReference"/>
        </w:rPr>
        <w:footnoteRef/>
      </w:r>
      <w:r>
        <w:tab/>
      </w:r>
      <w:r>
        <w:rPr>
          <w:sz w:val="18"/>
        </w:rPr>
        <w:t>OВ L 304, 3.11.2006 г., стр. 1.</w:t>
      </w:r>
    </w:p>
  </w:footnote>
  <w:footnote w:id="2">
    <w:p>
      <w:pPr>
        <w:pStyle w:val="FootnoteText"/>
        <w:ind w:left="240" w:hanging="240"/>
        <w:jc w:val="both"/>
        <w:rPr>
          <w:rFonts w:cstheme="minorHAnsi"/>
          <w:sz w:val="18"/>
          <w:szCs w:val="18"/>
        </w:rPr>
      </w:pPr>
      <w:r>
        <w:rPr>
          <w:rStyle w:val="FootnoteReference"/>
          <w:rFonts w:cstheme="minorHAnsi"/>
          <w:sz w:val="18"/>
        </w:rPr>
        <w:footnoteRef/>
      </w:r>
      <w:r>
        <w:tab/>
      </w:r>
      <w:r>
        <w:rPr>
          <w:rFonts w:cstheme="minorHAnsi"/>
          <w:sz w:val="18"/>
        </w:rPr>
        <w:t xml:space="preserve">Пълният текст може да се намери на адрес: </w:t>
      </w:r>
      <w:hyperlink r:id="rId1">
        <w:r>
          <w:rPr>
            <w:rStyle w:val="Hyperlink"/>
            <w:rFonts w:cstheme="minorHAnsi"/>
            <w:sz w:val="18"/>
          </w:rPr>
          <w:t>https://ec.europa.eu/programmes/creative-europe/sites/creative-europe/files/files/ecoc-2016-evaluation-en_0.pdf</w:t>
        </w:r>
      </w:hyperlink>
      <w:r>
        <w:rPr>
          <w:rStyle w:val="Hyperlink"/>
          <w:rFonts w:cstheme="minorHAnsi"/>
          <w:sz w:val="18"/>
        </w:rPr>
        <w:t>.</w:t>
      </w:r>
    </w:p>
  </w:footnote>
  <w:footnote w:id="3">
    <w:p>
      <w:pPr>
        <w:pStyle w:val="FootnoteText"/>
        <w:ind w:left="240" w:hanging="240"/>
        <w:jc w:val="both"/>
      </w:pPr>
      <w:r>
        <w:rPr>
          <w:rStyle w:val="FootnoteReference"/>
        </w:rPr>
        <w:footnoteRef/>
      </w:r>
      <w:r>
        <w:tab/>
      </w:r>
      <w:r>
        <w:rPr>
          <w:sz w:val="18"/>
        </w:rPr>
        <w:t>Резолюция на министрите на културата, заседаващи в рамките на Съвета на 13 юни 1985 г., относно ежегодното събитие „Европейски град на културата“ (85/C 153/02).</w:t>
      </w:r>
    </w:p>
  </w:footnote>
  <w:footnote w:id="4">
    <w:p>
      <w:pPr>
        <w:pStyle w:val="FootnoteText"/>
        <w:ind w:left="240" w:hanging="240"/>
        <w:jc w:val="both"/>
      </w:pPr>
      <w:r>
        <w:rPr>
          <w:rStyle w:val="FootnoteReference"/>
        </w:rPr>
        <w:footnoteRef/>
      </w:r>
      <w:r>
        <w:tab/>
        <w:t xml:space="preserve">Решение 1419/1999/ЕО </w:t>
      </w:r>
      <w:r>
        <w:rPr>
          <w:sz w:val="18"/>
          <w:szCs w:val="18"/>
        </w:rPr>
        <w:t>на Европейския Парламент и на Съвета от 25 май 1999 г. за установяване на действията на Общността за събитието „Европейска столица на културата“ за годините от 2005 до 2019 (OВ L 166, 1.7.1999 г., стр.1).</w:t>
      </w:r>
      <w:r>
        <w:rPr>
          <w:sz w:val="18"/>
        </w:rPr>
        <w:t xml:space="preserve"> Това решение беше изменено с Решение № 649/2005/ЕО на Европейския парламент и на Съвета (ОВ L 117, 4.5.2005 г., стр. 20).</w:t>
      </w:r>
    </w:p>
  </w:footnote>
  <w:footnote w:id="5">
    <w:p>
      <w:pPr>
        <w:pStyle w:val="FootnoteText"/>
        <w:ind w:left="240" w:hanging="240"/>
        <w:jc w:val="both"/>
        <w:rPr>
          <w:rFonts w:cstheme="minorHAnsi"/>
          <w:sz w:val="18"/>
          <w:szCs w:val="18"/>
        </w:rPr>
      </w:pPr>
      <w:r>
        <w:rPr>
          <w:rStyle w:val="FootnoteReference"/>
          <w:rFonts w:cstheme="minorHAnsi"/>
          <w:sz w:val="18"/>
        </w:rPr>
        <w:footnoteRef/>
      </w:r>
      <w:r>
        <w:tab/>
      </w:r>
      <w:r>
        <w:rPr>
          <w:rFonts w:cstheme="minorHAnsi"/>
          <w:sz w:val="18"/>
        </w:rPr>
        <w:t>Решение № 445/2014/ЕС на Европейския парламент и на Съвета от 16 април 2014 г. за установяване на действие на Съюза „Европейски столици на културата“ за годините 2020 — 2033 (ОВ L 132, 3.5.2014 г., стр. 1).</w:t>
      </w:r>
    </w:p>
  </w:footnote>
  <w:footnote w:id="6">
    <w:p>
      <w:pPr>
        <w:pStyle w:val="FootnoteText"/>
        <w:ind w:left="240" w:hanging="240"/>
        <w:jc w:val="both"/>
      </w:pPr>
      <w:r>
        <w:rPr>
          <w:rStyle w:val="FootnoteReference"/>
        </w:rPr>
        <w:footnoteRef/>
      </w:r>
      <w:r>
        <w:tab/>
        <w:t>Всички доклади на комисията за предварителния и окончателния подбор и мониторинга могат да бъдат намерени на следната страница:</w:t>
      </w:r>
      <w:r>
        <w:rPr>
          <w:rFonts w:cstheme="minorHAnsi"/>
          <w:sz w:val="18"/>
        </w:rPr>
        <w:t xml:space="preserve"> </w:t>
      </w:r>
      <w:r>
        <w:rPr>
          <w:rStyle w:val="Hyperlink"/>
        </w:rPr>
        <w:t>http://ec.europa.eu/programmes/creative-europe/actions/capitals-culture_en.htm.</w:t>
      </w:r>
    </w:p>
  </w:footnote>
  <w:footnote w:id="7">
    <w:p>
      <w:pPr>
        <w:pStyle w:val="FootnoteText"/>
        <w:ind w:left="240" w:hanging="240"/>
        <w:jc w:val="both"/>
      </w:pPr>
      <w:r>
        <w:rPr>
          <w:rStyle w:val="FootnoteReference"/>
        </w:rPr>
        <w:footnoteRef/>
      </w:r>
      <w:r>
        <w:tab/>
        <w:t>Решение 2012/309/ЕС на Съвета от 10 май 2012 г.</w:t>
      </w:r>
    </w:p>
  </w:footnote>
  <w:footnote w:id="8">
    <w:p>
      <w:pPr>
        <w:pStyle w:val="FootnoteText"/>
        <w:ind w:left="240" w:hanging="240"/>
        <w:jc w:val="both"/>
      </w:pPr>
      <w:r>
        <w:rPr>
          <w:rStyle w:val="FootnoteReference"/>
        </w:rPr>
        <w:footnoteRef/>
      </w:r>
      <w:r>
        <w:tab/>
        <w:t>Регламент (ЕС) № 1295/2013 на Европейския парламент и на Съвета от 11 декември 2013 г. за създаване на програма „Творческа Европа“ (2014—2020 г.) и за отмяна на Решения № 1718/2006/ЕО, № 1855/2006/ЕО и № 1041/2009/ЕО (</w:t>
      </w:r>
      <w:r>
        <w:rPr>
          <w:sz w:val="18"/>
        </w:rPr>
        <w:t>ОВ L 347, 20.12.2013 г., стр. 221</w:t>
      </w:r>
      <w:r>
        <w:t>).</w:t>
      </w:r>
    </w:p>
  </w:footnote>
  <w:footnote w:id="9">
    <w:p>
      <w:pPr>
        <w:pStyle w:val="FootnoteText"/>
        <w:ind w:left="240" w:hanging="240"/>
        <w:jc w:val="both"/>
      </w:pPr>
      <w:r>
        <w:rPr>
          <w:rStyle w:val="FootnoteReference"/>
        </w:rPr>
        <w:footnoteRef/>
      </w:r>
      <w:r>
        <w:tab/>
        <w:t xml:space="preserve">Вж. предишните доклади за оценка на адрес: </w:t>
      </w:r>
      <w:hyperlink r:id="rId2">
        <w:r>
          <w:rPr>
            <w:rStyle w:val="Hyperlink"/>
          </w:rPr>
          <w:t>https://ec.europa.eu/culture/evaluations_en</w:t>
        </w:r>
      </w:hyperlink>
      <w:r>
        <w:t>.</w:t>
      </w:r>
    </w:p>
  </w:footnote>
  <w:footnote w:id="10">
    <w:p>
      <w:pPr>
        <w:pStyle w:val="FootnoteText"/>
        <w:ind w:left="240" w:hanging="240"/>
        <w:rPr>
          <w:sz w:val="18"/>
          <w:szCs w:val="18"/>
        </w:rPr>
      </w:pPr>
      <w:r>
        <w:rPr>
          <w:rStyle w:val="FootnoteReference"/>
          <w:sz w:val="18"/>
        </w:rPr>
        <w:footnoteRef/>
      </w:r>
      <w:r>
        <w:tab/>
      </w:r>
      <w:hyperlink r:id="rId3">
        <w:r>
          <w:rPr>
            <w:rStyle w:val="Hyperlink"/>
            <w:sz w:val="18"/>
          </w:rPr>
          <w:t>http://ec.europa.eu/smart-regulation/roadmaps/docs/2016_eac_015_evaluation_ecoc_2016.pdf</w:t>
        </w:r>
      </w:hyperlink>
      <w:r>
        <w:rPr>
          <w:sz w:val="18"/>
        </w:rPr>
        <w:t>.</w:t>
      </w:r>
    </w:p>
  </w:footnote>
  <w:footnote w:id="11">
    <w:p>
      <w:pPr>
        <w:pStyle w:val="FootnoteText"/>
        <w:ind w:left="240" w:hanging="240"/>
        <w:jc w:val="both"/>
      </w:pPr>
      <w:r>
        <w:rPr>
          <w:rStyle w:val="FootnoteReference"/>
        </w:rPr>
        <w:footnoteRef/>
      </w:r>
      <w:r>
        <w:tab/>
        <w:t>Вж. SWD(2012) 226 final, параграф 2.4.4.</w:t>
      </w:r>
    </w:p>
  </w:footnote>
  <w:footnote w:id="12">
    <w:p>
      <w:pPr>
        <w:pStyle w:val="FootnoteText"/>
        <w:ind w:left="240" w:hanging="240"/>
        <w:jc w:val="both"/>
      </w:pPr>
      <w:r>
        <w:rPr>
          <w:rStyle w:val="FootnoteReference"/>
        </w:rPr>
        <w:footnoteRef/>
      </w:r>
      <w:r>
        <w:tab/>
        <w:t>Решение № 445/2014/ЕС на Европейския парламент и на Съвета, вж. бележка под линия № 5.</w:t>
      </w:r>
    </w:p>
  </w:footnote>
  <w:footnote w:id="13">
    <w:p>
      <w:pPr>
        <w:pStyle w:val="FootnoteText"/>
        <w:ind w:left="240" w:hanging="240"/>
        <w:jc w:val="both"/>
      </w:pPr>
      <w:r>
        <w:rPr>
          <w:rStyle w:val="FootnoteReference"/>
        </w:rPr>
        <w:footnoteRef/>
      </w:r>
      <w:r>
        <w:tab/>
        <w:t>Някои от резултатите от това изследване бяха все още в работен вариант, когато европейската оценка на действието ЕСК беше финализирана. За европейската оценка беше използвана максимална част от тази вторична информация, но не и окончателните резултати от нея.</w:t>
      </w:r>
    </w:p>
  </w:footnote>
  <w:footnote w:id="14">
    <w:p>
      <w:pPr>
        <w:pStyle w:val="FootnoteText"/>
        <w:ind w:left="240" w:hanging="240"/>
      </w:pPr>
      <w:r>
        <w:rPr>
          <w:rStyle w:val="FootnoteReference"/>
        </w:rPr>
        <w:footnoteRef/>
      </w:r>
      <w:r>
        <w:tab/>
        <w:t>Бюджетът, отпуснат за работата по оценката, е пропорционален на равнището на прякото финансиране от ЕС за ЕСК, ограничено до 1,5 милиона евро за наградата „Мелина Меркури“ за всяка ЕСК.</w:t>
      </w:r>
    </w:p>
  </w:footnote>
  <w:footnote w:id="15">
    <w:p>
      <w:pPr>
        <w:pStyle w:val="FootnoteText"/>
        <w:ind w:left="240" w:hanging="240"/>
      </w:pPr>
      <w:r>
        <w:rPr>
          <w:rStyle w:val="FootnoteReference"/>
        </w:rPr>
        <w:footnoteRef/>
      </w:r>
      <w:r>
        <w:tab/>
        <w:t>Решение № 1622/2006/ЕО изисква Комисията да направи оценката веднага след годината на събитието.</w:t>
      </w:r>
    </w:p>
  </w:footnote>
  <w:footnote w:id="16">
    <w:p>
      <w:pPr>
        <w:pStyle w:val="FootnoteText"/>
        <w:ind w:left="240" w:hanging="240"/>
      </w:pPr>
      <w:r>
        <w:rPr>
          <w:rStyle w:val="FootnoteReference"/>
        </w:rPr>
        <w:footnoteRef/>
      </w:r>
      <w:r>
        <w:tab/>
        <w:t xml:space="preserve">На разположение на адрес: </w:t>
      </w:r>
      <w:hyperlink r:id="rId4">
        <w:r>
          <w:rPr>
            <w:rStyle w:val="Hyperlink"/>
          </w:rPr>
          <w:t>https://ec.europa.eu/programmes/creative-europe/sites/creative-europe/files/library/capitals-culture-city-own-guide_en.pdf</w:t>
        </w:r>
      </w:hyperlink>
    </w:p>
  </w:footnote>
  <w:footnote w:id="17">
    <w:p>
      <w:pPr>
        <w:pStyle w:val="FootnoteText"/>
        <w:ind w:left="240" w:hanging="240"/>
      </w:pPr>
      <w:r>
        <w:rPr>
          <w:rStyle w:val="FootnoteReference"/>
        </w:rPr>
        <w:footnoteRef/>
      </w:r>
      <w:r>
        <w:tab/>
        <w:t xml:space="preserve">Вж. сборник на предишни препоръки на адрес: </w:t>
      </w:r>
      <w:hyperlink r:id="rId5">
        <w:r>
          <w:rPr>
            <w:rStyle w:val="Hyperlink"/>
          </w:rPr>
          <w:t>https://ec.europa.eu/programmes/creative-europe/sites/creative-europe/files/library/ecoc-compendium-recommendations_en.pdf</w:t>
        </w:r>
      </w:hyperlink>
      <w:r>
        <w:rPr>
          <w:rStyle w:val="Hyperlink"/>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65AC"/>
    <w:multiLevelType w:val="hybridMultilevel"/>
    <w:tmpl w:val="9B7C53AE"/>
    <w:lvl w:ilvl="0" w:tplc="B246C8E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41B6524"/>
    <w:multiLevelType w:val="hybridMultilevel"/>
    <w:tmpl w:val="BA281FA6"/>
    <w:lvl w:ilvl="0" w:tplc="27182A0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4A12FA4"/>
    <w:multiLevelType w:val="multilevel"/>
    <w:tmpl w:val="27DC915A"/>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b/>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BA7CF72-F0D9-4CA6-9AA1-E8CD321FB0BA"/>
    <w:docVar w:name="LW_COVERPAGE_TYPE" w:val="1"/>
    <w:docVar w:name="LW_CROSSREFERENCE" w:val="{SWD(2018) 140 final}"/>
    <w:docVar w:name="LW_DocType" w:val="NORMAL"/>
    <w:docVar w:name="LW_EMISSION" w:val="25.4.2018"/>
    <w:docVar w:name="LW_EMISSION_ISODATE" w:val="2018-04-25"/>
    <w:docVar w:name="LW_EMISSION_LOCATION" w:val="BRX"/>
    <w:docVar w:name="LW_EMISSION_PREFIX" w:val="Брюксел, "/>
    <w:docVar w:name="LW_EMISSION_SUFFIX" w:val="\u1075?."/>
    <w:docVar w:name="LW_ID_DOCTYPE_NONLW" w:val="CP-008"/>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2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55?\u1086?\u1089?\u1083?\u1077?\u1076?\u1074?\u1072?\u1097?\u1072? \u1086?\u1094?\u1077?\u1085?\u1082?\u1072? \u1085?\u1072? \u1077?\u1074?\u1088?\u1086?\u1087?\u1077?\u1081?\u1089?\u1082?\u1080?\u1090?\u1077? \u1089?\u1090?\u1086?\u1083?\u1080?\u1094?\u1080? \u1085?\u1072? \u1082?\u1091?\u1083?\u1090?\u1091?\u1088?\u1072?\u1090?\u1072? \u1079?\u1072? 2016 \u1075?. (\u1044?\u1086?\u1085?\u1086?\u1089?\u1090?\u1080?\u1103?-\u1057?\u1072?\u1085? \u1057?\u1077?\u1073?\u1072?\u1089?\u1090?\u1080?\u1072?\u1085? \u1080? \u1042?\u1088?\u1086?\u1094?\u1083?\u1072?\u1074?)&lt;/FMT&gt;"/>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bg-BG"/>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bg-BG"/>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bg-BG"/>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bg-BG"/>
    </w:rPr>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Tekst przypisu,f"/>
    <w:basedOn w:val="Normal"/>
    <w:link w:val="FootnoteTextChar"/>
    <w:uiPriority w:val="99"/>
    <w:unhideWhenUsed/>
    <w:pPr>
      <w:spacing w:after="0" w:line="240" w:lineRule="auto"/>
    </w:pPr>
    <w:rPr>
      <w:sz w:val="20"/>
      <w:szCs w:val="20"/>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basedOn w:val="DefaultParagraphFont"/>
    <w:link w:val="FootnoteText"/>
    <w:uiPriority w:val="99"/>
    <w:rPr>
      <w:sz w:val="20"/>
      <w:szCs w:val="20"/>
    </w:rPr>
  </w:style>
  <w:style w:type="character" w:styleId="Hyperlink">
    <w:name w:val="Hyperlink"/>
    <w:uiPriority w:val="99"/>
    <w:rPr>
      <w:color w:val="0000FF"/>
      <w:u w:val="single"/>
      <w:shd w:val="clear" w:color="auto" w:fill="auto"/>
    </w:rPr>
  </w:style>
  <w:style w:type="character" w:styleId="FootnoteReference">
    <w:name w:val="footnote reference"/>
    <w:aliases w:val="Footnote symbol,Odwołanie przypisu,Footnote Reference Number,Footnote Reference Superscript,SUPERS,Times 10 Point,Exposant 3 Point, Exposant 3 Point,Footnote,Ref,de nota al pie,Footnote Char,Footnote number Char,Footnote symbol Char"/>
    <w:unhideWhenUsed/>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bg-BG"/>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bg-BG"/>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bg-BG"/>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bg-BG"/>
    </w:rPr>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Tekst przypisu,f"/>
    <w:basedOn w:val="Normal"/>
    <w:link w:val="FootnoteTextChar"/>
    <w:uiPriority w:val="99"/>
    <w:unhideWhenUsed/>
    <w:pPr>
      <w:spacing w:after="0" w:line="240" w:lineRule="auto"/>
    </w:pPr>
    <w:rPr>
      <w:sz w:val="20"/>
      <w:szCs w:val="20"/>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basedOn w:val="DefaultParagraphFont"/>
    <w:link w:val="FootnoteText"/>
    <w:uiPriority w:val="99"/>
    <w:rPr>
      <w:sz w:val="20"/>
      <w:szCs w:val="20"/>
    </w:rPr>
  </w:style>
  <w:style w:type="character" w:styleId="Hyperlink">
    <w:name w:val="Hyperlink"/>
    <w:uiPriority w:val="99"/>
    <w:rPr>
      <w:color w:val="0000FF"/>
      <w:u w:val="single"/>
      <w:shd w:val="clear" w:color="auto" w:fill="auto"/>
    </w:rPr>
  </w:style>
  <w:style w:type="character" w:styleId="FootnoteReference">
    <w:name w:val="footnote reference"/>
    <w:aliases w:val="Footnote symbol,Odwołanie przypisu,Footnote Reference Number,Footnote Reference Superscript,SUPERS,Times 10 Point,Exposant 3 Point, Exposant 3 Point,Footnote,Ref,de nota al pie,Footnote Char,Footnote number Char,Footnote symbol Char"/>
    <w:unhideWhenUsed/>
    <w:rPr>
      <w:shd w:val="clear" w:color="auto" w:fill="auto"/>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smart-regulation/roadmaps/docs/2016_eac_015_evaluation_ecoc_2016.pdf" TargetMode="External"/><Relationship Id="rId2" Type="http://schemas.openxmlformats.org/officeDocument/2006/relationships/hyperlink" Target="https://ec.europa.eu/culture/evaluations_en" TargetMode="External"/><Relationship Id="rId1" Type="http://schemas.openxmlformats.org/officeDocument/2006/relationships/hyperlink" Target="https://ec.europa.eu/programmes/creative-europe/sites/creative-europe/files/files/ecoc-2016-evaluation-en_0.pdf" TargetMode="External"/><Relationship Id="rId5" Type="http://schemas.openxmlformats.org/officeDocument/2006/relationships/hyperlink" Target="https://ec.europa.eu/programmes/creative-europe/sites/creative-europe/files/library/ecoc-compendium-recommendations_en.pdf" TargetMode="External"/><Relationship Id="rId4" Type="http://schemas.openxmlformats.org/officeDocument/2006/relationships/hyperlink" Target="https://ec.europa.eu/programmes/creative-europe/sites/creative-europe/files/library/capitals-culture-city-own-guide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B83DA-3A90-4F8C-8FE8-CD5187CED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11</Pages>
  <Words>4266</Words>
  <Characters>24748</Characters>
  <Application>Microsoft Office Word</Application>
  <DocSecurity>0</DocSecurity>
  <Lines>412</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2018-03-12T12:39:00Z</cp:lastPrinted>
  <dcterms:created xsi:type="dcterms:W3CDTF">2018-04-06T13:59:00Z</dcterms:created>
  <dcterms:modified xsi:type="dcterms:W3CDTF">2018-04-18T11:43:00Z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