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BookTitle"/>
          <w:noProof/>
          <w:sz w:val="28"/>
        </w:rPr>
      </w:pPr>
      <w:bookmarkStart w:id="0" w:name="_Toc462394223"/>
      <w:bookmarkStart w:id="1" w:name="_Toc462751871"/>
      <w:bookmarkStart w:id="2" w:name="_Toc462831155"/>
      <w:bookmarkStart w:id="3" w:name="_Toc462991827"/>
      <w:bookmarkStart w:id="4" w:name="_Toc463260533"/>
      <w:bookmarkStart w:id="5" w:name="_Toc463369455"/>
      <w:bookmarkStart w:id="6" w:name="_Toc463446430"/>
      <w:bookmarkStart w:id="7" w:name="_Toc464048715"/>
      <w:bookmarkStart w:id="8" w:name="_Toc464056520"/>
      <w:bookmarkStart w:id="9" w:name="_Toc464057523"/>
      <w:bookmarkStart w:id="10" w:name="_Toc465173576"/>
      <w:bookmarkStart w:id="11" w:name="_Toc465180485"/>
      <w:bookmarkStart w:id="12" w:name="_Toc465234791"/>
      <w:bookmarkStart w:id="13" w:name="_Toc465328475"/>
      <w:bookmarkStart w:id="14" w:name="_Toc465332643"/>
      <w:bookmarkStart w:id="15" w:name="_Toc465355131"/>
      <w:bookmarkStart w:id="16" w:name="_Toc465417503"/>
      <w:bookmarkStart w:id="17" w:name="_Toc465428673"/>
      <w:bookmarkStart w:id="18" w:name="_Toc465430584"/>
      <w:bookmarkStart w:id="19" w:name="_Toc486857681"/>
      <w:bookmarkStart w:id="20" w:name="_Toc486926957"/>
      <w:bookmarkStart w:id="21" w:name="_Toc487796381"/>
      <w:bookmarkStart w:id="22" w:name="_Toc487796490"/>
      <w:bookmarkStart w:id="23" w:name="_Toc489013101"/>
      <w:bookmarkStart w:id="24" w:name="_Toc489279703"/>
      <w:bookmarkStart w:id="25" w:name="LW_BM_COVERPAGE"/>
      <w:r>
        <w:rPr>
          <w:rStyle w:val="BookTitle"/>
          <w:noProof/>
          <w:sz w:val="28"/>
        </w:rPr>
        <w:pict>
          <v:shape id="_x0000_i1057" type="#_x0000_t75" alt="EA5DA2DD-F3A7-431C-A1ED-0ABE8351C4B3" style="width:451.25pt;height:470.5pt">
            <v:imagedata r:id="rId13" o:title=""/>
          </v:shape>
        </w:pict>
      </w:r>
    </w:p>
    <w:bookmarkEnd w:id="25"/>
    <w:p>
      <w:pPr>
        <w:rPr>
          <w:rStyle w:val="BookTitle"/>
          <w:noProof/>
          <w:sz w:val="28"/>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bookmarkStart w:id="26" w:name="_GoBack" w:displacedByCustomXml="next"/>
    <w:bookmarkEnd w:id="26" w:displacedByCustomXml="next"/>
    <w:sdt>
      <w:sdtPr>
        <w:rPr>
          <w:rFonts w:ascii="Times New Roman" w:eastAsia="Times New Roman" w:hAnsi="Times New Roman" w:cs="Times New Roman"/>
          <w:b w:val="0"/>
          <w:bCs w:val="0"/>
          <w:smallCaps/>
          <w:noProof/>
          <w:color w:val="auto"/>
          <w:spacing w:val="5"/>
          <w:sz w:val="24"/>
          <w:szCs w:val="20"/>
          <w:lang w:val="en-GB" w:eastAsia="en-US"/>
        </w:rPr>
        <w:id w:val="413673259"/>
        <w:docPartObj>
          <w:docPartGallery w:val="Table of Contents"/>
          <w:docPartUnique/>
        </w:docPartObj>
      </w:sdtPr>
      <w:sdtEndPr>
        <w:rPr>
          <w:smallCaps w:val="0"/>
          <w:spacing w:val="0"/>
        </w:rPr>
      </w:sdtEndPr>
      <w:sdtContent>
        <w:p>
          <w:pPr>
            <w:pStyle w:val="TOCHeading"/>
            <w:jc w:val="both"/>
            <w:rPr>
              <w:noProof/>
            </w:rPr>
          </w:pPr>
          <w:r>
            <w:rPr>
              <w:noProof/>
            </w:rPr>
            <w:t>Contents</w:t>
          </w:r>
        </w:p>
        <w:p>
          <w:pPr>
            <w:pStyle w:val="TOC1"/>
            <w:jc w:val="both"/>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11292850"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Amendments to the IA following the RSB opinion</w:t>
            </w:r>
            <w:r>
              <w:rPr>
                <w:noProof/>
                <w:webHidden/>
              </w:rPr>
              <w:tab/>
            </w:r>
            <w:r>
              <w:rPr>
                <w:noProof/>
                <w:webHidden/>
              </w:rPr>
              <w:fldChar w:fldCharType="begin"/>
            </w:r>
            <w:r>
              <w:rPr>
                <w:noProof/>
                <w:webHidden/>
              </w:rPr>
              <w:instrText xml:space="preserve"> PAGEREF _Toc511292850 \h </w:instrText>
            </w:r>
            <w:r>
              <w:rPr>
                <w:noProof/>
                <w:webHidden/>
              </w:rPr>
            </w:r>
            <w:r>
              <w:rPr>
                <w:noProof/>
                <w:webHidden/>
              </w:rPr>
              <w:fldChar w:fldCharType="separate"/>
            </w:r>
            <w:r>
              <w:rPr>
                <w:noProof/>
                <w:webHidden/>
              </w:rPr>
              <w:t>4</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1"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Summary of amendments following the RSB opinion of 22 March 2018</w:t>
            </w:r>
            <w:r>
              <w:rPr>
                <w:noProof/>
                <w:webHidden/>
              </w:rPr>
              <w:tab/>
            </w:r>
            <w:r>
              <w:rPr>
                <w:noProof/>
                <w:webHidden/>
              </w:rPr>
              <w:fldChar w:fldCharType="begin"/>
            </w:r>
            <w:r>
              <w:rPr>
                <w:noProof/>
                <w:webHidden/>
              </w:rPr>
              <w:instrText xml:space="preserve"> PAGEREF _Toc511292851 \h </w:instrText>
            </w:r>
            <w:r>
              <w:rPr>
                <w:noProof/>
                <w:webHidden/>
              </w:rPr>
            </w:r>
            <w:r>
              <w:rPr>
                <w:noProof/>
                <w:webHidden/>
              </w:rPr>
              <w:fldChar w:fldCharType="separate"/>
            </w:r>
            <w:r>
              <w:rPr>
                <w:noProof/>
                <w:webHidden/>
              </w:rPr>
              <w:t>4</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2"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Summary of amendments following RSB opinion of December 2017</w:t>
            </w:r>
            <w:r>
              <w:rPr>
                <w:noProof/>
                <w:webHidden/>
              </w:rPr>
              <w:tab/>
            </w:r>
            <w:r>
              <w:rPr>
                <w:noProof/>
                <w:webHidden/>
              </w:rPr>
              <w:fldChar w:fldCharType="begin"/>
            </w:r>
            <w:r>
              <w:rPr>
                <w:noProof/>
                <w:webHidden/>
              </w:rPr>
              <w:instrText xml:space="preserve"> PAGEREF _Toc511292852 \h </w:instrText>
            </w:r>
            <w:r>
              <w:rPr>
                <w:noProof/>
                <w:webHidden/>
              </w:rPr>
            </w:r>
            <w:r>
              <w:rPr>
                <w:noProof/>
                <w:webHidden/>
              </w:rPr>
              <w:fldChar w:fldCharType="separate"/>
            </w:r>
            <w:r>
              <w:rPr>
                <w:noProof/>
                <w:webHidden/>
              </w:rPr>
              <w:t>5</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3"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Summary of amendments after the second submission</w:t>
            </w:r>
            <w:r>
              <w:rPr>
                <w:noProof/>
                <w:webHidden/>
              </w:rPr>
              <w:tab/>
            </w:r>
            <w:r>
              <w:rPr>
                <w:noProof/>
                <w:webHidden/>
              </w:rPr>
              <w:fldChar w:fldCharType="begin"/>
            </w:r>
            <w:r>
              <w:rPr>
                <w:noProof/>
                <w:webHidden/>
              </w:rPr>
              <w:instrText xml:space="preserve"> PAGEREF _Toc511292853 \h </w:instrText>
            </w:r>
            <w:r>
              <w:rPr>
                <w:noProof/>
                <w:webHidden/>
              </w:rPr>
            </w:r>
            <w:r>
              <w:rPr>
                <w:noProof/>
                <w:webHidden/>
              </w:rPr>
              <w:fldChar w:fldCharType="separate"/>
            </w:r>
            <w:r>
              <w:rPr>
                <w:noProof/>
                <w:webHidden/>
              </w:rPr>
              <w:t>11</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4"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Mandatory rules - enforcement</w:t>
            </w:r>
            <w:r>
              <w:rPr>
                <w:noProof/>
                <w:webHidden/>
              </w:rPr>
              <w:tab/>
            </w:r>
            <w:r>
              <w:rPr>
                <w:noProof/>
                <w:webHidden/>
              </w:rPr>
              <w:fldChar w:fldCharType="begin"/>
            </w:r>
            <w:r>
              <w:rPr>
                <w:noProof/>
                <w:webHidden/>
              </w:rPr>
              <w:instrText xml:space="preserve"> PAGEREF _Toc511292854 \h </w:instrText>
            </w:r>
            <w:r>
              <w:rPr>
                <w:noProof/>
                <w:webHidden/>
              </w:rPr>
            </w:r>
            <w:r>
              <w:rPr>
                <w:noProof/>
                <w:webHidden/>
              </w:rPr>
              <w:fldChar w:fldCharType="separate"/>
            </w:r>
            <w:r>
              <w:rPr>
                <w:noProof/>
                <w:webHidden/>
              </w:rPr>
              <w:t>13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5" w:history="1">
            <w:r>
              <w:rPr>
                <w:rStyle w:val="Hyperlink"/>
                <w:noProof/>
              </w:rPr>
              <w:t>1.5.</w:t>
            </w:r>
            <w:r>
              <w:rPr>
                <w:rFonts w:asciiTheme="minorHAnsi" w:eastAsiaTheme="minorEastAsia" w:hAnsiTheme="minorHAnsi" w:cstheme="minorBidi"/>
                <w:noProof/>
                <w:sz w:val="22"/>
                <w:szCs w:val="22"/>
                <w:lang w:eastAsia="en-GB"/>
              </w:rPr>
              <w:tab/>
            </w:r>
            <w:r>
              <w:rPr>
                <w:rStyle w:val="Hyperlink"/>
                <w:noProof/>
              </w:rPr>
              <w:t>Compatibility with other EU instruments on redress</w:t>
            </w:r>
            <w:r>
              <w:rPr>
                <w:noProof/>
                <w:webHidden/>
              </w:rPr>
              <w:tab/>
            </w:r>
            <w:r>
              <w:rPr>
                <w:noProof/>
                <w:webHidden/>
              </w:rPr>
              <w:fldChar w:fldCharType="begin"/>
            </w:r>
            <w:r>
              <w:rPr>
                <w:noProof/>
                <w:webHidden/>
              </w:rPr>
              <w:instrText xml:space="preserve"> PAGEREF _Toc511292855 \h </w:instrText>
            </w:r>
            <w:r>
              <w:rPr>
                <w:noProof/>
                <w:webHidden/>
              </w:rPr>
            </w:r>
            <w:r>
              <w:rPr>
                <w:noProof/>
                <w:webHidden/>
              </w:rPr>
              <w:fldChar w:fldCharType="separate"/>
            </w:r>
            <w:r>
              <w:rPr>
                <w:noProof/>
                <w:webHidden/>
              </w:rPr>
              <w:t>13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6" w:history="1">
            <w:r>
              <w:rPr>
                <w:rStyle w:val="Hyperlink"/>
                <w:noProof/>
              </w:rPr>
              <w:t>1.6.</w:t>
            </w:r>
            <w:r>
              <w:rPr>
                <w:rFonts w:asciiTheme="minorHAnsi" w:eastAsiaTheme="minorEastAsia" w:hAnsiTheme="minorHAnsi" w:cstheme="minorBidi"/>
                <w:noProof/>
                <w:sz w:val="22"/>
                <w:szCs w:val="22"/>
                <w:lang w:eastAsia="en-GB"/>
              </w:rPr>
              <w:tab/>
            </w:r>
            <w:r>
              <w:rPr>
                <w:rStyle w:val="Hyperlink"/>
                <w:noProof/>
              </w:rPr>
              <w:t>Definitions and Scope: A precise, future-proof and evidence-based approach</w:t>
            </w:r>
            <w:r>
              <w:rPr>
                <w:noProof/>
                <w:webHidden/>
              </w:rPr>
              <w:tab/>
            </w:r>
            <w:r>
              <w:rPr>
                <w:noProof/>
                <w:webHidden/>
              </w:rPr>
              <w:fldChar w:fldCharType="begin"/>
            </w:r>
            <w:r>
              <w:rPr>
                <w:noProof/>
                <w:webHidden/>
              </w:rPr>
              <w:instrText xml:space="preserve"> PAGEREF _Toc511292856 \h </w:instrText>
            </w:r>
            <w:r>
              <w:rPr>
                <w:noProof/>
                <w:webHidden/>
              </w:rPr>
            </w:r>
            <w:r>
              <w:rPr>
                <w:noProof/>
                <w:webHidden/>
              </w:rPr>
              <w:fldChar w:fldCharType="separate"/>
            </w:r>
            <w:r>
              <w:rPr>
                <w:noProof/>
                <w:webHidden/>
              </w:rPr>
              <w:t>14</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7" w:history="1">
            <w:r>
              <w:rPr>
                <w:rStyle w:val="Hyperlink"/>
                <w:noProof/>
              </w:rPr>
              <w:t>1.7.</w:t>
            </w:r>
            <w:r>
              <w:rPr>
                <w:rFonts w:asciiTheme="minorHAnsi" w:eastAsiaTheme="minorEastAsia" w:hAnsiTheme="minorHAnsi" w:cstheme="minorBidi"/>
                <w:noProof/>
                <w:sz w:val="22"/>
                <w:szCs w:val="22"/>
                <w:lang w:eastAsia="en-GB"/>
              </w:rPr>
              <w:tab/>
            </w:r>
            <w:r>
              <w:rPr>
                <w:rStyle w:val="Hyperlink"/>
                <w:noProof/>
              </w:rPr>
              <w:t>Evidence-base &amp; types of issues covered</w:t>
            </w:r>
            <w:r>
              <w:rPr>
                <w:noProof/>
                <w:webHidden/>
              </w:rPr>
              <w:tab/>
            </w:r>
            <w:r>
              <w:rPr>
                <w:noProof/>
                <w:webHidden/>
              </w:rPr>
              <w:fldChar w:fldCharType="begin"/>
            </w:r>
            <w:r>
              <w:rPr>
                <w:noProof/>
                <w:webHidden/>
              </w:rPr>
              <w:instrText xml:space="preserve"> PAGEREF _Toc511292857 \h </w:instrText>
            </w:r>
            <w:r>
              <w:rPr>
                <w:noProof/>
                <w:webHidden/>
              </w:rPr>
            </w:r>
            <w:r>
              <w:rPr>
                <w:noProof/>
                <w:webHidden/>
              </w:rPr>
              <w:fldChar w:fldCharType="separate"/>
            </w:r>
            <w:r>
              <w:rPr>
                <w:noProof/>
                <w:webHidden/>
              </w:rPr>
              <w:t>17</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8" w:history="1">
            <w:r>
              <w:rPr>
                <w:rStyle w:val="Hyperlink"/>
                <w:noProof/>
              </w:rPr>
              <w:t>1.8.</w:t>
            </w:r>
            <w:r>
              <w:rPr>
                <w:rFonts w:asciiTheme="minorHAnsi" w:eastAsiaTheme="minorEastAsia" w:hAnsiTheme="minorHAnsi" w:cstheme="minorBidi"/>
                <w:noProof/>
                <w:sz w:val="22"/>
                <w:szCs w:val="22"/>
                <w:lang w:eastAsia="en-GB"/>
              </w:rPr>
              <w:tab/>
            </w:r>
            <w:r>
              <w:rPr>
                <w:rStyle w:val="Hyperlink"/>
                <w:noProof/>
              </w:rPr>
              <w:t>Overview of problem drivers</w:t>
            </w:r>
            <w:r>
              <w:rPr>
                <w:noProof/>
                <w:webHidden/>
              </w:rPr>
              <w:tab/>
            </w:r>
            <w:r>
              <w:rPr>
                <w:noProof/>
                <w:webHidden/>
              </w:rPr>
              <w:fldChar w:fldCharType="begin"/>
            </w:r>
            <w:r>
              <w:rPr>
                <w:noProof/>
                <w:webHidden/>
              </w:rPr>
              <w:instrText xml:space="preserve"> PAGEREF _Toc511292858 \h </w:instrText>
            </w:r>
            <w:r>
              <w:rPr>
                <w:noProof/>
                <w:webHidden/>
              </w:rPr>
            </w:r>
            <w:r>
              <w:rPr>
                <w:noProof/>
                <w:webHidden/>
              </w:rPr>
              <w:fldChar w:fldCharType="separate"/>
            </w:r>
            <w:r>
              <w:rPr>
                <w:noProof/>
                <w:webHidden/>
              </w:rPr>
              <w:t>17</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59" w:history="1">
            <w:r>
              <w:rPr>
                <w:rStyle w:val="Hyperlink"/>
                <w:noProof/>
              </w:rPr>
              <w:t>1.9.</w:t>
            </w:r>
            <w:r>
              <w:rPr>
                <w:rFonts w:asciiTheme="minorHAnsi" w:eastAsiaTheme="minorEastAsia" w:hAnsiTheme="minorHAnsi" w:cstheme="minorBidi"/>
                <w:noProof/>
                <w:sz w:val="22"/>
                <w:szCs w:val="22"/>
                <w:lang w:eastAsia="en-GB"/>
              </w:rPr>
              <w:tab/>
            </w:r>
            <w:r>
              <w:rPr>
                <w:rStyle w:val="Hyperlink"/>
                <w:noProof/>
              </w:rPr>
              <w:t>Conclusion of Problem Definition</w:t>
            </w:r>
            <w:r>
              <w:rPr>
                <w:noProof/>
                <w:webHidden/>
              </w:rPr>
              <w:tab/>
            </w:r>
            <w:r>
              <w:rPr>
                <w:noProof/>
                <w:webHidden/>
              </w:rPr>
              <w:fldChar w:fldCharType="begin"/>
            </w:r>
            <w:r>
              <w:rPr>
                <w:noProof/>
                <w:webHidden/>
              </w:rPr>
              <w:instrText xml:space="preserve"> PAGEREF _Toc511292859 \h </w:instrText>
            </w:r>
            <w:r>
              <w:rPr>
                <w:noProof/>
                <w:webHidden/>
              </w:rPr>
            </w:r>
            <w:r>
              <w:rPr>
                <w:noProof/>
                <w:webHidden/>
              </w:rPr>
              <w:fldChar w:fldCharType="separate"/>
            </w:r>
            <w:r>
              <w:rPr>
                <w:noProof/>
                <w:webHidden/>
              </w:rPr>
              <w:t>18</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0" w:history="1">
            <w:r>
              <w:rPr>
                <w:rStyle w:val="Hyperlink"/>
                <w:noProof/>
              </w:rPr>
              <w:t>1.10. Legal basis</w:t>
            </w:r>
            <w:r>
              <w:rPr>
                <w:noProof/>
                <w:webHidden/>
              </w:rPr>
              <w:tab/>
            </w:r>
            <w:r>
              <w:rPr>
                <w:noProof/>
                <w:webHidden/>
              </w:rPr>
              <w:fldChar w:fldCharType="begin"/>
            </w:r>
            <w:r>
              <w:rPr>
                <w:noProof/>
                <w:webHidden/>
              </w:rPr>
              <w:instrText xml:space="preserve"> PAGEREF _Toc511292860 \h </w:instrText>
            </w:r>
            <w:r>
              <w:rPr>
                <w:noProof/>
                <w:webHidden/>
              </w:rPr>
            </w:r>
            <w:r>
              <w:rPr>
                <w:noProof/>
                <w:webHidden/>
              </w:rPr>
              <w:fldChar w:fldCharType="separate"/>
            </w:r>
            <w:r>
              <w:rPr>
                <w:noProof/>
                <w:webHidden/>
              </w:rPr>
              <w:t>18</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1" w:history="1">
            <w:r>
              <w:rPr>
                <w:rStyle w:val="Hyperlink"/>
                <w:noProof/>
              </w:rPr>
              <w:t>1.11.</w:t>
            </w:r>
            <w:r>
              <w:rPr>
                <w:rFonts w:asciiTheme="minorHAnsi" w:eastAsiaTheme="minorEastAsia" w:hAnsiTheme="minorHAnsi" w:cstheme="minorBidi"/>
                <w:noProof/>
                <w:sz w:val="22"/>
                <w:szCs w:val="22"/>
                <w:lang w:eastAsia="en-GB"/>
              </w:rPr>
              <w:tab/>
              <w:t xml:space="preserve"> </w:t>
            </w:r>
            <w:r>
              <w:rPr>
                <w:rStyle w:val="Hyperlink"/>
                <w:noProof/>
              </w:rPr>
              <w:t>Subsidiarity: EU action required to provide harmonised framework for cross-border, online platform-specific issues</w:t>
            </w:r>
            <w:r>
              <w:rPr>
                <w:noProof/>
                <w:webHidden/>
              </w:rPr>
              <w:tab/>
            </w:r>
            <w:r>
              <w:rPr>
                <w:noProof/>
                <w:webHidden/>
              </w:rPr>
              <w:fldChar w:fldCharType="begin"/>
            </w:r>
            <w:r>
              <w:rPr>
                <w:noProof/>
                <w:webHidden/>
              </w:rPr>
              <w:instrText xml:space="preserve"> PAGEREF _Toc511292861 \h </w:instrText>
            </w:r>
            <w:r>
              <w:rPr>
                <w:noProof/>
                <w:webHidden/>
              </w:rPr>
            </w:r>
            <w:r>
              <w:rPr>
                <w:noProof/>
                <w:webHidden/>
              </w:rPr>
              <w:fldChar w:fldCharType="separate"/>
            </w:r>
            <w:r>
              <w:rPr>
                <w:noProof/>
                <w:webHidden/>
              </w:rPr>
              <w:t>19</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2" w:history="1">
            <w:r>
              <w:rPr>
                <w:rStyle w:val="Hyperlink"/>
                <w:noProof/>
              </w:rPr>
              <w:t>1.12.</w:t>
            </w:r>
            <w:r>
              <w:rPr>
                <w:rFonts w:asciiTheme="minorHAnsi" w:eastAsiaTheme="minorEastAsia" w:hAnsiTheme="minorHAnsi" w:cstheme="minorBidi"/>
                <w:noProof/>
                <w:sz w:val="22"/>
                <w:szCs w:val="22"/>
                <w:lang w:eastAsia="en-GB"/>
              </w:rPr>
              <w:tab/>
              <w:t xml:space="preserve"> </w:t>
            </w:r>
            <w:r>
              <w:rPr>
                <w:rStyle w:val="Hyperlink"/>
                <w:noProof/>
              </w:rPr>
              <w:t>A light-touch and staged co-regulatory option geared to online intermediation</w:t>
            </w:r>
            <w:r>
              <w:rPr>
                <w:noProof/>
                <w:webHidden/>
              </w:rPr>
              <w:tab/>
            </w:r>
            <w:r>
              <w:rPr>
                <w:noProof/>
                <w:webHidden/>
              </w:rPr>
              <w:fldChar w:fldCharType="begin"/>
            </w:r>
            <w:r>
              <w:rPr>
                <w:noProof/>
                <w:webHidden/>
              </w:rPr>
              <w:instrText xml:space="preserve"> PAGEREF _Toc511292862 \h </w:instrText>
            </w:r>
            <w:r>
              <w:rPr>
                <w:noProof/>
                <w:webHidden/>
              </w:rPr>
            </w:r>
            <w:r>
              <w:rPr>
                <w:noProof/>
                <w:webHidden/>
              </w:rPr>
              <w:fldChar w:fldCharType="separate"/>
            </w:r>
            <w:r>
              <w:rPr>
                <w:noProof/>
                <w:webHidden/>
              </w:rPr>
              <w:t>20</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3" w:history="1">
            <w:r>
              <w:rPr>
                <w:rStyle w:val="Hyperlink"/>
                <w:noProof/>
              </w:rPr>
              <w:t>1.13.</w:t>
            </w:r>
            <w:r>
              <w:rPr>
                <w:rFonts w:asciiTheme="minorHAnsi" w:eastAsiaTheme="minorEastAsia" w:hAnsiTheme="minorHAnsi" w:cstheme="minorBidi"/>
                <w:noProof/>
                <w:sz w:val="22"/>
                <w:szCs w:val="22"/>
                <w:lang w:eastAsia="en-GB"/>
              </w:rPr>
              <w:tab/>
              <w:t xml:space="preserve"> </w:t>
            </w:r>
            <w:r>
              <w:rPr>
                <w:rStyle w:val="Hyperlink"/>
                <w:noProof/>
              </w:rPr>
              <w:t>High-level but effective transparency obligations with a scope for self-regulation</w:t>
            </w:r>
            <w:r>
              <w:rPr>
                <w:noProof/>
                <w:webHidden/>
              </w:rPr>
              <w:tab/>
            </w:r>
            <w:r>
              <w:rPr>
                <w:noProof/>
                <w:webHidden/>
              </w:rPr>
              <w:fldChar w:fldCharType="begin"/>
            </w:r>
            <w:r>
              <w:rPr>
                <w:noProof/>
                <w:webHidden/>
              </w:rPr>
              <w:instrText xml:space="preserve"> PAGEREF _Toc511292863 \h </w:instrText>
            </w:r>
            <w:r>
              <w:rPr>
                <w:noProof/>
                <w:webHidden/>
              </w:rPr>
            </w:r>
            <w:r>
              <w:rPr>
                <w:noProof/>
                <w:webHidden/>
              </w:rPr>
              <w:fldChar w:fldCharType="separate"/>
            </w:r>
            <w:r>
              <w:rPr>
                <w:noProof/>
                <w:webHidden/>
              </w:rPr>
              <w:t>21</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4" w:history="1">
            <w:r>
              <w:rPr>
                <w:rStyle w:val="Hyperlink"/>
                <w:noProof/>
              </w:rPr>
              <w:t>1.14.</w:t>
            </w:r>
            <w:r>
              <w:rPr>
                <w:rFonts w:asciiTheme="minorHAnsi" w:eastAsiaTheme="minorEastAsia" w:hAnsiTheme="minorHAnsi" w:cstheme="minorBidi"/>
                <w:noProof/>
                <w:sz w:val="22"/>
                <w:szCs w:val="22"/>
                <w:lang w:eastAsia="en-GB"/>
              </w:rPr>
              <w:tab/>
              <w:t xml:space="preserve"> </w:t>
            </w:r>
            <w:r>
              <w:rPr>
                <w:rStyle w:val="Hyperlink"/>
                <w:noProof/>
              </w:rPr>
              <w:t>Effectiveness of a legal definition of online intermediation services</w:t>
            </w:r>
            <w:r>
              <w:rPr>
                <w:noProof/>
                <w:webHidden/>
              </w:rPr>
              <w:tab/>
            </w:r>
            <w:r>
              <w:rPr>
                <w:noProof/>
                <w:webHidden/>
              </w:rPr>
              <w:fldChar w:fldCharType="begin"/>
            </w:r>
            <w:r>
              <w:rPr>
                <w:noProof/>
                <w:webHidden/>
              </w:rPr>
              <w:instrText xml:space="preserve"> PAGEREF _Toc511292864 \h </w:instrText>
            </w:r>
            <w:r>
              <w:rPr>
                <w:noProof/>
                <w:webHidden/>
              </w:rPr>
            </w:r>
            <w:r>
              <w:rPr>
                <w:noProof/>
                <w:webHidden/>
              </w:rPr>
              <w:fldChar w:fldCharType="separate"/>
            </w:r>
            <w:r>
              <w:rPr>
                <w:noProof/>
                <w:webHidden/>
              </w:rPr>
              <w:t>22</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865"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Procedural Information</w:t>
            </w:r>
            <w:r>
              <w:rPr>
                <w:noProof/>
                <w:webHidden/>
              </w:rPr>
              <w:tab/>
            </w:r>
            <w:r>
              <w:rPr>
                <w:noProof/>
                <w:webHidden/>
              </w:rPr>
              <w:fldChar w:fldCharType="begin"/>
            </w:r>
            <w:r>
              <w:rPr>
                <w:noProof/>
                <w:webHidden/>
              </w:rPr>
              <w:instrText xml:space="preserve"> PAGEREF _Toc511292865 \h </w:instrText>
            </w:r>
            <w:r>
              <w:rPr>
                <w:noProof/>
                <w:webHidden/>
              </w:rPr>
            </w:r>
            <w:r>
              <w:rPr>
                <w:noProof/>
                <w:webHidden/>
              </w:rPr>
              <w:fldChar w:fldCharType="separate"/>
            </w:r>
            <w:r>
              <w:rPr>
                <w:noProof/>
                <w:webHidden/>
              </w:rPr>
              <w:t>23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6"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Identification</w:t>
            </w:r>
            <w:r>
              <w:rPr>
                <w:noProof/>
                <w:webHidden/>
              </w:rPr>
              <w:tab/>
            </w:r>
            <w:r>
              <w:rPr>
                <w:noProof/>
                <w:webHidden/>
              </w:rPr>
              <w:fldChar w:fldCharType="begin"/>
            </w:r>
            <w:r>
              <w:rPr>
                <w:noProof/>
                <w:webHidden/>
              </w:rPr>
              <w:instrText xml:space="preserve"> PAGEREF _Toc511292866 \h </w:instrText>
            </w:r>
            <w:r>
              <w:rPr>
                <w:noProof/>
                <w:webHidden/>
              </w:rPr>
            </w:r>
            <w:r>
              <w:rPr>
                <w:noProof/>
                <w:webHidden/>
              </w:rPr>
              <w:fldChar w:fldCharType="separate"/>
            </w:r>
            <w:r>
              <w:rPr>
                <w:noProof/>
                <w:webHidden/>
              </w:rPr>
              <w:t>23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7"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Organisation and chronology</w:t>
            </w:r>
            <w:r>
              <w:rPr>
                <w:noProof/>
                <w:webHidden/>
              </w:rPr>
              <w:tab/>
            </w:r>
            <w:r>
              <w:rPr>
                <w:noProof/>
                <w:webHidden/>
              </w:rPr>
              <w:fldChar w:fldCharType="begin"/>
            </w:r>
            <w:r>
              <w:rPr>
                <w:noProof/>
                <w:webHidden/>
              </w:rPr>
              <w:instrText xml:space="preserve"> PAGEREF _Toc511292867 \h </w:instrText>
            </w:r>
            <w:r>
              <w:rPr>
                <w:noProof/>
                <w:webHidden/>
              </w:rPr>
            </w:r>
            <w:r>
              <w:rPr>
                <w:noProof/>
                <w:webHidden/>
              </w:rPr>
              <w:fldChar w:fldCharType="separate"/>
            </w:r>
            <w:r>
              <w:rPr>
                <w:noProof/>
                <w:webHidden/>
              </w:rPr>
              <w:t>23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8"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Regulatory Scrutiny Board</w:t>
            </w:r>
            <w:r>
              <w:rPr>
                <w:noProof/>
                <w:webHidden/>
              </w:rPr>
              <w:tab/>
            </w:r>
            <w:r>
              <w:rPr>
                <w:noProof/>
                <w:webHidden/>
              </w:rPr>
              <w:fldChar w:fldCharType="begin"/>
            </w:r>
            <w:r>
              <w:rPr>
                <w:noProof/>
                <w:webHidden/>
              </w:rPr>
              <w:instrText xml:space="preserve"> PAGEREF _Toc511292868 \h </w:instrText>
            </w:r>
            <w:r>
              <w:rPr>
                <w:noProof/>
                <w:webHidden/>
              </w:rPr>
            </w:r>
            <w:r>
              <w:rPr>
                <w:noProof/>
                <w:webHidden/>
              </w:rPr>
              <w:fldChar w:fldCharType="separate"/>
            </w:r>
            <w:r>
              <w:rPr>
                <w:noProof/>
                <w:webHidden/>
              </w:rPr>
              <w:t>23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69"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Evidence</w:t>
            </w:r>
            <w:r>
              <w:rPr>
                <w:noProof/>
                <w:webHidden/>
              </w:rPr>
              <w:tab/>
            </w:r>
            <w:r>
              <w:rPr>
                <w:noProof/>
                <w:webHidden/>
              </w:rPr>
              <w:fldChar w:fldCharType="begin"/>
            </w:r>
            <w:r>
              <w:rPr>
                <w:noProof/>
                <w:webHidden/>
              </w:rPr>
              <w:instrText xml:space="preserve"> PAGEREF _Toc511292869 \h </w:instrText>
            </w:r>
            <w:r>
              <w:rPr>
                <w:noProof/>
                <w:webHidden/>
              </w:rPr>
            </w:r>
            <w:r>
              <w:rPr>
                <w:noProof/>
                <w:webHidden/>
              </w:rPr>
              <w:fldChar w:fldCharType="separate"/>
            </w:r>
            <w:r>
              <w:rPr>
                <w:noProof/>
                <w:webHidden/>
              </w:rPr>
              <w:t>23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70" w:history="1">
            <w:r>
              <w:rPr>
                <w:rStyle w:val="Hyperlink"/>
                <w:noProof/>
              </w:rPr>
              <w:t>2.5.</w:t>
            </w:r>
            <w:r>
              <w:rPr>
                <w:rFonts w:asciiTheme="minorHAnsi" w:eastAsiaTheme="minorEastAsia" w:hAnsiTheme="minorHAnsi" w:cstheme="minorBidi"/>
                <w:noProof/>
                <w:sz w:val="22"/>
                <w:szCs w:val="22"/>
                <w:lang w:eastAsia="en-GB"/>
              </w:rPr>
              <w:tab/>
            </w:r>
            <w:r>
              <w:rPr>
                <w:rStyle w:val="Hyperlink"/>
                <w:noProof/>
              </w:rPr>
              <w:t>External expertise</w:t>
            </w:r>
            <w:r>
              <w:rPr>
                <w:noProof/>
                <w:webHidden/>
              </w:rPr>
              <w:tab/>
            </w:r>
            <w:r>
              <w:rPr>
                <w:noProof/>
                <w:webHidden/>
              </w:rPr>
              <w:fldChar w:fldCharType="begin"/>
            </w:r>
            <w:r>
              <w:rPr>
                <w:noProof/>
                <w:webHidden/>
              </w:rPr>
              <w:instrText xml:space="preserve"> PAGEREF _Toc511292870 \h </w:instrText>
            </w:r>
            <w:r>
              <w:rPr>
                <w:noProof/>
                <w:webHidden/>
              </w:rPr>
            </w:r>
            <w:r>
              <w:rPr>
                <w:noProof/>
                <w:webHidden/>
              </w:rPr>
              <w:fldChar w:fldCharType="separate"/>
            </w:r>
            <w:r>
              <w:rPr>
                <w:noProof/>
                <w:webHidden/>
              </w:rPr>
              <w:t>25</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871"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Stakeholder Consultation</w:t>
            </w:r>
            <w:r>
              <w:rPr>
                <w:noProof/>
                <w:webHidden/>
              </w:rPr>
              <w:tab/>
            </w:r>
            <w:r>
              <w:rPr>
                <w:noProof/>
                <w:webHidden/>
              </w:rPr>
              <w:fldChar w:fldCharType="begin"/>
            </w:r>
            <w:r>
              <w:rPr>
                <w:noProof/>
                <w:webHidden/>
              </w:rPr>
              <w:instrText xml:space="preserve"> PAGEREF _Toc511292871 \h </w:instrText>
            </w:r>
            <w:r>
              <w:rPr>
                <w:noProof/>
                <w:webHidden/>
              </w:rPr>
            </w:r>
            <w:r>
              <w:rPr>
                <w:noProof/>
                <w:webHidden/>
              </w:rPr>
              <w:fldChar w:fldCharType="separate"/>
            </w:r>
            <w:r>
              <w:rPr>
                <w:noProof/>
                <w:webHidden/>
              </w:rPr>
              <w:t>25</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72"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The stakeholders engagement strategy</w:t>
            </w:r>
            <w:r>
              <w:rPr>
                <w:noProof/>
                <w:webHidden/>
              </w:rPr>
              <w:tab/>
            </w:r>
            <w:r>
              <w:rPr>
                <w:noProof/>
                <w:webHidden/>
              </w:rPr>
              <w:fldChar w:fldCharType="begin"/>
            </w:r>
            <w:r>
              <w:rPr>
                <w:noProof/>
                <w:webHidden/>
              </w:rPr>
              <w:instrText xml:space="preserve"> PAGEREF _Toc511292872 \h </w:instrText>
            </w:r>
            <w:r>
              <w:rPr>
                <w:noProof/>
                <w:webHidden/>
              </w:rPr>
            </w:r>
            <w:r>
              <w:rPr>
                <w:noProof/>
                <w:webHidden/>
              </w:rPr>
              <w:fldChar w:fldCharType="separate"/>
            </w:r>
            <w:r>
              <w:rPr>
                <w:noProof/>
                <w:webHidden/>
              </w:rPr>
              <w:t>25</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73"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Bilateral meetings</w:t>
            </w:r>
            <w:r>
              <w:rPr>
                <w:noProof/>
                <w:webHidden/>
              </w:rPr>
              <w:tab/>
            </w:r>
            <w:r>
              <w:rPr>
                <w:noProof/>
                <w:webHidden/>
              </w:rPr>
              <w:fldChar w:fldCharType="begin"/>
            </w:r>
            <w:r>
              <w:rPr>
                <w:noProof/>
                <w:webHidden/>
              </w:rPr>
              <w:instrText xml:space="preserve"> PAGEREF _Toc511292873 \h </w:instrText>
            </w:r>
            <w:r>
              <w:rPr>
                <w:noProof/>
                <w:webHidden/>
              </w:rPr>
            </w:r>
            <w:r>
              <w:rPr>
                <w:noProof/>
                <w:webHidden/>
              </w:rPr>
              <w:fldChar w:fldCharType="separate"/>
            </w:r>
            <w:r>
              <w:rPr>
                <w:noProof/>
                <w:webHidden/>
              </w:rPr>
              <w:t>26</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74"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The Outcome of the Public Consultations</w:t>
            </w:r>
            <w:r>
              <w:rPr>
                <w:noProof/>
                <w:webHidden/>
              </w:rPr>
              <w:tab/>
            </w:r>
            <w:r>
              <w:rPr>
                <w:noProof/>
                <w:webHidden/>
              </w:rPr>
              <w:fldChar w:fldCharType="begin"/>
            </w:r>
            <w:r>
              <w:rPr>
                <w:noProof/>
                <w:webHidden/>
              </w:rPr>
              <w:instrText xml:space="preserve"> PAGEREF _Toc511292874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75" w:history="1">
            <w:r>
              <w:rPr>
                <w:rStyle w:val="Hyperlink"/>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szCs w:val="22"/>
                <w:lang w:eastAsia="en-GB"/>
              </w:rPr>
              <w:tab/>
            </w:r>
            <w:r>
              <w:rPr>
                <w:rStyle w:val="Hyperlink"/>
                <w:noProof/>
              </w:rPr>
              <w:t>Public consultation on online platforms, 24 September 2015 until 6 January 2016</w:t>
            </w:r>
            <w:r>
              <w:rPr>
                <w:noProof/>
                <w:webHidden/>
              </w:rPr>
              <w:tab/>
            </w:r>
            <w:r>
              <w:rPr>
                <w:noProof/>
                <w:webHidden/>
              </w:rPr>
              <w:fldChar w:fldCharType="begin"/>
            </w:r>
            <w:r>
              <w:rPr>
                <w:noProof/>
                <w:webHidden/>
              </w:rPr>
              <w:instrText xml:space="preserve"> PAGEREF _Toc511292875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76" w:history="1">
            <w:r>
              <w:rPr>
                <w:rStyle w:val="Hyperlink"/>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szCs w:val="22"/>
                <w:lang w:eastAsia="en-GB"/>
              </w:rPr>
              <w:tab/>
            </w:r>
            <w:r>
              <w:rPr>
                <w:rStyle w:val="Hyperlink"/>
                <w:noProof/>
              </w:rPr>
              <w:t>Public consultation: Building a European Data Economy, 10 January to 26 April 2017</w:t>
            </w:r>
            <w:r>
              <w:rPr>
                <w:noProof/>
                <w:webHidden/>
              </w:rPr>
              <w:tab/>
            </w:r>
            <w:r>
              <w:rPr>
                <w:noProof/>
                <w:webHidden/>
              </w:rPr>
              <w:fldChar w:fldCharType="begin"/>
            </w:r>
            <w:r>
              <w:rPr>
                <w:noProof/>
                <w:webHidden/>
              </w:rPr>
              <w:instrText xml:space="preserve"> PAGEREF _Toc511292876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77" w:history="1">
            <w:r>
              <w:rPr>
                <w:rStyle w:val="Hyperlink"/>
                <w:noProof/>
                <w14:scene3d>
                  <w14:camera w14:prst="orthographicFront"/>
                  <w14:lightRig w14:rig="threePt" w14:dir="t">
                    <w14:rot w14:lat="0" w14:lon="0" w14:rev="0"/>
                  </w14:lightRig>
                </w14:scene3d>
              </w:rPr>
              <w:t>3.3.3.</w:t>
            </w:r>
            <w:r>
              <w:rPr>
                <w:rFonts w:asciiTheme="minorHAnsi" w:eastAsiaTheme="minorEastAsia" w:hAnsiTheme="minorHAnsi" w:cstheme="minorBidi"/>
                <w:noProof/>
                <w:sz w:val="22"/>
                <w:szCs w:val="22"/>
                <w:lang w:eastAsia="en-GB"/>
              </w:rPr>
              <w:tab/>
            </w:r>
            <w:r>
              <w:rPr>
                <w:rStyle w:val="Hyperlink"/>
                <w:noProof/>
              </w:rPr>
              <w:t>Flash Eurobarometer 439: The use of online marketplaces and search engines by SMEs, 6 July 2016</w:t>
            </w:r>
            <w:r>
              <w:rPr>
                <w:noProof/>
                <w:webHidden/>
              </w:rPr>
              <w:tab/>
            </w:r>
            <w:r>
              <w:rPr>
                <w:noProof/>
                <w:webHidden/>
              </w:rPr>
              <w:fldChar w:fldCharType="begin"/>
            </w:r>
            <w:r>
              <w:rPr>
                <w:noProof/>
                <w:webHidden/>
              </w:rPr>
              <w:instrText xml:space="preserve"> PAGEREF _Toc511292877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78" w:history="1">
            <w:r>
              <w:rPr>
                <w:rStyle w:val="Hyperlink"/>
                <w:noProof/>
                <w14:scene3d>
                  <w14:camera w14:prst="orthographicFront"/>
                  <w14:lightRig w14:rig="threePt" w14:dir="t">
                    <w14:rot w14:lat="0" w14:lon="0" w14:rev="0"/>
                  </w14:lightRig>
                </w14:scene3d>
              </w:rPr>
              <w:t>3.3.4.</w:t>
            </w:r>
            <w:r>
              <w:rPr>
                <w:rFonts w:asciiTheme="minorHAnsi" w:eastAsiaTheme="minorEastAsia" w:hAnsiTheme="minorHAnsi" w:cstheme="minorBidi"/>
                <w:noProof/>
                <w:sz w:val="22"/>
                <w:szCs w:val="22"/>
                <w:lang w:eastAsia="en-GB"/>
              </w:rPr>
              <w:tab/>
            </w:r>
            <w:r>
              <w:rPr>
                <w:rStyle w:val="Hyperlink"/>
                <w:noProof/>
              </w:rPr>
              <w:t>Survey of business users, 5 December 2016 – 2 February 2017</w:t>
            </w:r>
            <w:r>
              <w:rPr>
                <w:noProof/>
                <w:webHidden/>
              </w:rPr>
              <w:tab/>
            </w:r>
            <w:r>
              <w:rPr>
                <w:noProof/>
                <w:webHidden/>
              </w:rPr>
              <w:fldChar w:fldCharType="begin"/>
            </w:r>
            <w:r>
              <w:rPr>
                <w:noProof/>
                <w:webHidden/>
              </w:rPr>
              <w:instrText xml:space="preserve"> PAGEREF _Toc511292878 \h </w:instrText>
            </w:r>
            <w:r>
              <w:rPr>
                <w:noProof/>
                <w:webHidden/>
              </w:rPr>
            </w:r>
            <w:r>
              <w:rPr>
                <w:noProof/>
                <w:webHidden/>
              </w:rPr>
              <w:fldChar w:fldCharType="separate"/>
            </w:r>
            <w:r>
              <w:rPr>
                <w:noProof/>
                <w:webHidden/>
              </w:rPr>
              <w:t>30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79" w:history="1">
            <w:r>
              <w:rPr>
                <w:rStyle w:val="Hyperlink"/>
                <w:noProof/>
                <w14:scene3d>
                  <w14:camera w14:prst="orthographicFront"/>
                  <w14:lightRig w14:rig="threePt" w14:dir="t">
                    <w14:rot w14:lat="0" w14:lon="0" w14:rev="0"/>
                  </w14:lightRig>
                </w14:scene3d>
              </w:rPr>
              <w:t>3.3.5.</w:t>
            </w:r>
            <w:r>
              <w:rPr>
                <w:rFonts w:asciiTheme="minorHAnsi" w:eastAsiaTheme="minorEastAsia" w:hAnsiTheme="minorHAnsi" w:cstheme="minorBidi"/>
                <w:noProof/>
                <w:sz w:val="22"/>
                <w:szCs w:val="22"/>
                <w:lang w:eastAsia="en-GB"/>
              </w:rPr>
              <w:tab/>
            </w:r>
            <w:r>
              <w:rPr>
                <w:rStyle w:val="Hyperlink"/>
                <w:noProof/>
              </w:rPr>
              <w:t>Problem definition: targeted workshops</w:t>
            </w:r>
            <w:r>
              <w:rPr>
                <w:noProof/>
                <w:webHidden/>
              </w:rPr>
              <w:tab/>
            </w:r>
            <w:r>
              <w:rPr>
                <w:noProof/>
                <w:webHidden/>
              </w:rPr>
              <w:fldChar w:fldCharType="begin"/>
            </w:r>
            <w:r>
              <w:rPr>
                <w:noProof/>
                <w:webHidden/>
              </w:rPr>
              <w:instrText xml:space="preserve"> PAGEREF _Toc511292879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80" w:history="1">
            <w:r>
              <w:rPr>
                <w:rStyle w:val="Hyperlink"/>
                <w:noProof/>
                <w14:scene3d>
                  <w14:camera w14:prst="orthographicFront"/>
                  <w14:lightRig w14:rig="threePt" w14:dir="t">
                    <w14:rot w14:lat="0" w14:lon="0" w14:rev="0"/>
                  </w14:lightRig>
                </w14:scene3d>
              </w:rPr>
              <w:t>3.3.6.</w:t>
            </w:r>
            <w:r>
              <w:rPr>
                <w:rFonts w:asciiTheme="minorHAnsi" w:eastAsiaTheme="minorEastAsia" w:hAnsiTheme="minorHAnsi" w:cstheme="minorBidi"/>
                <w:noProof/>
                <w:sz w:val="22"/>
                <w:szCs w:val="22"/>
                <w:lang w:eastAsia="en-GB"/>
              </w:rPr>
              <w:tab/>
            </w:r>
            <w:r>
              <w:rPr>
                <w:rStyle w:val="Hyperlink"/>
                <w:noProof/>
              </w:rPr>
              <w:t>Options design and evaluation</w:t>
            </w:r>
            <w:r>
              <w:rPr>
                <w:noProof/>
                <w:webHidden/>
              </w:rPr>
              <w:tab/>
            </w:r>
            <w:r>
              <w:rPr>
                <w:noProof/>
                <w:webHidden/>
              </w:rPr>
              <w:fldChar w:fldCharType="begin"/>
            </w:r>
            <w:r>
              <w:rPr>
                <w:noProof/>
                <w:webHidden/>
              </w:rPr>
              <w:instrText xml:space="preserve"> PAGEREF _Toc511292880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81" w:history="1">
            <w:r>
              <w:rPr>
                <w:rStyle w:val="Hyperlink"/>
                <w:noProof/>
                <w14:scene3d>
                  <w14:camera w14:prst="orthographicFront"/>
                  <w14:lightRig w14:rig="threePt" w14:dir="t">
                    <w14:rot w14:lat="0" w14:lon="0" w14:rev="0"/>
                  </w14:lightRig>
                </w14:scene3d>
              </w:rPr>
              <w:t>3.3.7.</w:t>
            </w:r>
            <w:r>
              <w:rPr>
                <w:rFonts w:asciiTheme="minorHAnsi" w:eastAsiaTheme="minorEastAsia" w:hAnsiTheme="minorHAnsi" w:cstheme="minorBidi"/>
                <w:noProof/>
                <w:sz w:val="22"/>
                <w:szCs w:val="22"/>
                <w:lang w:eastAsia="en-GB"/>
              </w:rPr>
              <w:tab/>
            </w:r>
            <w:r>
              <w:rPr>
                <w:rStyle w:val="Hyperlink"/>
                <w:noProof/>
              </w:rPr>
              <w:t>Questionnaire "Online platforms and platforms-to-business relations for Member States</w:t>
            </w:r>
            <w:r>
              <w:rPr>
                <w:noProof/>
                <w:webHidden/>
              </w:rPr>
              <w:tab/>
            </w:r>
            <w:r>
              <w:rPr>
                <w:noProof/>
                <w:webHidden/>
              </w:rPr>
              <w:fldChar w:fldCharType="begin"/>
            </w:r>
            <w:r>
              <w:rPr>
                <w:noProof/>
                <w:webHidden/>
              </w:rPr>
              <w:instrText xml:space="preserve"> PAGEREF _Toc511292881 \h </w:instrText>
            </w:r>
            <w:r>
              <w:rPr>
                <w:noProof/>
                <w:webHidden/>
              </w:rPr>
            </w:r>
            <w:r>
              <w:rPr>
                <w:noProof/>
                <w:webHidden/>
              </w:rPr>
              <w:fldChar w:fldCharType="separate"/>
            </w:r>
            <w:r>
              <w:rPr>
                <w:noProof/>
                <w:webHidden/>
              </w:rPr>
              <w:t>38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82" w:history="1">
            <w:r>
              <w:rPr>
                <w:rStyle w:val="Hyperlink"/>
                <w:noProof/>
                <w14:scene3d>
                  <w14:camera w14:prst="orthographicFront"/>
                  <w14:lightRig w14:rig="threePt" w14:dir="t">
                    <w14:rot w14:lat="0" w14:lon="0" w14:rev="0"/>
                  </w14:lightRig>
                </w14:scene3d>
              </w:rPr>
              <w:t>3.3.8.</w:t>
            </w:r>
            <w:r>
              <w:rPr>
                <w:rFonts w:asciiTheme="minorHAnsi" w:eastAsiaTheme="minorEastAsia" w:hAnsiTheme="minorHAnsi" w:cstheme="minorBidi"/>
                <w:noProof/>
                <w:sz w:val="22"/>
                <w:szCs w:val="22"/>
                <w:lang w:eastAsia="en-GB"/>
              </w:rPr>
              <w:tab/>
            </w:r>
            <w:r>
              <w:rPr>
                <w:rStyle w:val="Hyperlink"/>
                <w:noProof/>
              </w:rPr>
              <w:t>Meeting of the eCommerce expert group of 24 October 2017</w:t>
            </w:r>
            <w:r>
              <w:rPr>
                <w:noProof/>
                <w:webHidden/>
              </w:rPr>
              <w:tab/>
            </w:r>
            <w:r>
              <w:rPr>
                <w:noProof/>
                <w:webHidden/>
              </w:rPr>
              <w:fldChar w:fldCharType="begin"/>
            </w:r>
            <w:r>
              <w:rPr>
                <w:noProof/>
                <w:webHidden/>
              </w:rPr>
              <w:instrText xml:space="preserve"> PAGEREF _Toc511292882 \h </w:instrText>
            </w:r>
            <w:r>
              <w:rPr>
                <w:noProof/>
                <w:webHidden/>
              </w:rPr>
            </w:r>
            <w:r>
              <w:rPr>
                <w:noProof/>
                <w:webHidden/>
              </w:rPr>
              <w:fldChar w:fldCharType="separate"/>
            </w:r>
            <w:r>
              <w:rPr>
                <w:noProof/>
                <w:webHidden/>
              </w:rPr>
              <w:t>42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83" w:history="1">
            <w:r>
              <w:rPr>
                <w:rStyle w:val="Hyperlink"/>
                <w:noProof/>
                <w14:scene3d>
                  <w14:camera w14:prst="orthographicFront"/>
                  <w14:lightRig w14:rig="threePt" w14:dir="t">
                    <w14:rot w14:lat="0" w14:lon="0" w14:rev="0"/>
                  </w14:lightRig>
                </w14:scene3d>
              </w:rPr>
              <w:t>3.3.9.</w:t>
            </w:r>
            <w:r>
              <w:rPr>
                <w:rFonts w:asciiTheme="minorHAnsi" w:eastAsiaTheme="minorEastAsia" w:hAnsiTheme="minorHAnsi" w:cstheme="minorBidi"/>
                <w:noProof/>
                <w:sz w:val="22"/>
                <w:szCs w:val="22"/>
                <w:lang w:eastAsia="en-GB"/>
              </w:rPr>
              <w:tab/>
            </w:r>
            <w:r>
              <w:rPr>
                <w:rStyle w:val="Hyperlink"/>
                <w:noProof/>
              </w:rPr>
              <w:t>Stakeholder workshop effective dispute resolution and the fundamental right to conduct a business, 6 July 2017</w:t>
            </w:r>
            <w:r>
              <w:rPr>
                <w:noProof/>
                <w:webHidden/>
              </w:rPr>
              <w:tab/>
            </w:r>
            <w:r>
              <w:rPr>
                <w:noProof/>
                <w:webHidden/>
              </w:rPr>
              <w:fldChar w:fldCharType="begin"/>
            </w:r>
            <w:r>
              <w:rPr>
                <w:noProof/>
                <w:webHidden/>
              </w:rPr>
              <w:instrText xml:space="preserve"> PAGEREF _Toc511292883 \h </w:instrText>
            </w:r>
            <w:r>
              <w:rPr>
                <w:noProof/>
                <w:webHidden/>
              </w:rPr>
            </w:r>
            <w:r>
              <w:rPr>
                <w:noProof/>
                <w:webHidden/>
              </w:rPr>
              <w:fldChar w:fldCharType="separate"/>
            </w:r>
            <w:r>
              <w:rPr>
                <w:noProof/>
                <w:webHidden/>
              </w:rPr>
              <w:t>44</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84"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Feedback to the Inception Impact Assessment</w:t>
            </w:r>
            <w:r>
              <w:rPr>
                <w:noProof/>
                <w:webHidden/>
              </w:rPr>
              <w:tab/>
            </w:r>
            <w:r>
              <w:rPr>
                <w:noProof/>
                <w:webHidden/>
              </w:rPr>
              <w:fldChar w:fldCharType="begin"/>
            </w:r>
            <w:r>
              <w:rPr>
                <w:noProof/>
                <w:webHidden/>
              </w:rPr>
              <w:instrText xml:space="preserve"> PAGEREF _Toc511292884 \h </w:instrText>
            </w:r>
            <w:r>
              <w:rPr>
                <w:noProof/>
                <w:webHidden/>
              </w:rPr>
            </w:r>
            <w:r>
              <w:rPr>
                <w:noProof/>
                <w:webHidden/>
              </w:rPr>
              <w:fldChar w:fldCharType="separate"/>
            </w:r>
            <w:r>
              <w:rPr>
                <w:noProof/>
                <w:webHidden/>
              </w:rPr>
              <w:t>45</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885"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Who is Affected by the Initiative and How?</w:t>
            </w:r>
            <w:r>
              <w:rPr>
                <w:noProof/>
                <w:webHidden/>
              </w:rPr>
              <w:tab/>
            </w:r>
            <w:r>
              <w:rPr>
                <w:noProof/>
                <w:webHidden/>
              </w:rPr>
              <w:fldChar w:fldCharType="begin"/>
            </w:r>
            <w:r>
              <w:rPr>
                <w:noProof/>
                <w:webHidden/>
              </w:rPr>
              <w:instrText xml:space="preserve"> PAGEREF _Toc511292885 \h </w:instrText>
            </w:r>
            <w:r>
              <w:rPr>
                <w:noProof/>
                <w:webHidden/>
              </w:rPr>
            </w:r>
            <w:r>
              <w:rPr>
                <w:noProof/>
                <w:webHidden/>
              </w:rPr>
              <w:fldChar w:fldCharType="separate"/>
            </w:r>
            <w:r>
              <w:rPr>
                <w:noProof/>
                <w:webHidden/>
              </w:rPr>
              <w:t>47</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86" w:history="1">
            <w:r>
              <w:rPr>
                <w:rStyle w:val="Hyperlink"/>
                <w:smallCaps/>
                <w:noProof/>
                <w:lang w:eastAsia="en-GB"/>
              </w:rPr>
              <w:t>4.1.</w:t>
            </w:r>
            <w:r>
              <w:rPr>
                <w:rFonts w:asciiTheme="minorHAnsi" w:eastAsiaTheme="minorEastAsia" w:hAnsiTheme="minorHAnsi" w:cstheme="minorBidi"/>
                <w:noProof/>
                <w:sz w:val="22"/>
                <w:szCs w:val="22"/>
                <w:lang w:eastAsia="en-GB"/>
              </w:rPr>
              <w:tab/>
            </w:r>
            <w:r>
              <w:rPr>
                <w:rStyle w:val="Hyperlink"/>
                <w:noProof/>
              </w:rPr>
              <w:t>Who is Affected ?</w:t>
            </w:r>
            <w:r>
              <w:rPr>
                <w:noProof/>
                <w:webHidden/>
              </w:rPr>
              <w:tab/>
            </w:r>
            <w:r>
              <w:rPr>
                <w:noProof/>
                <w:webHidden/>
              </w:rPr>
              <w:fldChar w:fldCharType="begin"/>
            </w:r>
            <w:r>
              <w:rPr>
                <w:noProof/>
                <w:webHidden/>
              </w:rPr>
              <w:instrText xml:space="preserve"> PAGEREF _Toc511292886 \h </w:instrText>
            </w:r>
            <w:r>
              <w:rPr>
                <w:noProof/>
                <w:webHidden/>
              </w:rPr>
            </w:r>
            <w:r>
              <w:rPr>
                <w:noProof/>
                <w:webHidden/>
              </w:rPr>
              <w:fldChar w:fldCharType="separate"/>
            </w:r>
            <w:r>
              <w:rPr>
                <w:noProof/>
                <w:webHidden/>
              </w:rPr>
              <w:t>47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87" w:history="1">
            <w:r>
              <w:rPr>
                <w:rStyle w:val="Hyperlink"/>
                <w:noProof/>
                <w14:scene3d>
                  <w14:camera w14:prst="orthographicFront"/>
                  <w14:lightRig w14:rig="threePt" w14:dir="t">
                    <w14:rot w14:lat="0" w14:lon="0" w14:rev="0"/>
                  </w14:lightRig>
                </w14:scene3d>
              </w:rPr>
              <w:t>4.1.1.</w:t>
            </w:r>
            <w:r>
              <w:rPr>
                <w:rFonts w:asciiTheme="minorHAnsi" w:eastAsiaTheme="minorEastAsia" w:hAnsiTheme="minorHAnsi" w:cstheme="minorBidi"/>
                <w:noProof/>
                <w:sz w:val="22"/>
                <w:szCs w:val="22"/>
                <w:lang w:eastAsia="en-GB"/>
              </w:rPr>
              <w:tab/>
            </w:r>
            <w:r>
              <w:rPr>
                <w:rStyle w:val="Hyperlink"/>
                <w:noProof/>
              </w:rPr>
              <w:t>Business users</w:t>
            </w:r>
            <w:r>
              <w:rPr>
                <w:noProof/>
                <w:webHidden/>
              </w:rPr>
              <w:tab/>
            </w:r>
            <w:r>
              <w:rPr>
                <w:noProof/>
                <w:webHidden/>
              </w:rPr>
              <w:fldChar w:fldCharType="begin"/>
            </w:r>
            <w:r>
              <w:rPr>
                <w:noProof/>
                <w:webHidden/>
              </w:rPr>
              <w:instrText xml:space="preserve"> PAGEREF _Toc511292887 \h </w:instrText>
            </w:r>
            <w:r>
              <w:rPr>
                <w:noProof/>
                <w:webHidden/>
              </w:rPr>
            </w:r>
            <w:r>
              <w:rPr>
                <w:noProof/>
                <w:webHidden/>
              </w:rPr>
              <w:fldChar w:fldCharType="separate"/>
            </w:r>
            <w:r>
              <w:rPr>
                <w:noProof/>
                <w:webHidden/>
              </w:rPr>
              <w:t>47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88" w:history="1">
            <w:r>
              <w:rPr>
                <w:rStyle w:val="Hyperlink"/>
                <w:noProof/>
                <w14:scene3d>
                  <w14:camera w14:prst="orthographicFront"/>
                  <w14:lightRig w14:rig="threePt" w14:dir="t">
                    <w14:rot w14:lat="0" w14:lon="0" w14:rev="0"/>
                  </w14:lightRig>
                </w14:scene3d>
              </w:rPr>
              <w:t>4.1.2.</w:t>
            </w:r>
            <w:r>
              <w:rPr>
                <w:rFonts w:asciiTheme="minorHAnsi" w:eastAsiaTheme="minorEastAsia" w:hAnsiTheme="minorHAnsi" w:cstheme="minorBidi"/>
                <w:noProof/>
                <w:sz w:val="22"/>
                <w:szCs w:val="22"/>
                <w:lang w:eastAsia="en-GB"/>
              </w:rPr>
              <w:tab/>
            </w:r>
            <w:r>
              <w:rPr>
                <w:rStyle w:val="Hyperlink"/>
                <w:noProof/>
              </w:rPr>
              <w:t>Online platforms</w:t>
            </w:r>
            <w:r>
              <w:rPr>
                <w:noProof/>
                <w:webHidden/>
              </w:rPr>
              <w:tab/>
            </w:r>
            <w:r>
              <w:rPr>
                <w:noProof/>
                <w:webHidden/>
              </w:rPr>
              <w:fldChar w:fldCharType="begin"/>
            </w:r>
            <w:r>
              <w:rPr>
                <w:noProof/>
                <w:webHidden/>
              </w:rPr>
              <w:instrText xml:space="preserve"> PAGEREF _Toc511292888 \h </w:instrText>
            </w:r>
            <w:r>
              <w:rPr>
                <w:noProof/>
                <w:webHidden/>
              </w:rPr>
            </w:r>
            <w:r>
              <w:rPr>
                <w:noProof/>
                <w:webHidden/>
              </w:rPr>
              <w:fldChar w:fldCharType="separate"/>
            </w:r>
            <w:r>
              <w:rPr>
                <w:noProof/>
                <w:webHidden/>
              </w:rPr>
              <w:t>48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89" w:history="1">
            <w:r>
              <w:rPr>
                <w:rStyle w:val="Hyperlink"/>
                <w:noProof/>
                <w14:scene3d>
                  <w14:camera w14:prst="orthographicFront"/>
                  <w14:lightRig w14:rig="threePt" w14:dir="t">
                    <w14:rot w14:lat="0" w14:lon="0" w14:rev="0"/>
                  </w14:lightRig>
                </w14:scene3d>
              </w:rPr>
              <w:t>4.1.3.</w:t>
            </w:r>
            <w:r>
              <w:rPr>
                <w:rFonts w:asciiTheme="minorHAnsi" w:eastAsiaTheme="minorEastAsia" w:hAnsiTheme="minorHAnsi" w:cstheme="minorBidi"/>
                <w:noProof/>
                <w:sz w:val="22"/>
                <w:szCs w:val="22"/>
                <w:lang w:eastAsia="en-GB"/>
              </w:rPr>
              <w:tab/>
            </w:r>
            <w:r>
              <w:rPr>
                <w:rStyle w:val="Hyperlink"/>
                <w:noProof/>
              </w:rPr>
              <w:t>Online General Search Engines</w:t>
            </w:r>
            <w:r>
              <w:rPr>
                <w:noProof/>
                <w:webHidden/>
              </w:rPr>
              <w:tab/>
            </w:r>
            <w:r>
              <w:rPr>
                <w:noProof/>
                <w:webHidden/>
              </w:rPr>
              <w:fldChar w:fldCharType="begin"/>
            </w:r>
            <w:r>
              <w:rPr>
                <w:noProof/>
                <w:webHidden/>
              </w:rPr>
              <w:instrText xml:space="preserve"> PAGEREF _Toc511292889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90" w:history="1">
            <w:r>
              <w:rPr>
                <w:rStyle w:val="Hyperlink"/>
                <w:noProof/>
                <w14:scene3d>
                  <w14:camera w14:prst="orthographicFront"/>
                  <w14:lightRig w14:rig="threePt" w14:dir="t">
                    <w14:rot w14:lat="0" w14:lon="0" w14:rev="0"/>
                  </w14:lightRig>
                </w14:scene3d>
              </w:rPr>
              <w:t>4.1.4.</w:t>
            </w:r>
            <w:r>
              <w:rPr>
                <w:rFonts w:asciiTheme="minorHAnsi" w:eastAsiaTheme="minorEastAsia" w:hAnsiTheme="minorHAnsi" w:cstheme="minorBidi"/>
                <w:noProof/>
                <w:sz w:val="22"/>
                <w:szCs w:val="22"/>
                <w:lang w:eastAsia="en-GB"/>
              </w:rPr>
              <w:tab/>
            </w:r>
            <w:r>
              <w:rPr>
                <w:rStyle w:val="Hyperlink"/>
                <w:noProof/>
              </w:rPr>
              <w:t>Consumers</w:t>
            </w:r>
            <w:r>
              <w:rPr>
                <w:noProof/>
                <w:webHidden/>
              </w:rPr>
              <w:tab/>
            </w:r>
            <w:r>
              <w:rPr>
                <w:noProof/>
                <w:webHidden/>
              </w:rPr>
              <w:fldChar w:fldCharType="begin"/>
            </w:r>
            <w:r>
              <w:rPr>
                <w:noProof/>
                <w:webHidden/>
              </w:rPr>
              <w:instrText xml:space="preserve"> PAGEREF _Toc511292890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91" w:history="1">
            <w:r>
              <w:rPr>
                <w:rStyle w:val="Hyperlink"/>
                <w:noProof/>
                <w14:scene3d>
                  <w14:camera w14:prst="orthographicFront"/>
                  <w14:lightRig w14:rig="threePt" w14:dir="t">
                    <w14:rot w14:lat="0" w14:lon="0" w14:rev="0"/>
                  </w14:lightRig>
                </w14:scene3d>
              </w:rPr>
              <w:t>4.1.5.</w:t>
            </w:r>
            <w:r>
              <w:rPr>
                <w:rFonts w:asciiTheme="minorHAnsi" w:eastAsiaTheme="minorEastAsia" w:hAnsiTheme="minorHAnsi" w:cstheme="minorBidi"/>
                <w:noProof/>
                <w:sz w:val="22"/>
                <w:szCs w:val="22"/>
                <w:lang w:eastAsia="en-GB"/>
              </w:rPr>
              <w:tab/>
            </w:r>
            <w:r>
              <w:rPr>
                <w:rStyle w:val="Hyperlink"/>
                <w:noProof/>
              </w:rPr>
              <w:t>Public authorities (national and European Commission)</w:t>
            </w:r>
            <w:r>
              <w:rPr>
                <w:noProof/>
                <w:webHidden/>
              </w:rPr>
              <w:tab/>
            </w:r>
            <w:r>
              <w:rPr>
                <w:noProof/>
                <w:webHidden/>
              </w:rPr>
              <w:fldChar w:fldCharType="begin"/>
            </w:r>
            <w:r>
              <w:rPr>
                <w:noProof/>
                <w:webHidden/>
              </w:rPr>
              <w:instrText xml:space="preserve"> PAGEREF _Toc511292891 \h </w:instrText>
            </w:r>
            <w:r>
              <w:rPr>
                <w:noProof/>
                <w:webHidden/>
              </w:rPr>
            </w:r>
            <w:r>
              <w:rPr>
                <w:noProof/>
                <w:webHidden/>
              </w:rPr>
              <w:fldChar w:fldCharType="separate"/>
            </w:r>
            <w:r>
              <w:rPr>
                <w:noProof/>
                <w:webHidden/>
              </w:rPr>
              <w:t>52</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92"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Summary of cost and benefits of the preferred option</w:t>
            </w:r>
            <w:r>
              <w:rPr>
                <w:noProof/>
                <w:webHidden/>
              </w:rPr>
              <w:tab/>
            </w:r>
            <w:r>
              <w:rPr>
                <w:noProof/>
                <w:webHidden/>
              </w:rPr>
              <w:fldChar w:fldCharType="begin"/>
            </w:r>
            <w:r>
              <w:rPr>
                <w:noProof/>
                <w:webHidden/>
              </w:rPr>
              <w:instrText xml:space="preserve"> PAGEREF _Toc511292892 \h </w:instrText>
            </w:r>
            <w:r>
              <w:rPr>
                <w:noProof/>
                <w:webHidden/>
              </w:rPr>
            </w:r>
            <w:r>
              <w:rPr>
                <w:noProof/>
                <w:webHidden/>
              </w:rPr>
              <w:fldChar w:fldCharType="separate"/>
            </w:r>
            <w:r>
              <w:rPr>
                <w:noProof/>
                <w:webHidden/>
              </w:rPr>
              <w:t>53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893"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Stakeholders' views</w:t>
            </w:r>
            <w:r>
              <w:rPr>
                <w:noProof/>
                <w:webHidden/>
              </w:rPr>
              <w:tab/>
            </w:r>
            <w:r>
              <w:rPr>
                <w:noProof/>
                <w:webHidden/>
              </w:rPr>
              <w:fldChar w:fldCharType="begin"/>
            </w:r>
            <w:r>
              <w:rPr>
                <w:noProof/>
                <w:webHidden/>
              </w:rPr>
              <w:instrText xml:space="preserve"> PAGEREF _Toc511292893 \h </w:instrText>
            </w:r>
            <w:r>
              <w:rPr>
                <w:noProof/>
                <w:webHidden/>
              </w:rPr>
            </w:r>
            <w:r>
              <w:rPr>
                <w:noProof/>
                <w:webHidden/>
              </w:rPr>
              <w:fldChar w:fldCharType="separate"/>
            </w:r>
            <w:r>
              <w:rPr>
                <w:noProof/>
                <w:webHidden/>
              </w:rPr>
              <w:t>55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94" w:history="1">
            <w:r>
              <w:rPr>
                <w:rStyle w:val="Hyperlink"/>
                <w:noProof/>
                <w14:scene3d>
                  <w14:camera w14:prst="orthographicFront"/>
                  <w14:lightRig w14:rig="threePt" w14:dir="t">
                    <w14:rot w14:lat="0" w14:lon="0" w14:rev="0"/>
                  </w14:lightRig>
                </w14:scene3d>
              </w:rPr>
              <w:t>4.3.1.</w:t>
            </w:r>
            <w:r>
              <w:rPr>
                <w:rFonts w:asciiTheme="minorHAnsi" w:eastAsiaTheme="minorEastAsia" w:hAnsiTheme="minorHAnsi" w:cstheme="minorBidi"/>
                <w:noProof/>
                <w:sz w:val="22"/>
                <w:szCs w:val="22"/>
                <w:lang w:eastAsia="en-GB"/>
              </w:rPr>
              <w:tab/>
            </w:r>
            <w:r>
              <w:rPr>
                <w:rStyle w:val="Hyperlink"/>
                <w:noProof/>
              </w:rPr>
              <w:t>Business users</w:t>
            </w:r>
            <w:r>
              <w:rPr>
                <w:noProof/>
                <w:webHidden/>
              </w:rPr>
              <w:tab/>
            </w:r>
            <w:r>
              <w:rPr>
                <w:noProof/>
                <w:webHidden/>
              </w:rPr>
              <w:fldChar w:fldCharType="begin"/>
            </w:r>
            <w:r>
              <w:rPr>
                <w:noProof/>
                <w:webHidden/>
              </w:rPr>
              <w:instrText xml:space="preserve"> PAGEREF _Toc511292894 \h </w:instrText>
            </w:r>
            <w:r>
              <w:rPr>
                <w:noProof/>
                <w:webHidden/>
              </w:rPr>
            </w:r>
            <w:r>
              <w:rPr>
                <w:noProof/>
                <w:webHidden/>
              </w:rPr>
              <w:fldChar w:fldCharType="separate"/>
            </w:r>
            <w:r>
              <w:rPr>
                <w:noProof/>
                <w:webHidden/>
              </w:rPr>
              <w:t>55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95" w:history="1">
            <w:r>
              <w:rPr>
                <w:rStyle w:val="Hyperlink"/>
                <w:noProof/>
                <w14:scene3d>
                  <w14:camera w14:prst="orthographicFront"/>
                  <w14:lightRig w14:rig="threePt" w14:dir="t">
                    <w14:rot w14:lat="0" w14:lon="0" w14:rev="0"/>
                  </w14:lightRig>
                </w14:scene3d>
              </w:rPr>
              <w:t>4.3.2.</w:t>
            </w:r>
            <w:r>
              <w:rPr>
                <w:rFonts w:asciiTheme="minorHAnsi" w:eastAsiaTheme="minorEastAsia" w:hAnsiTheme="minorHAnsi" w:cstheme="minorBidi"/>
                <w:noProof/>
                <w:sz w:val="22"/>
                <w:szCs w:val="22"/>
                <w:lang w:eastAsia="en-GB"/>
              </w:rPr>
              <w:tab/>
            </w:r>
            <w:r>
              <w:rPr>
                <w:rStyle w:val="Hyperlink"/>
                <w:noProof/>
              </w:rPr>
              <w:t>Platforms</w:t>
            </w:r>
            <w:r>
              <w:rPr>
                <w:noProof/>
                <w:webHidden/>
              </w:rPr>
              <w:tab/>
            </w:r>
            <w:r>
              <w:rPr>
                <w:noProof/>
                <w:webHidden/>
              </w:rPr>
              <w:fldChar w:fldCharType="begin"/>
            </w:r>
            <w:r>
              <w:rPr>
                <w:noProof/>
                <w:webHidden/>
              </w:rPr>
              <w:instrText xml:space="preserve"> PAGEREF _Toc511292895 \h </w:instrText>
            </w:r>
            <w:r>
              <w:rPr>
                <w:noProof/>
                <w:webHidden/>
              </w:rPr>
            </w:r>
            <w:r>
              <w:rPr>
                <w:noProof/>
                <w:webHidden/>
              </w:rPr>
              <w:fldChar w:fldCharType="separate"/>
            </w:r>
            <w:r>
              <w:rPr>
                <w:noProof/>
                <w:webHidden/>
              </w:rPr>
              <w:t>56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96" w:history="1">
            <w:r>
              <w:rPr>
                <w:rStyle w:val="Hyperlink"/>
                <w:noProof/>
                <w14:scene3d>
                  <w14:camera w14:prst="orthographicFront"/>
                  <w14:lightRig w14:rig="threePt" w14:dir="t">
                    <w14:rot w14:lat="0" w14:lon="0" w14:rev="0"/>
                  </w14:lightRig>
                </w14:scene3d>
              </w:rPr>
              <w:t>4.3.3.</w:t>
            </w:r>
            <w:r>
              <w:rPr>
                <w:rFonts w:asciiTheme="minorHAnsi" w:eastAsiaTheme="minorEastAsia" w:hAnsiTheme="minorHAnsi" w:cstheme="minorBidi"/>
                <w:noProof/>
                <w:sz w:val="22"/>
                <w:szCs w:val="22"/>
                <w:lang w:eastAsia="en-GB"/>
              </w:rPr>
              <w:tab/>
            </w:r>
            <w:r>
              <w:rPr>
                <w:rStyle w:val="Hyperlink"/>
                <w:noProof/>
              </w:rPr>
              <w:t>National authorities</w:t>
            </w:r>
            <w:r>
              <w:rPr>
                <w:noProof/>
                <w:webHidden/>
              </w:rPr>
              <w:tab/>
            </w:r>
            <w:r>
              <w:rPr>
                <w:noProof/>
                <w:webHidden/>
              </w:rPr>
              <w:fldChar w:fldCharType="begin"/>
            </w:r>
            <w:r>
              <w:rPr>
                <w:noProof/>
                <w:webHidden/>
              </w:rPr>
              <w:instrText xml:space="preserve"> PAGEREF _Toc511292896 \h </w:instrText>
            </w:r>
            <w:r>
              <w:rPr>
                <w:noProof/>
                <w:webHidden/>
              </w:rPr>
            </w:r>
            <w:r>
              <w:rPr>
                <w:noProof/>
                <w:webHidden/>
              </w:rPr>
              <w:fldChar w:fldCharType="separate"/>
            </w:r>
            <w:r>
              <w:rPr>
                <w:noProof/>
                <w:webHidden/>
              </w:rPr>
              <w:t>57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897" w:history="1">
            <w:r>
              <w:rPr>
                <w:rStyle w:val="Hyperlink"/>
                <w:noProof/>
                <w14:scene3d>
                  <w14:camera w14:prst="orthographicFront"/>
                  <w14:lightRig w14:rig="threePt" w14:dir="t">
                    <w14:rot w14:lat="0" w14:lon="0" w14:rev="0"/>
                  </w14:lightRig>
                </w14:scene3d>
              </w:rPr>
              <w:t>4.3.4.</w:t>
            </w:r>
            <w:r>
              <w:rPr>
                <w:rFonts w:asciiTheme="minorHAnsi" w:eastAsiaTheme="minorEastAsia" w:hAnsiTheme="minorHAnsi" w:cstheme="minorBidi"/>
                <w:noProof/>
                <w:sz w:val="22"/>
                <w:szCs w:val="22"/>
                <w:lang w:eastAsia="en-GB"/>
              </w:rPr>
              <w:tab/>
            </w:r>
            <w:r>
              <w:rPr>
                <w:rStyle w:val="Hyperlink"/>
                <w:noProof/>
              </w:rPr>
              <w:t>Consumers</w:t>
            </w:r>
            <w:r>
              <w:rPr>
                <w:noProof/>
                <w:webHidden/>
              </w:rPr>
              <w:tab/>
            </w:r>
            <w:r>
              <w:rPr>
                <w:noProof/>
                <w:webHidden/>
              </w:rPr>
              <w:fldChar w:fldCharType="begin"/>
            </w:r>
            <w:r>
              <w:rPr>
                <w:noProof/>
                <w:webHidden/>
              </w:rPr>
              <w:instrText xml:space="preserve"> PAGEREF _Toc511292897 \h </w:instrText>
            </w:r>
            <w:r>
              <w:rPr>
                <w:noProof/>
                <w:webHidden/>
              </w:rPr>
            </w:r>
            <w:r>
              <w:rPr>
                <w:noProof/>
                <w:webHidden/>
              </w:rPr>
              <w:fldChar w:fldCharType="separate"/>
            </w:r>
            <w:r>
              <w:rPr>
                <w:noProof/>
                <w:webHidden/>
              </w:rPr>
              <w:t>58</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898"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Analytical Models Used in Preparing the Impact Assessment</w:t>
            </w:r>
            <w:r>
              <w:rPr>
                <w:noProof/>
                <w:webHidden/>
              </w:rPr>
              <w:tab/>
            </w:r>
            <w:r>
              <w:rPr>
                <w:noProof/>
                <w:webHidden/>
              </w:rPr>
              <w:fldChar w:fldCharType="begin"/>
            </w:r>
            <w:r>
              <w:rPr>
                <w:noProof/>
                <w:webHidden/>
              </w:rPr>
              <w:instrText xml:space="preserve"> PAGEREF _Toc511292898 \h </w:instrText>
            </w:r>
            <w:r>
              <w:rPr>
                <w:noProof/>
                <w:webHidden/>
              </w:rPr>
            </w:r>
            <w:r>
              <w:rPr>
                <w:noProof/>
                <w:webHidden/>
              </w:rPr>
              <w:fldChar w:fldCharType="separate"/>
            </w:r>
            <w:r>
              <w:rPr>
                <w:noProof/>
                <w:webHidden/>
              </w:rPr>
              <w:t>59</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899"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Synthesis of JRC economic research papers</w:t>
            </w:r>
            <w:r>
              <w:rPr>
                <w:noProof/>
                <w:webHidden/>
              </w:rPr>
              <w:tab/>
            </w:r>
            <w:r>
              <w:rPr>
                <w:noProof/>
                <w:webHidden/>
              </w:rPr>
              <w:fldChar w:fldCharType="begin"/>
            </w:r>
            <w:r>
              <w:rPr>
                <w:noProof/>
                <w:webHidden/>
              </w:rPr>
              <w:instrText xml:space="preserve"> PAGEREF _Toc511292899 \h </w:instrText>
            </w:r>
            <w:r>
              <w:rPr>
                <w:noProof/>
                <w:webHidden/>
              </w:rPr>
            </w:r>
            <w:r>
              <w:rPr>
                <w:noProof/>
                <w:webHidden/>
              </w:rPr>
              <w:fldChar w:fldCharType="separate"/>
            </w:r>
            <w:r>
              <w:rPr>
                <w:noProof/>
                <w:webHidden/>
              </w:rPr>
              <w:t>61</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900"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Description of Main Market Players and Analysis</w:t>
            </w:r>
            <w:r>
              <w:rPr>
                <w:noProof/>
                <w:webHidden/>
              </w:rPr>
              <w:tab/>
            </w:r>
            <w:r>
              <w:rPr>
                <w:noProof/>
                <w:webHidden/>
              </w:rPr>
              <w:fldChar w:fldCharType="begin"/>
            </w:r>
            <w:r>
              <w:rPr>
                <w:noProof/>
                <w:webHidden/>
              </w:rPr>
              <w:instrText xml:space="preserve"> PAGEREF _Toc511292900 \h </w:instrText>
            </w:r>
            <w:r>
              <w:rPr>
                <w:noProof/>
                <w:webHidden/>
              </w:rPr>
            </w:r>
            <w:r>
              <w:rPr>
                <w:noProof/>
                <w:webHidden/>
              </w:rPr>
              <w:fldChar w:fldCharType="separate"/>
            </w:r>
            <w:r>
              <w:rPr>
                <w:noProof/>
                <w:webHidden/>
              </w:rPr>
              <w:t>63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01"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Growing digital trade is increasingly intermediated by online platforms</w:t>
            </w:r>
            <w:r>
              <w:rPr>
                <w:noProof/>
                <w:webHidden/>
              </w:rPr>
              <w:tab/>
            </w:r>
            <w:r>
              <w:rPr>
                <w:noProof/>
                <w:webHidden/>
              </w:rPr>
              <w:fldChar w:fldCharType="begin"/>
            </w:r>
            <w:r>
              <w:rPr>
                <w:noProof/>
                <w:webHidden/>
              </w:rPr>
              <w:instrText xml:space="preserve"> PAGEREF _Toc511292901 \h </w:instrText>
            </w:r>
            <w:r>
              <w:rPr>
                <w:noProof/>
                <w:webHidden/>
              </w:rPr>
            </w:r>
            <w:r>
              <w:rPr>
                <w:noProof/>
                <w:webHidden/>
              </w:rPr>
              <w:fldChar w:fldCharType="separate"/>
            </w:r>
            <w:r>
              <w:rPr>
                <w:noProof/>
                <w:webHidden/>
              </w:rPr>
              <w:t>63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02"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Market dynamics</w:t>
            </w:r>
            <w:r>
              <w:rPr>
                <w:noProof/>
                <w:webHidden/>
              </w:rPr>
              <w:tab/>
            </w:r>
            <w:r>
              <w:rPr>
                <w:noProof/>
                <w:webHidden/>
              </w:rPr>
              <w:fldChar w:fldCharType="begin"/>
            </w:r>
            <w:r>
              <w:rPr>
                <w:noProof/>
                <w:webHidden/>
              </w:rPr>
              <w:instrText xml:space="preserve"> PAGEREF _Toc511292902 \h </w:instrText>
            </w:r>
            <w:r>
              <w:rPr>
                <w:noProof/>
                <w:webHidden/>
              </w:rPr>
            </w:r>
            <w:r>
              <w:rPr>
                <w:noProof/>
                <w:webHidden/>
              </w:rPr>
              <w:fldChar w:fldCharType="separate"/>
            </w:r>
            <w:r>
              <w:rPr>
                <w:noProof/>
                <w:webHidden/>
              </w:rPr>
              <w:t>65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03" w:history="1">
            <w:r>
              <w:rPr>
                <w:rStyle w:val="Hyperlink"/>
                <w:noProof/>
                <w14:scene3d>
                  <w14:camera w14:prst="orthographicFront"/>
                  <w14:lightRig w14:rig="threePt" w14:dir="t">
                    <w14:rot w14:lat="0" w14:lon="0" w14:rev="0"/>
                  </w14:lightRig>
                </w14:scene3d>
              </w:rPr>
              <w:t>7.2.1.</w:t>
            </w:r>
            <w:r>
              <w:rPr>
                <w:rFonts w:asciiTheme="minorHAnsi" w:eastAsiaTheme="minorEastAsia" w:hAnsiTheme="minorHAnsi" w:cstheme="minorBidi"/>
                <w:noProof/>
                <w:sz w:val="22"/>
                <w:szCs w:val="22"/>
                <w:lang w:eastAsia="en-GB"/>
              </w:rPr>
              <w:tab/>
            </w:r>
            <w:r>
              <w:rPr>
                <w:rStyle w:val="Hyperlink"/>
                <w:noProof/>
                <w:lang w:val="en"/>
              </w:rPr>
              <w:t>Online market places</w:t>
            </w:r>
            <w:r>
              <w:rPr>
                <w:noProof/>
                <w:webHidden/>
              </w:rPr>
              <w:tab/>
            </w:r>
            <w:r>
              <w:rPr>
                <w:noProof/>
                <w:webHidden/>
              </w:rPr>
              <w:fldChar w:fldCharType="begin"/>
            </w:r>
            <w:r>
              <w:rPr>
                <w:noProof/>
                <w:webHidden/>
              </w:rPr>
              <w:instrText xml:space="preserve"> PAGEREF _Toc511292903 \h </w:instrText>
            </w:r>
            <w:r>
              <w:rPr>
                <w:noProof/>
                <w:webHidden/>
              </w:rPr>
            </w:r>
            <w:r>
              <w:rPr>
                <w:noProof/>
                <w:webHidden/>
              </w:rPr>
              <w:fldChar w:fldCharType="separate"/>
            </w:r>
            <w:r>
              <w:rPr>
                <w:noProof/>
                <w:webHidden/>
              </w:rPr>
              <w:t>65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04" w:history="1">
            <w:r>
              <w:rPr>
                <w:rStyle w:val="Hyperlink"/>
                <w:noProof/>
                <w:lang w:val="en"/>
                <w14:scene3d>
                  <w14:camera w14:prst="orthographicFront"/>
                  <w14:lightRig w14:rig="threePt" w14:dir="t">
                    <w14:rot w14:lat="0" w14:lon="0" w14:rev="0"/>
                  </w14:lightRig>
                </w14:scene3d>
              </w:rPr>
              <w:t>7.2.2.</w:t>
            </w:r>
            <w:r>
              <w:rPr>
                <w:rFonts w:asciiTheme="minorHAnsi" w:eastAsiaTheme="minorEastAsia" w:hAnsiTheme="minorHAnsi" w:cstheme="minorBidi"/>
                <w:noProof/>
                <w:sz w:val="22"/>
                <w:szCs w:val="22"/>
                <w:lang w:eastAsia="en-GB"/>
              </w:rPr>
              <w:tab/>
            </w:r>
            <w:r>
              <w:rPr>
                <w:rStyle w:val="Hyperlink"/>
                <w:noProof/>
                <w:lang w:val="en"/>
              </w:rPr>
              <w:t>App stores</w:t>
            </w:r>
            <w:r>
              <w:rPr>
                <w:noProof/>
                <w:webHidden/>
              </w:rPr>
              <w:tab/>
            </w:r>
            <w:r>
              <w:rPr>
                <w:noProof/>
                <w:webHidden/>
              </w:rPr>
              <w:fldChar w:fldCharType="begin"/>
            </w:r>
            <w:r>
              <w:rPr>
                <w:noProof/>
                <w:webHidden/>
              </w:rPr>
              <w:instrText xml:space="preserve"> PAGEREF _Toc511292904 \h </w:instrText>
            </w:r>
            <w:r>
              <w:rPr>
                <w:noProof/>
                <w:webHidden/>
              </w:rPr>
            </w:r>
            <w:r>
              <w:rPr>
                <w:noProof/>
                <w:webHidden/>
              </w:rPr>
              <w:fldChar w:fldCharType="separate"/>
            </w:r>
            <w:r>
              <w:rPr>
                <w:noProof/>
                <w:webHidden/>
              </w:rPr>
              <w:t>66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05" w:history="1">
            <w:r>
              <w:rPr>
                <w:rStyle w:val="Hyperlink"/>
                <w:noProof/>
                <w:lang w:val="en"/>
                <w14:scene3d>
                  <w14:camera w14:prst="orthographicFront"/>
                  <w14:lightRig w14:rig="threePt" w14:dir="t">
                    <w14:rot w14:lat="0" w14:lon="0" w14:rev="0"/>
                  </w14:lightRig>
                </w14:scene3d>
              </w:rPr>
              <w:t>7.2.3.</w:t>
            </w:r>
            <w:r>
              <w:rPr>
                <w:rFonts w:asciiTheme="minorHAnsi" w:eastAsiaTheme="minorEastAsia" w:hAnsiTheme="minorHAnsi" w:cstheme="minorBidi"/>
                <w:noProof/>
                <w:sz w:val="22"/>
                <w:szCs w:val="22"/>
                <w:lang w:eastAsia="en-GB"/>
              </w:rPr>
              <w:tab/>
            </w:r>
            <w:r>
              <w:rPr>
                <w:rStyle w:val="Hyperlink"/>
                <w:noProof/>
                <w:lang w:val="en"/>
              </w:rPr>
              <w:t>Social media, content and communication platforms</w:t>
            </w:r>
            <w:r>
              <w:rPr>
                <w:noProof/>
                <w:webHidden/>
              </w:rPr>
              <w:tab/>
            </w:r>
            <w:r>
              <w:rPr>
                <w:noProof/>
                <w:webHidden/>
              </w:rPr>
              <w:fldChar w:fldCharType="begin"/>
            </w:r>
            <w:r>
              <w:rPr>
                <w:noProof/>
                <w:webHidden/>
              </w:rPr>
              <w:instrText xml:space="preserve"> PAGEREF _Toc511292905 \h </w:instrText>
            </w:r>
            <w:r>
              <w:rPr>
                <w:noProof/>
                <w:webHidden/>
              </w:rPr>
            </w:r>
            <w:r>
              <w:rPr>
                <w:noProof/>
                <w:webHidden/>
              </w:rPr>
              <w:fldChar w:fldCharType="separate"/>
            </w:r>
            <w:r>
              <w:rPr>
                <w:noProof/>
                <w:webHidden/>
              </w:rPr>
              <w:t>67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06" w:history="1">
            <w:r>
              <w:rPr>
                <w:rStyle w:val="Hyperlink"/>
                <w:noProof/>
                <w:lang w:val="en"/>
                <w14:scene3d>
                  <w14:camera w14:prst="orthographicFront"/>
                  <w14:lightRig w14:rig="threePt" w14:dir="t">
                    <w14:rot w14:lat="0" w14:lon="0" w14:rev="0"/>
                  </w14:lightRig>
                </w14:scene3d>
              </w:rPr>
              <w:t>7.2.4.</w:t>
            </w:r>
            <w:r>
              <w:rPr>
                <w:rFonts w:asciiTheme="minorHAnsi" w:eastAsiaTheme="minorEastAsia" w:hAnsiTheme="minorHAnsi" w:cstheme="minorBidi"/>
                <w:noProof/>
                <w:sz w:val="22"/>
                <w:szCs w:val="22"/>
                <w:lang w:eastAsia="en-GB"/>
              </w:rPr>
              <w:tab/>
            </w:r>
            <w:r>
              <w:rPr>
                <w:rStyle w:val="Hyperlink"/>
                <w:noProof/>
                <w:lang w:val="en"/>
              </w:rPr>
              <w:t>Online travel and hospitality platforms</w:t>
            </w:r>
            <w:r>
              <w:rPr>
                <w:noProof/>
                <w:webHidden/>
              </w:rPr>
              <w:tab/>
            </w:r>
            <w:r>
              <w:rPr>
                <w:noProof/>
                <w:webHidden/>
              </w:rPr>
              <w:fldChar w:fldCharType="begin"/>
            </w:r>
            <w:r>
              <w:rPr>
                <w:noProof/>
                <w:webHidden/>
              </w:rPr>
              <w:instrText xml:space="preserve"> PAGEREF _Toc511292906 \h </w:instrText>
            </w:r>
            <w:r>
              <w:rPr>
                <w:noProof/>
                <w:webHidden/>
              </w:rPr>
            </w:r>
            <w:r>
              <w:rPr>
                <w:noProof/>
                <w:webHidden/>
              </w:rPr>
              <w:fldChar w:fldCharType="separate"/>
            </w:r>
            <w:r>
              <w:rPr>
                <w:noProof/>
                <w:webHidden/>
              </w:rPr>
              <w:t>68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07" w:history="1">
            <w:r>
              <w:rPr>
                <w:rStyle w:val="Hyperlink"/>
                <w:noProof/>
                <w14:scene3d>
                  <w14:camera w14:prst="orthographicFront"/>
                  <w14:lightRig w14:rig="threePt" w14:dir="t">
                    <w14:rot w14:lat="0" w14:lon="0" w14:rev="0"/>
                  </w14:lightRig>
                </w14:scene3d>
              </w:rPr>
              <w:t>7.2.5.</w:t>
            </w:r>
            <w:r>
              <w:rPr>
                <w:rFonts w:asciiTheme="minorHAnsi" w:eastAsiaTheme="minorEastAsia" w:hAnsiTheme="minorHAnsi" w:cstheme="minorBidi"/>
                <w:noProof/>
                <w:sz w:val="22"/>
                <w:szCs w:val="22"/>
                <w:lang w:eastAsia="en-GB"/>
              </w:rPr>
              <w:tab/>
            </w:r>
            <w:r>
              <w:rPr>
                <w:rStyle w:val="Hyperlink"/>
                <w:noProof/>
              </w:rPr>
              <w:t>Search engines</w:t>
            </w:r>
            <w:r>
              <w:rPr>
                <w:noProof/>
                <w:webHidden/>
              </w:rPr>
              <w:tab/>
            </w:r>
            <w:r>
              <w:rPr>
                <w:noProof/>
                <w:webHidden/>
              </w:rPr>
              <w:fldChar w:fldCharType="begin"/>
            </w:r>
            <w:r>
              <w:rPr>
                <w:noProof/>
                <w:webHidden/>
              </w:rPr>
              <w:instrText xml:space="preserve"> PAGEREF _Toc511292907 \h </w:instrText>
            </w:r>
            <w:r>
              <w:rPr>
                <w:noProof/>
                <w:webHidden/>
              </w:rPr>
            </w:r>
            <w:r>
              <w:rPr>
                <w:noProof/>
                <w:webHidden/>
              </w:rPr>
              <w:fldChar w:fldCharType="separate"/>
            </w:r>
            <w:r>
              <w:rPr>
                <w:noProof/>
                <w:webHidden/>
              </w:rPr>
              <w:t>69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08" w:history="1">
            <w:r>
              <w:rPr>
                <w:rStyle w:val="Hyperlink"/>
                <w:noProof/>
                <w14:scene3d>
                  <w14:camera w14:prst="orthographicFront"/>
                  <w14:lightRig w14:rig="threePt" w14:dir="t">
                    <w14:rot w14:lat="0" w14:lon="0" w14:rev="0"/>
                  </w14:lightRig>
                </w14:scene3d>
              </w:rPr>
              <w:t>7.2.6.</w:t>
            </w:r>
            <w:r>
              <w:rPr>
                <w:rFonts w:asciiTheme="minorHAnsi" w:eastAsiaTheme="minorEastAsia" w:hAnsiTheme="minorHAnsi" w:cstheme="minorBidi"/>
                <w:noProof/>
                <w:sz w:val="22"/>
                <w:szCs w:val="22"/>
                <w:lang w:eastAsia="en-GB"/>
              </w:rPr>
              <w:tab/>
            </w:r>
            <w:r>
              <w:rPr>
                <w:rStyle w:val="Hyperlink"/>
                <w:noProof/>
              </w:rPr>
              <w:t>Overview of main market players</w:t>
            </w:r>
            <w:r>
              <w:rPr>
                <w:noProof/>
                <w:webHidden/>
              </w:rPr>
              <w:tab/>
            </w:r>
            <w:r>
              <w:rPr>
                <w:noProof/>
                <w:webHidden/>
              </w:rPr>
              <w:fldChar w:fldCharType="begin"/>
            </w:r>
            <w:r>
              <w:rPr>
                <w:noProof/>
                <w:webHidden/>
              </w:rPr>
              <w:instrText xml:space="preserve"> PAGEREF _Toc511292908 \h </w:instrText>
            </w:r>
            <w:r>
              <w:rPr>
                <w:noProof/>
                <w:webHidden/>
              </w:rPr>
            </w:r>
            <w:r>
              <w:rPr>
                <w:noProof/>
                <w:webHidden/>
              </w:rPr>
              <w:fldChar w:fldCharType="separate"/>
            </w:r>
            <w:r>
              <w:rPr>
                <w:noProof/>
                <w:webHidden/>
              </w:rPr>
              <w:t>72</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09"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Transparency of online general search engines</w:t>
            </w:r>
            <w:r>
              <w:rPr>
                <w:noProof/>
                <w:webHidden/>
              </w:rPr>
              <w:tab/>
            </w:r>
            <w:r>
              <w:rPr>
                <w:noProof/>
                <w:webHidden/>
              </w:rPr>
              <w:fldChar w:fldCharType="begin"/>
            </w:r>
            <w:r>
              <w:rPr>
                <w:noProof/>
                <w:webHidden/>
              </w:rPr>
              <w:instrText xml:space="preserve"> PAGEREF _Toc511292909 \h </w:instrText>
            </w:r>
            <w:r>
              <w:rPr>
                <w:noProof/>
                <w:webHidden/>
              </w:rPr>
            </w:r>
            <w:r>
              <w:rPr>
                <w:noProof/>
                <w:webHidden/>
              </w:rPr>
              <w:fldChar w:fldCharType="separate"/>
            </w:r>
            <w:r>
              <w:rPr>
                <w:noProof/>
                <w:webHidden/>
              </w:rPr>
              <w:t>73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10" w:history="1">
            <w:r>
              <w:rPr>
                <w:rStyle w:val="Hyperlink"/>
                <w:noProof/>
              </w:rPr>
              <w:t>7.4.</w:t>
            </w:r>
            <w:r>
              <w:rPr>
                <w:rFonts w:asciiTheme="minorHAnsi" w:eastAsiaTheme="minorEastAsia" w:hAnsiTheme="minorHAnsi" w:cstheme="minorBidi"/>
                <w:noProof/>
                <w:sz w:val="22"/>
                <w:szCs w:val="22"/>
                <w:lang w:eastAsia="en-GB"/>
              </w:rPr>
              <w:tab/>
            </w:r>
            <w:r>
              <w:rPr>
                <w:rStyle w:val="Hyperlink"/>
                <w:noProof/>
              </w:rPr>
              <w:t>Benefits of B2C online platforms for consumers, businesses and the economy as a whole</w:t>
            </w:r>
            <w:r>
              <w:rPr>
                <w:noProof/>
                <w:webHidden/>
              </w:rPr>
              <w:tab/>
            </w:r>
            <w:r>
              <w:rPr>
                <w:noProof/>
                <w:webHidden/>
              </w:rPr>
              <w:fldChar w:fldCharType="begin"/>
            </w:r>
            <w:r>
              <w:rPr>
                <w:noProof/>
                <w:webHidden/>
              </w:rPr>
              <w:instrText xml:space="preserve"> PAGEREF _Toc511292910 \h </w:instrText>
            </w:r>
            <w:r>
              <w:rPr>
                <w:noProof/>
                <w:webHidden/>
              </w:rPr>
            </w:r>
            <w:r>
              <w:rPr>
                <w:noProof/>
                <w:webHidden/>
              </w:rPr>
              <w:fldChar w:fldCharType="separate"/>
            </w:r>
            <w:r>
              <w:rPr>
                <w:noProof/>
                <w:webHidden/>
              </w:rPr>
              <w:t>77</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911" w:history="1">
            <w:r>
              <w:rPr>
                <w:rStyle w:val="Hyperlink"/>
                <w:noProof/>
              </w:rPr>
              <w:t>8.</w:t>
            </w:r>
            <w:r>
              <w:rPr>
                <w:rFonts w:asciiTheme="minorHAnsi" w:eastAsiaTheme="minorEastAsia" w:hAnsiTheme="minorHAnsi" w:cstheme="minorBidi"/>
                <w:noProof/>
                <w:sz w:val="22"/>
                <w:szCs w:val="22"/>
                <w:lang w:eastAsia="en-GB"/>
              </w:rPr>
              <w:tab/>
            </w:r>
            <w:r>
              <w:rPr>
                <w:rStyle w:val="Hyperlink"/>
                <w:noProof/>
              </w:rPr>
              <w:t>Regulatory Analysis: status quo</w:t>
            </w:r>
            <w:r>
              <w:rPr>
                <w:noProof/>
                <w:webHidden/>
              </w:rPr>
              <w:tab/>
            </w:r>
            <w:r>
              <w:rPr>
                <w:noProof/>
                <w:webHidden/>
              </w:rPr>
              <w:fldChar w:fldCharType="begin"/>
            </w:r>
            <w:r>
              <w:rPr>
                <w:noProof/>
                <w:webHidden/>
              </w:rPr>
              <w:instrText xml:space="preserve"> PAGEREF _Toc511292911 \h </w:instrText>
            </w:r>
            <w:r>
              <w:rPr>
                <w:noProof/>
                <w:webHidden/>
              </w:rPr>
            </w:r>
            <w:r>
              <w:rPr>
                <w:noProof/>
                <w:webHidden/>
              </w:rPr>
              <w:fldChar w:fldCharType="separate"/>
            </w:r>
            <w:r>
              <w:rPr>
                <w:noProof/>
                <w:webHidden/>
              </w:rPr>
              <w:t>78</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12" w:history="1">
            <w:r>
              <w:rPr>
                <w:rStyle w:val="Hyperlink"/>
                <w:noProof/>
              </w:rPr>
              <w:t>8.1</w:t>
            </w:r>
            <w:r>
              <w:rPr>
                <w:rFonts w:asciiTheme="minorHAnsi" w:eastAsiaTheme="minorEastAsia" w:hAnsiTheme="minorHAnsi" w:cstheme="minorBidi"/>
                <w:noProof/>
                <w:sz w:val="22"/>
                <w:szCs w:val="22"/>
                <w:lang w:eastAsia="en-GB"/>
              </w:rPr>
              <w:tab/>
            </w:r>
            <w:r>
              <w:rPr>
                <w:rStyle w:val="Hyperlink"/>
                <w:noProof/>
              </w:rPr>
              <w:t>EU competition law</w:t>
            </w:r>
            <w:r>
              <w:rPr>
                <w:noProof/>
                <w:webHidden/>
              </w:rPr>
              <w:tab/>
            </w:r>
            <w:r>
              <w:rPr>
                <w:noProof/>
                <w:webHidden/>
              </w:rPr>
              <w:fldChar w:fldCharType="begin"/>
            </w:r>
            <w:r>
              <w:rPr>
                <w:noProof/>
                <w:webHidden/>
              </w:rPr>
              <w:instrText xml:space="preserve"> PAGEREF _Toc511292912 \h </w:instrText>
            </w:r>
            <w:r>
              <w:rPr>
                <w:noProof/>
                <w:webHidden/>
              </w:rPr>
            </w:r>
            <w:r>
              <w:rPr>
                <w:noProof/>
                <w:webHidden/>
              </w:rPr>
              <w:fldChar w:fldCharType="separate"/>
            </w:r>
            <w:r>
              <w:rPr>
                <w:noProof/>
                <w:webHidden/>
              </w:rPr>
              <w:t>78</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13" w:history="1">
            <w:r>
              <w:rPr>
                <w:rStyle w:val="Hyperlink"/>
                <w:noProof/>
              </w:rPr>
              <w:t>8.2</w:t>
            </w:r>
            <w:r>
              <w:rPr>
                <w:rFonts w:asciiTheme="minorHAnsi" w:eastAsiaTheme="minorEastAsia" w:hAnsiTheme="minorHAnsi" w:cstheme="minorBidi"/>
                <w:noProof/>
                <w:sz w:val="22"/>
                <w:szCs w:val="22"/>
                <w:lang w:eastAsia="en-GB"/>
              </w:rPr>
              <w:tab/>
            </w:r>
            <w:r>
              <w:rPr>
                <w:rStyle w:val="Hyperlink"/>
                <w:noProof/>
              </w:rPr>
              <w:t>Jurisdiction of courts and applicable law: diverging national approaches</w:t>
            </w:r>
            <w:r>
              <w:rPr>
                <w:noProof/>
                <w:webHidden/>
              </w:rPr>
              <w:tab/>
            </w:r>
            <w:r>
              <w:rPr>
                <w:noProof/>
                <w:webHidden/>
              </w:rPr>
              <w:fldChar w:fldCharType="begin"/>
            </w:r>
            <w:r>
              <w:rPr>
                <w:noProof/>
                <w:webHidden/>
              </w:rPr>
              <w:instrText xml:space="preserve"> PAGEREF _Toc511292913 \h </w:instrText>
            </w:r>
            <w:r>
              <w:rPr>
                <w:noProof/>
                <w:webHidden/>
              </w:rPr>
            </w:r>
            <w:r>
              <w:rPr>
                <w:noProof/>
                <w:webHidden/>
              </w:rPr>
              <w:fldChar w:fldCharType="separate"/>
            </w:r>
            <w:r>
              <w:rPr>
                <w:noProof/>
                <w:webHidden/>
              </w:rPr>
              <w:t>78</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14" w:history="1">
            <w:r>
              <w:rPr>
                <w:rStyle w:val="Hyperlink"/>
                <w:noProof/>
              </w:rPr>
              <w:t>8.3</w:t>
            </w:r>
            <w:r>
              <w:rPr>
                <w:rFonts w:asciiTheme="minorHAnsi" w:eastAsiaTheme="minorEastAsia" w:hAnsiTheme="minorHAnsi" w:cstheme="minorBidi"/>
                <w:noProof/>
                <w:sz w:val="22"/>
                <w:szCs w:val="22"/>
                <w:lang w:eastAsia="en-GB"/>
              </w:rPr>
              <w:tab/>
            </w:r>
            <w:r>
              <w:rPr>
                <w:rStyle w:val="Hyperlink"/>
                <w:noProof/>
              </w:rPr>
              <w:t>EU acquis: other relevant acts</w:t>
            </w:r>
            <w:r>
              <w:rPr>
                <w:noProof/>
                <w:webHidden/>
              </w:rPr>
              <w:tab/>
            </w:r>
            <w:r>
              <w:rPr>
                <w:noProof/>
                <w:webHidden/>
              </w:rPr>
              <w:fldChar w:fldCharType="begin"/>
            </w:r>
            <w:r>
              <w:rPr>
                <w:noProof/>
                <w:webHidden/>
              </w:rPr>
              <w:instrText xml:space="preserve"> PAGEREF _Toc511292914 \h </w:instrText>
            </w:r>
            <w:r>
              <w:rPr>
                <w:noProof/>
                <w:webHidden/>
              </w:rPr>
            </w:r>
            <w:r>
              <w:rPr>
                <w:noProof/>
                <w:webHidden/>
              </w:rPr>
              <w:fldChar w:fldCharType="separate"/>
            </w:r>
            <w:r>
              <w:rPr>
                <w:noProof/>
                <w:webHidden/>
              </w:rPr>
              <w:t>80</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15" w:history="1">
            <w:r>
              <w:rPr>
                <w:rStyle w:val="Hyperlink"/>
                <w:noProof/>
              </w:rPr>
              <w:t>8.4</w:t>
            </w:r>
            <w:r>
              <w:rPr>
                <w:rFonts w:asciiTheme="minorHAnsi" w:eastAsiaTheme="minorEastAsia" w:hAnsiTheme="minorHAnsi" w:cstheme="minorBidi"/>
                <w:noProof/>
                <w:sz w:val="22"/>
                <w:szCs w:val="22"/>
                <w:lang w:eastAsia="en-GB"/>
              </w:rPr>
              <w:tab/>
            </w:r>
            <w:r>
              <w:rPr>
                <w:rStyle w:val="Hyperlink"/>
                <w:noProof/>
              </w:rPr>
              <w:t>B2B rules at EU and national level</w:t>
            </w:r>
            <w:r>
              <w:rPr>
                <w:noProof/>
                <w:webHidden/>
              </w:rPr>
              <w:tab/>
            </w:r>
            <w:r>
              <w:rPr>
                <w:noProof/>
                <w:webHidden/>
              </w:rPr>
              <w:fldChar w:fldCharType="begin"/>
            </w:r>
            <w:r>
              <w:rPr>
                <w:noProof/>
                <w:webHidden/>
              </w:rPr>
              <w:instrText xml:space="preserve"> PAGEREF _Toc511292915 \h </w:instrText>
            </w:r>
            <w:r>
              <w:rPr>
                <w:noProof/>
                <w:webHidden/>
              </w:rPr>
            </w:r>
            <w:r>
              <w:rPr>
                <w:noProof/>
                <w:webHidden/>
              </w:rPr>
              <w:fldChar w:fldCharType="separate"/>
            </w:r>
            <w:r>
              <w:rPr>
                <w:noProof/>
                <w:webHidden/>
              </w:rPr>
              <w:t>89</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16" w:history="1">
            <w:r>
              <w:rPr>
                <w:rStyle w:val="Hyperlink"/>
                <w:noProof/>
              </w:rPr>
              <w:t>8.5</w:t>
            </w:r>
            <w:r>
              <w:rPr>
                <w:rFonts w:asciiTheme="minorHAnsi" w:eastAsiaTheme="minorEastAsia" w:hAnsiTheme="minorHAnsi" w:cstheme="minorBidi"/>
                <w:noProof/>
                <w:sz w:val="22"/>
                <w:szCs w:val="22"/>
                <w:lang w:eastAsia="en-GB"/>
              </w:rPr>
              <w:tab/>
            </w:r>
            <w:r>
              <w:rPr>
                <w:rStyle w:val="Hyperlink"/>
                <w:noProof/>
              </w:rPr>
              <w:t>Emerging national legislation for the platforms' environment: relevance for P2B</w:t>
            </w:r>
            <w:r>
              <w:rPr>
                <w:noProof/>
                <w:webHidden/>
              </w:rPr>
              <w:tab/>
            </w:r>
            <w:r>
              <w:rPr>
                <w:noProof/>
                <w:webHidden/>
              </w:rPr>
              <w:fldChar w:fldCharType="begin"/>
            </w:r>
            <w:r>
              <w:rPr>
                <w:noProof/>
                <w:webHidden/>
              </w:rPr>
              <w:instrText xml:space="preserve"> PAGEREF _Toc511292916 \h </w:instrText>
            </w:r>
            <w:r>
              <w:rPr>
                <w:noProof/>
                <w:webHidden/>
              </w:rPr>
            </w:r>
            <w:r>
              <w:rPr>
                <w:noProof/>
                <w:webHidden/>
              </w:rPr>
              <w:fldChar w:fldCharType="separate"/>
            </w:r>
            <w:r>
              <w:rPr>
                <w:noProof/>
                <w:webHidden/>
              </w:rPr>
              <w:t>92</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17" w:history="1">
            <w:r>
              <w:rPr>
                <w:rStyle w:val="Hyperlink"/>
                <w:noProof/>
              </w:rPr>
              <w:t>8.6. P2B Fairness standards in third countries</w:t>
            </w:r>
            <w:r>
              <w:rPr>
                <w:noProof/>
                <w:webHidden/>
              </w:rPr>
              <w:tab/>
            </w:r>
            <w:r>
              <w:rPr>
                <w:noProof/>
                <w:webHidden/>
              </w:rPr>
              <w:fldChar w:fldCharType="begin"/>
            </w:r>
            <w:r>
              <w:rPr>
                <w:noProof/>
                <w:webHidden/>
              </w:rPr>
              <w:instrText xml:space="preserve"> PAGEREF _Toc511292917 \h </w:instrText>
            </w:r>
            <w:r>
              <w:rPr>
                <w:noProof/>
                <w:webHidden/>
              </w:rPr>
            </w:r>
            <w:r>
              <w:rPr>
                <w:noProof/>
                <w:webHidden/>
              </w:rPr>
              <w:fldChar w:fldCharType="separate"/>
            </w:r>
            <w:r>
              <w:rPr>
                <w:noProof/>
                <w:webHidden/>
              </w:rPr>
              <w:t>94</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18" w:history="1">
            <w:r>
              <w:rPr>
                <w:rStyle w:val="Hyperlink"/>
                <w:noProof/>
                <w:lang w:eastAsia="de-DE"/>
              </w:rPr>
              <w:t>8.7.</w:t>
            </w:r>
            <w:r>
              <w:rPr>
                <w:rFonts w:asciiTheme="minorHAnsi" w:eastAsiaTheme="minorEastAsia" w:hAnsiTheme="minorHAnsi" w:cstheme="minorBidi"/>
                <w:noProof/>
                <w:sz w:val="22"/>
                <w:szCs w:val="22"/>
                <w:lang w:eastAsia="en-GB"/>
              </w:rPr>
              <w:tab/>
            </w:r>
            <w:r>
              <w:rPr>
                <w:rStyle w:val="Hyperlink"/>
                <w:noProof/>
                <w:lang w:eastAsia="de-DE"/>
              </w:rPr>
              <w:t>Landscape in the Member States illustrating standing given to representative associations.</w:t>
            </w:r>
            <w:r>
              <w:rPr>
                <w:noProof/>
                <w:webHidden/>
              </w:rPr>
              <w:tab/>
            </w:r>
            <w:r>
              <w:rPr>
                <w:noProof/>
                <w:webHidden/>
              </w:rPr>
              <w:fldChar w:fldCharType="begin"/>
            </w:r>
            <w:r>
              <w:rPr>
                <w:noProof/>
                <w:webHidden/>
              </w:rPr>
              <w:instrText xml:space="preserve"> PAGEREF _Toc511292918 \h </w:instrText>
            </w:r>
            <w:r>
              <w:rPr>
                <w:noProof/>
                <w:webHidden/>
              </w:rPr>
            </w:r>
            <w:r>
              <w:rPr>
                <w:noProof/>
                <w:webHidden/>
              </w:rPr>
              <w:fldChar w:fldCharType="separate"/>
            </w:r>
            <w:r>
              <w:rPr>
                <w:noProof/>
                <w:webHidden/>
              </w:rPr>
              <w:t>95</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919" w:history="1">
            <w:r>
              <w:rPr>
                <w:rStyle w:val="Hyperlink"/>
                <w:noProof/>
              </w:rPr>
              <w:t>9.</w:t>
            </w:r>
            <w:r>
              <w:rPr>
                <w:rFonts w:asciiTheme="minorHAnsi" w:eastAsiaTheme="minorEastAsia" w:hAnsiTheme="minorHAnsi" w:cstheme="minorBidi"/>
                <w:noProof/>
                <w:sz w:val="22"/>
                <w:szCs w:val="22"/>
                <w:lang w:eastAsia="en-GB"/>
              </w:rPr>
              <w:tab/>
            </w:r>
            <w:r>
              <w:rPr>
                <w:rStyle w:val="Hyperlink"/>
                <w:noProof/>
              </w:rPr>
              <w:t>Overview of option elements to address the individual problems</w:t>
            </w:r>
            <w:r>
              <w:rPr>
                <w:noProof/>
                <w:webHidden/>
              </w:rPr>
              <w:tab/>
            </w:r>
            <w:r>
              <w:rPr>
                <w:noProof/>
                <w:webHidden/>
              </w:rPr>
              <w:fldChar w:fldCharType="begin"/>
            </w:r>
            <w:r>
              <w:rPr>
                <w:noProof/>
                <w:webHidden/>
              </w:rPr>
              <w:instrText xml:space="preserve"> PAGEREF _Toc511292919 \h </w:instrText>
            </w:r>
            <w:r>
              <w:rPr>
                <w:noProof/>
                <w:webHidden/>
              </w:rPr>
            </w:r>
            <w:r>
              <w:rPr>
                <w:noProof/>
                <w:webHidden/>
              </w:rPr>
              <w:fldChar w:fldCharType="separate"/>
            </w:r>
            <w:r>
              <w:rPr>
                <w:noProof/>
                <w:webHidden/>
              </w:rPr>
              <w:t>108</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920" w:history="1">
            <w:r>
              <w:rPr>
                <w:rStyle w:val="Hyperlink"/>
                <w:noProof/>
              </w:rPr>
              <w:t>10.</w:t>
            </w:r>
            <w:r>
              <w:rPr>
                <w:rFonts w:asciiTheme="minorHAnsi" w:eastAsiaTheme="minorEastAsia" w:hAnsiTheme="minorHAnsi" w:cstheme="minorBidi"/>
                <w:noProof/>
                <w:sz w:val="22"/>
                <w:szCs w:val="22"/>
                <w:lang w:eastAsia="en-GB"/>
              </w:rPr>
              <w:tab/>
            </w:r>
            <w:r>
              <w:rPr>
                <w:rStyle w:val="Hyperlink"/>
                <w:noProof/>
              </w:rPr>
              <w:t>Individual assessment of option elements</w:t>
            </w:r>
            <w:r>
              <w:rPr>
                <w:noProof/>
                <w:webHidden/>
              </w:rPr>
              <w:tab/>
            </w:r>
            <w:r>
              <w:rPr>
                <w:noProof/>
                <w:webHidden/>
              </w:rPr>
              <w:fldChar w:fldCharType="begin"/>
            </w:r>
            <w:r>
              <w:rPr>
                <w:noProof/>
                <w:webHidden/>
              </w:rPr>
              <w:instrText xml:space="preserve"> PAGEREF _Toc511292920 \h </w:instrText>
            </w:r>
            <w:r>
              <w:rPr>
                <w:noProof/>
                <w:webHidden/>
              </w:rPr>
            </w:r>
            <w:r>
              <w:rPr>
                <w:noProof/>
                <w:webHidden/>
              </w:rPr>
              <w:fldChar w:fldCharType="separate"/>
            </w:r>
            <w:r>
              <w:rPr>
                <w:noProof/>
                <w:webHidden/>
              </w:rPr>
              <w:t>113</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921"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The SME Test – Summary of results</w:t>
            </w:r>
            <w:r>
              <w:rPr>
                <w:noProof/>
                <w:webHidden/>
              </w:rPr>
              <w:tab/>
            </w:r>
            <w:r>
              <w:rPr>
                <w:noProof/>
                <w:webHidden/>
              </w:rPr>
              <w:fldChar w:fldCharType="begin"/>
            </w:r>
            <w:r>
              <w:rPr>
                <w:noProof/>
                <w:webHidden/>
              </w:rPr>
              <w:instrText xml:space="preserve"> PAGEREF _Toc511292921 \h </w:instrText>
            </w:r>
            <w:r>
              <w:rPr>
                <w:noProof/>
                <w:webHidden/>
              </w:rPr>
            </w:r>
            <w:r>
              <w:rPr>
                <w:noProof/>
                <w:webHidden/>
              </w:rPr>
              <w:fldChar w:fldCharType="separate"/>
            </w:r>
            <w:r>
              <w:rPr>
                <w:noProof/>
                <w:webHidden/>
              </w:rPr>
              <w:t>126</w:t>
            </w:r>
            <w:r>
              <w:rPr>
                <w:noProof/>
                <w:webHidden/>
              </w:rPr>
              <w:fldChar w:fldCharType="end"/>
            </w:r>
          </w:hyperlink>
        </w:p>
        <w:p>
          <w:pPr>
            <w:pStyle w:val="TOC1"/>
            <w:jc w:val="both"/>
            <w:rPr>
              <w:rFonts w:asciiTheme="minorHAnsi" w:eastAsiaTheme="minorEastAsia" w:hAnsiTheme="minorHAnsi" w:cstheme="minorBidi"/>
              <w:noProof/>
              <w:sz w:val="22"/>
              <w:szCs w:val="22"/>
              <w:lang w:eastAsia="en-GB"/>
            </w:rPr>
          </w:pPr>
          <w:hyperlink w:anchor="_Toc511292922" w:history="1">
            <w:r>
              <w:rPr>
                <w:rStyle w:val="Hyperlink"/>
                <w:rFonts w:eastAsiaTheme="minorHAnsi"/>
                <w:noProof/>
              </w:rPr>
              <w:t>12.</w:t>
            </w:r>
            <w:r>
              <w:rPr>
                <w:rFonts w:asciiTheme="minorHAnsi" w:eastAsiaTheme="minorEastAsia" w:hAnsiTheme="minorHAnsi" w:cstheme="minorBidi"/>
                <w:noProof/>
                <w:sz w:val="22"/>
                <w:szCs w:val="22"/>
                <w:lang w:eastAsia="en-GB"/>
              </w:rPr>
              <w:tab/>
            </w:r>
            <w:r>
              <w:rPr>
                <w:rStyle w:val="Hyperlink"/>
                <w:rFonts w:eastAsiaTheme="minorHAnsi"/>
                <w:noProof/>
              </w:rPr>
              <w:t>In-depth analysis of impacts assessed in Section 6</w:t>
            </w:r>
            <w:r>
              <w:rPr>
                <w:noProof/>
                <w:webHidden/>
              </w:rPr>
              <w:tab/>
            </w:r>
            <w:r>
              <w:rPr>
                <w:noProof/>
                <w:webHidden/>
              </w:rPr>
              <w:fldChar w:fldCharType="begin"/>
            </w:r>
            <w:r>
              <w:rPr>
                <w:noProof/>
                <w:webHidden/>
              </w:rPr>
              <w:instrText xml:space="preserve"> PAGEREF _Toc511292922 \h </w:instrText>
            </w:r>
            <w:r>
              <w:rPr>
                <w:noProof/>
                <w:webHidden/>
              </w:rPr>
            </w:r>
            <w:r>
              <w:rPr>
                <w:noProof/>
                <w:webHidden/>
              </w:rPr>
              <w:fldChar w:fldCharType="separate"/>
            </w:r>
            <w:r>
              <w:rPr>
                <w:noProof/>
                <w:webHidden/>
              </w:rPr>
              <w:t>127</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23" w:history="1">
            <w:r>
              <w:rPr>
                <w:rStyle w:val="Hyperlink"/>
                <w:noProof/>
              </w:rPr>
              <w:t>12.1.</w:t>
            </w:r>
            <w:r>
              <w:rPr>
                <w:noProof/>
              </w:rPr>
              <w:t xml:space="preserve"> </w:t>
            </w:r>
            <w:r>
              <w:rPr>
                <w:rStyle w:val="Hyperlink"/>
                <w:noProof/>
              </w:rPr>
              <w:t>Impact on internal market</w:t>
            </w:r>
            <w:r>
              <w:rPr>
                <w:rFonts w:asciiTheme="minorHAnsi" w:eastAsiaTheme="minorEastAsia" w:hAnsiTheme="minorHAnsi" w:cstheme="minorBidi"/>
                <w:noProof/>
                <w:sz w:val="22"/>
                <w:szCs w:val="22"/>
                <w:lang w:eastAsia="en-GB"/>
              </w:rPr>
              <w:tab/>
            </w:r>
            <w:r>
              <w:rPr>
                <w:noProof/>
                <w:webHidden/>
              </w:rPr>
              <w:fldChar w:fldCharType="begin"/>
            </w:r>
            <w:r>
              <w:rPr>
                <w:noProof/>
                <w:webHidden/>
              </w:rPr>
              <w:instrText xml:space="preserve"> PAGEREF _Toc511292923 \h </w:instrText>
            </w:r>
            <w:r>
              <w:rPr>
                <w:noProof/>
                <w:webHidden/>
              </w:rPr>
            </w:r>
            <w:r>
              <w:rPr>
                <w:noProof/>
                <w:webHidden/>
              </w:rPr>
              <w:fldChar w:fldCharType="separate"/>
            </w:r>
            <w:r>
              <w:rPr>
                <w:noProof/>
                <w:webHidden/>
              </w:rPr>
              <w:t>128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24" w:history="1">
            <w:r>
              <w:rPr>
                <w:rStyle w:val="Hyperlink"/>
                <w:noProof/>
                <w14:scene3d>
                  <w14:camera w14:prst="orthographicFront"/>
                  <w14:lightRig w14:rig="threePt" w14:dir="t">
                    <w14:rot w14:lat="0" w14:lon="0" w14:rev="0"/>
                  </w14:lightRig>
                </w14:scene3d>
              </w:rPr>
              <w:t>12.1.1.</w:t>
            </w:r>
            <w:r>
              <w:rPr>
                <w:rFonts w:asciiTheme="minorHAnsi" w:eastAsiaTheme="minorEastAsia" w:hAnsiTheme="minorHAnsi" w:cstheme="minorBidi"/>
                <w:noProof/>
                <w:sz w:val="22"/>
                <w:szCs w:val="22"/>
                <w:lang w:eastAsia="en-GB"/>
              </w:rPr>
              <w:tab/>
            </w:r>
            <w:r>
              <w:rPr>
                <w:rStyle w:val="Hyperlink"/>
                <w:noProof/>
              </w:rPr>
              <w:t>Growth</w:t>
            </w:r>
            <w:r>
              <w:rPr>
                <w:noProof/>
                <w:webHidden/>
              </w:rPr>
              <w:tab/>
            </w:r>
            <w:r>
              <w:rPr>
                <w:noProof/>
                <w:webHidden/>
              </w:rPr>
              <w:fldChar w:fldCharType="begin"/>
            </w:r>
            <w:r>
              <w:rPr>
                <w:noProof/>
                <w:webHidden/>
              </w:rPr>
              <w:instrText xml:space="preserve"> PAGEREF _Toc511292924 \h </w:instrText>
            </w:r>
            <w:r>
              <w:rPr>
                <w:noProof/>
                <w:webHidden/>
              </w:rPr>
            </w:r>
            <w:r>
              <w:rPr>
                <w:noProof/>
                <w:webHidden/>
              </w:rPr>
              <w:fldChar w:fldCharType="separate"/>
            </w:r>
            <w:r>
              <w:rPr>
                <w:noProof/>
                <w:webHidden/>
              </w:rPr>
              <w:t>128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25" w:history="1">
            <w:r>
              <w:rPr>
                <w:rStyle w:val="Hyperlink"/>
                <w:noProof/>
                <w14:scene3d>
                  <w14:camera w14:prst="orthographicFront"/>
                  <w14:lightRig w14:rig="threePt" w14:dir="t">
                    <w14:rot w14:lat="0" w14:lon="0" w14:rev="0"/>
                  </w14:lightRig>
                </w14:scene3d>
              </w:rPr>
              <w:t>12.1.2.</w:t>
            </w:r>
            <w:r>
              <w:rPr>
                <w:rFonts w:asciiTheme="minorHAnsi" w:eastAsiaTheme="minorEastAsia" w:hAnsiTheme="minorHAnsi" w:cstheme="minorBidi"/>
                <w:noProof/>
                <w:sz w:val="22"/>
                <w:szCs w:val="22"/>
                <w:lang w:eastAsia="en-GB"/>
              </w:rPr>
              <w:tab/>
            </w:r>
            <w:r>
              <w:rPr>
                <w:rStyle w:val="Hyperlink"/>
                <w:noProof/>
              </w:rPr>
              <w:t>Preserving the cross-border nature of the platform economy – preventing fragmentation of the internal market</w:t>
            </w:r>
            <w:r>
              <w:rPr>
                <w:noProof/>
                <w:webHidden/>
              </w:rPr>
              <w:tab/>
            </w:r>
            <w:r>
              <w:rPr>
                <w:noProof/>
                <w:webHidden/>
              </w:rPr>
              <w:fldChar w:fldCharType="begin"/>
            </w:r>
            <w:r>
              <w:rPr>
                <w:noProof/>
                <w:webHidden/>
              </w:rPr>
              <w:instrText xml:space="preserve"> PAGEREF _Toc511292925 \h </w:instrText>
            </w:r>
            <w:r>
              <w:rPr>
                <w:noProof/>
                <w:webHidden/>
              </w:rPr>
            </w:r>
            <w:r>
              <w:rPr>
                <w:noProof/>
                <w:webHidden/>
              </w:rPr>
              <w:fldChar w:fldCharType="separate"/>
            </w:r>
            <w:r>
              <w:rPr>
                <w:noProof/>
                <w:webHidden/>
              </w:rPr>
              <w:t>131</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26" w:history="1">
            <w:r>
              <w:rPr>
                <w:rStyle w:val="Hyperlink"/>
                <w:noProof/>
                <w:lang w:eastAsia="en-GB"/>
              </w:rPr>
              <w:t>12.2.</w:t>
            </w:r>
            <w:r>
              <w:rPr>
                <w:noProof/>
              </w:rPr>
              <w:t xml:space="preserve"> </w:t>
            </w:r>
            <w:r>
              <w:rPr>
                <w:rStyle w:val="Hyperlink"/>
                <w:noProof/>
                <w:lang w:eastAsia="en-GB"/>
              </w:rPr>
              <w:t>Impact on enterprises</w:t>
            </w:r>
            <w:r>
              <w:rPr>
                <w:rFonts w:asciiTheme="minorHAnsi" w:eastAsiaTheme="minorEastAsia" w:hAnsiTheme="minorHAnsi" w:cstheme="minorBidi"/>
                <w:noProof/>
                <w:sz w:val="22"/>
                <w:szCs w:val="22"/>
                <w:lang w:eastAsia="en-GB"/>
              </w:rPr>
              <w:tab/>
            </w:r>
            <w:r>
              <w:rPr>
                <w:noProof/>
                <w:webHidden/>
              </w:rPr>
              <w:fldChar w:fldCharType="begin"/>
            </w:r>
            <w:r>
              <w:rPr>
                <w:noProof/>
                <w:webHidden/>
              </w:rPr>
              <w:instrText xml:space="preserve"> PAGEREF _Toc511292926 \h </w:instrText>
            </w:r>
            <w:r>
              <w:rPr>
                <w:noProof/>
                <w:webHidden/>
              </w:rPr>
            </w:r>
            <w:r>
              <w:rPr>
                <w:noProof/>
                <w:webHidden/>
              </w:rPr>
              <w:fldChar w:fldCharType="separate"/>
            </w:r>
            <w:r>
              <w:rPr>
                <w:noProof/>
                <w:webHidden/>
              </w:rPr>
              <w:t>132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27" w:history="1">
            <w:r>
              <w:rPr>
                <w:rStyle w:val="Hyperlink"/>
                <w:noProof/>
                <w14:scene3d>
                  <w14:camera w14:prst="orthographicFront"/>
                  <w14:lightRig w14:rig="threePt" w14:dir="t">
                    <w14:rot w14:lat="0" w14:lon="0" w14:rev="0"/>
                  </w14:lightRig>
                </w14:scene3d>
              </w:rPr>
              <w:t>12.2.1.</w:t>
            </w:r>
            <w:r>
              <w:rPr>
                <w:rFonts w:asciiTheme="minorHAnsi" w:eastAsiaTheme="minorEastAsia" w:hAnsiTheme="minorHAnsi" w:cstheme="minorBidi"/>
                <w:noProof/>
                <w:sz w:val="22"/>
                <w:szCs w:val="22"/>
                <w:lang w:eastAsia="en-GB"/>
              </w:rPr>
              <w:tab/>
            </w:r>
            <w:r>
              <w:rPr>
                <w:rStyle w:val="Hyperlink"/>
                <w:noProof/>
              </w:rPr>
              <w:t>Impact on online platforms</w:t>
            </w:r>
            <w:r>
              <w:rPr>
                <w:noProof/>
                <w:webHidden/>
              </w:rPr>
              <w:tab/>
            </w:r>
            <w:r>
              <w:rPr>
                <w:noProof/>
                <w:webHidden/>
              </w:rPr>
              <w:fldChar w:fldCharType="begin"/>
            </w:r>
            <w:r>
              <w:rPr>
                <w:noProof/>
                <w:webHidden/>
              </w:rPr>
              <w:instrText xml:space="preserve"> PAGEREF _Toc511292927 \h </w:instrText>
            </w:r>
            <w:r>
              <w:rPr>
                <w:noProof/>
                <w:webHidden/>
              </w:rPr>
            </w:r>
            <w:r>
              <w:rPr>
                <w:noProof/>
                <w:webHidden/>
              </w:rPr>
              <w:fldChar w:fldCharType="separate"/>
            </w:r>
            <w:r>
              <w:rPr>
                <w:noProof/>
                <w:webHidden/>
              </w:rPr>
              <w:t>132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28" w:history="1">
            <w:r>
              <w:rPr>
                <w:rStyle w:val="Hyperlink"/>
                <w:noProof/>
                <w14:scene3d>
                  <w14:camera w14:prst="orthographicFront"/>
                  <w14:lightRig w14:rig="threePt" w14:dir="t">
                    <w14:rot w14:lat="0" w14:lon="0" w14:rev="0"/>
                  </w14:lightRig>
                </w14:scene3d>
              </w:rPr>
              <w:t>12.2.2.</w:t>
            </w:r>
            <w:r>
              <w:rPr>
                <w:rFonts w:asciiTheme="minorHAnsi" w:eastAsiaTheme="minorEastAsia" w:hAnsiTheme="minorHAnsi" w:cstheme="minorBidi"/>
                <w:noProof/>
                <w:sz w:val="22"/>
                <w:szCs w:val="22"/>
                <w:lang w:eastAsia="en-GB"/>
              </w:rPr>
              <w:tab/>
            </w:r>
            <w:r>
              <w:rPr>
                <w:rStyle w:val="Hyperlink"/>
                <w:noProof/>
              </w:rPr>
              <w:t>Options for thresholds for exemption</w:t>
            </w:r>
            <w:r>
              <w:rPr>
                <w:noProof/>
                <w:webHidden/>
              </w:rPr>
              <w:tab/>
            </w:r>
            <w:r>
              <w:rPr>
                <w:noProof/>
                <w:webHidden/>
              </w:rPr>
              <w:fldChar w:fldCharType="begin"/>
            </w:r>
            <w:r>
              <w:rPr>
                <w:noProof/>
                <w:webHidden/>
              </w:rPr>
              <w:instrText xml:space="preserve"> PAGEREF _Toc511292928 \h </w:instrText>
            </w:r>
            <w:r>
              <w:rPr>
                <w:noProof/>
                <w:webHidden/>
              </w:rPr>
            </w:r>
            <w:r>
              <w:rPr>
                <w:noProof/>
                <w:webHidden/>
              </w:rPr>
              <w:fldChar w:fldCharType="separate"/>
            </w:r>
            <w:r>
              <w:rPr>
                <w:noProof/>
                <w:webHidden/>
              </w:rPr>
              <w:t>139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29" w:history="1">
            <w:r>
              <w:rPr>
                <w:rStyle w:val="Hyperlink"/>
                <w:noProof/>
                <w:lang w:val="fr-BE"/>
                <w14:scene3d>
                  <w14:camera w14:prst="orthographicFront"/>
                  <w14:lightRig w14:rig="threePt" w14:dir="t">
                    <w14:rot w14:lat="0" w14:lon="0" w14:rev="0"/>
                  </w14:lightRig>
                </w14:scene3d>
              </w:rPr>
              <w:t>12.2.3.</w:t>
            </w:r>
            <w:r>
              <w:rPr>
                <w:rFonts w:asciiTheme="minorHAnsi" w:eastAsiaTheme="minorEastAsia" w:hAnsiTheme="minorHAnsi" w:cstheme="minorBidi"/>
                <w:noProof/>
                <w:sz w:val="22"/>
                <w:szCs w:val="22"/>
                <w:lang w:eastAsia="en-GB"/>
              </w:rPr>
              <w:tab/>
            </w:r>
            <w:r>
              <w:rPr>
                <w:rStyle w:val="Hyperlink"/>
                <w:noProof/>
                <w:lang w:val="fr-BE"/>
              </w:rPr>
              <w:t>Impact on non-EU platforms</w:t>
            </w:r>
            <w:r>
              <w:rPr>
                <w:noProof/>
                <w:webHidden/>
              </w:rPr>
              <w:tab/>
            </w:r>
            <w:r>
              <w:rPr>
                <w:noProof/>
                <w:webHidden/>
              </w:rPr>
              <w:fldChar w:fldCharType="begin"/>
            </w:r>
            <w:r>
              <w:rPr>
                <w:noProof/>
                <w:webHidden/>
              </w:rPr>
              <w:instrText xml:space="preserve"> PAGEREF _Toc511292929 \h </w:instrText>
            </w:r>
            <w:r>
              <w:rPr>
                <w:noProof/>
                <w:webHidden/>
              </w:rPr>
            </w:r>
            <w:r>
              <w:rPr>
                <w:noProof/>
                <w:webHidden/>
              </w:rPr>
              <w:fldChar w:fldCharType="separate"/>
            </w:r>
            <w:r>
              <w:rPr>
                <w:noProof/>
                <w:webHidden/>
              </w:rPr>
              <w:t>142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30" w:history="1">
            <w:r>
              <w:rPr>
                <w:rStyle w:val="Hyperlink"/>
                <w:noProof/>
                <w14:scene3d>
                  <w14:camera w14:prst="orthographicFront"/>
                  <w14:lightRig w14:rig="threePt" w14:dir="t">
                    <w14:rot w14:lat="0" w14:lon="0" w14:rev="0"/>
                  </w14:lightRig>
                </w14:scene3d>
              </w:rPr>
              <w:t>12.2.4.</w:t>
            </w:r>
            <w:r>
              <w:rPr>
                <w:rFonts w:asciiTheme="minorHAnsi" w:eastAsiaTheme="minorEastAsia" w:hAnsiTheme="minorHAnsi" w:cstheme="minorBidi"/>
                <w:noProof/>
                <w:sz w:val="22"/>
                <w:szCs w:val="22"/>
                <w:lang w:eastAsia="en-GB"/>
              </w:rPr>
              <w:tab/>
            </w:r>
            <w:r>
              <w:rPr>
                <w:rStyle w:val="Hyperlink"/>
                <w:noProof/>
              </w:rPr>
              <w:t>Impact on business users</w:t>
            </w:r>
            <w:r>
              <w:rPr>
                <w:noProof/>
                <w:webHidden/>
              </w:rPr>
              <w:tab/>
            </w:r>
            <w:r>
              <w:rPr>
                <w:noProof/>
                <w:webHidden/>
              </w:rPr>
              <w:fldChar w:fldCharType="begin"/>
            </w:r>
            <w:r>
              <w:rPr>
                <w:noProof/>
                <w:webHidden/>
              </w:rPr>
              <w:instrText xml:space="preserve"> PAGEREF _Toc511292930 \h </w:instrText>
            </w:r>
            <w:r>
              <w:rPr>
                <w:noProof/>
                <w:webHidden/>
              </w:rPr>
            </w:r>
            <w:r>
              <w:rPr>
                <w:noProof/>
                <w:webHidden/>
              </w:rPr>
              <w:fldChar w:fldCharType="separate"/>
            </w:r>
            <w:r>
              <w:rPr>
                <w:noProof/>
                <w:webHidden/>
              </w:rPr>
              <w:t>142</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31" w:history="1">
            <w:r>
              <w:rPr>
                <w:rStyle w:val="Hyperlink"/>
                <w:noProof/>
              </w:rPr>
              <w:t>12.3.Impact on public authorities</w:t>
            </w:r>
            <w:r>
              <w:rPr>
                <w:noProof/>
                <w:webHidden/>
              </w:rPr>
              <w:tab/>
            </w:r>
            <w:r>
              <w:rPr>
                <w:noProof/>
                <w:webHidden/>
              </w:rPr>
              <w:fldChar w:fldCharType="begin"/>
            </w:r>
            <w:r>
              <w:rPr>
                <w:noProof/>
                <w:webHidden/>
              </w:rPr>
              <w:instrText xml:space="preserve"> PAGEREF _Toc511292931 \h </w:instrText>
            </w:r>
            <w:r>
              <w:rPr>
                <w:noProof/>
                <w:webHidden/>
              </w:rPr>
            </w:r>
            <w:r>
              <w:rPr>
                <w:noProof/>
                <w:webHidden/>
              </w:rPr>
              <w:fldChar w:fldCharType="separate"/>
            </w:r>
            <w:r>
              <w:rPr>
                <w:noProof/>
                <w:webHidden/>
              </w:rPr>
              <w:t>145</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32" w:history="1">
            <w:r>
              <w:rPr>
                <w:rStyle w:val="Hyperlink"/>
                <w:noProof/>
                <w:lang w:eastAsia="en-GB"/>
              </w:rPr>
              <w:t>12.4.Impact on innovation, competitiveness, competition</w:t>
            </w:r>
            <w:r>
              <w:rPr>
                <w:noProof/>
                <w:webHidden/>
              </w:rPr>
              <w:tab/>
            </w:r>
            <w:r>
              <w:rPr>
                <w:noProof/>
                <w:webHidden/>
              </w:rPr>
              <w:fldChar w:fldCharType="begin"/>
            </w:r>
            <w:r>
              <w:rPr>
                <w:noProof/>
                <w:webHidden/>
              </w:rPr>
              <w:instrText xml:space="preserve"> PAGEREF _Toc511292932 \h </w:instrText>
            </w:r>
            <w:r>
              <w:rPr>
                <w:noProof/>
                <w:webHidden/>
              </w:rPr>
            </w:r>
            <w:r>
              <w:rPr>
                <w:noProof/>
                <w:webHidden/>
              </w:rPr>
              <w:fldChar w:fldCharType="separate"/>
            </w:r>
            <w:r>
              <w:rPr>
                <w:noProof/>
                <w:webHidden/>
              </w:rPr>
              <w:t>146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33" w:history="1">
            <w:r>
              <w:rPr>
                <w:rStyle w:val="Hyperlink"/>
                <w:noProof/>
                <w14:scene3d>
                  <w14:camera w14:prst="orthographicFront"/>
                  <w14:lightRig w14:rig="threePt" w14:dir="t">
                    <w14:rot w14:lat="0" w14:lon="0" w14:rev="0"/>
                  </w14:lightRig>
                </w14:scene3d>
              </w:rPr>
              <w:t>12.4.1.</w:t>
            </w:r>
            <w:r>
              <w:rPr>
                <w:rFonts w:asciiTheme="minorHAnsi" w:eastAsiaTheme="minorEastAsia" w:hAnsiTheme="minorHAnsi" w:cstheme="minorBidi"/>
                <w:noProof/>
                <w:sz w:val="22"/>
                <w:szCs w:val="22"/>
                <w:lang w:eastAsia="en-GB"/>
              </w:rPr>
              <w:tab/>
            </w:r>
            <w:r>
              <w:rPr>
                <w:rStyle w:val="Hyperlink"/>
                <w:noProof/>
              </w:rPr>
              <w:t>Innovation</w:t>
            </w:r>
            <w:r>
              <w:rPr>
                <w:noProof/>
                <w:webHidden/>
              </w:rPr>
              <w:tab/>
            </w:r>
            <w:r>
              <w:rPr>
                <w:noProof/>
                <w:webHidden/>
              </w:rPr>
              <w:fldChar w:fldCharType="begin"/>
            </w:r>
            <w:r>
              <w:rPr>
                <w:noProof/>
                <w:webHidden/>
              </w:rPr>
              <w:instrText xml:space="preserve"> PAGEREF _Toc511292933 \h </w:instrText>
            </w:r>
            <w:r>
              <w:rPr>
                <w:noProof/>
                <w:webHidden/>
              </w:rPr>
            </w:r>
            <w:r>
              <w:rPr>
                <w:noProof/>
                <w:webHidden/>
              </w:rPr>
              <w:fldChar w:fldCharType="separate"/>
            </w:r>
            <w:r>
              <w:rPr>
                <w:noProof/>
                <w:webHidden/>
              </w:rPr>
              <w:t>146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34" w:history="1">
            <w:r>
              <w:rPr>
                <w:rStyle w:val="Hyperlink"/>
                <w:noProof/>
                <w14:scene3d>
                  <w14:camera w14:prst="orthographicFront"/>
                  <w14:lightRig w14:rig="threePt" w14:dir="t">
                    <w14:rot w14:lat="0" w14:lon="0" w14:rev="0"/>
                  </w14:lightRig>
                </w14:scene3d>
              </w:rPr>
              <w:t>12.4.2.</w:t>
            </w:r>
            <w:r>
              <w:rPr>
                <w:rFonts w:asciiTheme="minorHAnsi" w:eastAsiaTheme="minorEastAsia" w:hAnsiTheme="minorHAnsi" w:cstheme="minorBidi"/>
                <w:noProof/>
                <w:sz w:val="22"/>
                <w:szCs w:val="22"/>
                <w:lang w:eastAsia="en-GB"/>
              </w:rPr>
              <w:tab/>
            </w:r>
            <w:r>
              <w:rPr>
                <w:rStyle w:val="Hyperlink"/>
                <w:noProof/>
              </w:rPr>
              <w:t>Competitiveness</w:t>
            </w:r>
            <w:r>
              <w:rPr>
                <w:noProof/>
                <w:webHidden/>
              </w:rPr>
              <w:tab/>
            </w:r>
            <w:r>
              <w:rPr>
                <w:noProof/>
                <w:webHidden/>
              </w:rPr>
              <w:fldChar w:fldCharType="begin"/>
            </w:r>
            <w:r>
              <w:rPr>
                <w:noProof/>
                <w:webHidden/>
              </w:rPr>
              <w:instrText xml:space="preserve"> PAGEREF _Toc511292934 \h </w:instrText>
            </w:r>
            <w:r>
              <w:rPr>
                <w:noProof/>
                <w:webHidden/>
              </w:rPr>
            </w:r>
            <w:r>
              <w:rPr>
                <w:noProof/>
                <w:webHidden/>
              </w:rPr>
              <w:fldChar w:fldCharType="separate"/>
            </w:r>
            <w:r>
              <w:rPr>
                <w:noProof/>
                <w:webHidden/>
              </w:rPr>
              <w:t>148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511292935" w:history="1">
            <w:r>
              <w:rPr>
                <w:rStyle w:val="Hyperlink"/>
                <w:noProof/>
                <w14:scene3d>
                  <w14:camera w14:prst="orthographicFront"/>
                  <w14:lightRig w14:rig="threePt" w14:dir="t">
                    <w14:rot w14:lat="0" w14:lon="0" w14:rev="0"/>
                  </w14:lightRig>
                </w14:scene3d>
              </w:rPr>
              <w:t>12.4.3.</w:t>
            </w:r>
            <w:r>
              <w:rPr>
                <w:rFonts w:asciiTheme="minorHAnsi" w:eastAsiaTheme="minorEastAsia" w:hAnsiTheme="minorHAnsi" w:cstheme="minorBidi"/>
                <w:noProof/>
                <w:sz w:val="22"/>
                <w:szCs w:val="22"/>
                <w:lang w:eastAsia="en-GB"/>
              </w:rPr>
              <w:tab/>
            </w:r>
            <w:r>
              <w:rPr>
                <w:rStyle w:val="Hyperlink"/>
                <w:noProof/>
              </w:rPr>
              <w:t>Competition</w:t>
            </w:r>
            <w:r>
              <w:rPr>
                <w:noProof/>
                <w:webHidden/>
              </w:rPr>
              <w:tab/>
            </w:r>
            <w:r>
              <w:rPr>
                <w:noProof/>
                <w:webHidden/>
              </w:rPr>
              <w:fldChar w:fldCharType="begin"/>
            </w:r>
            <w:r>
              <w:rPr>
                <w:noProof/>
                <w:webHidden/>
              </w:rPr>
              <w:instrText xml:space="preserve"> PAGEREF _Toc511292935 \h </w:instrText>
            </w:r>
            <w:r>
              <w:rPr>
                <w:noProof/>
                <w:webHidden/>
              </w:rPr>
            </w:r>
            <w:r>
              <w:rPr>
                <w:noProof/>
                <w:webHidden/>
              </w:rPr>
              <w:fldChar w:fldCharType="separate"/>
            </w:r>
            <w:r>
              <w:rPr>
                <w:noProof/>
                <w:webHidden/>
              </w:rPr>
              <w:t>149</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36" w:history="1">
            <w:r>
              <w:rPr>
                <w:rStyle w:val="Hyperlink"/>
                <w:noProof/>
              </w:rPr>
              <w:t>12.5. Employment and social impact</w:t>
            </w:r>
            <w:r>
              <w:rPr>
                <w:noProof/>
                <w:webHidden/>
              </w:rPr>
              <w:tab/>
            </w:r>
            <w:r>
              <w:rPr>
                <w:noProof/>
                <w:webHidden/>
              </w:rPr>
              <w:fldChar w:fldCharType="begin"/>
            </w:r>
            <w:r>
              <w:rPr>
                <w:noProof/>
                <w:webHidden/>
              </w:rPr>
              <w:instrText xml:space="preserve"> PAGEREF _Toc511292936 \h </w:instrText>
            </w:r>
            <w:r>
              <w:rPr>
                <w:noProof/>
                <w:webHidden/>
              </w:rPr>
            </w:r>
            <w:r>
              <w:rPr>
                <w:noProof/>
                <w:webHidden/>
              </w:rPr>
              <w:fldChar w:fldCharType="separate"/>
            </w:r>
            <w:r>
              <w:rPr>
                <w:noProof/>
                <w:webHidden/>
              </w:rPr>
              <w:t>150</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37" w:history="1">
            <w:r>
              <w:rPr>
                <w:rStyle w:val="Hyperlink"/>
                <w:noProof/>
                <w:lang w:eastAsia="en-GB"/>
              </w:rPr>
              <w:t>12.6. Impact on consumers</w:t>
            </w:r>
            <w:r>
              <w:rPr>
                <w:noProof/>
                <w:webHidden/>
              </w:rPr>
              <w:tab/>
            </w:r>
            <w:r>
              <w:rPr>
                <w:noProof/>
                <w:webHidden/>
              </w:rPr>
              <w:fldChar w:fldCharType="begin"/>
            </w:r>
            <w:r>
              <w:rPr>
                <w:noProof/>
                <w:webHidden/>
              </w:rPr>
              <w:instrText xml:space="preserve"> PAGEREF _Toc511292937 \h </w:instrText>
            </w:r>
            <w:r>
              <w:rPr>
                <w:noProof/>
                <w:webHidden/>
              </w:rPr>
            </w:r>
            <w:r>
              <w:rPr>
                <w:noProof/>
                <w:webHidden/>
              </w:rPr>
              <w:fldChar w:fldCharType="separate"/>
            </w:r>
            <w:r>
              <w:rPr>
                <w:noProof/>
                <w:webHidden/>
              </w:rPr>
              <w:t>151</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38" w:history="1">
            <w:r>
              <w:rPr>
                <w:rStyle w:val="Hyperlink"/>
                <w:noProof/>
                <w:lang w:eastAsia="en-GB"/>
              </w:rPr>
              <w:t>12.7. Environmental impact</w:t>
            </w:r>
            <w:r>
              <w:rPr>
                <w:noProof/>
                <w:webHidden/>
              </w:rPr>
              <w:tab/>
            </w:r>
            <w:r>
              <w:rPr>
                <w:noProof/>
                <w:webHidden/>
              </w:rPr>
              <w:fldChar w:fldCharType="begin"/>
            </w:r>
            <w:r>
              <w:rPr>
                <w:noProof/>
                <w:webHidden/>
              </w:rPr>
              <w:instrText xml:space="preserve"> PAGEREF _Toc511292938 \h </w:instrText>
            </w:r>
            <w:r>
              <w:rPr>
                <w:noProof/>
                <w:webHidden/>
              </w:rPr>
            </w:r>
            <w:r>
              <w:rPr>
                <w:noProof/>
                <w:webHidden/>
              </w:rPr>
              <w:fldChar w:fldCharType="separate"/>
            </w:r>
            <w:r>
              <w:rPr>
                <w:noProof/>
                <w:webHidden/>
              </w:rPr>
              <w:t>152</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39" w:history="1">
            <w:r>
              <w:rPr>
                <w:rStyle w:val="Hyperlink"/>
                <w:noProof/>
                <w:lang w:eastAsia="en-GB"/>
              </w:rPr>
              <w:t>12.8. Impact on fundamental rights</w:t>
            </w:r>
            <w:r>
              <w:rPr>
                <w:noProof/>
                <w:webHidden/>
              </w:rPr>
              <w:tab/>
            </w:r>
            <w:r>
              <w:rPr>
                <w:noProof/>
                <w:webHidden/>
              </w:rPr>
              <w:fldChar w:fldCharType="begin"/>
            </w:r>
            <w:r>
              <w:rPr>
                <w:noProof/>
                <w:webHidden/>
              </w:rPr>
              <w:instrText xml:space="preserve"> PAGEREF _Toc511292939 \h </w:instrText>
            </w:r>
            <w:r>
              <w:rPr>
                <w:noProof/>
                <w:webHidden/>
              </w:rPr>
            </w:r>
            <w:r>
              <w:rPr>
                <w:noProof/>
                <w:webHidden/>
              </w:rPr>
              <w:fldChar w:fldCharType="separate"/>
            </w:r>
            <w:r>
              <w:rPr>
                <w:noProof/>
                <w:webHidden/>
              </w:rPr>
              <w:t>153</w:t>
            </w:r>
            <w:r>
              <w:rPr>
                <w:noProof/>
                <w:webHidden/>
              </w:rPr>
              <w:fldChar w:fldCharType="end"/>
            </w:r>
          </w:hyperlink>
        </w:p>
        <w:p>
          <w:pPr>
            <w:pStyle w:val="TOC2"/>
            <w:jc w:val="both"/>
            <w:rPr>
              <w:rFonts w:asciiTheme="minorHAnsi" w:eastAsiaTheme="minorEastAsia" w:hAnsiTheme="minorHAnsi" w:cstheme="minorBidi"/>
              <w:noProof/>
              <w:sz w:val="22"/>
              <w:szCs w:val="22"/>
              <w:lang w:eastAsia="en-GB"/>
            </w:rPr>
          </w:pPr>
          <w:hyperlink w:anchor="_Toc511292940" w:history="1">
            <w:r>
              <w:rPr>
                <w:rStyle w:val="Hyperlink"/>
                <w:noProof/>
                <w:lang w:eastAsia="en-GB"/>
              </w:rPr>
              <w:t>12.9. Summary</w:t>
            </w:r>
            <w:r>
              <w:rPr>
                <w:noProof/>
                <w:webHidden/>
              </w:rPr>
              <w:tab/>
            </w:r>
            <w:r>
              <w:rPr>
                <w:noProof/>
                <w:webHidden/>
              </w:rPr>
              <w:fldChar w:fldCharType="begin"/>
            </w:r>
            <w:r>
              <w:rPr>
                <w:noProof/>
                <w:webHidden/>
              </w:rPr>
              <w:instrText xml:space="preserve"> PAGEREF _Toc511292940 \h </w:instrText>
            </w:r>
            <w:r>
              <w:rPr>
                <w:noProof/>
                <w:webHidden/>
              </w:rPr>
            </w:r>
            <w:r>
              <w:rPr>
                <w:noProof/>
                <w:webHidden/>
              </w:rPr>
              <w:fldChar w:fldCharType="separate"/>
            </w:r>
            <w:r>
              <w:rPr>
                <w:noProof/>
                <w:webHidden/>
              </w:rPr>
              <w:t>154</w:t>
            </w:r>
            <w:r>
              <w:rPr>
                <w:noProof/>
                <w:webHidden/>
              </w:rPr>
              <w:fldChar w:fldCharType="end"/>
            </w:r>
          </w:hyperlink>
        </w:p>
        <w:p>
          <w:pPr>
            <w:rPr>
              <w:noProof/>
            </w:rPr>
          </w:pPr>
          <w:r>
            <w:rPr>
              <w:b/>
              <w:bCs/>
              <w:noProof/>
            </w:rPr>
            <w:fldChar w:fldCharType="end"/>
          </w:r>
        </w:p>
      </w:sdtContent>
    </w:sdt>
    <w:p>
      <w:pPr>
        <w:spacing w:after="200" w:line="276" w:lineRule="auto"/>
        <w:jc w:val="left"/>
        <w:rPr>
          <w:rStyle w:val="BookTitle"/>
          <w:noProof/>
        </w:rPr>
      </w:pPr>
      <w:r>
        <w:rPr>
          <w:rStyle w:val="BookTitle"/>
          <w:noProof/>
        </w:rPr>
        <w:br w:type="page"/>
      </w:r>
    </w:p>
    <w:p>
      <w:pPr>
        <w:pStyle w:val="Heading1"/>
        <w:numPr>
          <w:ilvl w:val="0"/>
          <w:numId w:val="12"/>
        </w:numPr>
        <w:rPr>
          <w:noProof/>
        </w:rPr>
      </w:pPr>
      <w:bookmarkStart w:id="27" w:name="_Toc497906499"/>
      <w:bookmarkStart w:id="28" w:name="_Toc500262097"/>
      <w:bookmarkStart w:id="29" w:name="_Toc507167006"/>
      <w:bookmarkStart w:id="30" w:name="_Toc508297375"/>
      <w:bookmarkStart w:id="31" w:name="_Toc508350134"/>
      <w:bookmarkStart w:id="32" w:name="_Toc508351578"/>
      <w:bookmarkStart w:id="33" w:name="_Toc508359994"/>
      <w:bookmarkStart w:id="34" w:name="_Toc511220492"/>
      <w:bookmarkStart w:id="35" w:name="_Toc511234937"/>
      <w:bookmarkStart w:id="36" w:name="_Toc511292850"/>
      <w:bookmarkStart w:id="37" w:name="_Toc492048396"/>
      <w:bookmarkStart w:id="38" w:name="_Toc492557152"/>
      <w:bookmarkStart w:id="39" w:name="_Toc497906500"/>
      <w:bookmarkStart w:id="40" w:name="_Toc497912981"/>
      <w:bookmarkStart w:id="41" w:name="_Toc497919429"/>
      <w:bookmarkStart w:id="42" w:name="_Toc497919748"/>
      <w:bookmarkStart w:id="43" w:name="_Toc497921479"/>
      <w:bookmarkStart w:id="44" w:name="_Toc497921574"/>
      <w:bookmarkEnd w:id="27"/>
      <w:r>
        <w:rPr>
          <w:noProof/>
        </w:rPr>
        <w:lastRenderedPageBreak/>
        <w:t>Amendments to the IA following the RSB opinion</w:t>
      </w:r>
      <w:bookmarkEnd w:id="28"/>
      <w:bookmarkEnd w:id="29"/>
      <w:bookmarkEnd w:id="30"/>
      <w:bookmarkEnd w:id="31"/>
      <w:bookmarkEnd w:id="32"/>
      <w:bookmarkEnd w:id="33"/>
      <w:bookmarkEnd w:id="34"/>
      <w:bookmarkEnd w:id="35"/>
      <w:bookmarkEnd w:id="36"/>
      <w:r>
        <w:rPr>
          <w:noProof/>
        </w:rPr>
        <w:t xml:space="preserve"> </w:t>
      </w:r>
    </w:p>
    <w:p>
      <w:pPr>
        <w:pBdr>
          <w:between w:val="single" w:sz="4" w:space="1" w:color="auto"/>
        </w:pBdr>
        <w:rPr>
          <w:noProof/>
        </w:rPr>
      </w:pPr>
      <w:r>
        <w:rPr>
          <w:noProof/>
        </w:rPr>
        <w:t>The following table summarises how the comments of Regulatory Scrutiny Board have been addressed following its final opinion.</w:t>
      </w:r>
    </w:p>
    <w:p>
      <w:pPr>
        <w:pStyle w:val="Heading2"/>
        <w:pBdr>
          <w:between w:val="single" w:sz="4" w:space="1" w:color="auto"/>
        </w:pBdr>
        <w:rPr>
          <w:noProof/>
        </w:rPr>
      </w:pPr>
      <w:bookmarkStart w:id="45" w:name="_Toc511220493"/>
      <w:bookmarkStart w:id="46" w:name="_Toc511234938"/>
      <w:bookmarkStart w:id="47" w:name="_Toc511292851"/>
      <w:bookmarkStart w:id="48" w:name="_Toc508351579"/>
      <w:bookmarkStart w:id="49" w:name="_Toc508359995"/>
      <w:r>
        <w:rPr>
          <w:noProof/>
        </w:rPr>
        <w:t>Summary of amendments following the RSB opinion of 22 March 2018</w:t>
      </w:r>
      <w:bookmarkEnd w:id="45"/>
      <w:bookmarkEnd w:id="46"/>
      <w:bookmarkEnd w:id="47"/>
    </w:p>
    <w:tbl>
      <w:tblPr>
        <w:tblStyle w:val="TableGrid"/>
        <w:tblW w:w="0" w:type="auto"/>
        <w:tblLook w:val="04A0" w:firstRow="1" w:lastRow="0" w:firstColumn="1" w:lastColumn="0" w:noHBand="0" w:noVBand="1"/>
      </w:tblPr>
      <w:tblGrid>
        <w:gridCol w:w="4644"/>
        <w:gridCol w:w="4644"/>
      </w:tblGrid>
      <w:tr>
        <w:tc>
          <w:tcPr>
            <w:tcW w:w="4644" w:type="dxa"/>
            <w:tcBorders>
              <w:bottom w:val="single" w:sz="4" w:space="0" w:color="auto"/>
            </w:tcBorders>
          </w:tcPr>
          <w:p>
            <w:pPr>
              <w:pBdr>
                <w:between w:val="single" w:sz="4" w:space="1" w:color="auto"/>
              </w:pBd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(1)</w:t>
            </w:r>
            <w:r>
              <w:rPr>
                <w:rFonts w:asciiTheme="minorHAnsi" w:eastAsiaTheme="minorHAnsi" w:hAnsiTheme="minorHAnsi" w:cstheme="minorBidi"/>
                <w:noProof/>
                <w:sz w:val="22"/>
                <w:szCs w:val="22"/>
              </w:rPr>
              <w:tab/>
              <w:t xml:space="preserve">The detailed analysis of the various online business models at stake helps to better understand the scope of the initiative. To provide a comprehensive overview, the analysis related to the multi-faceted online platform business models should be included in the core of the report, rather than in the annex. The report should provide more explanation as to the approach taken to identify these online services and include them in the scope of the initiative. It is not evident whether the extension aims at protecting businesses from search engines deliberately de-ranking them in search results, or rather to enable businesses to exploit the disclosed ranking algorithms to artificially improve their position. As the main online search engines already have disclosed information on the rankings, the report should assess to what extent an action on this issue is necessary at the EU level. </w:t>
            </w:r>
          </w:p>
        </w:tc>
        <w:tc>
          <w:tcPr>
            <w:tcW w:w="4644" w:type="dxa"/>
            <w:tcBorders>
              <w:bottom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The relevant explanations have been moved from the Annexes to the main report in Section 1.3, with additional explanations on how they have been identified. Footnote 16 explains the approach taken to identify the platforms.</w:t>
            </w:r>
          </w:p>
          <w:p>
            <w:pPr>
              <w:spacing w:after="0"/>
              <w:rPr>
                <w:rFonts w:asciiTheme="minorHAnsi" w:eastAsiaTheme="minorHAnsi" w:hAnsiTheme="minorHAnsi" w:cstheme="minorBidi"/>
                <w:noProof/>
                <w:sz w:val="22"/>
                <w:szCs w:val="22"/>
              </w:rPr>
            </w:pPr>
          </w:p>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The aim of option 2c and its extension to search engines is clarified in Table 1, and in the impact section 6. </w:t>
            </w:r>
          </w:p>
          <w:p>
            <w:pPr>
              <w:spacing w:after="0"/>
              <w:rPr>
                <w:rFonts w:asciiTheme="minorHAnsi" w:eastAsiaTheme="minorHAnsi" w:hAnsiTheme="minorHAnsi" w:cstheme="minorBidi"/>
                <w:noProof/>
                <w:sz w:val="22"/>
                <w:szCs w:val="22"/>
              </w:rPr>
            </w:pPr>
          </w:p>
          <w:p>
            <w:pPr>
              <w:spacing w:after="0"/>
              <w:rPr>
                <w:rFonts w:asciiTheme="minorHAnsi" w:eastAsiaTheme="minorHAnsi" w:hAnsiTheme="minorHAnsi" w:cstheme="minorBidi"/>
                <w:noProof/>
                <w:sz w:val="22"/>
                <w:szCs w:val="22"/>
              </w:rPr>
            </w:pPr>
          </w:p>
        </w:tc>
      </w:tr>
      <w:tr>
        <w:trPr>
          <w:trHeight w:val="6466"/>
        </w:trPr>
        <w:tc>
          <w:tcPr>
            <w:tcW w:w="4644" w:type="dxa"/>
            <w:tcBorders>
              <w:right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(2)</w:t>
            </w:r>
            <w:r>
              <w:rPr>
                <w:rFonts w:asciiTheme="minorHAnsi" w:eastAsiaTheme="minorHAnsi" w:hAnsiTheme="minorHAnsi" w:cstheme="minorBidi"/>
                <w:noProof/>
                <w:sz w:val="22"/>
                <w:szCs w:val="22"/>
              </w:rPr>
              <w:tab/>
              <w:t>The report should clarify the rationale behind the design of the many options. In particular, the report should better substantiate the choice of measures in option 2 and 3, as both options differ only on one single issue.</w:t>
            </w:r>
          </w:p>
          <w:p>
            <w:pPr>
              <w:pBdr>
                <w:between w:val="single" w:sz="4" w:space="1" w:color="auto"/>
              </w:pBdr>
              <w:spacing w:after="0"/>
              <w:rPr>
                <w:rFonts w:asciiTheme="minorHAnsi" w:eastAsiaTheme="minorHAnsi" w:hAnsiTheme="minorHAnsi" w:cstheme="minorBidi"/>
                <w:noProof/>
                <w:sz w:val="22"/>
                <w:szCs w:val="22"/>
              </w:rPr>
            </w:pPr>
          </w:p>
        </w:tc>
        <w:tc>
          <w:tcPr>
            <w:tcW w:w="4644" w:type="dxa"/>
            <w:tcBorders>
              <w:left w:val="single" w:sz="4" w:space="0" w:color="auto"/>
              <w:bottom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The design of the options has been clarified in Section 5.2.</w:t>
            </w:r>
          </w:p>
          <w:p>
            <w:pPr>
              <w:spacing w:after="0"/>
              <w:rPr>
                <w:rFonts w:asciiTheme="minorHAnsi" w:eastAsiaTheme="minorHAnsi" w:hAnsiTheme="minorHAnsi" w:cstheme="minorBidi"/>
                <w:noProof/>
                <w:sz w:val="22"/>
                <w:szCs w:val="22"/>
              </w:rPr>
            </w:pPr>
          </w:p>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Regarding the choice of measures in options 2 and 3, the new Section 5.4.2 (which substantiates why option 3 has been discarded) also allows better understanding of the choice of measures between options 2 and 3. </w:t>
            </w:r>
          </w:p>
          <w:p>
            <w:pPr>
              <w:spacing w:after="0"/>
              <w:rPr>
                <w:rFonts w:asciiTheme="minorHAnsi" w:eastAsiaTheme="minorHAnsi" w:hAnsiTheme="minorHAnsi" w:cstheme="minorBidi"/>
                <w:noProof/>
                <w:sz w:val="22"/>
                <w:szCs w:val="22"/>
              </w:rPr>
            </w:pPr>
          </w:p>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However, given that options 2 and 3 strongly differ on the implementation instrument - co-regulation versus full regulation, it is our understanding that what the Board meant in its opinion is that "the report should better substantiate the choice of measures between options 2b and 2c". These two co-regulatory options indeed defer only on a single issue. The choice of measures between 2b and 2c has therefore also been further explained in Section 5.2. In addition, for the sake of completeness, this has also been done for options 2c and 2d (end of Section 5.2). </w:t>
            </w:r>
          </w:p>
          <w:p>
            <w:pPr>
              <w:spacing w:after="0"/>
              <w:rPr>
                <w:rFonts w:asciiTheme="minorHAnsi" w:eastAsiaTheme="minorHAnsi" w:hAnsiTheme="minorHAnsi" w:cstheme="minorBidi"/>
                <w:noProof/>
                <w:sz w:val="22"/>
                <w:szCs w:val="22"/>
              </w:rPr>
            </w:pPr>
          </w:p>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Finally, a short summary overview of all four co-</w:t>
            </w:r>
          </w:p>
        </w:tc>
      </w:tr>
      <w:tr>
        <w:tc>
          <w:tcPr>
            <w:tcW w:w="4644" w:type="dxa"/>
            <w:tcBorders>
              <w:bottom w:val="nil"/>
              <w:right w:val="single" w:sz="4" w:space="0" w:color="auto"/>
            </w:tcBorders>
          </w:tcPr>
          <w:p>
            <w:pPr>
              <w:pBdr>
                <w:between w:val="single" w:sz="4" w:space="1" w:color="auto"/>
              </w:pBdr>
              <w:spacing w:after="0"/>
              <w:rPr>
                <w:rFonts w:asciiTheme="minorHAnsi" w:eastAsiaTheme="minorHAnsi" w:hAnsiTheme="minorHAnsi" w:cstheme="minorBidi"/>
                <w:noProof/>
                <w:sz w:val="22"/>
                <w:szCs w:val="22"/>
              </w:rPr>
            </w:pPr>
          </w:p>
        </w:tc>
        <w:tc>
          <w:tcPr>
            <w:tcW w:w="4644" w:type="dxa"/>
            <w:tcBorders>
              <w:left w:val="single" w:sz="4" w:space="0" w:color="auto"/>
              <w:bottom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regulatory options has been added in Section 5.5.</w:t>
            </w:r>
          </w:p>
          <w:p>
            <w:pPr>
              <w:pBdr>
                <w:between w:val="single" w:sz="4" w:space="1" w:color="auto"/>
              </w:pBdr>
              <w:spacing w:after="0"/>
              <w:rPr>
                <w:rFonts w:asciiTheme="minorHAnsi" w:eastAsiaTheme="minorHAnsi" w:hAnsiTheme="minorHAnsi" w:cstheme="minorBidi"/>
                <w:noProof/>
                <w:sz w:val="22"/>
                <w:szCs w:val="22"/>
              </w:rPr>
            </w:pPr>
          </w:p>
        </w:tc>
      </w:tr>
      <w:tr>
        <w:tc>
          <w:tcPr>
            <w:tcW w:w="4644" w:type="dxa"/>
            <w:tcBorders>
              <w:top w:val="nil"/>
              <w:bottom w:val="nil"/>
              <w:right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The report should further explain the perceived contradiction between the various calls and invitations on industry (voluntary measures) and legal obligations to comply with the voluntary measures potentially agreed upon, for example, concerning an external independent redress mechanism. </w:t>
            </w:r>
          </w:p>
          <w:p>
            <w:pPr>
              <w:pBdr>
                <w:between w:val="single" w:sz="4" w:space="1" w:color="auto"/>
              </w:pBdr>
              <w:spacing w:after="0"/>
              <w:rPr>
                <w:rFonts w:asciiTheme="minorHAnsi" w:eastAsiaTheme="minorHAnsi" w:hAnsiTheme="minorHAnsi" w:cstheme="minorBidi"/>
                <w:noProof/>
                <w:sz w:val="22"/>
                <w:szCs w:val="22"/>
              </w:rPr>
            </w:pPr>
          </w:p>
        </w:tc>
        <w:tc>
          <w:tcPr>
            <w:tcW w:w="4644" w:type="dxa"/>
            <w:tcBorders>
              <w:top w:val="single" w:sz="4" w:space="0" w:color="auto"/>
              <w:left w:val="single" w:sz="4" w:space="0" w:color="auto"/>
              <w:bottom w:val="nil"/>
            </w:tcBorders>
          </w:tcPr>
          <w:p>
            <w:pPr>
              <w:spacing w:after="0"/>
              <w:rPr>
                <w:rFonts w:asciiTheme="minorHAnsi" w:eastAsiaTheme="minorHAnsi" w:hAnsiTheme="minorHAnsi" w:cstheme="minorBidi"/>
                <w:noProof/>
                <w:sz w:val="22"/>
                <w:szCs w:val="22"/>
                <w:lang w:eastAsia="en-GB"/>
              </w:rPr>
            </w:pPr>
            <w:r>
              <w:rPr>
                <w:rFonts w:asciiTheme="minorHAnsi" w:eastAsiaTheme="minorHAnsi" w:hAnsiTheme="minorHAnsi" w:cstheme="minorBidi"/>
                <w:noProof/>
                <w:sz w:val="22"/>
                <w:szCs w:val="22"/>
              </w:rPr>
              <w:t xml:space="preserve">Section 5.2, Table 1 (Option 2), 6.2.1.1 and 8.1.2 updated to refer to </w:t>
            </w:r>
            <w:r>
              <w:rPr>
                <w:rFonts w:asciiTheme="minorHAnsi" w:eastAsiaTheme="minorHAnsi" w:hAnsiTheme="minorHAnsi" w:cstheme="minorBidi"/>
                <w:noProof/>
                <w:sz w:val="22"/>
                <w:szCs w:val="22"/>
                <w:lang w:eastAsia="en-GB"/>
              </w:rPr>
              <w:t xml:space="preserve">external organisations that can provide industry-specific mediators, rather than external redress mechanisms, which is used to refer to an external venue for redress similar to the SCI. </w:t>
            </w:r>
          </w:p>
          <w:p>
            <w:pPr>
              <w:pBdr>
                <w:between w:val="single" w:sz="4" w:space="1" w:color="auto"/>
              </w:pBdr>
              <w:spacing w:after="0"/>
              <w:rPr>
                <w:rFonts w:asciiTheme="minorHAnsi" w:eastAsiaTheme="minorHAnsi" w:hAnsiTheme="minorHAnsi" w:cstheme="minorBidi"/>
                <w:noProof/>
                <w:sz w:val="22"/>
                <w:szCs w:val="22"/>
                <w:lang w:eastAsia="en-GB"/>
              </w:rPr>
            </w:pPr>
          </w:p>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Section 5.4.1 emphasises the difference between a pure voluntary approach and the adoption of voluntary measures. Section 8.1 emphasises that the voluntary measures are supplementary to already effective tools, which will enhance the implementation of the Regulation so it is sensitive to industry’s needs. </w:t>
            </w:r>
          </w:p>
          <w:p>
            <w:pPr>
              <w:pBdr>
                <w:between w:val="single" w:sz="4" w:space="1" w:color="auto"/>
              </w:pBdr>
              <w:spacing w:after="0"/>
              <w:rPr>
                <w:rFonts w:asciiTheme="minorHAnsi" w:eastAsiaTheme="minorHAnsi" w:hAnsiTheme="minorHAnsi" w:cstheme="minorBidi"/>
                <w:noProof/>
                <w:sz w:val="22"/>
                <w:szCs w:val="22"/>
              </w:rPr>
            </w:pPr>
          </w:p>
        </w:tc>
      </w:tr>
      <w:tr>
        <w:trPr>
          <w:trHeight w:val="1935"/>
        </w:trPr>
        <w:tc>
          <w:tcPr>
            <w:tcW w:w="4644" w:type="dxa"/>
            <w:tcBorders>
              <w:top w:val="nil"/>
              <w:bottom w:val="single" w:sz="4" w:space="0" w:color="auto"/>
              <w:right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The reasoning behind the choice of the co-regulatory approach and the immediate discarding of all other approaches is insufficiently developed and presented. </w:t>
            </w:r>
          </w:p>
          <w:p>
            <w:pPr>
              <w:spacing w:after="0"/>
              <w:rPr>
                <w:rFonts w:asciiTheme="minorHAnsi" w:eastAsiaTheme="minorHAnsi" w:hAnsiTheme="minorHAnsi" w:cstheme="minorBidi"/>
                <w:noProof/>
                <w:sz w:val="22"/>
                <w:szCs w:val="22"/>
              </w:rPr>
            </w:pPr>
          </w:p>
          <w:p>
            <w:pPr>
              <w:pBdr>
                <w:between w:val="single" w:sz="4" w:space="1" w:color="auto"/>
              </w:pBdr>
              <w:spacing w:after="0"/>
              <w:rPr>
                <w:rFonts w:asciiTheme="minorHAnsi" w:eastAsiaTheme="minorHAnsi" w:hAnsiTheme="minorHAnsi" w:cstheme="minorBidi"/>
                <w:noProof/>
                <w:sz w:val="22"/>
                <w:szCs w:val="22"/>
              </w:rPr>
            </w:pPr>
          </w:p>
        </w:tc>
        <w:tc>
          <w:tcPr>
            <w:tcW w:w="4644" w:type="dxa"/>
            <w:tcBorders>
              <w:top w:val="nil"/>
              <w:left w:val="single" w:sz="4" w:space="0" w:color="auto"/>
              <w:bottom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Sections 5.4.1, 5.4.2 and 5.4.3 have been developed to substantiate the discarding of Policy Options 1, 3, and 4.</w:t>
            </w:r>
          </w:p>
          <w:p>
            <w:pPr>
              <w:pBdr>
                <w:between w:val="single" w:sz="4" w:space="1" w:color="auto"/>
              </w:pBdr>
              <w:spacing w:after="0"/>
              <w:rPr>
                <w:rFonts w:asciiTheme="minorHAnsi" w:eastAsiaTheme="minorHAnsi" w:hAnsiTheme="minorHAnsi" w:cstheme="minorBidi"/>
                <w:noProof/>
                <w:sz w:val="22"/>
                <w:szCs w:val="22"/>
              </w:rPr>
            </w:pPr>
          </w:p>
        </w:tc>
      </w:tr>
      <w:tr>
        <w:tc>
          <w:tcPr>
            <w:tcW w:w="4644" w:type="dxa"/>
            <w:tcBorders>
              <w:top w:val="single" w:sz="4" w:space="0" w:color="auto"/>
              <w:left w:val="single" w:sz="4" w:space="0" w:color="auto"/>
              <w:bottom w:val="nil"/>
              <w:right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(3)</w:t>
            </w:r>
            <w:r>
              <w:rPr>
                <w:rFonts w:asciiTheme="minorHAnsi" w:eastAsiaTheme="minorHAnsi" w:hAnsiTheme="minorHAnsi" w:cstheme="minorBidi"/>
                <w:noProof/>
                <w:sz w:val="22"/>
                <w:szCs w:val="22"/>
              </w:rPr>
              <w:tab/>
              <w:t>The report should further detail what 'independent flanking measures’ will look like. It should explain to which extent the effectiveness of the initiative depends on the successful implementation of these flanking measures.</w:t>
            </w:r>
          </w:p>
          <w:p>
            <w:pPr>
              <w:spacing w:after="0"/>
              <w:rPr>
                <w:rFonts w:asciiTheme="minorHAnsi" w:eastAsiaTheme="minorHAnsi" w:hAnsiTheme="minorHAnsi" w:cstheme="minorBidi"/>
                <w:noProof/>
                <w:sz w:val="22"/>
                <w:szCs w:val="22"/>
              </w:rPr>
            </w:pPr>
          </w:p>
          <w:p>
            <w:pPr>
              <w:pBdr>
                <w:between w:val="single" w:sz="4" w:space="1" w:color="auto"/>
              </w:pBdr>
              <w:spacing w:after="0"/>
              <w:rPr>
                <w:rFonts w:asciiTheme="minorHAnsi" w:eastAsiaTheme="minorHAnsi" w:hAnsiTheme="minorHAnsi" w:cstheme="minorBidi"/>
                <w:noProof/>
                <w:sz w:val="22"/>
                <w:szCs w:val="22"/>
              </w:rPr>
            </w:pPr>
          </w:p>
        </w:tc>
        <w:tc>
          <w:tcPr>
            <w:tcW w:w="4644" w:type="dxa"/>
            <w:vMerge w:val="restart"/>
            <w:tcBorders>
              <w:top w:val="single" w:sz="4" w:space="0" w:color="auto"/>
              <w:left w:val="single" w:sz="4" w:space="0" w:color="auto"/>
              <w:right w:val="single" w:sz="4" w:space="0" w:color="auto"/>
            </w:tcBorders>
          </w:tcPr>
          <w:p>
            <w:pP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The reference on independent flanking measures has been deleted. There is no direct relation between the effectiveness of the initiative and broader, data-related initiatives under the data economy package, although data-sharing will be examined in the observatory, as explained on page 41.</w:t>
            </w:r>
          </w:p>
          <w:p>
            <w:pPr>
              <w:spacing w:after="0"/>
              <w:rPr>
                <w:rFonts w:asciiTheme="minorHAnsi" w:eastAsiaTheme="minorHAnsi" w:hAnsiTheme="minorHAnsi" w:cstheme="minorBidi"/>
                <w:noProof/>
                <w:sz w:val="22"/>
                <w:szCs w:val="22"/>
              </w:rPr>
            </w:pPr>
          </w:p>
          <w:p>
            <w:pPr>
              <w:pStyle w:val="ListParagraph"/>
              <w:numPr>
                <w:ilvl w:val="0"/>
                <w:numId w:val="404"/>
              </w:numPr>
              <w:spacing w:after="0"/>
              <w:ind w:left="747" w:hanging="387"/>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Summary table on impacts has been moved from the annexes to the main IA report as Section 6.9.</w:t>
            </w:r>
          </w:p>
          <w:p>
            <w:pPr>
              <w:pStyle w:val="ListParagraph"/>
              <w:numPr>
                <w:ilvl w:val="0"/>
                <w:numId w:val="404"/>
              </w:numPr>
              <w:spacing w:after="0"/>
              <w:ind w:left="747" w:hanging="387"/>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Annex 12 on the comparative analysis of the retained options has been moved to the main IA report as Section 7.1.</w:t>
            </w:r>
          </w:p>
        </w:tc>
      </w:tr>
      <w:tr>
        <w:tc>
          <w:tcPr>
            <w:tcW w:w="4644" w:type="dxa"/>
            <w:tcBorders>
              <w:top w:val="nil"/>
              <w:left w:val="single" w:sz="4" w:space="0" w:color="auto"/>
              <w:bottom w:val="single" w:sz="4" w:space="0" w:color="auto"/>
              <w:right w:val="single" w:sz="4" w:space="0" w:color="auto"/>
            </w:tcBorders>
          </w:tcPr>
          <w:p>
            <w:pPr>
              <w:pBdr>
                <w:between w:val="single" w:sz="4" w:space="1" w:color="auto"/>
              </w:pBd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Important parts of the annexed material could be moved to the main text. The addition of a lot of new information has fragmented the main report and the annexes, reducing the informative value of the main report. </w:t>
            </w:r>
          </w:p>
        </w:tc>
        <w:tc>
          <w:tcPr>
            <w:tcW w:w="4644" w:type="dxa"/>
            <w:vMerge/>
            <w:tcBorders>
              <w:left w:val="single" w:sz="4" w:space="0" w:color="auto"/>
              <w:bottom w:val="single" w:sz="4" w:space="0" w:color="auto"/>
              <w:right w:val="single" w:sz="4" w:space="0" w:color="auto"/>
            </w:tcBorders>
          </w:tcPr>
          <w:p>
            <w:pPr>
              <w:numPr>
                <w:ilvl w:val="0"/>
                <w:numId w:val="40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rPr>
                <w:rFonts w:asciiTheme="minorHAnsi" w:eastAsiaTheme="minorHAnsi" w:hAnsiTheme="minorHAnsi" w:cstheme="minorBidi"/>
                <w:noProof/>
                <w:sz w:val="22"/>
                <w:szCs w:val="22"/>
              </w:rPr>
            </w:pPr>
          </w:p>
        </w:tc>
      </w:tr>
      <w:tr>
        <w:tc>
          <w:tcPr>
            <w:tcW w:w="4644" w:type="dxa"/>
            <w:tcBorders>
              <w:top w:val="single" w:sz="4" w:space="0" w:color="auto"/>
            </w:tcBorders>
          </w:tcPr>
          <w:p>
            <w:pPr>
              <w:pBdr>
                <w:between w:val="single" w:sz="4" w:space="1" w:color="auto"/>
              </w:pBdr>
              <w:spacing w:after="0"/>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The Board takes note of the quantification of the various costs and benefits associated to the preferred option of this initiative, as assessed in the report considered by the Board and summarised in the attached quantification tables</w:t>
            </w:r>
          </w:p>
        </w:tc>
        <w:tc>
          <w:tcPr>
            <w:tcW w:w="4644" w:type="dxa"/>
            <w:tcBorders>
              <w:top w:val="single" w:sz="4" w:space="0" w:color="auto"/>
            </w:tcBorders>
          </w:tcPr>
          <w:p>
            <w:pPr>
              <w:pBdr>
                <w:between w:val="single" w:sz="4" w:space="1" w:color="auto"/>
              </w:pBdr>
              <w:spacing w:after="0"/>
              <w:rPr>
                <w:rFonts w:asciiTheme="minorHAnsi" w:eastAsiaTheme="minorHAnsi" w:hAnsiTheme="minorHAnsi" w:cstheme="minorBidi"/>
                <w:noProof/>
                <w:sz w:val="22"/>
                <w:szCs w:val="22"/>
              </w:rPr>
            </w:pPr>
          </w:p>
        </w:tc>
      </w:tr>
    </w:tbl>
    <w:p>
      <w:pPr>
        <w:pStyle w:val="Text2"/>
        <w:ind w:left="0"/>
        <w:rPr>
          <w:noProof/>
        </w:rPr>
      </w:pPr>
    </w:p>
    <w:p>
      <w:pPr>
        <w:pStyle w:val="Heading2"/>
        <w:rPr>
          <w:noProof/>
        </w:rPr>
      </w:pPr>
      <w:bookmarkStart w:id="50" w:name="_Toc511220494"/>
      <w:bookmarkStart w:id="51" w:name="_Toc511234939"/>
      <w:bookmarkStart w:id="52" w:name="_Toc511292852"/>
      <w:r>
        <w:rPr>
          <w:noProof/>
        </w:rPr>
        <w:t xml:space="preserve">Summary </w:t>
      </w:r>
      <w:bookmarkEnd w:id="48"/>
      <w:r>
        <w:rPr>
          <w:noProof/>
        </w:rPr>
        <w:t>of amendments</w:t>
      </w:r>
      <w:bookmarkEnd w:id="49"/>
      <w:r>
        <w:rPr>
          <w:noProof/>
        </w:rPr>
        <w:t xml:space="preserve"> following RSB opinion of December 2017</w:t>
      </w:r>
      <w:bookmarkEnd w:id="50"/>
      <w:bookmarkEnd w:id="51"/>
      <w:bookmarkEnd w:id="52"/>
    </w:p>
    <w:tbl>
      <w:tblPr>
        <w:tblStyle w:val="TableGrid"/>
        <w:tblW w:w="0" w:type="auto"/>
        <w:tblLook w:val="04A0" w:firstRow="1" w:lastRow="0" w:firstColumn="1" w:lastColumn="0" w:noHBand="0" w:noVBand="1"/>
      </w:tblPr>
      <w:tblGrid>
        <w:gridCol w:w="4644"/>
        <w:gridCol w:w="4644"/>
      </w:tblGrid>
      <w:tr>
        <w:tc>
          <w:tcPr>
            <w:tcW w:w="4644" w:type="dxa"/>
          </w:tcPr>
          <w:p>
            <w:pPr>
              <w:rPr>
                <w:b/>
                <w:noProof/>
              </w:rPr>
            </w:pPr>
            <w:r>
              <w:rPr>
                <w:b/>
                <w:noProof/>
              </w:rPr>
              <w:t>RSB comment</w:t>
            </w:r>
          </w:p>
        </w:tc>
        <w:tc>
          <w:tcPr>
            <w:tcW w:w="4644" w:type="dxa"/>
          </w:tcPr>
          <w:p>
            <w:pPr>
              <w:rPr>
                <w:b/>
                <w:noProof/>
              </w:rPr>
            </w:pPr>
            <w:r>
              <w:rPr>
                <w:b/>
                <w:noProof/>
              </w:rPr>
              <w:t>Amendments made to the IA</w:t>
            </w:r>
          </w:p>
        </w:tc>
      </w:tr>
      <w:tr>
        <w:tc>
          <w:tcPr>
            <w:tcW w:w="4644" w:type="dxa"/>
          </w:tcPr>
          <w:p>
            <w:pPr>
              <w:rPr>
                <w:noProof/>
              </w:rPr>
            </w:pPr>
            <w:r>
              <w:rPr>
                <w:noProof/>
              </w:rPr>
              <w:t>(1) As intermediation by online platforms is wide-ranging and fast-changing, the report has to make clear what is and what is not in the scope of the intervention. The report should more precisely define online platforms and/or their services it intends to regulate in order to avoid legal uncertainty for platforms and businesses entering into contractual relations. The current definition is fairly broad and risk to impose constraints on platforms not involved in unfair trading practices (e.g. payment platforms). The report should test whether the definitions are future proof. This report opts for a regulation, which is directly applicable. The positioning of the initiative in relation to the EU competition law needs to be further clarified.</w:t>
            </w:r>
          </w:p>
          <w:p>
            <w:pPr>
              <w:rPr>
                <w:noProof/>
              </w:rPr>
            </w:pPr>
          </w:p>
        </w:tc>
        <w:tc>
          <w:tcPr>
            <w:tcW w:w="4644" w:type="dxa"/>
          </w:tcPr>
          <w:p>
            <w:pPr>
              <w:rPr>
                <w:noProof/>
              </w:rPr>
            </w:pPr>
            <w:r>
              <w:rPr>
                <w:noProof/>
              </w:rPr>
              <w:t xml:space="preserve">The revised IA clarifies the </w:t>
            </w:r>
            <w:r>
              <w:rPr>
                <w:noProof/>
                <w:u w:val="single"/>
              </w:rPr>
              <w:t>scope of the intervention</w:t>
            </w:r>
            <w:r>
              <w:rPr>
                <w:noProof/>
              </w:rPr>
              <w:t xml:space="preserve"> and the </w:t>
            </w:r>
            <w:r>
              <w:rPr>
                <w:noProof/>
                <w:u w:val="single"/>
              </w:rPr>
              <w:t>definition of the types of online platform services which fall in the scope</w:t>
            </w:r>
            <w:r>
              <w:rPr>
                <w:noProof/>
              </w:rPr>
              <w:t xml:space="preserve">. The IA also explains the </w:t>
            </w:r>
            <w:r>
              <w:rPr>
                <w:noProof/>
                <w:u w:val="single"/>
              </w:rPr>
              <w:t>rationale behind the proposed definition</w:t>
            </w:r>
            <w:r>
              <w:rPr>
                <w:noProof/>
              </w:rPr>
              <w:t xml:space="preserve"> of scope and demonstrates that it is </w:t>
            </w:r>
            <w:r>
              <w:rPr>
                <w:noProof/>
                <w:u w:val="single"/>
              </w:rPr>
              <w:t>futureproof</w:t>
            </w:r>
            <w:r>
              <w:rPr>
                <w:noProof/>
              </w:rPr>
              <w:t xml:space="preserve"> (Annexes 1.4 and 1.2). Examples of services falling in/out of scope are provided in Section 1.3 and Annex 4.1.1, 4.1.2).</w:t>
            </w:r>
          </w:p>
          <w:p>
            <w:pPr>
              <w:pStyle w:val="Default"/>
              <w:jc w:val="both"/>
              <w:rPr>
                <w:noProof/>
              </w:rPr>
            </w:pPr>
            <w:r>
              <w:rPr>
                <w:noProof/>
              </w:rPr>
              <w:t xml:space="preserve">The work on the </w:t>
            </w:r>
            <w:r>
              <w:rPr>
                <w:noProof/>
                <w:u w:val="single"/>
              </w:rPr>
              <w:t>definition of the scope</w:t>
            </w:r>
            <w:r>
              <w:rPr>
                <w:noProof/>
              </w:rPr>
              <w:t xml:space="preserve"> is informed by the drafting of the legal instrument. A legal definition of online intermediation services that reflects the precise scope has been developed. It is to be noted that the EU has a proven track record on developing similar horizontal and technologically-neutral legal definitions (information society services in ECD and online market places &amp; search engines in NIS Directive). Further analysis has been carried out to ensure that the P2B scoping definition is compatible with other EU policy initiatives and existing legislation (cf. table on comparison of definitions in Annex 8.3 on EU acquis (table)</w:t>
            </w:r>
            <w:r>
              <w:rPr>
                <w:i/>
                <w:noProof/>
              </w:rPr>
              <w:t xml:space="preserve"> </w:t>
            </w:r>
            <w:r>
              <w:rPr>
                <w:noProof/>
              </w:rPr>
              <w:t>as well as in Section 1.3 (</w:t>
            </w:r>
            <w:r>
              <w:rPr>
                <w:i/>
                <w:noProof/>
              </w:rPr>
              <w:t>IA Scope</w:t>
            </w:r>
            <w:r>
              <w:rPr>
                <w:noProof/>
              </w:rPr>
              <w:t>).</w:t>
            </w:r>
          </w:p>
          <w:p>
            <w:pPr>
              <w:rPr>
                <w:noProof/>
              </w:rPr>
            </w:pPr>
          </w:p>
          <w:p>
            <w:pPr>
              <w:rPr>
                <w:noProof/>
              </w:rPr>
            </w:pPr>
            <w:r>
              <w:rPr>
                <w:noProof/>
              </w:rPr>
              <w:t xml:space="preserve">As regards </w:t>
            </w:r>
            <w:r>
              <w:rPr>
                <w:noProof/>
                <w:u w:val="single"/>
              </w:rPr>
              <w:t>scope</w:t>
            </w:r>
            <w:r>
              <w:rPr>
                <w:noProof/>
              </w:rPr>
              <w:t xml:space="preserve">, detailed discussions with all relevant Commission services have taken place that confirmed that the initiative should cover social media, e-commerce market places and app stores, whereas payment services, advertising services and B2B platforms are out of scope. In addition, the inter-services discussions covered the </w:t>
            </w:r>
            <w:r>
              <w:rPr>
                <w:noProof/>
                <w:u w:val="single"/>
              </w:rPr>
              <w:t>appropriateness of extending the scope of the initiative to online general search engines</w:t>
            </w:r>
            <w:r>
              <w:rPr>
                <w:noProof/>
              </w:rPr>
              <w:t xml:space="preserve">.  Based on available evidence and building on the existing legal definition of </w:t>
            </w:r>
            <w:r>
              <w:rPr>
                <w:i/>
                <w:iCs/>
                <w:noProof/>
              </w:rPr>
              <w:t>online search engines</w:t>
            </w:r>
            <w:r>
              <w:rPr>
                <w:noProof/>
              </w:rPr>
              <w:t xml:space="preserve"> in the NIS Directive, a targeted extension of the initiative has been judged possible. This extension would not cover all issues but be limited to the issue of ranking in online general search engines and to the enforcement provision on legal standing for representative bodies of online general search engines. This has been reflected as a co-regulatory sub-option (option 2c). </w:t>
            </w:r>
          </w:p>
          <w:p>
            <w:pPr>
              <w:rPr>
                <w:noProof/>
              </w:rPr>
            </w:pPr>
            <w:r>
              <w:rPr>
                <w:noProof/>
              </w:rPr>
              <w:t xml:space="preserve">The </w:t>
            </w:r>
            <w:r>
              <w:rPr>
                <w:noProof/>
                <w:u w:val="single"/>
              </w:rPr>
              <w:t>legal context</w:t>
            </w:r>
            <w:r>
              <w:rPr>
                <w:noProof/>
              </w:rPr>
              <w:t xml:space="preserve"> of the initiative as well as its complementarity with </w:t>
            </w:r>
            <w:r>
              <w:rPr>
                <w:noProof/>
                <w:u w:val="single"/>
              </w:rPr>
              <w:t>competition law</w:t>
            </w:r>
            <w:r>
              <w:rPr>
                <w:noProof/>
              </w:rPr>
              <w:t xml:space="preserve"> and parallel initiatives tackling unfair business practices in the off-line world (the food supply chain) has been clarified (cf. Introduction Section 1).</w:t>
            </w:r>
          </w:p>
          <w:p>
            <w:pPr>
              <w:rPr>
                <w:noProof/>
              </w:rPr>
            </w:pPr>
          </w:p>
        </w:tc>
      </w:tr>
      <w:tr>
        <w:tc>
          <w:tcPr>
            <w:tcW w:w="4644" w:type="dxa"/>
            <w:tcBorders>
              <w:bottom w:val="single" w:sz="4" w:space="0" w:color="auto"/>
            </w:tcBorders>
          </w:tcPr>
          <w:p>
            <w:pPr>
              <w:rPr>
                <w:noProof/>
              </w:rPr>
            </w:pPr>
            <w:r>
              <w:rPr>
                <w:noProof/>
              </w:rPr>
              <w:t>(2) The report should better demonstrate the magnitude of the problem. In particular, the report should present the available evidence with more caveats, as it mostly derives from stakeholder consultations representing business traders. The report does not indicate whether unfair trading practices are mainly used by major larger players or frequent across platforms or sectors. The analysis should be balanced and take care of possible bias. The initiative will be based on article 114, but the report only identifies fragmentation related to emerging national legislative initiatives. The single market dimension needs to be substantiated. The report should clarify that the initiative does not intend to tackle directly technical issues linked to the operation of platforms. In addition, the report should present a more comprehensive picture of the market structure to support the analysis it contains.</w:t>
            </w:r>
          </w:p>
        </w:tc>
        <w:tc>
          <w:tcPr>
            <w:tcW w:w="4644" w:type="dxa"/>
          </w:tcPr>
          <w:p>
            <w:pPr>
              <w:rPr>
                <w:noProof/>
              </w:rPr>
            </w:pPr>
            <w:r>
              <w:rPr>
                <w:noProof/>
              </w:rPr>
              <w:t xml:space="preserve">The revised IA further clarifies the </w:t>
            </w:r>
            <w:r>
              <w:rPr>
                <w:noProof/>
                <w:u w:val="single"/>
              </w:rPr>
              <w:t>scale of the problems</w:t>
            </w:r>
            <w:r>
              <w:rPr>
                <w:noProof/>
              </w:rPr>
              <w:t xml:space="preserve"> and the need for intervention (problems (section 2.1), drivers (section 2.2), consequences (section 2.3). A substantiated overview of the problem definition can be found in annex 1.7. The presentation of the problem statement has been revised to clarify the intervention logics. The revised IA explains how self-selection bias in the evidence-base has been controlled for. The revised IA clarifies that the P2B issues encountered are common to the entire sector and not only to big platforms.</w:t>
            </w:r>
          </w:p>
          <w:p>
            <w:pPr>
              <w:rPr>
                <w:noProof/>
              </w:rPr>
            </w:pPr>
            <w:r>
              <w:rPr>
                <w:noProof/>
              </w:rPr>
              <w:t xml:space="preserve">The </w:t>
            </w:r>
            <w:r>
              <w:rPr>
                <w:noProof/>
                <w:u w:val="single"/>
              </w:rPr>
              <w:t>single market dimension</w:t>
            </w:r>
            <w:r>
              <w:rPr>
                <w:noProof/>
              </w:rPr>
              <w:t xml:space="preserve"> has been specified throughout the report (but mainly in Sections 2 and 3, annexes 1.8 and 1.9) to highlight more clearly the cross-border digital single market aspects of the underlying problem. Mainly, the revised IA clarifies the risk of an artificial legal re-fragmentation of the naturally cross-border online platforms market. Section 3 has been substantially revised, including also additional arguments why the solution must also be of an EU-wide nature.</w:t>
            </w:r>
          </w:p>
          <w:p>
            <w:pPr>
              <w:rPr>
                <w:noProof/>
              </w:rPr>
            </w:pPr>
            <w:r>
              <w:rPr>
                <w:noProof/>
              </w:rPr>
              <w:t xml:space="preserve">The </w:t>
            </w:r>
            <w:r>
              <w:rPr>
                <w:noProof/>
                <w:u w:val="single"/>
              </w:rPr>
              <w:t xml:space="preserve">market structure </w:t>
            </w:r>
            <w:r>
              <w:rPr>
                <w:noProof/>
              </w:rPr>
              <w:t>has been developed in more detail to better demonstrate the dynamics of the platform economy (cf. Section 2 and Annex 7). The same section has also been expanded to online general search engines.</w:t>
            </w:r>
          </w:p>
          <w:p>
            <w:pPr>
              <w:rPr>
                <w:noProof/>
              </w:rPr>
            </w:pPr>
            <w:r>
              <w:rPr>
                <w:noProof/>
              </w:rPr>
              <w:t xml:space="preserve">The revised IA also further qualifies </w:t>
            </w:r>
            <w:r>
              <w:rPr>
                <w:noProof/>
                <w:u w:val="single"/>
              </w:rPr>
              <w:t>the objectives (cf. Section 4)</w:t>
            </w:r>
            <w:r>
              <w:rPr>
                <w:noProof/>
              </w:rPr>
              <w:t xml:space="preserve"> to allow better understanding of the inter-linkage with the problems identified.</w:t>
            </w:r>
          </w:p>
          <w:p>
            <w:pPr>
              <w:rPr>
                <w:noProof/>
              </w:rPr>
            </w:pPr>
            <w:r>
              <w:rPr>
                <w:noProof/>
              </w:rPr>
              <w:t xml:space="preserve">The revised IA clarifies that purely </w:t>
            </w:r>
            <w:r>
              <w:rPr>
                <w:noProof/>
                <w:u w:val="single"/>
              </w:rPr>
              <w:t>technical issues are not covered</w:t>
            </w:r>
            <w:r>
              <w:rPr>
                <w:noProof/>
              </w:rPr>
              <w:t xml:space="preserve"> by the initiative. </w:t>
            </w:r>
          </w:p>
          <w:p>
            <w:pPr>
              <w:rPr>
                <w:noProof/>
              </w:rPr>
            </w:pPr>
          </w:p>
        </w:tc>
      </w:tr>
      <w:tr>
        <w:tc>
          <w:tcPr>
            <w:tcW w:w="4644" w:type="dxa"/>
            <w:tcBorders>
              <w:bottom w:val="nil"/>
            </w:tcBorders>
          </w:tcPr>
          <w:p>
            <w:pPr>
              <w:rPr>
                <w:noProof/>
              </w:rPr>
            </w:pPr>
            <w:r>
              <w:rPr>
                <w:noProof/>
              </w:rPr>
              <w:t>(3) The report should provide a more thorough analysis of impacts and cover more aspects. In particular, the report should discuss in more detail the risks of unintended consequences when introducing the initiative. This should include possible consequences for platform to consumer relations or higher charges to traders. It should also consider the possibility of reduced access to the platform, which is indicated by fear of retaliation by some firms, and an acceleration of vertical integration between platforms and suppliers. As the platform industry is very dynamic and the regulation does not have a precedent in EU legislation, there may be risks of other inadvertent changes in the behaviour of platforms and businesses, competition between platforms or emergence of innovative solutions. These risks may be quite high and should, therefore, be presented in the report.</w:t>
            </w:r>
          </w:p>
          <w:p>
            <w:pPr>
              <w:rPr>
                <w:noProof/>
              </w:rPr>
            </w:pPr>
          </w:p>
        </w:tc>
        <w:tc>
          <w:tcPr>
            <w:tcW w:w="4644" w:type="dxa"/>
            <w:tcBorders>
              <w:bottom w:val="nil"/>
            </w:tcBorders>
          </w:tcPr>
          <w:p>
            <w:pPr>
              <w:rPr>
                <w:noProof/>
              </w:rPr>
            </w:pPr>
            <w:r>
              <w:rPr>
                <w:noProof/>
              </w:rPr>
              <w:t xml:space="preserve">The </w:t>
            </w:r>
            <w:r>
              <w:rPr>
                <w:noProof/>
                <w:u w:val="single"/>
              </w:rPr>
              <w:t>impact analysis</w:t>
            </w:r>
            <w:r>
              <w:rPr>
                <w:noProof/>
              </w:rPr>
              <w:t xml:space="preserve"> has been extended in terms of impact on consumers, growth, cost-benefit analysis, competitiveness and competition (Section 6 with further substantiation in Annex 13). </w:t>
            </w:r>
          </w:p>
          <w:p>
            <w:pPr>
              <w:rPr>
                <w:noProof/>
              </w:rPr>
            </w:pPr>
            <w:r>
              <w:rPr>
                <w:noProof/>
              </w:rPr>
              <w:t xml:space="preserve">The revised IA more thoroughly assesses potential risks, and highlights why the initiative will not negatively impact smaller market players, be they platforms or SME business users. A more thorough explanation of the impact on SMEs has been included at Annex 11 using the SME test. </w:t>
            </w:r>
          </w:p>
          <w:p>
            <w:pPr>
              <w:rPr>
                <w:noProof/>
              </w:rPr>
            </w:pPr>
            <w:r>
              <w:rPr>
                <w:noProof/>
              </w:rPr>
              <w:t xml:space="preserve">It also substantiates why consumers will not be negatively affected by the initiative, as the underlying model indicates the net effect points to preserving or and even improve their benefits from the platform economy. </w:t>
            </w:r>
          </w:p>
          <w:p>
            <w:pPr>
              <w:rPr>
                <w:noProof/>
              </w:rPr>
            </w:pPr>
            <w:r>
              <w:rPr>
                <w:noProof/>
              </w:rPr>
              <w:t>A summary of impacts for all options is presented in the table of Annex 13.9.</w:t>
            </w:r>
          </w:p>
        </w:tc>
      </w:tr>
      <w:tr>
        <w:trPr>
          <w:trHeight w:val="4072"/>
        </w:trPr>
        <w:tc>
          <w:tcPr>
            <w:tcW w:w="4644" w:type="dxa"/>
            <w:tcBorders>
              <w:top w:val="nil"/>
              <w:bottom w:val="single" w:sz="4" w:space="0" w:color="auto"/>
            </w:tcBorders>
          </w:tcPr>
          <w:p>
            <w:pPr>
              <w:rPr>
                <w:noProof/>
              </w:rPr>
            </w:pPr>
            <w:r>
              <w:rPr>
                <w:noProof/>
              </w:rPr>
              <w:t>Moreover, the report should present the criteria for establishing exemptions from the provisions of the regulation and how the proposed thresholds relate to the current and expected market structure and use of unfair trading practices throughout the industry.</w:t>
            </w:r>
          </w:p>
        </w:tc>
        <w:tc>
          <w:tcPr>
            <w:tcW w:w="4644" w:type="dxa"/>
            <w:tcBorders>
              <w:top w:val="nil"/>
              <w:bottom w:val="nil"/>
            </w:tcBorders>
          </w:tcPr>
          <w:p>
            <w:pPr>
              <w:rPr>
                <w:noProof/>
              </w:rPr>
            </w:pPr>
            <w:r>
              <w:rPr>
                <w:noProof/>
              </w:rPr>
              <w:t xml:space="preserve">An analysis of </w:t>
            </w:r>
            <w:r>
              <w:rPr>
                <w:noProof/>
                <w:u w:val="single"/>
              </w:rPr>
              <w:t>thresholds</w:t>
            </w:r>
            <w:r>
              <w:rPr>
                <w:noProof/>
              </w:rPr>
              <w:t xml:space="preserve"> has been introduced (Section 6.2.1.3). It covers a number of questions: For which measures are thresholds needed? If they are needed, how should they be set? Which measurements or proxies can be used to determine their level and to verify compliance easily? The analysis leads to the conclusion (in section 8.3) that small enterprises (i.e. those employing less than 50 persons) should be exempted from the obligation to have an internal redress mechanism, while the question whether a global microenterprise exemption is needed is left open.</w:t>
            </w:r>
          </w:p>
        </w:tc>
      </w:tr>
      <w:tr>
        <w:tc>
          <w:tcPr>
            <w:tcW w:w="4644" w:type="dxa"/>
            <w:tcBorders>
              <w:top w:val="single" w:sz="4" w:space="0" w:color="auto"/>
            </w:tcBorders>
          </w:tcPr>
          <w:p>
            <w:pPr>
              <w:rPr>
                <w:noProof/>
              </w:rPr>
            </w:pPr>
            <w:r>
              <w:rPr>
                <w:noProof/>
              </w:rPr>
              <w:t>(4) The report should address the proportionality of the measures and their effectiveness. Given the network effects of the platforms and their quasi monopolistic position, some of the transparency enhancing measures may not bring the desired effects, for instance the transparency on the changes to general terms and conditions or the justification for the use of most-favoured nation clauses. The report should indicate the type of information expected under the new disclosure obligations. It could at least refer to best practices in that respect.</w:t>
            </w:r>
          </w:p>
          <w:p>
            <w:pPr>
              <w:rPr>
                <w:noProof/>
              </w:rPr>
            </w:pPr>
          </w:p>
          <w:p>
            <w:pPr>
              <w:rPr>
                <w:noProof/>
              </w:rPr>
            </w:pPr>
            <w:r>
              <w:rPr>
                <w:noProof/>
              </w:rPr>
              <w:t>Similarly, the report should demonstrate the proportionality of the redress mechanisms. The implications (costs, enforcement) of the reporting on litigations are not explored. The report also needs to justify the recourse to collective redress in business-to-business relations to solve ineffective redress, in particular as this has not so far been deployed at the EU level. The report should discuss the outcomes of the 2013 Commission's recommendation on collective redress mechanisms at national level. On this basis, the report should clarify whether further measures are necessary to strengthen collective redress for platforms at EU level. If so, the report should substantiate the choice of an EU legally binding instrument, such as a regulation, and detail the minimum requirements it intends to propose. The report should clarify how the initiative relates to the pending review of the injunction directive, in particular when addressing business-to-business relations. In general, the vague definition of the scope of the initiative makes the analysis of the proposed solution difficult as regards its effectiveness, efficiency and coherence.</w:t>
            </w:r>
          </w:p>
        </w:tc>
        <w:tc>
          <w:tcPr>
            <w:tcW w:w="4644" w:type="dxa"/>
            <w:tcBorders>
              <w:top w:val="single" w:sz="4" w:space="0" w:color="auto"/>
            </w:tcBorders>
          </w:tcPr>
          <w:p>
            <w:pPr>
              <w:pBdr>
                <w:top w:val="single" w:sz="6" w:space="1" w:color="auto"/>
                <w:left w:val="single" w:sz="6" w:space="4" w:color="auto"/>
                <w:bottom w:val="single" w:sz="6" w:space="1" w:color="auto"/>
                <w:right w:val="single" w:sz="6" w:space="4" w:color="auto"/>
              </w:pBdr>
              <w:rPr>
                <w:noProof/>
              </w:rPr>
            </w:pPr>
            <w:r>
              <w:rPr>
                <w:noProof/>
              </w:rPr>
              <w:t xml:space="preserve">The overall </w:t>
            </w:r>
            <w:r>
              <w:rPr>
                <w:noProof/>
                <w:u w:val="single"/>
              </w:rPr>
              <w:t>rationale and proportionality of the package of measures</w:t>
            </w:r>
            <w:r>
              <w:rPr>
                <w:noProof/>
              </w:rPr>
              <w:t xml:space="preserve"> has been set out in more detail in Section 8.1. of the revised IA, which now clarifies that the focus on bilateral conflict resolution and the use of collective redress is geared towards the particularities of the online platform economy. Sections 8.1.1 and 8.1.2. of the revised IA and Annexes 1.2 and 1.3 clarify that the collective redress provision is an </w:t>
            </w:r>
            <w:r>
              <w:rPr>
                <w:noProof/>
                <w:u w:val="single"/>
              </w:rPr>
              <w:t>enforcement measure</w:t>
            </w:r>
            <w:r>
              <w:rPr>
                <w:noProof/>
              </w:rPr>
              <w:t xml:space="preserve"> inspired by existing CJEU case-law that is exclusively meant to ensure the enforceability of the proposed Regulation, rather than to provide a third layer of redress for </w:t>
            </w:r>
            <w:r>
              <w:rPr>
                <w:i/>
                <w:noProof/>
              </w:rPr>
              <w:t>individual</w:t>
            </w:r>
            <w:r>
              <w:rPr>
                <w:noProof/>
              </w:rPr>
              <w:t xml:space="preserve"> business users. To reflect this purpose, collective redress will also be limited to injunctive (rather than compensatory) relief and therefore not imply additional costs. It shall also be aligned with the quality criteria in the 2013 Commission Recommendation on Collective Redress. </w:t>
            </w:r>
          </w:p>
          <w:p>
            <w:pPr>
              <w:pBdr>
                <w:top w:val="single" w:sz="6" w:space="1" w:color="auto"/>
                <w:left w:val="single" w:sz="6" w:space="4" w:color="auto"/>
                <w:bottom w:val="single" w:sz="6" w:space="1" w:color="auto"/>
                <w:right w:val="single" w:sz="6" w:space="4" w:color="auto"/>
              </w:pBdr>
              <w:rPr>
                <w:noProof/>
              </w:rPr>
            </w:pPr>
          </w:p>
          <w:p>
            <w:pPr>
              <w:rPr>
                <w:noProof/>
              </w:rPr>
            </w:pPr>
            <w:r>
              <w:rPr>
                <w:noProof/>
              </w:rPr>
              <w:t xml:space="preserve">Section 8.1.2. clarifies the complementarity between this specific provision on collective redress and the approach taken in the Injunctions Directive, which is limited to the private enforcement of consumer protection legislation. The proposals for the legal text revising the Injunctions Directive and the proposed legal text for this Initiative have been aligned in consultation with DG JUST and the Legal Service. </w:t>
            </w:r>
          </w:p>
          <w:p>
            <w:pPr>
              <w:pBdr>
                <w:top w:val="single" w:sz="6" w:space="1" w:color="auto"/>
                <w:left w:val="single" w:sz="6" w:space="4" w:color="auto"/>
                <w:bottom w:val="single" w:sz="6" w:space="1" w:color="auto"/>
                <w:right w:val="single" w:sz="6" w:space="4" w:color="auto"/>
              </w:pBdr>
              <w:rPr>
                <w:noProof/>
              </w:rPr>
            </w:pPr>
            <w:r>
              <w:rPr>
                <w:noProof/>
              </w:rPr>
              <w:t xml:space="preserve">See also further evidence introduced in Annex 8 confirming that problems encountered at Member State-level in relation to collective redress relate to </w:t>
            </w:r>
            <w:r>
              <w:rPr>
                <w:i/>
                <w:noProof/>
              </w:rPr>
              <w:t>compensatory</w:t>
            </w:r>
            <w:r>
              <w:rPr>
                <w:noProof/>
              </w:rPr>
              <w:t xml:space="preserve"> redress and that legal standing to bring injunctive actions for organisations representing SMEs is an established phenomenon in the area of unfair trading practices in all EU Member States. </w:t>
            </w:r>
          </w:p>
          <w:p>
            <w:pPr>
              <w:pBdr>
                <w:top w:val="single" w:sz="6" w:space="1" w:color="auto"/>
                <w:left w:val="single" w:sz="6" w:space="4" w:color="auto"/>
                <w:bottom w:val="single" w:sz="6" w:space="1" w:color="auto"/>
                <w:right w:val="single" w:sz="6" w:space="4" w:color="auto"/>
              </w:pBdr>
              <w:rPr>
                <w:noProof/>
              </w:rPr>
            </w:pPr>
            <w:r>
              <w:rPr>
                <w:noProof/>
              </w:rPr>
              <w:t>To make the nature of the type of collective redress measure proposed clearer throughout the revised IA, it is referred to as legal standing for representative bodies or collective interest litigation.</w:t>
            </w:r>
          </w:p>
          <w:p>
            <w:pPr>
              <w:rPr>
                <w:noProof/>
              </w:rPr>
            </w:pPr>
            <w:r>
              <w:rPr>
                <w:noProof/>
              </w:rPr>
              <w:t xml:space="preserve">The substantive progress made recently with other services on the legal instrument has been translated into the formulation of real-life inspired, </w:t>
            </w:r>
            <w:r>
              <w:rPr>
                <w:noProof/>
                <w:u w:val="single"/>
              </w:rPr>
              <w:t>principles-based yet effective information obligations</w:t>
            </w:r>
            <w:r>
              <w:rPr>
                <w:noProof/>
              </w:rPr>
              <w:t xml:space="preserve"> in Section 8.1.1. of the Impact Assessment report. It has in addition been clarified in the same section that the information obligations only apply to the extent online platforms </w:t>
            </w:r>
            <w:r>
              <w:rPr>
                <w:i/>
                <w:noProof/>
              </w:rPr>
              <w:t>unilaterally impose</w:t>
            </w:r>
            <w:r>
              <w:rPr>
                <w:noProof/>
              </w:rPr>
              <w:t xml:space="preserve"> general</w:t>
            </w:r>
            <w:r>
              <w:rPr>
                <w:i/>
                <w:noProof/>
              </w:rPr>
              <w:t xml:space="preserve"> </w:t>
            </w:r>
            <w:r>
              <w:rPr>
                <w:noProof/>
              </w:rPr>
              <w:t xml:space="preserve">terms and conditions, which reflects the </w:t>
            </w:r>
            <w:r>
              <w:rPr>
                <w:noProof/>
                <w:u w:val="single"/>
              </w:rPr>
              <w:t>imbalance in bargaining power</w:t>
            </w:r>
            <w:r>
              <w:rPr>
                <w:noProof/>
              </w:rPr>
              <w:t>.</w:t>
            </w:r>
          </w:p>
          <w:p>
            <w:pPr>
              <w:rPr>
                <w:noProof/>
              </w:rPr>
            </w:pPr>
            <w:r>
              <w:rPr>
                <w:noProof/>
              </w:rPr>
              <w:t xml:space="preserve">Section 8.1 and Annex 1.11 explains in more detail how the targeted transparency measures are justified notwithstanding the </w:t>
            </w:r>
            <w:r>
              <w:rPr>
                <w:noProof/>
                <w:u w:val="single"/>
              </w:rPr>
              <w:t>strong position of "incumbent" platforms</w:t>
            </w:r>
            <w:r>
              <w:rPr>
                <w:noProof/>
              </w:rPr>
              <w:t>, as these obligations serve multiple purposes, including providing predictability for business users, to enable effective monitoring and to play on important reputational levers (which effect is reinforced by the dedicated monitoring function).</w:t>
            </w:r>
          </w:p>
          <w:p>
            <w:pPr>
              <w:rPr>
                <w:noProof/>
              </w:rPr>
            </w:pPr>
            <w:r>
              <w:rPr>
                <w:noProof/>
              </w:rPr>
              <w:t xml:space="preserve">Finally, Section 8.1.2. clarifies that the </w:t>
            </w:r>
            <w:r>
              <w:rPr>
                <w:noProof/>
                <w:u w:val="single"/>
              </w:rPr>
              <w:t>disclosure obligations</w:t>
            </w:r>
            <w:r>
              <w:rPr>
                <w:noProof/>
              </w:rPr>
              <w:t xml:space="preserve"> are limited to the minimum required for effective monitoring.</w:t>
            </w:r>
          </w:p>
          <w:p>
            <w:pPr>
              <w:rPr>
                <w:noProof/>
              </w:rPr>
            </w:pPr>
          </w:p>
        </w:tc>
      </w:tr>
      <w:tr>
        <w:tc>
          <w:tcPr>
            <w:tcW w:w="4644" w:type="dxa"/>
          </w:tcPr>
          <w:p>
            <w:pPr>
              <w:rPr>
                <w:noProof/>
              </w:rPr>
            </w:pPr>
            <w:r>
              <w:rPr>
                <w:noProof/>
              </w:rPr>
              <w:t>(5) The structure of the impact assessment report needs significant improvement, in particular as regards the presentation and the comparison of the options and their impacts. The split presentation and assessment of “content” and “instrument” options, the awkward discard of the baseline and the lack of clarity in the comparison of the impacts for each option package, create confusion and make difficult to understand the choice of the preferred option.</w:t>
            </w:r>
          </w:p>
          <w:p>
            <w:pPr>
              <w:rPr>
                <w:noProof/>
              </w:rPr>
            </w:pPr>
          </w:p>
        </w:tc>
        <w:tc>
          <w:tcPr>
            <w:tcW w:w="4644" w:type="dxa"/>
          </w:tcPr>
          <w:p>
            <w:pPr>
              <w:rPr>
                <w:noProof/>
              </w:rPr>
            </w:pPr>
            <w:r>
              <w:rPr>
                <w:noProof/>
              </w:rPr>
              <w:t xml:space="preserve">The </w:t>
            </w:r>
            <w:r>
              <w:rPr>
                <w:noProof/>
                <w:u w:val="single"/>
              </w:rPr>
              <w:t>structure of the IA</w:t>
            </w:r>
            <w:r>
              <w:rPr>
                <w:noProof/>
              </w:rPr>
              <w:t xml:space="preserve"> has been corrected to comply with the Better Regulation guidelines and toolbox:</w:t>
            </w:r>
          </w:p>
          <w:p>
            <w:pPr>
              <w:numPr>
                <w:ilvl w:val="0"/>
                <w:numId w:val="133"/>
              </w:numPr>
              <w:rPr>
                <w:noProof/>
              </w:rPr>
            </w:pPr>
            <w:r>
              <w:rPr>
                <w:noProof/>
              </w:rPr>
              <w:t xml:space="preserve">the </w:t>
            </w:r>
            <w:r>
              <w:rPr>
                <w:noProof/>
                <w:u w:val="single"/>
              </w:rPr>
              <w:t>overview of options</w:t>
            </w:r>
            <w:r>
              <w:rPr>
                <w:noProof/>
              </w:rPr>
              <w:t xml:space="preserve"> is in Section 5 (options tables have been simplified; the more exhaustive ones have been put in Annexes 9-10);</w:t>
            </w:r>
          </w:p>
          <w:p>
            <w:pPr>
              <w:numPr>
                <w:ilvl w:val="0"/>
                <w:numId w:val="133"/>
              </w:numPr>
              <w:rPr>
                <w:noProof/>
              </w:rPr>
            </w:pPr>
            <w:r>
              <w:rPr>
                <w:noProof/>
              </w:rPr>
              <w:t>impacts are assessed in Section 6 (further substantiated analysis can be found in Annex 13);</w:t>
            </w:r>
          </w:p>
          <w:p>
            <w:pPr>
              <w:numPr>
                <w:ilvl w:val="0"/>
                <w:numId w:val="133"/>
              </w:numPr>
              <w:rPr>
                <w:noProof/>
              </w:rPr>
            </w:pPr>
            <w:r>
              <w:rPr>
                <w:noProof/>
              </w:rPr>
              <w:t xml:space="preserve">a </w:t>
            </w:r>
            <w:r>
              <w:rPr>
                <w:noProof/>
                <w:u w:val="single"/>
              </w:rPr>
              <w:t>comparison table</w:t>
            </w:r>
            <w:r>
              <w:rPr>
                <w:noProof/>
              </w:rPr>
              <w:t xml:space="preserve"> has been included in "Comparison" section 7 (the underlying  in-depth analysis criterion by criterion for each option is available in Annex 12);</w:t>
            </w:r>
          </w:p>
          <w:p>
            <w:pPr>
              <w:numPr>
                <w:ilvl w:val="0"/>
                <w:numId w:val="133"/>
              </w:numPr>
              <w:rPr>
                <w:noProof/>
              </w:rPr>
            </w:pPr>
            <w:r>
              <w:rPr>
                <w:noProof/>
              </w:rPr>
              <w:t xml:space="preserve">the </w:t>
            </w:r>
            <w:r>
              <w:rPr>
                <w:noProof/>
                <w:u w:val="single"/>
              </w:rPr>
              <w:t>baseline</w:t>
            </w:r>
            <w:r>
              <w:rPr>
                <w:noProof/>
              </w:rPr>
              <w:t xml:space="preserve"> scenario is considered and used as a basis for analysing and comparing the options;</w:t>
            </w:r>
          </w:p>
          <w:p>
            <w:pPr>
              <w:numPr>
                <w:ilvl w:val="0"/>
                <w:numId w:val="133"/>
              </w:numPr>
              <w:rPr>
                <w:noProof/>
              </w:rPr>
            </w:pPr>
            <w:r>
              <w:rPr>
                <w:noProof/>
              </w:rPr>
              <w:t xml:space="preserve">the </w:t>
            </w:r>
            <w:r>
              <w:rPr>
                <w:noProof/>
                <w:u w:val="single"/>
              </w:rPr>
              <w:t>list of retained options</w:t>
            </w:r>
            <w:r>
              <w:rPr>
                <w:noProof/>
              </w:rPr>
              <w:t xml:space="preserve"> in the IA has also been </w:t>
            </w:r>
            <w:r>
              <w:rPr>
                <w:i/>
                <w:iCs/>
                <w:noProof/>
              </w:rPr>
              <w:t xml:space="preserve">expanded </w:t>
            </w:r>
            <w:r>
              <w:rPr>
                <w:iCs/>
                <w:noProof/>
              </w:rPr>
              <w:t>to reflect the broader range of options that are considered within the preferred co-regulatory design</w:t>
            </w:r>
            <w:r>
              <w:rPr>
                <w:noProof/>
              </w:rPr>
              <w:t xml:space="preserve">. This range now includes in addition to the two options initially presented to RSB: (a) an option (2a) that leaves transparency on the more complex issues of ranking, discrimination, data and MFNs </w:t>
            </w:r>
            <w:r>
              <w:rPr>
                <w:i/>
                <w:iCs/>
                <w:noProof/>
              </w:rPr>
              <w:t>fully</w:t>
            </w:r>
            <w:r>
              <w:rPr>
                <w:noProof/>
              </w:rPr>
              <w:t xml:space="preserve"> to self-regulation, and (b) an option (2c) considering the appropriateness of including online general search engines in the scope of the initiative. This broader </w:t>
            </w:r>
            <w:r>
              <w:rPr>
                <w:noProof/>
                <w:u w:val="single"/>
              </w:rPr>
              <w:t>range of co-regulatory options</w:t>
            </w:r>
            <w:r>
              <w:rPr>
                <w:noProof/>
              </w:rPr>
              <w:t xml:space="preserve"> is now dealt with exhaustively in section 5 (options), section 6 (impacts) and section 7 (options comparison).</w:t>
            </w:r>
          </w:p>
        </w:tc>
      </w:tr>
    </w:tbl>
    <w:p>
      <w:pPr>
        <w:pStyle w:val="Text2"/>
        <w:rPr>
          <w:noProof/>
        </w:rPr>
      </w:pPr>
    </w:p>
    <w:p>
      <w:pPr>
        <w:pStyle w:val="Heading2"/>
        <w:keepLines/>
        <w:rPr>
          <w:noProof/>
        </w:rPr>
      </w:pPr>
      <w:bookmarkStart w:id="53" w:name="_Toc511220495"/>
      <w:bookmarkStart w:id="54" w:name="_Toc511234940"/>
      <w:bookmarkStart w:id="55" w:name="_Toc511292853"/>
      <w:r>
        <w:rPr>
          <w:noProof/>
        </w:rPr>
        <w:t>Summary of amendments after the second submission</w:t>
      </w:r>
      <w:bookmarkEnd w:id="53"/>
      <w:bookmarkEnd w:id="54"/>
      <w:bookmarkEnd w:id="55"/>
    </w:p>
    <w:p>
      <w:pPr>
        <w:pStyle w:val="Text2"/>
        <w:keepNext/>
        <w:keepLines/>
        <w:rPr>
          <w:noProof/>
        </w:rPr>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titlePg/>
          <w:docGrid w:linePitch="360"/>
        </w:sectPr>
      </w:pPr>
    </w:p>
    <w:p>
      <w:pPr>
        <w:keepNext/>
        <w:keepLines/>
        <w:jc w:val="center"/>
        <w:rPr>
          <w:b/>
          <w:noProof/>
        </w:rPr>
      </w:pPr>
      <w:bookmarkStart w:id="56" w:name="_Toc508351580"/>
      <w:r>
        <w:rPr>
          <w:b/>
          <w:noProof/>
        </w:rPr>
        <w:t>A comparison of definitions against the Digital Taxation and Consumer Rights Directive Proposal</w:t>
      </w:r>
      <w:bookmarkStart w:id="57" w:name="_Toc508297377"/>
      <w:bookmarkStart w:id="58" w:name="_Toc508350136"/>
      <w:bookmarkEnd w:id="56"/>
      <w:bookmarkEnd w:id="57"/>
      <w:bookmarkEnd w:id="58"/>
    </w:p>
    <w:tbl>
      <w:tblPr>
        <w:tblW w:w="14884" w:type="dxa"/>
        <w:tblInd w:w="108" w:type="dxa"/>
        <w:tblLayout w:type="fixed"/>
        <w:tblLook w:val="04A0" w:firstRow="1" w:lastRow="0" w:firstColumn="1" w:lastColumn="0" w:noHBand="0" w:noVBand="1"/>
      </w:tblPr>
      <w:tblGrid>
        <w:gridCol w:w="1560"/>
        <w:gridCol w:w="9639"/>
        <w:gridCol w:w="2268"/>
        <w:gridCol w:w="1417"/>
      </w:tblGrid>
      <w:tr>
        <w:trPr>
          <w:trHeight w:val="20"/>
        </w:trPr>
        <w:tc>
          <w:tcPr>
            <w:tcW w:w="1560" w:type="dxa"/>
            <w:shd w:val="clear" w:color="auto" w:fill="EEECE1" w:themeFill="background2"/>
          </w:tcPr>
          <w:p>
            <w:pPr>
              <w:keepNext/>
              <w:keepLines/>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Legal instrument</w:t>
            </w:r>
          </w:p>
          <w:p>
            <w:pPr>
              <w:keepNext/>
              <w:keepLines/>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/draft</w:t>
            </w:r>
          </w:p>
        </w:tc>
        <w:tc>
          <w:tcPr>
            <w:tcW w:w="9639" w:type="dxa"/>
            <w:shd w:val="clear" w:color="auto" w:fill="EEECE1" w:themeFill="background2"/>
          </w:tcPr>
          <w:p>
            <w:pPr>
              <w:keepNext/>
              <w:keepLines/>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Definition </w:t>
            </w:r>
          </w:p>
        </w:tc>
        <w:tc>
          <w:tcPr>
            <w:tcW w:w="2268" w:type="dxa"/>
            <w:shd w:val="clear" w:color="auto" w:fill="EEECE1" w:themeFill="background2"/>
          </w:tcPr>
          <w:p>
            <w:pPr>
              <w:keepNext/>
              <w:keepLines/>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Platforms </w:t>
            </w:r>
          </w:p>
          <w:p>
            <w:pPr>
              <w:keepNext/>
              <w:keepLines/>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in scope </w:t>
            </w:r>
          </w:p>
        </w:tc>
        <w:tc>
          <w:tcPr>
            <w:tcW w:w="1417" w:type="dxa"/>
            <w:shd w:val="clear" w:color="auto" w:fill="EEECE1" w:themeFill="background2"/>
          </w:tcPr>
          <w:p>
            <w:pPr>
              <w:keepNext/>
              <w:keepLines/>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Platforms</w:t>
            </w:r>
          </w:p>
          <w:p>
            <w:pPr>
              <w:keepNext/>
              <w:keepLines/>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out- of -scope </w:t>
            </w:r>
          </w:p>
        </w:tc>
      </w:tr>
      <w:tr>
        <w:trPr>
          <w:trHeight w:val="20"/>
        </w:trPr>
        <w:tc>
          <w:tcPr>
            <w:tcW w:w="1560" w:type="dxa"/>
          </w:tcPr>
          <w:p>
            <w:pPr>
              <w:keepNext/>
              <w:keepLines/>
              <w:spacing w:after="0"/>
              <w:jc w:val="left"/>
              <w:rPr>
                <w:rFonts w:asciiTheme="minorHAnsi" w:eastAsiaTheme="minorHAnsi" w:hAnsiTheme="minorHAnsi" w:cstheme="minorBidi"/>
                <w:b/>
                <w:bCs/>
                <w:noProof/>
                <w:sz w:val="22"/>
                <w:szCs w:val="22"/>
              </w:rPr>
            </w:pPr>
            <w:r>
              <w:rPr>
                <w:rFonts w:asciiTheme="minorHAnsi" w:eastAsiaTheme="minorHAnsi" w:hAnsiTheme="minorHAnsi" w:cstheme="minorBidi"/>
                <w:b/>
                <w:bCs/>
                <w:noProof/>
                <w:sz w:val="22"/>
                <w:szCs w:val="22"/>
              </w:rPr>
              <w:t>DRAFT PROPOSAL Art. 3(1)(a) of Council Directive establishing a Digital Services Tax</w:t>
            </w:r>
          </w:p>
          <w:p>
            <w:pPr>
              <w:keepNext/>
              <w:keepLines/>
              <w:spacing w:after="0"/>
              <w:jc w:val="left"/>
              <w:rPr>
                <w:rFonts w:asciiTheme="minorHAnsi" w:eastAsiaTheme="minorHAnsi" w:hAnsiTheme="minorHAnsi" w:cstheme="minorBidi"/>
                <w:noProof/>
                <w:sz w:val="22"/>
                <w:szCs w:val="22"/>
              </w:rPr>
            </w:pPr>
            <w:r>
              <w:rPr>
                <w:rFonts w:asciiTheme="minorHAnsi" w:eastAsiaTheme="minorHAnsi" w:hAnsiTheme="minorHAnsi" w:cstheme="minorBidi"/>
                <w:bCs/>
                <w:noProof/>
                <w:sz w:val="22"/>
                <w:szCs w:val="22"/>
              </w:rPr>
              <w:t>(</w:t>
            </w:r>
            <w:r>
              <w:rPr>
                <w:rFonts w:asciiTheme="minorHAnsi" w:eastAsiaTheme="minorHAnsi" w:hAnsiTheme="minorHAnsi" w:cstheme="minorBidi"/>
                <w:noProof/>
                <w:sz w:val="22"/>
                <w:szCs w:val="22"/>
              </w:rPr>
              <w:t xml:space="preserve">Digitax) </w:t>
            </w:r>
          </w:p>
          <w:p>
            <w:pPr>
              <w:keepNext/>
              <w:keepLines/>
              <w:spacing w:after="0"/>
              <w:jc w:val="left"/>
              <w:rPr>
                <w:rFonts w:asciiTheme="minorHAnsi" w:eastAsiaTheme="minorHAnsi" w:hAnsiTheme="minorHAnsi" w:cstheme="minorBidi"/>
                <w:noProof/>
                <w:sz w:val="22"/>
                <w:szCs w:val="22"/>
              </w:rPr>
            </w:pPr>
          </w:p>
        </w:tc>
        <w:tc>
          <w:tcPr>
            <w:tcW w:w="9639" w:type="dxa"/>
          </w:tcPr>
          <w:p>
            <w:pPr>
              <w:keepNext/>
              <w:keepLines/>
              <w:spacing w:after="0"/>
              <w:rPr>
                <w:rFonts w:asciiTheme="minorHAnsi" w:eastAsiaTheme="minorHAnsi" w:hAnsiTheme="minorHAnsi" w:cstheme="minorBidi"/>
                <w:i/>
                <w:noProof/>
                <w:sz w:val="20"/>
              </w:rPr>
            </w:pPr>
            <w:r>
              <w:rPr>
                <w:rFonts w:asciiTheme="minorHAnsi" w:eastAsiaTheme="minorHAnsi" w:hAnsiTheme="minorHAnsi" w:cstheme="minorBidi"/>
                <w:b/>
                <w:i/>
                <w:noProof/>
                <w:sz w:val="20"/>
                <w:szCs w:val="22"/>
              </w:rPr>
              <w:t>Multi-sided digital interface</w:t>
            </w:r>
            <w:r>
              <w:rPr>
                <w:rFonts w:asciiTheme="minorHAnsi" w:eastAsiaTheme="minorHAnsi" w:hAnsiTheme="minorHAnsi" w:cstheme="minorBidi"/>
                <w:b/>
                <w:i/>
                <w:iCs/>
                <w:noProof/>
                <w:sz w:val="20"/>
                <w:szCs w:val="22"/>
              </w:rPr>
              <w:t xml:space="preserve"> </w:t>
            </w:r>
            <w:r>
              <w:rPr>
                <w:rFonts w:asciiTheme="minorHAnsi" w:eastAsiaTheme="minorHAnsi" w:hAnsiTheme="minorHAnsi" w:cstheme="minorBidi"/>
                <w:b/>
                <w:i/>
                <w:noProof/>
                <w:sz w:val="20"/>
                <w:szCs w:val="22"/>
              </w:rPr>
              <w:t xml:space="preserve">- </w:t>
            </w:r>
            <w:r>
              <w:rPr>
                <w:rFonts w:asciiTheme="minorHAnsi" w:eastAsiaTheme="minorHAnsi" w:hAnsiTheme="minorHAnsi" w:cstheme="minorBidi"/>
                <w:i/>
                <w:noProof/>
                <w:sz w:val="20"/>
                <w:szCs w:val="22"/>
              </w:rPr>
              <w:t>the making available to users of a multi-sided digital interface which allows users to find other users and to interact with them, and which facilitate the provision of underlying supplies of goods or services directly between those users, irrespective of where the transactions are ultimately concluded</w:t>
            </w:r>
          </w:p>
          <w:p>
            <w:pPr>
              <w:keepNext/>
              <w:keepLines/>
              <w:spacing w:after="0"/>
              <w:rPr>
                <w:rFonts w:asciiTheme="minorHAnsi" w:eastAsiaTheme="minorHAnsi" w:hAnsiTheme="minorHAnsi" w:cstheme="minorBidi"/>
                <w:b/>
                <w:i/>
                <w:noProof/>
                <w:sz w:val="20"/>
              </w:rPr>
            </w:pPr>
          </w:p>
          <w:p>
            <w:pPr>
              <w:keepNext/>
              <w:keepLines/>
              <w:spacing w:after="0"/>
              <w:rPr>
                <w:rFonts w:asciiTheme="minorHAnsi" w:eastAsiaTheme="minorHAnsi" w:hAnsiTheme="minorHAnsi" w:cstheme="minorBidi"/>
                <w:noProof/>
                <w:sz w:val="20"/>
              </w:rPr>
            </w:pPr>
            <w:r>
              <w:rPr>
                <w:rFonts w:asciiTheme="minorHAnsi" w:eastAsiaTheme="minorHAnsi" w:hAnsiTheme="minorHAnsi" w:cstheme="minorBidi"/>
                <w:noProof/>
                <w:sz w:val="20"/>
                <w:szCs w:val="22"/>
                <w:shd w:val="clear" w:color="auto" w:fill="F2F2F2" w:themeFill="background1" w:themeFillShade="F2"/>
              </w:rPr>
              <w:t xml:space="preserve">Although borrowing from the definition of </w:t>
            </w:r>
            <w:r>
              <w:rPr>
                <w:rFonts w:asciiTheme="minorHAnsi" w:eastAsiaTheme="minorHAnsi" w:hAnsiTheme="minorHAnsi" w:cstheme="minorBidi"/>
                <w:i/>
                <w:noProof/>
                <w:sz w:val="20"/>
                <w:szCs w:val="22"/>
                <w:shd w:val="clear" w:color="auto" w:fill="F2F2F2" w:themeFill="background1" w:themeFillShade="F2"/>
              </w:rPr>
              <w:t>online intermediation services</w:t>
            </w:r>
            <w:r>
              <w:rPr>
                <w:rFonts w:asciiTheme="minorHAnsi" w:eastAsiaTheme="minorHAnsi" w:hAnsiTheme="minorHAnsi" w:cstheme="minorBidi"/>
                <w:noProof/>
                <w:sz w:val="20"/>
                <w:szCs w:val="22"/>
                <w:shd w:val="clear" w:color="auto" w:fill="F2F2F2" w:themeFill="background1" w:themeFillShade="F2"/>
              </w:rPr>
              <w:t xml:space="preserve"> in the P2B initiative, this definition of </w:t>
            </w:r>
            <w:r>
              <w:rPr>
                <w:rFonts w:asciiTheme="minorHAnsi" w:eastAsiaTheme="minorHAnsi" w:hAnsiTheme="minorHAnsi" w:cstheme="minorBidi"/>
                <w:i/>
                <w:noProof/>
                <w:sz w:val="20"/>
                <w:szCs w:val="22"/>
                <w:shd w:val="clear" w:color="auto" w:fill="F2F2F2" w:themeFill="background1" w:themeFillShade="F2"/>
              </w:rPr>
              <w:t>multi-sided digital interfaces</w:t>
            </w:r>
            <w:r>
              <w:rPr>
                <w:rFonts w:asciiTheme="minorHAnsi" w:eastAsiaTheme="minorHAnsi" w:hAnsiTheme="minorHAnsi" w:cstheme="minorBidi"/>
                <w:noProof/>
                <w:sz w:val="20"/>
                <w:szCs w:val="22"/>
                <w:shd w:val="clear" w:color="auto" w:fill="F2F2F2" w:themeFill="background1" w:themeFillShade="F2"/>
              </w:rPr>
              <w:t xml:space="preserve"> has a slightly broader scope (as it includes B2B &amp; C2C/P2P platforms) in light of its purpose which is to identify taxable revenues, rather than contractual imbalances in bargaining power. Whereas pure C2C/P2P platforms are frequently provided for-profit, which can be subject to the digital service tax, they do not exhibit the harmful commercial issues targeted by the P2B initiative. The definition in the Digitax proposal will therefore </w:t>
            </w:r>
            <w:r>
              <w:rPr>
                <w:rFonts w:asciiTheme="minorHAnsi" w:eastAsiaTheme="minorHAnsi" w:hAnsiTheme="minorHAnsi" w:cstheme="minorBidi"/>
                <w:i/>
                <w:noProof/>
                <w:sz w:val="20"/>
                <w:szCs w:val="22"/>
                <w:shd w:val="clear" w:color="auto" w:fill="F2F2F2" w:themeFill="background1" w:themeFillShade="F2"/>
              </w:rPr>
              <w:t>include</w:t>
            </w:r>
            <w:r>
              <w:rPr>
                <w:rFonts w:asciiTheme="minorHAnsi" w:eastAsiaTheme="minorHAnsi" w:hAnsiTheme="minorHAnsi" w:cstheme="minorBidi"/>
                <w:noProof/>
                <w:sz w:val="20"/>
                <w:szCs w:val="22"/>
                <w:shd w:val="clear" w:color="auto" w:fill="F2F2F2" w:themeFill="background1" w:themeFillShade="F2"/>
              </w:rPr>
              <w:t xml:space="preserve"> online intermediation services for the purpose of levying the digital service tax (DST), but not conflict with the definition used in the P2B initiative. The slight difference in intended scope between the respective proposals is implemented in the Digitax proposal by defining the term </w:t>
            </w:r>
            <w:r>
              <w:rPr>
                <w:rFonts w:asciiTheme="minorHAnsi" w:eastAsiaTheme="minorHAnsi" w:hAnsiTheme="minorHAnsi" w:cstheme="minorBidi"/>
                <w:i/>
                <w:noProof/>
                <w:sz w:val="20"/>
                <w:szCs w:val="22"/>
                <w:shd w:val="clear" w:color="auto" w:fill="F2F2F2" w:themeFill="background1" w:themeFillShade="F2"/>
              </w:rPr>
              <w:t>user</w:t>
            </w:r>
            <w:r>
              <w:rPr>
                <w:rFonts w:asciiTheme="minorHAnsi" w:eastAsiaTheme="minorHAnsi" w:hAnsiTheme="minorHAnsi" w:cstheme="minorBidi"/>
                <w:noProof/>
                <w:sz w:val="20"/>
                <w:szCs w:val="22"/>
                <w:shd w:val="clear" w:color="auto" w:fill="F2F2F2" w:themeFill="background1" w:themeFillShade="F2"/>
              </w:rPr>
              <w:t xml:space="preserve"> as </w:t>
            </w:r>
            <w:r>
              <w:rPr>
                <w:rFonts w:asciiTheme="minorHAnsi" w:eastAsiaTheme="minorHAnsi" w:hAnsiTheme="minorHAnsi" w:cstheme="minorBidi"/>
                <w:i/>
                <w:noProof/>
                <w:sz w:val="20"/>
                <w:szCs w:val="22"/>
                <w:shd w:val="clear" w:color="auto" w:fill="F2F2F2" w:themeFill="background1" w:themeFillShade="F2"/>
              </w:rPr>
              <w:t>any individual or business</w:t>
            </w:r>
            <w:r>
              <w:rPr>
                <w:rFonts w:asciiTheme="minorHAnsi" w:eastAsiaTheme="minorHAnsi" w:hAnsiTheme="minorHAnsi" w:cstheme="minorBidi"/>
                <w:noProof/>
                <w:sz w:val="20"/>
                <w:szCs w:val="22"/>
                <w:shd w:val="clear" w:color="auto" w:fill="F2F2F2" w:themeFill="background1" w:themeFillShade="F2"/>
              </w:rPr>
              <w:t xml:space="preserve">, as opposed to using the separate definitions of </w:t>
            </w:r>
            <w:r>
              <w:rPr>
                <w:rFonts w:asciiTheme="minorHAnsi" w:eastAsiaTheme="minorHAnsi" w:hAnsiTheme="minorHAnsi" w:cstheme="minorBidi"/>
                <w:i/>
                <w:noProof/>
                <w:sz w:val="20"/>
                <w:szCs w:val="22"/>
                <w:shd w:val="clear" w:color="auto" w:fill="F2F2F2" w:themeFill="background1" w:themeFillShade="F2"/>
              </w:rPr>
              <w:t>business users</w:t>
            </w:r>
            <w:r>
              <w:rPr>
                <w:rFonts w:asciiTheme="minorHAnsi" w:eastAsiaTheme="minorHAnsi" w:hAnsiTheme="minorHAnsi" w:cstheme="minorBidi"/>
                <w:noProof/>
                <w:sz w:val="20"/>
                <w:szCs w:val="22"/>
                <w:shd w:val="clear" w:color="auto" w:fill="F2F2F2" w:themeFill="background1" w:themeFillShade="F2"/>
              </w:rPr>
              <w:t xml:space="preserve"> and </w:t>
            </w:r>
            <w:r>
              <w:rPr>
                <w:rFonts w:asciiTheme="minorHAnsi" w:eastAsiaTheme="minorHAnsi" w:hAnsiTheme="minorHAnsi" w:cstheme="minorBidi"/>
                <w:i/>
                <w:noProof/>
                <w:sz w:val="20"/>
                <w:szCs w:val="22"/>
                <w:shd w:val="clear" w:color="auto" w:fill="F2F2F2" w:themeFill="background1" w:themeFillShade="F2"/>
              </w:rPr>
              <w:t>consumers</w:t>
            </w:r>
            <w:r>
              <w:rPr>
                <w:rFonts w:asciiTheme="minorHAnsi" w:eastAsiaTheme="minorHAnsi" w:hAnsiTheme="minorHAnsi" w:cstheme="minorBidi"/>
                <w:noProof/>
                <w:sz w:val="20"/>
                <w:szCs w:val="22"/>
                <w:shd w:val="clear" w:color="auto" w:fill="F2F2F2" w:themeFill="background1" w:themeFillShade="F2"/>
              </w:rPr>
              <w:t xml:space="preserve"> in the P2B proposal. Apart from this, the definition of </w:t>
            </w:r>
            <w:r>
              <w:rPr>
                <w:rFonts w:asciiTheme="minorHAnsi" w:eastAsiaTheme="minorHAnsi" w:hAnsiTheme="minorHAnsi" w:cstheme="minorBidi"/>
                <w:i/>
                <w:noProof/>
                <w:sz w:val="20"/>
                <w:szCs w:val="22"/>
                <w:shd w:val="clear" w:color="auto" w:fill="F2F2F2" w:themeFill="background1" w:themeFillShade="F2"/>
              </w:rPr>
              <w:t>multi-sided digital interface</w:t>
            </w:r>
            <w:r>
              <w:rPr>
                <w:rFonts w:asciiTheme="minorHAnsi" w:eastAsiaTheme="minorHAnsi" w:hAnsiTheme="minorHAnsi" w:cstheme="minorBidi"/>
                <w:noProof/>
                <w:sz w:val="20"/>
                <w:szCs w:val="22"/>
                <w:shd w:val="clear" w:color="auto" w:fill="F2F2F2" w:themeFill="background1" w:themeFillShade="F2"/>
              </w:rPr>
              <w:t xml:space="preserve"> will be aligned with the definition of </w:t>
            </w:r>
            <w:r>
              <w:rPr>
                <w:rFonts w:asciiTheme="minorHAnsi" w:eastAsiaTheme="minorHAnsi" w:hAnsiTheme="minorHAnsi" w:cstheme="minorBidi"/>
                <w:i/>
                <w:noProof/>
                <w:sz w:val="20"/>
                <w:szCs w:val="22"/>
                <w:shd w:val="clear" w:color="auto" w:fill="F2F2F2" w:themeFill="background1" w:themeFillShade="F2"/>
              </w:rPr>
              <w:t>online intermediation services</w:t>
            </w:r>
            <w:r>
              <w:rPr>
                <w:rFonts w:asciiTheme="minorHAnsi" w:eastAsiaTheme="minorHAnsi" w:hAnsiTheme="minorHAnsi" w:cstheme="minorBidi"/>
                <w:noProof/>
                <w:sz w:val="20"/>
                <w:szCs w:val="22"/>
                <w:shd w:val="clear" w:color="auto" w:fill="F2F2F2" w:themeFill="background1" w:themeFillShade="F2"/>
              </w:rPr>
              <w:t xml:space="preserve">, both of which target the intermediaries' role in facilitating direct transactions between their users.  </w:t>
            </w:r>
          </w:p>
        </w:tc>
        <w:tc>
          <w:tcPr>
            <w:tcW w:w="2268" w:type="dxa"/>
          </w:tcPr>
          <w:p>
            <w:pPr>
              <w:keepNext/>
              <w:keepLines/>
              <w:spacing w:after="0"/>
              <w:jc w:val="left"/>
              <w:rPr>
                <w:rFonts w:asciiTheme="minorHAnsi" w:eastAsiaTheme="minorHAnsi" w:hAnsiTheme="minorHAnsi" w:cstheme="minorBidi"/>
                <w:noProof/>
                <w:sz w:val="20"/>
              </w:rPr>
            </w:pPr>
            <w:r>
              <w:rPr>
                <w:rFonts w:asciiTheme="minorHAnsi" w:eastAsiaTheme="minorHAnsi" w:hAnsiTheme="minorHAnsi" w:cstheme="minorBidi"/>
                <w:noProof/>
                <w:sz w:val="20"/>
                <w:szCs w:val="22"/>
              </w:rPr>
              <w:t xml:space="preserve">B2B, B2C, C2C/P2P online platforms </w:t>
            </w:r>
          </w:p>
          <w:p>
            <w:pPr>
              <w:keepNext/>
              <w:keepLines/>
              <w:spacing w:after="0"/>
              <w:jc w:val="left"/>
              <w:rPr>
                <w:rFonts w:asciiTheme="minorHAnsi" w:eastAsiaTheme="minorHAnsi" w:hAnsiTheme="minorHAnsi" w:cstheme="minorBidi"/>
                <w:noProof/>
                <w:sz w:val="20"/>
              </w:rPr>
            </w:pPr>
          </w:p>
          <w:p>
            <w:pPr>
              <w:keepNext/>
              <w:keepLines/>
              <w:spacing w:after="0"/>
              <w:jc w:val="left"/>
              <w:rPr>
                <w:rFonts w:asciiTheme="minorHAnsi" w:eastAsiaTheme="minorHAnsi" w:hAnsiTheme="minorHAnsi" w:cstheme="minorBidi"/>
                <w:noProof/>
                <w:sz w:val="20"/>
              </w:rPr>
            </w:pPr>
            <w:r>
              <w:rPr>
                <w:rFonts w:asciiTheme="minorHAnsi" w:eastAsiaTheme="minorHAnsi" w:hAnsiTheme="minorHAnsi" w:cstheme="minorBidi"/>
                <w:noProof/>
                <w:sz w:val="20"/>
                <w:szCs w:val="22"/>
              </w:rPr>
              <w:t xml:space="preserve">for the purposes of levying the digital services tax (DST) </w:t>
            </w:r>
          </w:p>
          <w:p>
            <w:pPr>
              <w:keepNext/>
              <w:keepLines/>
              <w:spacing w:after="0"/>
              <w:jc w:val="left"/>
              <w:rPr>
                <w:rFonts w:asciiTheme="minorHAnsi" w:eastAsiaTheme="minorHAnsi" w:hAnsiTheme="minorHAnsi" w:cstheme="minorBidi"/>
                <w:noProof/>
                <w:sz w:val="20"/>
              </w:rPr>
            </w:pPr>
          </w:p>
        </w:tc>
        <w:tc>
          <w:tcPr>
            <w:tcW w:w="1417" w:type="dxa"/>
          </w:tcPr>
          <w:p>
            <w:pPr>
              <w:keepNext/>
              <w:keepLines/>
              <w:spacing w:after="0"/>
              <w:jc w:val="left"/>
              <w:rPr>
                <w:rFonts w:asciiTheme="minorHAnsi" w:eastAsiaTheme="minorHAnsi" w:hAnsiTheme="minorHAnsi" w:cstheme="minorBidi"/>
                <w:noProof/>
                <w:sz w:val="20"/>
              </w:rPr>
            </w:pPr>
            <w:r>
              <w:rPr>
                <w:rFonts w:asciiTheme="minorHAnsi" w:eastAsiaTheme="minorHAnsi" w:hAnsiTheme="minorHAnsi" w:cstheme="minorBidi"/>
                <w:noProof/>
                <w:sz w:val="20"/>
                <w:szCs w:val="22"/>
              </w:rPr>
              <w:t>All online platforms below this turnover threshold:</w:t>
            </w:r>
          </w:p>
          <w:p>
            <w:pPr>
              <w:keepNext/>
              <w:keepLines/>
              <w:spacing w:after="0"/>
              <w:jc w:val="left"/>
              <w:rPr>
                <w:rFonts w:asciiTheme="minorHAnsi" w:eastAsiaTheme="minorHAnsi" w:hAnsiTheme="minorHAnsi" w:cstheme="minorBidi"/>
                <w:noProof/>
                <w:sz w:val="20"/>
              </w:rPr>
            </w:pPr>
          </w:p>
          <w:p>
            <w:pPr>
              <w:keepNext/>
              <w:keepLines/>
              <w:spacing w:after="0"/>
              <w:jc w:val="left"/>
              <w:rPr>
                <w:rFonts w:asciiTheme="minorHAnsi" w:eastAsiaTheme="minorHAnsi" w:hAnsiTheme="minorHAnsi" w:cstheme="minorBidi"/>
                <w:noProof/>
                <w:sz w:val="20"/>
                <w:lang w:val="fr-BE"/>
              </w:rPr>
            </w:pPr>
            <w:r>
              <w:rPr>
                <w:rFonts w:asciiTheme="minorHAnsi" w:eastAsiaTheme="minorHAnsi" w:hAnsiTheme="minorHAnsi" w:cstheme="minorBidi"/>
                <w:noProof/>
                <w:sz w:val="20"/>
                <w:szCs w:val="22"/>
                <w:lang w:val="fr-BE"/>
              </w:rPr>
              <w:t>&gt; EUR 750 million global revenues; and</w:t>
            </w:r>
          </w:p>
          <w:p>
            <w:pPr>
              <w:keepNext/>
              <w:keepLines/>
              <w:spacing w:after="0"/>
              <w:jc w:val="left"/>
              <w:rPr>
                <w:rFonts w:asciiTheme="minorHAnsi" w:eastAsiaTheme="minorHAnsi" w:hAnsiTheme="minorHAnsi" w:cstheme="minorBidi"/>
                <w:noProof/>
                <w:sz w:val="20"/>
                <w:lang w:val="fr-BE"/>
              </w:rPr>
            </w:pPr>
            <w:r>
              <w:rPr>
                <w:rFonts w:asciiTheme="minorHAnsi" w:eastAsiaTheme="minorHAnsi" w:hAnsiTheme="minorHAnsi" w:cstheme="minorBidi"/>
                <w:noProof/>
                <w:sz w:val="20"/>
                <w:szCs w:val="22"/>
                <w:lang w:val="fr-BE"/>
              </w:rPr>
              <w:t>&gt; EUR 50 million EU taxable revenues</w:t>
            </w:r>
          </w:p>
        </w:tc>
      </w:tr>
      <w:tr>
        <w:trPr>
          <w:trHeight w:val="20"/>
        </w:trPr>
        <w:tc>
          <w:tcPr>
            <w:tcW w:w="1560" w:type="dxa"/>
          </w:tcPr>
          <w:p>
            <w:pPr>
              <w:spacing w:after="0"/>
              <w:jc w:val="left"/>
              <w:rPr>
                <w:rFonts w:asciiTheme="minorHAnsi" w:eastAsiaTheme="minorHAnsi" w:hAnsiTheme="minorHAnsi" w:cstheme="minorBidi"/>
                <w:b/>
                <w:noProof/>
                <w:sz w:val="22"/>
                <w:szCs w:val="22"/>
              </w:rPr>
            </w:pPr>
            <w:r>
              <w:rPr>
                <w:rFonts w:asciiTheme="minorHAnsi" w:eastAsiaTheme="minorHAnsi" w:hAnsiTheme="minorHAnsi" w:cstheme="minorBidi"/>
                <w:b/>
                <w:noProof/>
                <w:sz w:val="22"/>
                <w:szCs w:val="22"/>
              </w:rPr>
              <w:t>DRAFT PROPOSAL Art. 2(19) of Directive 2011/83/EU (Consumer Rights Directive -revised CRD)</w:t>
            </w:r>
          </w:p>
        </w:tc>
        <w:tc>
          <w:tcPr>
            <w:tcW w:w="9639" w:type="dxa"/>
          </w:tcPr>
          <w:p>
            <w:pPr>
              <w:spacing w:after="0"/>
              <w:rPr>
                <w:rFonts w:asciiTheme="minorHAnsi" w:eastAsiaTheme="minorHAnsi" w:hAnsiTheme="minorHAnsi" w:cstheme="minorBidi"/>
                <w:i/>
                <w:noProof/>
                <w:sz w:val="20"/>
              </w:rPr>
            </w:pPr>
            <w:r>
              <w:rPr>
                <w:rFonts w:asciiTheme="minorHAnsi" w:eastAsiaTheme="minorHAnsi" w:hAnsiTheme="minorHAnsi" w:cstheme="minorBidi"/>
                <w:b/>
                <w:i/>
                <w:noProof/>
                <w:sz w:val="20"/>
                <w:szCs w:val="22"/>
              </w:rPr>
              <w:t>'Online market place</w:t>
            </w:r>
            <w:r>
              <w:rPr>
                <w:rFonts w:asciiTheme="minorHAnsi" w:eastAsiaTheme="minorHAnsi" w:hAnsiTheme="minorHAnsi" w:cstheme="minorBidi"/>
                <w:i/>
                <w:noProof/>
                <w:sz w:val="20"/>
                <w:szCs w:val="22"/>
              </w:rPr>
              <w:t>' means a service provider, as defined in point (b) of Article 2 of Directive 2000/31/EC of the European Parliament and of the Council of 8 June 2000 on certain legal aspects of information society services, in particular electronic commerce, in the Internal Market (‘Directive on electronic commerce’), which allows consumers to conclude distance contracts on the online marketplace’s online interface</w:t>
            </w:r>
          </w:p>
          <w:p>
            <w:pPr>
              <w:spacing w:after="0"/>
              <w:rPr>
                <w:rFonts w:asciiTheme="minorHAnsi" w:eastAsiaTheme="minorHAnsi" w:hAnsiTheme="minorHAnsi" w:cstheme="minorBidi"/>
                <w:noProof/>
                <w:sz w:val="20"/>
              </w:rPr>
            </w:pPr>
          </w:p>
          <w:p>
            <w:pPr>
              <w:spacing w:after="0"/>
              <w:rPr>
                <w:rFonts w:asciiTheme="minorHAnsi" w:eastAsiaTheme="minorHAnsi" w:hAnsiTheme="minorHAnsi" w:cstheme="minorBidi"/>
                <w:noProof/>
                <w:sz w:val="20"/>
              </w:rPr>
            </w:pPr>
            <w:r>
              <w:rPr>
                <w:rFonts w:asciiTheme="minorHAnsi" w:eastAsiaTheme="minorHAnsi" w:hAnsiTheme="minorHAnsi" w:cstheme="minorBidi"/>
                <w:noProof/>
                <w:sz w:val="20"/>
                <w:szCs w:val="22"/>
                <w:shd w:val="clear" w:color="auto" w:fill="F2F2F2" w:themeFill="background1" w:themeFillShade="F2"/>
              </w:rPr>
              <w:t xml:space="preserve">This definition identifies one specific type of online intermediation services for the purpose of tackling the targeted issue of private providers in the collaborative economy not identifying themselves as such vis-a-vis buyers – resulting in the latter not being aware that the CRD protections do not apply. This notwithstanding the conclusion of a contract on the platform's interface, which can give the impression that a contract is in fact concluded with a trader (i.e. the platform). The obligation that the revised CRD will impose on online market places by means of this definition is accordingly strictly meant to protect consumers, not businesses. The P2B proposal at the same time explicitly sets out that online market places are one type of online intermediation services, with the latter definition clearly going beyond for a different purpose (to protect businesses). The concurrent application of </w:t>
            </w:r>
            <w:r>
              <w:rPr>
                <w:rFonts w:asciiTheme="minorHAnsi" w:eastAsiaTheme="minorHAnsi" w:hAnsiTheme="minorHAnsi" w:cstheme="minorBidi"/>
                <w:i/>
                <w:noProof/>
                <w:sz w:val="20"/>
                <w:szCs w:val="22"/>
                <w:shd w:val="clear" w:color="auto" w:fill="F2F2F2" w:themeFill="background1" w:themeFillShade="F2"/>
              </w:rPr>
              <w:t>online market places</w:t>
            </w:r>
            <w:r>
              <w:rPr>
                <w:rFonts w:asciiTheme="minorHAnsi" w:eastAsiaTheme="minorHAnsi" w:hAnsiTheme="minorHAnsi" w:cstheme="minorBidi"/>
                <w:noProof/>
                <w:sz w:val="20"/>
                <w:szCs w:val="22"/>
                <w:shd w:val="clear" w:color="auto" w:fill="F2F2F2" w:themeFill="background1" w:themeFillShade="F2"/>
              </w:rPr>
              <w:t xml:space="preserve"> and </w:t>
            </w:r>
            <w:r>
              <w:rPr>
                <w:rFonts w:asciiTheme="minorHAnsi" w:eastAsiaTheme="minorHAnsi" w:hAnsiTheme="minorHAnsi" w:cstheme="minorBidi"/>
                <w:i/>
                <w:noProof/>
                <w:sz w:val="20"/>
                <w:szCs w:val="22"/>
                <w:shd w:val="clear" w:color="auto" w:fill="F2F2F2" w:themeFill="background1" w:themeFillShade="F2"/>
              </w:rPr>
              <w:t>online intermediation services</w:t>
            </w:r>
            <w:r>
              <w:rPr>
                <w:rFonts w:asciiTheme="minorHAnsi" w:eastAsiaTheme="minorHAnsi" w:hAnsiTheme="minorHAnsi" w:cstheme="minorBidi"/>
                <w:noProof/>
                <w:sz w:val="20"/>
                <w:szCs w:val="22"/>
                <w:shd w:val="clear" w:color="auto" w:fill="F2F2F2" w:themeFill="background1" w:themeFillShade="F2"/>
              </w:rPr>
              <w:t xml:space="preserve"> therefore will not involve any potential conflict.</w:t>
            </w:r>
          </w:p>
        </w:tc>
        <w:tc>
          <w:tcPr>
            <w:tcW w:w="2268" w:type="dxa"/>
          </w:tcPr>
          <w:p>
            <w:pPr>
              <w:spacing w:after="0"/>
              <w:rPr>
                <w:rFonts w:asciiTheme="minorHAnsi" w:eastAsiaTheme="minorHAnsi" w:hAnsiTheme="minorHAnsi" w:cstheme="minorBidi"/>
                <w:noProof/>
                <w:sz w:val="20"/>
              </w:rPr>
            </w:pPr>
            <w:r>
              <w:rPr>
                <w:rFonts w:asciiTheme="minorHAnsi" w:eastAsiaTheme="minorHAnsi" w:hAnsiTheme="minorHAnsi" w:cstheme="minorBidi"/>
                <w:noProof/>
                <w:sz w:val="20"/>
                <w:szCs w:val="22"/>
              </w:rPr>
              <w:t>Goes beyond "intermediation" as any service providers' website could be covered</w:t>
            </w:r>
          </w:p>
          <w:p>
            <w:pPr>
              <w:spacing w:after="0"/>
              <w:rPr>
                <w:rFonts w:asciiTheme="minorHAnsi" w:eastAsiaTheme="minorHAnsi" w:hAnsiTheme="minorHAnsi" w:cstheme="minorBidi"/>
                <w:noProof/>
                <w:sz w:val="20"/>
              </w:rPr>
            </w:pPr>
          </w:p>
          <w:p>
            <w:pPr>
              <w:spacing w:after="0"/>
              <w:jc w:val="left"/>
              <w:rPr>
                <w:rFonts w:asciiTheme="minorHAnsi" w:eastAsiaTheme="minorHAnsi" w:hAnsiTheme="minorHAnsi" w:cstheme="minorBidi"/>
                <w:noProof/>
                <w:sz w:val="20"/>
              </w:rPr>
            </w:pPr>
            <w:r>
              <w:rPr>
                <w:rFonts w:asciiTheme="minorHAnsi" w:eastAsiaTheme="minorHAnsi" w:hAnsiTheme="minorHAnsi" w:cstheme="minorBidi"/>
                <w:noProof/>
                <w:sz w:val="20"/>
                <w:szCs w:val="22"/>
              </w:rPr>
              <w:t>All B2C and C2C/P2P online platforms as well as any website used to offer services  (i.e. app stores, e-commerce market places, OTAs</w:t>
            </w:r>
            <w:r>
              <w:rPr>
                <w:rFonts w:asciiTheme="minorHAnsi" w:eastAsiaTheme="minorHAnsi" w:hAnsiTheme="minorHAnsi" w:cstheme="minorBidi"/>
                <w:noProof/>
                <w:sz w:val="20"/>
              </w:rPr>
              <w:t>,</w:t>
            </w:r>
            <w:r>
              <w:rPr>
                <w:rFonts w:asciiTheme="minorHAnsi" w:eastAsiaTheme="minorHAnsi" w:hAnsiTheme="minorHAnsi" w:cstheme="minorBidi"/>
                <w:noProof/>
                <w:sz w:val="20"/>
                <w:szCs w:val="22"/>
              </w:rPr>
              <w:t xml:space="preserve"> webshops, to the extent they allow online contract conclusion) </w:t>
            </w:r>
          </w:p>
        </w:tc>
        <w:tc>
          <w:tcPr>
            <w:tcW w:w="1417" w:type="dxa"/>
          </w:tcPr>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B2B online platforms</w:t>
            </w:r>
          </w:p>
        </w:tc>
      </w:tr>
    </w:tbl>
    <w:p>
      <w:pPr>
        <w:spacing w:after="200" w:line="276" w:lineRule="auto"/>
        <w:jc w:val="left"/>
        <w:rPr>
          <w:noProof/>
        </w:rPr>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702" w:right="1417" w:bottom="993" w:left="1417" w:header="708" w:footer="578" w:gutter="0"/>
          <w:cols w:space="708"/>
          <w:docGrid w:linePitch="360"/>
        </w:sectPr>
      </w:pPr>
    </w:p>
    <w:p>
      <w:pPr>
        <w:pStyle w:val="Heading2"/>
        <w:rPr>
          <w:noProof/>
        </w:rPr>
      </w:pPr>
      <w:bookmarkStart w:id="59" w:name="_Toc508297378"/>
      <w:bookmarkStart w:id="60" w:name="_Toc508350137"/>
      <w:bookmarkStart w:id="61" w:name="_Toc508351581"/>
      <w:bookmarkStart w:id="62" w:name="_Toc508359996"/>
      <w:bookmarkStart w:id="63" w:name="_Toc511220496"/>
      <w:bookmarkStart w:id="64" w:name="_Toc511234941"/>
      <w:bookmarkStart w:id="65" w:name="_Toc511292854"/>
      <w:r>
        <w:rPr>
          <w:noProof/>
        </w:rPr>
        <w:t>Mandatory rules - enforcement</w:t>
      </w:r>
      <w:bookmarkEnd w:id="59"/>
      <w:bookmarkEnd w:id="60"/>
      <w:bookmarkEnd w:id="61"/>
      <w:bookmarkEnd w:id="62"/>
      <w:bookmarkEnd w:id="63"/>
      <w:bookmarkEnd w:id="64"/>
      <w:bookmarkEnd w:id="65"/>
    </w:p>
    <w:p>
      <w:pPr>
        <w:spacing w:before="240"/>
        <w:rPr>
          <w:noProof/>
        </w:rPr>
      </w:pPr>
      <w:r>
        <w:rPr>
          <w:noProof/>
        </w:rPr>
        <w:t xml:space="preserve">In relation to measure 5 (Section 8) on </w:t>
      </w:r>
      <w:r>
        <w:rPr>
          <w:i/>
          <w:noProof/>
        </w:rPr>
        <w:t xml:space="preserve">"formulating the legal transparency and redress obligations as </w:t>
      </w:r>
      <w:r>
        <w:rPr>
          <w:b/>
          <w:i/>
          <w:noProof/>
        </w:rPr>
        <w:t>mandatory rules</w:t>
      </w:r>
      <w:r>
        <w:rPr>
          <w:i/>
          <w:noProof/>
        </w:rPr>
        <w:t xml:space="preserve"> to the greatest extent possible</w:t>
      </w:r>
      <w:r>
        <w:rPr>
          <w:b/>
          <w:i/>
          <w:noProof/>
        </w:rPr>
        <w:t xml:space="preserve"> as a key element to improve the chances of enforcement</w:t>
      </w:r>
      <w:r>
        <w:rPr>
          <w:i/>
          <w:noProof/>
        </w:rPr>
        <w:t xml:space="preserve"> of the proposed targeted legal obligations in EU courts notwithstanding the exclusive choice of law and forum clauses included in the contracts between online platforms and their business users that frequently designate non-EU courts</w:t>
      </w:r>
      <w:r>
        <w:rPr>
          <w:noProof/>
          <w:szCs w:val="24"/>
        </w:rPr>
        <w:t xml:space="preserve">", it is important to note the explanation which follows in the next paragraph. </w:t>
      </w:r>
    </w:p>
    <w:p>
      <w:pPr>
        <w:rPr>
          <w:noProof/>
        </w:rPr>
      </w:pPr>
      <w:r>
        <w:rPr>
          <w:noProof/>
        </w:rPr>
        <w:t>This provision is in line with Article 6(c) of the Hague Convention</w:t>
      </w:r>
      <w:r>
        <w:rPr>
          <w:rStyle w:val="FootnoteReference"/>
          <w:noProof/>
        </w:rPr>
        <w:footnoteReference w:id="2"/>
      </w:r>
      <w:r>
        <w:rPr>
          <w:noProof/>
        </w:rPr>
        <w:t xml:space="preserve"> or as overriding mandatory provisions according to Article 9 of Rome I Regulation and Articles 6(1), 6(4) or 26 of the Rome II Regulation Rome II)</w:t>
      </w:r>
      <w:r>
        <w:rPr>
          <w:rStyle w:val="FootnoteReference"/>
          <w:noProof/>
        </w:rPr>
        <w:footnoteReference w:id="3"/>
      </w:r>
      <w:r>
        <w:rPr>
          <w:noProof/>
        </w:rPr>
        <w:t xml:space="preserve"> and the judgments of the Court of Justice.</w:t>
      </w:r>
      <w:r>
        <w:rPr>
          <w:rStyle w:val="FootnoteReference"/>
          <w:noProof/>
        </w:rPr>
        <w:footnoteReference w:id="4"/>
      </w:r>
      <w:r>
        <w:rPr>
          <w:noProof/>
        </w:rPr>
        <w:t xml:space="preserve"> Even if this would leave EU Courts needing to decide which law should be applied by reference to the domicile of the defendant because of Article 4 of the Brussels 1 Regulation, for example, the proposed legal instrument would be likely to apply to the online platforms targeted in this initiative. </w:t>
      </w:r>
    </w:p>
    <w:p>
      <w:pPr>
        <w:rPr>
          <w:noProof/>
        </w:rPr>
      </w:pPr>
      <w:r>
        <w:rPr>
          <w:noProof/>
        </w:rPr>
        <w:t>This would be based on either (a) satisfaction of criteria in Article 63 of the Brussels 1 Regulation that captures the European online platforms and as such, would mean the rules in the proposed legal instrument would apply as it is EU law, or (b) based on national residual jurisdiction rules, which usually rely on the nationality of the parties, presence of the defendant within the Member State, the location of assets, where business is done, and the domicile of the claimant, would apply for those platforms who have headquarters in the US but have at least some presence and assets in the EU, as well as the fact the business user is domiciled in the Member State and the business occurs in the Member State determining the case, to fulfil this criteria.</w:t>
      </w:r>
      <w:r>
        <w:rPr>
          <w:rStyle w:val="FootnoteReference"/>
          <w:noProof/>
        </w:rPr>
        <w:footnoteReference w:id="5"/>
      </w:r>
    </w:p>
    <w:p>
      <w:pPr>
        <w:pStyle w:val="Heading2"/>
        <w:rPr>
          <w:noProof/>
        </w:rPr>
      </w:pPr>
      <w:bookmarkStart w:id="66" w:name="_Toc508297379"/>
      <w:bookmarkStart w:id="67" w:name="_Toc508350138"/>
      <w:bookmarkStart w:id="68" w:name="_Toc508351582"/>
      <w:bookmarkStart w:id="69" w:name="_Toc508359997"/>
      <w:bookmarkStart w:id="70" w:name="_Toc511220497"/>
      <w:bookmarkStart w:id="71" w:name="_Toc511234942"/>
      <w:bookmarkStart w:id="72" w:name="_Toc511292855"/>
      <w:r>
        <w:rPr>
          <w:noProof/>
        </w:rPr>
        <w:t>Compatibility with other EU instruments on redress</w:t>
      </w:r>
      <w:bookmarkEnd w:id="66"/>
      <w:bookmarkEnd w:id="67"/>
      <w:bookmarkEnd w:id="68"/>
      <w:bookmarkEnd w:id="69"/>
      <w:bookmarkEnd w:id="70"/>
      <w:bookmarkEnd w:id="71"/>
      <w:bookmarkEnd w:id="72"/>
    </w:p>
    <w:p>
      <w:pPr>
        <w:rPr>
          <w:noProof/>
        </w:rPr>
      </w:pPr>
      <w:r>
        <w:rPr>
          <w:noProof/>
        </w:rPr>
        <w:t xml:space="preserve">The draft legislative text proposes quality criteria fully in line with the Commission's collective redress Recommendation of 2013. </w:t>
      </w:r>
    </w:p>
    <w:p>
      <w:pPr>
        <w:rPr>
          <w:noProof/>
        </w:rPr>
      </w:pPr>
      <w:r>
        <w:rPr>
          <w:noProof/>
        </w:rPr>
        <w:t>The associations that can bring collective interest litigation will be verified at the time the action is brought on an ad-hoc basis, rather than by means of pre-designation of qualified representative bodies. Pre-designation can be a safeguard against frivolous damages claims. However, as the Report</w:t>
      </w:r>
      <w:r>
        <w:rPr>
          <w:rStyle w:val="FootnoteReference"/>
          <w:noProof/>
        </w:rPr>
        <w:footnoteReference w:id="6"/>
      </w:r>
      <w:r>
        <w:rPr>
          <w:noProof/>
        </w:rPr>
        <w:t xml:space="preserve"> on the Commission’s collective redress Recommendation of 2013 found, fears regarding abusive litigation driven by profit interests of third party funders appear to be unfounded, particularly where the associations that can bring a claim are required to be non-profit. </w:t>
      </w:r>
    </w:p>
    <w:p>
      <w:pPr>
        <w:rPr>
          <w:noProof/>
        </w:rPr>
      </w:pPr>
      <w:r>
        <w:rPr>
          <w:noProof/>
        </w:rPr>
        <w:t>Such abusive litigation is also arguably more likely to arise where damages could be awarded whereas this initiative is limited to injunctive (rather than compensatory) relief on the targeted legal obligations proposed here, as opposed to the aim of securing mass enforcement of the consumer protection acquis that the Injunctions Directive aims to facilitate. As the platform economy is still evolving, there are fewer representative bodies than exist for consumers and the population of business users is smaller than the class of consumers who could benefit from improvements to the Injunctions Directive. These differences justify this minor variation between approaches for this initiative and the approach in consumer law, which favours pre-designation.</w:t>
      </w:r>
    </w:p>
    <w:p>
      <w:pPr>
        <w:pStyle w:val="Heading2"/>
        <w:rPr>
          <w:noProof/>
        </w:rPr>
      </w:pPr>
      <w:bookmarkStart w:id="73" w:name="_Toc508270350"/>
      <w:bookmarkStart w:id="74" w:name="_Toc508271167"/>
      <w:bookmarkStart w:id="75" w:name="_Toc508271711"/>
      <w:bookmarkStart w:id="76" w:name="_Toc508290505"/>
      <w:bookmarkStart w:id="77" w:name="_Toc508297380"/>
      <w:bookmarkStart w:id="78" w:name="_Toc508350139"/>
      <w:bookmarkStart w:id="79" w:name="_Toc508351583"/>
      <w:bookmarkStart w:id="80" w:name="_Toc508359998"/>
      <w:bookmarkStart w:id="81" w:name="_Toc511220498"/>
      <w:bookmarkStart w:id="82" w:name="_Toc511234943"/>
      <w:bookmarkStart w:id="83" w:name="_Toc511292856"/>
      <w:bookmarkEnd w:id="73"/>
      <w:bookmarkEnd w:id="74"/>
      <w:bookmarkEnd w:id="75"/>
      <w:bookmarkEnd w:id="76"/>
      <w:r>
        <w:rPr>
          <w:noProof/>
        </w:rPr>
        <w:t>Definitions and Scope: A precise, future-proof and evidence-based approach</w:t>
      </w:r>
      <w:bookmarkEnd w:id="77"/>
      <w:bookmarkEnd w:id="78"/>
      <w:bookmarkEnd w:id="79"/>
      <w:bookmarkEnd w:id="80"/>
      <w:bookmarkEnd w:id="81"/>
      <w:bookmarkEnd w:id="82"/>
      <w:bookmarkEnd w:id="83"/>
    </w:p>
    <w:p>
      <w:pPr>
        <w:tabs>
          <w:tab w:val="left" w:pos="2302"/>
        </w:tabs>
        <w:spacing w:after="120"/>
        <w:rPr>
          <w:noProof/>
          <w:lang w:eastAsia="en-GB"/>
        </w:rPr>
      </w:pPr>
      <w:r>
        <w:rPr>
          <w:noProof/>
          <w:lang w:eastAsia="en-GB"/>
        </w:rPr>
        <w:t xml:space="preserve">The Impact Assessment covers those online platforms in relation to which each of the three </w:t>
      </w:r>
      <w:r>
        <w:rPr>
          <w:b/>
          <w:noProof/>
          <w:lang w:eastAsia="en-GB"/>
        </w:rPr>
        <w:t>interlinked</w:t>
      </w:r>
      <w:r>
        <w:rPr>
          <w:noProof/>
          <w:lang w:eastAsia="en-GB"/>
        </w:rPr>
        <w:t xml:space="preserve"> parts of the problem that this initiative aims to address apply:  unilateral trading practices, a lack of effective redress and risks deriving from emerging regulatory fragmentation. It is also these online platforms that exhibit most strongly the drivers underlying the problem.</w:t>
      </w:r>
    </w:p>
    <w:p>
      <w:pPr>
        <w:tabs>
          <w:tab w:val="left" w:pos="2302"/>
        </w:tabs>
        <w:spacing w:after="120"/>
        <w:rPr>
          <w:noProof/>
          <w:lang w:eastAsia="en-GB"/>
        </w:rPr>
      </w:pPr>
      <w:r>
        <w:rPr>
          <w:noProof/>
          <w:lang w:eastAsia="en-GB"/>
        </w:rPr>
        <w:t xml:space="preserve">Online platforms that have managed to build an important consumer-base consisting of private individuals that can single-home for a specific purpose (e.g. hotel booking, fashion purchases, app downloads, or connecting to a specific network of people) today already account for a significant share of the overall market (i.e. including online as well as offline sales channels). These firms can therefore constitute a crucial gateway (possibly one of several) to consumer demand for a large number of, in particular, small businesses. </w:t>
      </w:r>
    </w:p>
    <w:p>
      <w:pPr>
        <w:tabs>
          <w:tab w:val="left" w:pos="2302"/>
        </w:tabs>
        <w:spacing w:after="120"/>
        <w:rPr>
          <w:noProof/>
          <w:lang w:eastAsia="en-GB"/>
        </w:rPr>
      </w:pPr>
      <w:r>
        <w:rPr>
          <w:noProof/>
          <w:lang w:eastAsia="en-GB"/>
        </w:rPr>
        <w:t xml:space="preserve">This dependency-situation is characterised by the </w:t>
      </w:r>
      <w:r>
        <w:rPr>
          <w:b/>
          <w:noProof/>
          <w:lang w:eastAsia="en-GB"/>
        </w:rPr>
        <w:t>existence of a direct contractual relationship</w:t>
      </w:r>
      <w:r>
        <w:rPr>
          <w:noProof/>
          <w:lang w:eastAsia="en-GB"/>
        </w:rPr>
        <w:t xml:space="preserve"> between the online platforms and each of their business users as well as their consumers, reflecting the intermediaries' degree of control over the </w:t>
      </w:r>
      <w:r>
        <w:rPr>
          <w:i/>
          <w:noProof/>
          <w:lang w:eastAsia="en-GB"/>
        </w:rPr>
        <w:t>initiating</w:t>
      </w:r>
      <w:r>
        <w:rPr>
          <w:noProof/>
          <w:lang w:eastAsia="en-GB"/>
        </w:rPr>
        <w:t xml:space="preserve"> of transactions that they intermediate (i.e. they can demand to be compensated, and impose the legal terms). </w:t>
      </w:r>
    </w:p>
    <w:p>
      <w:pPr>
        <w:tabs>
          <w:tab w:val="left" w:pos="2302"/>
        </w:tabs>
        <w:spacing w:after="120"/>
        <w:rPr>
          <w:noProof/>
          <w:lang w:eastAsia="en-GB"/>
        </w:rPr>
      </w:pPr>
      <w:r>
        <w:rPr>
          <w:noProof/>
          <w:lang w:eastAsia="en-GB"/>
        </w:rPr>
        <w:t xml:space="preserve">Whether the transactions between businesses and consumers that these online platforms intermediate are ultimately </w:t>
      </w:r>
      <w:r>
        <w:rPr>
          <w:i/>
          <w:noProof/>
          <w:lang w:eastAsia="en-GB"/>
        </w:rPr>
        <w:t>concluded</w:t>
      </w:r>
      <w:r>
        <w:rPr>
          <w:noProof/>
          <w:lang w:eastAsia="en-GB"/>
        </w:rPr>
        <w:t xml:space="preserve"> directly online, on their market place, or through other means (e.g. offline for hotel or restaurant booking platforms or on businesses' own websites for comparison websites that may re-direct but track consumers) does not affect their gateway-position. </w:t>
      </w:r>
    </w:p>
    <w:p>
      <w:pPr>
        <w:tabs>
          <w:tab w:val="left" w:pos="2302"/>
        </w:tabs>
        <w:spacing w:after="120"/>
        <w:rPr>
          <w:noProof/>
          <w:lang w:eastAsia="en-GB"/>
        </w:rPr>
      </w:pPr>
      <w:r>
        <w:rPr>
          <w:noProof/>
          <w:lang w:eastAsia="en-GB"/>
        </w:rPr>
        <w:t xml:space="preserve">As a result of this definition, certain categories of platforms such as B2B platforms, payment intermediaries, and programmatic advertising exchanges (used to serve digital ads on the wider Internet) are out of scope. </w:t>
      </w:r>
    </w:p>
    <w:p>
      <w:pPr>
        <w:tabs>
          <w:tab w:val="left" w:pos="2302"/>
        </w:tabs>
        <w:spacing w:after="120"/>
        <w:rPr>
          <w:noProof/>
          <w:lang w:eastAsia="en-GB"/>
        </w:rPr>
      </w:pPr>
      <w:r>
        <w:rPr>
          <w:noProof/>
          <w:lang w:eastAsia="en-GB"/>
        </w:rPr>
        <w:t xml:space="preserve">Payment processing constitutes an activity that is inherently auxiliary to the supply of goods and services and this can never be used on a standalone basis to </w:t>
      </w:r>
      <w:r>
        <w:rPr>
          <w:i/>
          <w:noProof/>
          <w:lang w:eastAsia="en-GB"/>
        </w:rPr>
        <w:t>initiate</w:t>
      </w:r>
      <w:r>
        <w:rPr>
          <w:noProof/>
          <w:lang w:eastAsia="en-GB"/>
        </w:rPr>
        <w:t xml:space="preserve"> transactions (i.e. consumers do not use payment intermediaries as the starting point for finding any goods or services provided by third parties). Payment intermediaries are therefore, excluded.</w:t>
      </w:r>
    </w:p>
    <w:p>
      <w:pPr>
        <w:tabs>
          <w:tab w:val="left" w:pos="2302"/>
        </w:tabs>
        <w:spacing w:after="120"/>
        <w:rPr>
          <w:noProof/>
          <w:lang w:val="en-US" w:eastAsia="en-GB"/>
        </w:rPr>
      </w:pPr>
      <w:r>
        <w:rPr>
          <w:noProof/>
          <w:lang w:eastAsia="en-GB"/>
        </w:rPr>
        <w:t xml:space="preserve">Online platforms that aim to intermediate transactions between businesses (i.e. B2B platforms) do not exhibit a similar dependency of the provider-side of the market at present. These B2B online platforms are characterised by a different dynamic: </w:t>
      </w:r>
      <w:r>
        <w:rPr>
          <w:noProof/>
          <w:lang w:val="en-US" w:eastAsia="en-GB"/>
        </w:rPr>
        <w:t>both sides of the online platform tend to constitute large and savvy firms that do not easily bind themselves into imbalanced contractual relationships. A Commission study from 2006 in this regard already observed that businesses' awareness of risks involved with online intermediation constituted one of the main factors altogether holding back the development of large-scale B2B e-markets.</w:t>
      </w:r>
      <w:r>
        <w:rPr>
          <w:noProof/>
          <w:vertAlign w:val="superscript"/>
          <w:lang w:val="en-US" w:eastAsia="en-GB"/>
        </w:rPr>
        <w:footnoteReference w:id="7"/>
      </w:r>
      <w:r>
        <w:rPr>
          <w:noProof/>
          <w:lang w:val="en-US" w:eastAsia="en-GB"/>
        </w:rPr>
        <w:t xml:space="preserve"> To the extent these exist today, B2B intermediary platforms such as cloud app stores for professional clients exercise less control over intermediated transactions as the B2C online platforms targeted by this initiative do; they for example do not take commission and the B2B cloud app store is rather ancillary to the core provision of Customer Relationship Management services.</w:t>
      </w:r>
    </w:p>
    <w:p>
      <w:pPr>
        <w:tabs>
          <w:tab w:val="left" w:pos="2302"/>
        </w:tabs>
        <w:spacing w:after="120"/>
        <w:rPr>
          <w:noProof/>
          <w:lang w:eastAsia="en-GB"/>
        </w:rPr>
      </w:pPr>
      <w:r>
        <w:rPr>
          <w:noProof/>
          <w:lang w:val="en-US" w:eastAsia="en-GB"/>
        </w:rPr>
        <w:t xml:space="preserve">Advertising exchanges are a particular category of B2B platforms, where advertisers and publishers of ad space (e.g. website owners) are the immediate clients. Although programmatic advertising inherently involves presenting businesses' ads to consumers with a view to concluding transactions, this constitutes a derived form of intermediation that is not covered by this Impact Assessment. Indeed, programmatic online advertising typically </w:t>
      </w:r>
      <w:r>
        <w:rPr>
          <w:noProof/>
          <w:lang w:eastAsia="en-GB"/>
        </w:rPr>
        <w:t>involves multiple types of consecutive online intermediation services used to deliver the advertisement, such as online ad serving tools or online advertising exchanges. In these cases, the consumers do not use the online intermediation services that they enter into a contract with (e.g. the general search service) for the specific purpose of finding the relevant advertisements and they cannot choose which advertisements they see.</w:t>
      </w:r>
    </w:p>
    <w:p>
      <w:pPr>
        <w:tabs>
          <w:tab w:val="left" w:pos="2302"/>
        </w:tabs>
        <w:spacing w:after="120"/>
        <w:rPr>
          <w:noProof/>
          <w:lang w:eastAsia="en-GB"/>
        </w:rPr>
      </w:pPr>
      <w:r>
        <w:rPr>
          <w:noProof/>
          <w:lang w:eastAsia="en-GB"/>
        </w:rPr>
        <w:t xml:space="preserve">The Impact Assessment accordingly takes a future-proof </w:t>
      </w:r>
      <w:r>
        <w:rPr>
          <w:i/>
          <w:noProof/>
          <w:lang w:eastAsia="en-GB"/>
        </w:rPr>
        <w:t>activities</w:t>
      </w:r>
      <w:r>
        <w:rPr>
          <w:noProof/>
          <w:lang w:eastAsia="en-GB"/>
        </w:rPr>
        <w:t>-based approach to scoping the relevant online intermediation services that it covers. Indeed, the category of "online B2C e-commerce market place" that enables B2C transactions to be initiated as well as concluded directly online covers a range of online platform services regardless of their fast-changing designs, including traditional online market places, direct "buy-now" buttons integrated with social media, e-commerce chat bots incorporated into interpersonal communications services</w:t>
      </w:r>
      <w:r>
        <w:rPr>
          <w:noProof/>
          <w:vertAlign w:val="superscript"/>
          <w:lang w:eastAsia="en-GB"/>
        </w:rPr>
        <w:footnoteReference w:id="8"/>
      </w:r>
      <w:r>
        <w:rPr>
          <w:noProof/>
          <w:lang w:eastAsia="en-GB"/>
        </w:rPr>
        <w:t xml:space="preserve"> as well as voice-activated software application stores</w:t>
      </w:r>
      <w:r>
        <w:rPr>
          <w:noProof/>
          <w:vertAlign w:val="superscript"/>
          <w:lang w:eastAsia="en-GB"/>
        </w:rPr>
        <w:footnoteReference w:id="9"/>
      </w:r>
      <w:r>
        <w:rPr>
          <w:noProof/>
          <w:lang w:eastAsia="en-GB"/>
        </w:rPr>
        <w:t xml:space="preserve">. Such an </w:t>
      </w:r>
      <w:r>
        <w:rPr>
          <w:i/>
          <w:noProof/>
          <w:lang w:eastAsia="en-GB"/>
        </w:rPr>
        <w:t>activities-</w:t>
      </w:r>
      <w:r>
        <w:rPr>
          <w:noProof/>
          <w:lang w:eastAsia="en-GB"/>
        </w:rPr>
        <w:t>based approach is consistent with the regulatory approach of the E-Commerce Directive</w:t>
      </w:r>
      <w:r>
        <w:rPr>
          <w:noProof/>
          <w:vertAlign w:val="superscript"/>
          <w:lang w:eastAsia="en-GB"/>
        </w:rPr>
        <w:footnoteReference w:id="10"/>
      </w:r>
      <w:r>
        <w:rPr>
          <w:noProof/>
          <w:lang w:eastAsia="en-GB"/>
        </w:rPr>
        <w:t>.</w:t>
      </w:r>
    </w:p>
    <w:p>
      <w:pPr>
        <w:tabs>
          <w:tab w:val="left" w:pos="2302"/>
        </w:tabs>
        <w:spacing w:after="120"/>
        <w:rPr>
          <w:noProof/>
          <w:lang w:val="en-US" w:eastAsia="en-GB"/>
        </w:rPr>
      </w:pPr>
      <w:r>
        <w:rPr>
          <w:noProof/>
          <w:lang w:eastAsia="en-GB"/>
        </w:rPr>
        <w:t xml:space="preserve">The general concept of online intermediation services encompassed by the scope of this initiative is also </w:t>
      </w:r>
      <w:r>
        <w:rPr>
          <w:noProof/>
          <w:lang w:val="en-US" w:eastAsia="en-GB"/>
        </w:rPr>
        <w:t xml:space="preserve">agnostic to the CJEU </w:t>
      </w:r>
      <w:r>
        <w:rPr>
          <w:i/>
          <w:noProof/>
          <w:lang w:val="en-US" w:eastAsia="en-GB"/>
        </w:rPr>
        <w:t>Uber</w:t>
      </w:r>
      <w:r>
        <w:rPr>
          <w:noProof/>
          <w:lang w:val="en-US" w:eastAsia="en-GB"/>
        </w:rPr>
        <w:t xml:space="preserve"> judgment, which concerns one specific type of service provided by the company Uber. This specific service, but not other intermediation services that Uber may provide, will no longer qualify as an online intermediation service on the basis of strict criteria used to establish </w:t>
      </w:r>
      <w:r>
        <w:rPr>
          <w:i/>
          <w:noProof/>
          <w:lang w:val="en-US" w:eastAsia="en-GB"/>
        </w:rPr>
        <w:t>control</w:t>
      </w:r>
      <w:r>
        <w:rPr>
          <w:noProof/>
          <w:lang w:val="en-US" w:eastAsia="en-GB"/>
        </w:rPr>
        <w:t xml:space="preserve"> by Uber over the underlying service. </w:t>
      </w:r>
    </w:p>
    <w:p>
      <w:pPr>
        <w:tabs>
          <w:tab w:val="left" w:pos="2302"/>
        </w:tabs>
        <w:spacing w:after="120"/>
        <w:rPr>
          <w:bCs/>
          <w:noProof/>
          <w:lang w:eastAsia="en-GB"/>
        </w:rPr>
      </w:pPr>
      <w:r>
        <w:rPr>
          <w:noProof/>
          <w:lang w:val="en-US" w:eastAsia="en-GB"/>
        </w:rPr>
        <w:t xml:space="preserve">By designing specific legal definitional elements, a precise scoping of "online intermediation services" that are capable of exhibiting the dependency-related problems that this Initiative aims to address is possible. It is noted in this respect that existing legal definitions used in EU law in the area of digital do not capture the distinguishing </w:t>
      </w:r>
      <w:r>
        <w:rPr>
          <w:i/>
          <w:noProof/>
          <w:lang w:val="en-US" w:eastAsia="en-GB"/>
        </w:rPr>
        <w:t>intermediation</w:t>
      </w:r>
      <w:r>
        <w:rPr>
          <w:noProof/>
          <w:lang w:val="en-US" w:eastAsia="en-GB"/>
        </w:rPr>
        <w:t xml:space="preserve">-element that this initiative targets. For example, </w:t>
      </w:r>
      <w:r>
        <w:rPr>
          <w:noProof/>
          <w:lang w:eastAsia="en-GB"/>
        </w:rPr>
        <w:t xml:space="preserve">Art. 2(5) of Regulation 2017/1128 </w:t>
      </w:r>
      <w:r>
        <w:rPr>
          <w:bCs/>
          <w:noProof/>
          <w:lang w:eastAsia="en-GB"/>
        </w:rPr>
        <w:t xml:space="preserve">on cross-border portability of online content services in the internal market </w:t>
      </w:r>
      <w:r>
        <w:rPr>
          <w:noProof/>
          <w:lang w:eastAsia="en-GB"/>
        </w:rPr>
        <w:t>targets</w:t>
      </w:r>
      <w:r>
        <w:rPr>
          <w:b/>
          <w:bCs/>
          <w:noProof/>
          <w:lang w:eastAsia="en-GB"/>
        </w:rPr>
        <w:t xml:space="preserve"> </w:t>
      </w:r>
      <w:r>
        <w:rPr>
          <w:noProof/>
          <w:lang w:eastAsia="en-GB"/>
        </w:rPr>
        <w:t>online services</w:t>
      </w:r>
      <w:r>
        <w:rPr>
          <w:bCs/>
          <w:noProof/>
          <w:lang w:eastAsia="en-GB"/>
        </w:rPr>
        <w:t xml:space="preserve"> that buy and resell digital content (e.g. subscription-based Video-on-Demand services), rather than intermediating access between consumers and the producers of such content. </w:t>
      </w:r>
    </w:p>
    <w:p>
      <w:pPr>
        <w:tabs>
          <w:tab w:val="left" w:pos="2302"/>
        </w:tabs>
        <w:spacing w:after="120"/>
        <w:rPr>
          <w:bCs/>
          <w:noProof/>
          <w:lang w:eastAsia="en-GB"/>
        </w:rPr>
      </w:pPr>
      <w:r>
        <w:rPr>
          <w:bCs/>
          <w:noProof/>
          <w:lang w:eastAsia="en-GB"/>
        </w:rPr>
        <w:t>At the same time, whereas Art. 4(17) of Directive</w:t>
      </w:r>
      <w:r>
        <w:rPr>
          <w:noProof/>
          <w:lang w:eastAsia="en-GB"/>
        </w:rPr>
        <w:t xml:space="preserve"> </w:t>
      </w:r>
      <w:r>
        <w:rPr>
          <w:bCs/>
          <w:noProof/>
          <w:lang w:eastAsia="en-GB"/>
        </w:rPr>
        <w:t xml:space="preserve">2016/1148 concerning measures for a high common level of security of network and information systems across the Union does define online market places, this definition is both too broad as well as too narrow for the purposes of this initiative. It namely covers both B2B and B2C transactions, and extends far beyond intermediary platforms (to cloud services providers). </w:t>
      </w:r>
    </w:p>
    <w:p>
      <w:pPr>
        <w:tabs>
          <w:tab w:val="left" w:pos="2302"/>
        </w:tabs>
        <w:spacing w:after="120"/>
        <w:rPr>
          <w:bCs/>
          <w:noProof/>
          <w:lang w:eastAsia="en-GB"/>
        </w:rPr>
      </w:pPr>
      <w:r>
        <w:rPr>
          <w:bCs/>
          <w:noProof/>
          <w:lang w:eastAsia="en-GB"/>
        </w:rPr>
        <w:t xml:space="preserve">At the same time, its scope of application is limited to those digital services where contracts can be </w:t>
      </w:r>
      <w:r>
        <w:rPr>
          <w:i/>
          <w:noProof/>
          <w:lang w:eastAsia="en-GB"/>
        </w:rPr>
        <w:t>concluded online</w:t>
      </w:r>
      <w:r>
        <w:rPr>
          <w:bCs/>
          <w:noProof/>
          <w:lang w:eastAsia="en-GB"/>
        </w:rPr>
        <w:t xml:space="preserve">, whereas EU businesses actually depend also on online intermediation services that enable the </w:t>
      </w:r>
      <w:r>
        <w:rPr>
          <w:i/>
          <w:noProof/>
          <w:lang w:eastAsia="en-GB"/>
        </w:rPr>
        <w:t>initiating</w:t>
      </w:r>
      <w:r>
        <w:rPr>
          <w:bCs/>
          <w:noProof/>
          <w:lang w:eastAsia="en-GB"/>
        </w:rPr>
        <w:t xml:space="preserve">, but not necessarily the conclusion, of transactions online (e.g. business pages on social media, which are crucial for attracting "offline traffic", building on important consumer review systems). </w:t>
      </w:r>
    </w:p>
    <w:p>
      <w:pPr>
        <w:tabs>
          <w:tab w:val="left" w:pos="2302"/>
        </w:tabs>
        <w:spacing w:after="120"/>
        <w:rPr>
          <w:bCs/>
          <w:noProof/>
          <w:lang w:eastAsia="en-GB"/>
        </w:rPr>
      </w:pPr>
      <w:r>
        <w:rPr>
          <w:bCs/>
          <w:noProof/>
          <w:lang w:eastAsia="en-GB"/>
        </w:rPr>
        <w:t xml:space="preserve">The legal definition of online market place being explored in </w:t>
      </w:r>
      <w:r>
        <w:rPr>
          <w:noProof/>
          <w:lang w:eastAsia="en-GB"/>
        </w:rPr>
        <w:t>Art. 2(19) of the draft revised Directive 2011/83/EU</w:t>
      </w:r>
      <w:r>
        <w:rPr>
          <w:bCs/>
          <w:noProof/>
          <w:lang w:eastAsia="en-GB"/>
        </w:rPr>
        <w:t xml:space="preserve"> on consumer rights equally fails to capture the intermediation-element, as it would extend to contracts concluded on any regular retailer's webshop ("</w:t>
      </w:r>
      <w:r>
        <w:rPr>
          <w:bCs/>
          <w:i/>
          <w:noProof/>
          <w:lang w:eastAsia="en-GB"/>
        </w:rPr>
        <w:t xml:space="preserve">online marketplace means </w:t>
      </w:r>
      <w:r>
        <w:rPr>
          <w:i/>
          <w:noProof/>
          <w:u w:val="single"/>
          <w:lang w:eastAsia="en-GB"/>
        </w:rPr>
        <w:t>a service provider</w:t>
      </w:r>
      <w:r>
        <w:rPr>
          <w:bCs/>
          <w:i/>
          <w:noProof/>
          <w:lang w:eastAsia="en-GB"/>
        </w:rPr>
        <w:t xml:space="preserve">, </w:t>
      </w:r>
      <w:r>
        <w:rPr>
          <w:i/>
          <w:iCs/>
          <w:noProof/>
          <w:lang w:eastAsia="en-GB"/>
        </w:rPr>
        <w:t>as defined in point (b) of Article 2 of Directive 2000/31/EC of the European Parliament and of the Council of 8 June 2000 on certain legal aspects of information society services, in particular electronic commerce, in the Internal Market (‘Directive on electronic commerce’),</w:t>
      </w:r>
      <w:r>
        <w:rPr>
          <w:bCs/>
          <w:i/>
          <w:noProof/>
          <w:lang w:eastAsia="en-GB"/>
        </w:rPr>
        <w:t xml:space="preserve"> </w:t>
      </w:r>
      <w:r>
        <w:rPr>
          <w:i/>
          <w:noProof/>
          <w:u w:val="single"/>
          <w:lang w:eastAsia="en-GB"/>
        </w:rPr>
        <w:t xml:space="preserve">which allows consumers to conclude distance </w:t>
      </w:r>
      <w:r>
        <w:rPr>
          <w:i/>
          <w:noProof/>
          <w:lang w:eastAsia="en-GB"/>
        </w:rPr>
        <w:t>contracts on the online marketplace’s online interface</w:t>
      </w:r>
      <w:r>
        <w:rPr>
          <w:bCs/>
          <w:iCs/>
          <w:noProof/>
          <w:lang w:eastAsia="en-GB"/>
        </w:rPr>
        <w:t>").</w:t>
      </w:r>
      <w:r>
        <w:rPr>
          <w:noProof/>
          <w:lang w:eastAsia="en-GB"/>
        </w:rPr>
        <w:t xml:space="preserve"> </w:t>
      </w:r>
      <w:r>
        <w:rPr>
          <w:bCs/>
          <w:noProof/>
          <w:lang w:eastAsia="en-GB"/>
        </w:rPr>
        <w:t xml:space="preserve">Finally, the upcoming EU proposal for a Regulation on crowdfunding is highly narrow in scope, and merely defines </w:t>
      </w:r>
      <w:r>
        <w:rPr>
          <w:i/>
          <w:noProof/>
          <w:lang w:eastAsia="en-GB"/>
        </w:rPr>
        <w:t>crowdfunding platforms</w:t>
      </w:r>
      <w:r>
        <w:rPr>
          <w:bCs/>
          <w:noProof/>
          <w:lang w:eastAsia="en-GB"/>
        </w:rPr>
        <w:t xml:space="preserve"> as "</w:t>
      </w:r>
      <w:r>
        <w:rPr>
          <w:i/>
          <w:iCs/>
          <w:noProof/>
          <w:lang w:eastAsia="en-GB"/>
        </w:rPr>
        <w:t>an electronic information system on which crowdfunding services are provided</w:t>
      </w:r>
      <w:r>
        <w:rPr>
          <w:iCs/>
          <w:noProof/>
          <w:lang w:eastAsia="en-GB"/>
        </w:rPr>
        <w:t>"</w:t>
      </w:r>
      <w:r>
        <w:rPr>
          <w:bCs/>
          <w:noProof/>
          <w:lang w:eastAsia="en-GB"/>
        </w:rPr>
        <w:t>.</w:t>
      </w:r>
    </w:p>
    <w:p>
      <w:pPr>
        <w:tabs>
          <w:tab w:val="left" w:pos="2302"/>
        </w:tabs>
        <w:spacing w:after="120"/>
        <w:rPr>
          <w:noProof/>
          <w:lang w:eastAsia="en-GB"/>
        </w:rPr>
      </w:pPr>
      <w:r>
        <w:rPr>
          <w:noProof/>
          <w:lang w:val="en-US" w:eastAsia="en-GB"/>
        </w:rPr>
        <w:t>As described in more detail in section 8.2, t</w:t>
      </w:r>
      <w:r>
        <w:rPr>
          <w:noProof/>
          <w:lang w:eastAsia="en-GB"/>
        </w:rPr>
        <w:t xml:space="preserve">he legal definitional elements of "online intermediation services" do allow this precise scoping of online intermediary platforms. A definition has been developed on this basis around four technologically-neutral elements that are shared among the relevant types of online intermediaries: </w:t>
      </w:r>
    </w:p>
    <w:p>
      <w:pPr>
        <w:tabs>
          <w:tab w:val="left" w:pos="2302"/>
        </w:tabs>
        <w:spacing w:after="120"/>
        <w:rPr>
          <w:noProof/>
          <w:lang w:eastAsia="en-GB"/>
        </w:rPr>
      </w:pPr>
      <w:r>
        <w:rPr>
          <w:noProof/>
          <w:lang w:eastAsia="en-GB"/>
        </w:rPr>
        <w:t>- the fact that their service constitutes an information society service, as defined in Directive (EU) No 2015/1535;</w:t>
      </w:r>
    </w:p>
    <w:p>
      <w:pPr>
        <w:tabs>
          <w:tab w:val="left" w:pos="2302"/>
        </w:tabs>
        <w:spacing w:after="120"/>
        <w:rPr>
          <w:noProof/>
          <w:lang w:eastAsia="en-GB"/>
        </w:rPr>
      </w:pPr>
      <w:r>
        <w:rPr>
          <w:noProof/>
          <w:lang w:eastAsia="en-GB"/>
        </w:rPr>
        <w:t>- allowing business users to offer their products and services to consumers;</w:t>
      </w:r>
    </w:p>
    <w:p>
      <w:pPr>
        <w:tabs>
          <w:tab w:val="left" w:pos="2302"/>
        </w:tabs>
        <w:spacing w:after="120"/>
        <w:rPr>
          <w:noProof/>
          <w:lang w:eastAsia="en-GB"/>
        </w:rPr>
      </w:pPr>
      <w:r>
        <w:rPr>
          <w:noProof/>
          <w:lang w:eastAsia="en-GB"/>
        </w:rPr>
        <w:t>- with the aim to facilitate direct transactions between business users and consumers, irrespective of where these transactions are ultimately concluded; and</w:t>
      </w:r>
    </w:p>
    <w:p>
      <w:pPr>
        <w:tabs>
          <w:tab w:val="left" w:pos="2302"/>
        </w:tabs>
        <w:spacing w:after="120"/>
        <w:rPr>
          <w:noProof/>
          <w:lang w:eastAsia="en-GB"/>
        </w:rPr>
      </w:pPr>
      <w:r>
        <w:rPr>
          <w:noProof/>
          <w:lang w:eastAsia="en-GB"/>
        </w:rPr>
        <w:t>- provided on the basis of contractual relationships between, on the one hand, the online intermediary and, on the other hand, each of those business users and consumers.</w:t>
      </w:r>
    </w:p>
    <w:p>
      <w:pPr>
        <w:tabs>
          <w:tab w:val="left" w:pos="2302"/>
        </w:tabs>
        <w:spacing w:after="120"/>
        <w:rPr>
          <w:noProof/>
          <w:lang w:val="en-US" w:eastAsia="en-GB"/>
        </w:rPr>
      </w:pPr>
      <w:r>
        <w:rPr>
          <w:noProof/>
          <w:lang w:val="en-US" w:eastAsia="en-GB"/>
        </w:rPr>
        <w:t xml:space="preserve">Moreover, one policy option identified in this Impact Assessment report is to strengthen the effectiveness of the proposed ranking transparency obligation by extending it to online general search engines. Under this option, the existing legal definition of </w:t>
      </w:r>
      <w:r>
        <w:rPr>
          <w:i/>
          <w:noProof/>
          <w:lang w:val="en-US" w:eastAsia="en-GB"/>
        </w:rPr>
        <w:t>online search engines</w:t>
      </w:r>
      <w:r>
        <w:rPr>
          <w:i/>
          <w:noProof/>
          <w:vertAlign w:val="superscript"/>
          <w:lang w:val="en-US" w:eastAsia="en-GB"/>
        </w:rPr>
        <w:footnoteReference w:id="11"/>
      </w:r>
      <w:r>
        <w:rPr>
          <w:noProof/>
          <w:lang w:val="en-US" w:eastAsia="en-GB"/>
        </w:rPr>
        <w:t xml:space="preserve"> would be incorporated into the legal instrument to allow for this targeted extension. The use of this separate legal definition for a type of online service provider that is different from the online platforms targeted will only help confirm the precise scope of the concept "online intermediation services".</w:t>
      </w:r>
    </w:p>
    <w:p>
      <w:pPr>
        <w:tabs>
          <w:tab w:val="left" w:pos="2302"/>
        </w:tabs>
        <w:spacing w:after="120"/>
        <w:rPr>
          <w:noProof/>
          <w:lang w:val="en-US" w:eastAsia="en-GB"/>
        </w:rPr>
      </w:pPr>
      <w:r>
        <w:rPr>
          <w:noProof/>
          <w:lang w:val="en-US" w:eastAsia="en-GB"/>
        </w:rPr>
        <w:t xml:space="preserve">The proposed definitions and scope are furthermore coherent with proposals addressing digital services in other areas, in particular in the field of taxation. There, a preferred option targets </w:t>
      </w:r>
      <w:r>
        <w:rPr>
          <w:i/>
          <w:noProof/>
          <w:lang w:eastAsia="en-GB"/>
        </w:rPr>
        <w:t>revenues of a business resulting from the exploitation of digital activities characterised by user value creation, namely advertising revenue and revenue from services provided by online marketplaces/intermediaries</w:t>
      </w:r>
      <w:r>
        <w:rPr>
          <w:noProof/>
          <w:lang w:val="en-US" w:eastAsia="en-GB"/>
        </w:rPr>
        <w:t xml:space="preserve">. Given the different objectives of the interventions are different, the conceptual scope of the two initiatives complement each other, and present no contradiction. </w:t>
      </w:r>
    </w:p>
    <w:p>
      <w:pPr>
        <w:pStyle w:val="Heading2"/>
        <w:rPr>
          <w:noProof/>
        </w:rPr>
      </w:pPr>
      <w:bookmarkStart w:id="84" w:name="_Toc508297381"/>
      <w:bookmarkStart w:id="85" w:name="_Toc508350140"/>
      <w:bookmarkStart w:id="86" w:name="_Toc508351584"/>
      <w:bookmarkStart w:id="87" w:name="_Toc508359999"/>
      <w:bookmarkStart w:id="88" w:name="_Toc511220499"/>
      <w:bookmarkStart w:id="89" w:name="_Toc511234944"/>
      <w:bookmarkStart w:id="90" w:name="_Toc511292857"/>
      <w:r>
        <w:rPr>
          <w:noProof/>
        </w:rPr>
        <w:t>Evidence-base &amp; types of issues covered</w:t>
      </w:r>
      <w:bookmarkEnd w:id="84"/>
      <w:bookmarkEnd w:id="85"/>
      <w:bookmarkEnd w:id="86"/>
      <w:bookmarkEnd w:id="87"/>
      <w:bookmarkEnd w:id="88"/>
      <w:bookmarkEnd w:id="89"/>
      <w:bookmarkEnd w:id="90"/>
    </w:p>
    <w:p>
      <w:pPr>
        <w:rPr>
          <w:noProof/>
        </w:rPr>
      </w:pPr>
      <w:r>
        <w:rPr>
          <w:noProof/>
        </w:rPr>
        <w:t>Importantly, these results are based on surveys among randomly selected business users of online platforms, as well as on an existing independent panel of around 2 500 businesses where all participants were required to respond (i.e. regardless of whether they had experienced problems). The random selection of businesses should guard against important aberrations in the results due to self-selection bias. Moreover, it should be noted that the number of reported issues is largely consistent between the overall results and the independent business panel (37% of the panel members experienced issues, which figure amounted to 68% for heavy users, against 46% of all business users surveyed). Finally, these results were tested with stakeholders from different groups</w:t>
      </w:r>
      <w:r>
        <w:rPr>
          <w:bCs/>
          <w:noProof/>
        </w:rPr>
        <w:t>, including by means of a large number of bilateral meetings</w:t>
      </w:r>
      <w:r>
        <w:rPr>
          <w:noProof/>
        </w:rPr>
        <w:t xml:space="preserve">, </w:t>
      </w:r>
      <w:r>
        <w:rPr>
          <w:bCs/>
          <w:noProof/>
        </w:rPr>
        <w:t xml:space="preserve">(separate and combined) </w:t>
      </w:r>
      <w:r>
        <w:rPr>
          <w:noProof/>
        </w:rPr>
        <w:t xml:space="preserve">workshops with platforms </w:t>
      </w:r>
      <w:r>
        <w:rPr>
          <w:bCs/>
          <w:noProof/>
        </w:rPr>
        <w:t xml:space="preserve">and </w:t>
      </w:r>
      <w:r>
        <w:rPr>
          <w:noProof/>
        </w:rPr>
        <w:t>business users,</w:t>
      </w:r>
      <w:r>
        <w:rPr>
          <w:bCs/>
          <w:noProof/>
        </w:rPr>
        <w:t xml:space="preserve"> a</w:t>
      </w:r>
      <w:r>
        <w:rPr>
          <w:noProof/>
        </w:rPr>
        <w:t xml:space="preserve"> Member State survey,</w:t>
      </w:r>
      <w:r>
        <w:rPr>
          <w:bCs/>
          <w:noProof/>
        </w:rPr>
        <w:t xml:space="preserve"> a </w:t>
      </w:r>
      <w:r>
        <w:rPr>
          <w:noProof/>
        </w:rPr>
        <w:t xml:space="preserve">public consultation, </w:t>
      </w:r>
      <w:r>
        <w:rPr>
          <w:bCs/>
          <w:noProof/>
        </w:rPr>
        <w:t>comments received to the Inception Impact Assessment for this initiative</w:t>
      </w:r>
      <w:r>
        <w:rPr>
          <w:noProof/>
        </w:rPr>
        <w:t>,</w:t>
      </w:r>
      <w:r>
        <w:rPr>
          <w:bCs/>
          <w:noProof/>
        </w:rPr>
        <w:t xml:space="preserve"> several meetings of the</w:t>
      </w:r>
      <w:r>
        <w:rPr>
          <w:noProof/>
        </w:rPr>
        <w:t xml:space="preserve"> e-commerce expert group, </w:t>
      </w:r>
      <w:r>
        <w:rPr>
          <w:bCs/>
          <w:noProof/>
        </w:rPr>
        <w:t xml:space="preserve">focus groups hosted by the Joint Research Centre's </w:t>
      </w:r>
      <w:r>
        <w:rPr>
          <w:noProof/>
        </w:rPr>
        <w:t xml:space="preserve">policy design lab </w:t>
      </w:r>
      <w:r>
        <w:rPr>
          <w:bCs/>
          <w:noProof/>
        </w:rPr>
        <w:t>and by means of further independent studies on platforms' data and terms and conditions</w:t>
      </w:r>
      <w:r>
        <w:rPr>
          <w:noProof/>
        </w:rPr>
        <w:t>.</w:t>
      </w:r>
    </w:p>
    <w:p>
      <w:pPr>
        <w:pStyle w:val="Heading2"/>
        <w:rPr>
          <w:noProof/>
        </w:rPr>
      </w:pPr>
      <w:bookmarkStart w:id="91" w:name="_Toc508297382"/>
      <w:bookmarkStart w:id="92" w:name="_Toc508350141"/>
      <w:bookmarkStart w:id="93" w:name="_Toc508351585"/>
      <w:bookmarkStart w:id="94" w:name="_Toc508360000"/>
      <w:bookmarkStart w:id="95" w:name="_Toc511220500"/>
      <w:bookmarkStart w:id="96" w:name="_Toc511234945"/>
      <w:bookmarkStart w:id="97" w:name="_Toc511292858"/>
      <w:r>
        <w:rPr>
          <w:noProof/>
        </w:rPr>
        <w:t>Overview of problem drivers</w:t>
      </w:r>
      <w:bookmarkEnd w:id="91"/>
      <w:bookmarkEnd w:id="92"/>
      <w:bookmarkEnd w:id="93"/>
      <w:bookmarkEnd w:id="94"/>
      <w:bookmarkEnd w:id="95"/>
      <w:bookmarkEnd w:id="96"/>
      <w:bookmarkEnd w:id="9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trPr>
          <w:trHeight w:val="488"/>
        </w:trPr>
        <w:tc>
          <w:tcPr>
            <w:tcW w:w="9287" w:type="dxa"/>
          </w:tcPr>
          <w:p>
            <w:pPr>
              <w:spacing w:after="120"/>
              <w:rPr>
                <w:b/>
                <w:i/>
                <w:noProof/>
              </w:rPr>
            </w:pPr>
            <w:r>
              <w:rPr>
                <w:b/>
                <w:i/>
                <w:noProof/>
              </w:rPr>
              <w:t xml:space="preserve">Platforms are increasingly an important vehicle for market access  </w:t>
            </w:r>
          </w:p>
          <w:p>
            <w:pPr>
              <w:pStyle w:val="ListParagraph"/>
              <w:numPr>
                <w:ilvl w:val="0"/>
                <w:numId w:val="361"/>
              </w:numPr>
              <w:spacing w:after="120"/>
              <w:rPr>
                <w:noProof/>
              </w:rPr>
            </w:pPr>
            <w:r>
              <w:rPr>
                <w:noProof/>
              </w:rPr>
              <w:t xml:space="preserve">Digital trade is growing and increasingly intermediated by online platforms </w:t>
            </w:r>
          </w:p>
          <w:p>
            <w:pPr>
              <w:pStyle w:val="ListParagraph"/>
              <w:numPr>
                <w:ilvl w:val="0"/>
                <w:numId w:val="361"/>
              </w:numPr>
              <w:spacing w:after="120"/>
              <w:rPr>
                <w:noProof/>
              </w:rPr>
            </w:pPr>
            <w:r>
              <w:rPr>
                <w:noProof/>
              </w:rPr>
              <w:t>Platforms are important gateways to new (cross-border) market and business opportunities</w:t>
            </w:r>
          </w:p>
          <w:p>
            <w:pPr>
              <w:spacing w:after="120"/>
              <w:rPr>
                <w:noProof/>
              </w:rPr>
            </w:pPr>
            <w:r>
              <w:rPr>
                <w:b/>
                <w:i/>
                <w:noProof/>
              </w:rPr>
              <w:t>Platforms can benefit from virtuous growth cycle due to strong data-driven network effects of unprecedented magnitude, speed and scale proper to the online world</w:t>
            </w:r>
          </w:p>
          <w:p>
            <w:pPr>
              <w:pStyle w:val="ListParagraph"/>
              <w:numPr>
                <w:ilvl w:val="0"/>
                <w:numId w:val="361"/>
              </w:numPr>
              <w:spacing w:after="120"/>
              <w:rPr>
                <w:noProof/>
              </w:rPr>
            </w:pPr>
            <w:r>
              <w:rPr>
                <w:noProof/>
                <w:u w:val="single"/>
              </w:rPr>
              <w:t>Indirect network effects</w:t>
            </w:r>
            <w:r>
              <w:rPr>
                <w:noProof/>
              </w:rPr>
              <w:t xml:space="preserve"> are at the heart of the business model of online platforms: the increase in the number of users on one side of the platform (e.g. sellers, content creators, service providers) makes it more attractive to users on the other side (e.g. consumers, viewers) and the other way around. </w:t>
            </w:r>
          </w:p>
          <w:p>
            <w:pPr>
              <w:pStyle w:val="ListParagraph"/>
              <w:numPr>
                <w:ilvl w:val="0"/>
                <w:numId w:val="361"/>
              </w:numPr>
              <w:spacing w:after="120"/>
              <w:rPr>
                <w:noProof/>
              </w:rPr>
            </w:pPr>
            <w:r>
              <w:rPr>
                <w:noProof/>
              </w:rPr>
              <w:t xml:space="preserve">The network value increases very rapidly with the number of additional users on either side, while the cost increase to provide services to additional users on either side grows increasingly slowly. Platforms thus create their economic value by attracting/retaining users on both sides of the market, while the cost for supporting additional users is marginal: when a platform scales to millions of consumers, functions such as support are frequently automated in order to maintain low scaling costs. </w:t>
            </w:r>
          </w:p>
          <w:p>
            <w:pPr>
              <w:pStyle w:val="ListParagraph"/>
              <w:numPr>
                <w:ilvl w:val="0"/>
                <w:numId w:val="361"/>
              </w:numPr>
              <w:spacing w:after="120"/>
              <w:rPr>
                <w:noProof/>
              </w:rPr>
            </w:pPr>
            <w:r>
              <w:rPr>
                <w:noProof/>
              </w:rPr>
              <w:t xml:space="preserve">These 'winner-takes-most' dynamics are reinforced by platforms' </w:t>
            </w:r>
            <w:r>
              <w:rPr>
                <w:noProof/>
                <w:szCs w:val="24"/>
              </w:rPr>
              <w:t xml:space="preserve">a </w:t>
            </w:r>
            <w:r>
              <w:rPr>
                <w:noProof/>
              </w:rPr>
              <w:t xml:space="preserve">data-driven </w:t>
            </w:r>
            <w:r>
              <w:rPr>
                <w:noProof/>
                <w:szCs w:val="24"/>
              </w:rPr>
              <w:t>competitive</w:t>
            </w:r>
            <w:r>
              <w:rPr>
                <w:noProof/>
              </w:rPr>
              <w:t xml:space="preserve"> advantage. Platforms have </w:t>
            </w:r>
            <w:r>
              <w:rPr>
                <w:noProof/>
                <w:u w:val="single"/>
              </w:rPr>
              <w:t>access to high quality, variety and volumes of data</w:t>
            </w:r>
            <w:r>
              <w:rPr>
                <w:noProof/>
              </w:rPr>
              <w:t>. This gives them insight into users' profiles/preferences, allowing them to deliver the best user experience.</w:t>
            </w:r>
            <w:r>
              <w:rPr>
                <w:noProof/>
                <w:szCs w:val="24"/>
              </w:rPr>
              <w:t xml:space="preserve"> </w:t>
            </w:r>
            <w:r>
              <w:rPr>
                <w:noProof/>
              </w:rPr>
              <w:t xml:space="preserve">This leads to increased returns to scale, scope and network effects. </w:t>
            </w:r>
          </w:p>
          <w:p>
            <w:pPr>
              <w:spacing w:after="120"/>
              <w:rPr>
                <w:b/>
                <w:i/>
                <w:noProof/>
              </w:rPr>
            </w:pPr>
            <w:r>
              <w:rPr>
                <w:b/>
                <w:i/>
                <w:noProof/>
              </w:rPr>
              <w:t xml:space="preserve">Imbalanced bargaining power and business users' dependency </w:t>
            </w:r>
          </w:p>
          <w:p>
            <w:pPr>
              <w:pStyle w:val="ListParagraph"/>
              <w:numPr>
                <w:ilvl w:val="0"/>
                <w:numId w:val="361"/>
              </w:numPr>
              <w:spacing w:after="120"/>
              <w:rPr>
                <w:noProof/>
              </w:rPr>
            </w:pPr>
            <w:r>
              <w:rPr>
                <w:noProof/>
              </w:rPr>
              <w:t xml:space="preserve">Above specifics lead to tendency towards market concentration: </w:t>
            </w:r>
            <w:r>
              <w:rPr>
                <w:noProof/>
                <w:szCs w:val="24"/>
              </w:rPr>
              <w:t>the bigger a platform is the stronger the network effects, which leads to increased bargaining power</w:t>
            </w:r>
          </w:p>
          <w:p>
            <w:pPr>
              <w:pStyle w:val="ListParagraph"/>
              <w:numPr>
                <w:ilvl w:val="0"/>
                <w:numId w:val="361"/>
              </w:numPr>
              <w:spacing w:after="120"/>
              <w:rPr>
                <w:noProof/>
              </w:rPr>
            </w:pPr>
            <w:r>
              <w:rPr>
                <w:noProof/>
              </w:rPr>
              <w:t>Platforms' business strategies are mainly focused on attracting end-users – platforms compete aggressively for the buyers, subsidising that side of the market through higher price and/or lower quality of service offered on the seller (business users) side</w:t>
            </w:r>
          </w:p>
          <w:p>
            <w:pPr>
              <w:pStyle w:val="ListParagraph"/>
              <w:numPr>
                <w:ilvl w:val="0"/>
                <w:numId w:val="361"/>
              </w:numPr>
              <w:spacing w:after="120"/>
              <w:rPr>
                <w:noProof/>
              </w:rPr>
            </w:pPr>
            <w:r>
              <w:rPr>
                <w:noProof/>
              </w:rPr>
              <w:t>Most businesses thus need to be present on more than one platform within each segment to reach consumers</w:t>
            </w:r>
          </w:p>
          <w:p>
            <w:pPr>
              <w:spacing w:after="120"/>
              <w:rPr>
                <w:b/>
                <w:i/>
                <w:noProof/>
              </w:rPr>
            </w:pPr>
            <w:r>
              <w:rPr>
                <w:b/>
                <w:i/>
                <w:noProof/>
              </w:rPr>
              <w:t>Fear of retaliation</w:t>
            </w:r>
          </w:p>
          <w:p>
            <w:pPr>
              <w:spacing w:after="120"/>
              <w:rPr>
                <w:noProof/>
                <w:sz w:val="28"/>
              </w:rPr>
            </w:pPr>
            <w:r>
              <w:rPr>
                <w:noProof/>
              </w:rPr>
              <w:t>The above described dependency (due to platforms' "gateway" function and resulting greater bargaining power) leads to fear of retaliation. The latter renders the quantification of P2B issues difficult, thus preventing their timely identification and resolution.</w:t>
            </w:r>
          </w:p>
        </w:tc>
      </w:tr>
    </w:tbl>
    <w:p>
      <w:pPr>
        <w:pStyle w:val="Heading2"/>
        <w:rPr>
          <w:noProof/>
        </w:rPr>
      </w:pPr>
      <w:bookmarkStart w:id="98" w:name="_Toc508297383"/>
      <w:bookmarkStart w:id="99" w:name="_Toc508350142"/>
      <w:bookmarkStart w:id="100" w:name="_Toc508351586"/>
      <w:bookmarkStart w:id="101" w:name="_Toc508360001"/>
      <w:bookmarkStart w:id="102" w:name="_Toc511220501"/>
      <w:bookmarkStart w:id="103" w:name="_Toc511234946"/>
      <w:bookmarkStart w:id="104" w:name="_Toc511292859"/>
      <w:r>
        <w:rPr>
          <w:noProof/>
        </w:rPr>
        <w:t>Conclusion of Problem Definition</w:t>
      </w:r>
      <w:bookmarkEnd w:id="98"/>
      <w:bookmarkEnd w:id="99"/>
      <w:bookmarkEnd w:id="100"/>
      <w:bookmarkEnd w:id="101"/>
      <w:bookmarkEnd w:id="102"/>
      <w:bookmarkEnd w:id="103"/>
      <w:bookmarkEnd w:id="104"/>
    </w:p>
    <w:p>
      <w:pPr>
        <w:rPr>
          <w:noProof/>
        </w:rPr>
      </w:pPr>
      <w:r>
        <w:rPr>
          <w:noProof/>
        </w:rPr>
        <w:t>EU businesses cannot exploit the full potential of the platform economy because of issues in the platform-to-business relations and emerging re-fragmentation of the single market.</w:t>
      </w:r>
    </w:p>
    <w:p>
      <w:pPr>
        <w:rPr>
          <w:noProof/>
        </w:rPr>
      </w:pPr>
      <w:r>
        <w:rPr>
          <w:noProof/>
        </w:rPr>
        <w:t>Business users active on platforms face a number of potentially harmful trading practices for which there is a lack of effective redress. According to a study carried out for the European Commission, these trading practices would concern a large number of business users. The results of the study show that 46% of business users encounter problems in their relation with platforms while this percentage is higher (75%) for business users realising more than half of their turnover on platforms. Almost one third of issues remain unresolved while 29% are solved only with difficulties. The unfair trading practices listed in this section are gradually undermining business trust in the platform economy. Trust is primordial to the platform economy since it allows increasing the number of users on both sides thus optimising data-driven network effects which fuel online platforms' growth. Potentially unfair and non-transparent P2B practices are therefore not only detrimental for business users (since they lead to direct loss in sales) but could also negatively impact the growth of the online intermediation sector and reduce platform operators' revenues (through unrealised commissions). The long-term sustainability of the platform economy is therefore closely linked to issues encountered by business users in their relations with platforms.</w:t>
      </w:r>
    </w:p>
    <w:p>
      <w:pPr>
        <w:rPr>
          <w:noProof/>
        </w:rPr>
      </w:pPr>
      <w:r>
        <w:rPr>
          <w:noProof/>
        </w:rPr>
        <w:t xml:space="preserve">Platform operators are increasingly faced with emerging national legislations which start fragmenting the naturally cross-border market for online intermediation in the EU.  The uncoordinated adoption of national legislations - whether platform-specific or covering B2B issues in general but applicable to platform businesses – may result in divergent regulatory measures across the EU and carry the risk of hampering online platforms' ability to scale up. The EU platform economy is of intrinsic global nature and is by definition cross-border. Scaling-up is core to platforms' business strategies as it allows for stronger network effects. </w:t>
      </w:r>
    </w:p>
    <w:p>
      <w:pPr>
        <w:pStyle w:val="Heading2"/>
        <w:rPr>
          <w:noProof/>
        </w:rPr>
      </w:pPr>
      <w:bookmarkStart w:id="105" w:name="_Toc508297384"/>
      <w:bookmarkStart w:id="106" w:name="_Toc508350143"/>
      <w:bookmarkStart w:id="107" w:name="_Toc508351587"/>
      <w:bookmarkStart w:id="108" w:name="_Toc508360002"/>
      <w:bookmarkStart w:id="109" w:name="_Toc511220502"/>
      <w:bookmarkStart w:id="110" w:name="_Toc511234947"/>
      <w:bookmarkStart w:id="111" w:name="_Toc511292860"/>
      <w:r>
        <w:rPr>
          <w:noProof/>
        </w:rPr>
        <w:t>Legal basis</w:t>
      </w:r>
      <w:bookmarkEnd w:id="105"/>
      <w:bookmarkEnd w:id="106"/>
      <w:bookmarkEnd w:id="107"/>
      <w:bookmarkEnd w:id="108"/>
      <w:bookmarkEnd w:id="109"/>
      <w:bookmarkEnd w:id="110"/>
      <w:bookmarkEnd w:id="111"/>
    </w:p>
    <w:p>
      <w:pPr>
        <w:tabs>
          <w:tab w:val="left" w:pos="2302"/>
        </w:tabs>
        <w:rPr>
          <w:b/>
          <w:noProof/>
        </w:rPr>
      </w:pPr>
      <w:r>
        <w:rPr>
          <w:b/>
          <w:noProof/>
        </w:rPr>
        <w:t>The combined effect of potentially unfair trading practices, lack of effective redress, and emerging regulatory re-fragmentation</w:t>
      </w:r>
    </w:p>
    <w:p>
      <w:pPr>
        <w:tabs>
          <w:tab w:val="left" w:pos="2302"/>
        </w:tabs>
        <w:rPr>
          <w:noProof/>
        </w:rPr>
      </w:pPr>
      <w:r>
        <w:rPr>
          <w:noProof/>
        </w:rPr>
        <w:t xml:space="preserve">Today, online platforms are the most effective way to provide goods and services across borders (cf. section 2.3.3). This inherent cross-border nature of online platforms distinguishes the present initiative from the "traditional Single Market" approach, where existing national fragmentation inhibits the scaling up of predominantly national actors (e.g. national telecom operators, or incumbent energy suppliers). </w:t>
      </w:r>
    </w:p>
    <w:p>
      <w:pPr>
        <w:tabs>
          <w:tab w:val="left" w:pos="2302"/>
        </w:tabs>
        <w:rPr>
          <w:noProof/>
        </w:rPr>
      </w:pPr>
      <w:r>
        <w:rPr>
          <w:noProof/>
        </w:rPr>
        <w:t xml:space="preserve">The present initiative indeed rather involves a longer-term risk of what would essentially be a significant "re-fragmentation" of the Single Market, evidenced in the general pressure on national legislators and authorities to regulate the novel online platform-business models, including, in light of dependent businesses being subject to a range of harmful trading practices in regard of which existing national legislation does not provide effective redress. </w:t>
      </w:r>
    </w:p>
    <w:p>
      <w:pPr>
        <w:tabs>
          <w:tab w:val="left" w:pos="2302"/>
        </w:tabs>
        <w:rPr>
          <w:noProof/>
        </w:rPr>
      </w:pPr>
      <w:r>
        <w:rPr>
          <w:noProof/>
        </w:rPr>
        <w:t xml:space="preserve">This real risk of fragmentation is one part of a three-pronged </w:t>
      </w:r>
      <w:r>
        <w:rPr>
          <w:b/>
          <w:noProof/>
        </w:rPr>
        <w:t>interlinked</w:t>
      </w:r>
      <w:r>
        <w:rPr>
          <w:noProof/>
        </w:rPr>
        <w:t xml:space="preserve"> problem, which otherwise includes unilateral P2B trading practices that are capable of causing direct harm to businesses and the ineffectiveness of redress in addressing such unilateral trading practices.   </w:t>
      </w:r>
    </w:p>
    <w:p>
      <w:pPr>
        <w:tabs>
          <w:tab w:val="left" w:pos="2302"/>
        </w:tabs>
        <w:rPr>
          <w:noProof/>
        </w:rPr>
      </w:pPr>
      <w:r>
        <w:rPr>
          <w:noProof/>
        </w:rPr>
        <w:t>The present initiative therefore aims to prevent direct harm to businesses in the immediate term, and to safeguard the Single Market-potential of online platforms in the medium to long term, by improving business user trust and by enabling well-informed policy responses at the appropriate level. It therefore serves to protect the interests of all participants in the online platform ecosystems, and Article 114 TFEU constitutes the relevant legal basis.</w:t>
      </w:r>
    </w:p>
    <w:p>
      <w:pPr>
        <w:pStyle w:val="Heading2"/>
        <w:rPr>
          <w:noProof/>
        </w:rPr>
      </w:pPr>
      <w:bookmarkStart w:id="112" w:name="_Toc487739491"/>
      <w:bookmarkStart w:id="113" w:name="_Toc487971290"/>
      <w:bookmarkStart w:id="114" w:name="_Toc491871915"/>
      <w:bookmarkStart w:id="115" w:name="_Toc491880535"/>
      <w:bookmarkStart w:id="116" w:name="_Toc491969085"/>
      <w:bookmarkStart w:id="117" w:name="_Toc491967281"/>
      <w:bookmarkStart w:id="118" w:name="_Toc492030758"/>
      <w:bookmarkStart w:id="119" w:name="_Toc492052180"/>
      <w:bookmarkStart w:id="120" w:name="_Toc497827459"/>
      <w:bookmarkStart w:id="121" w:name="_Toc497827425"/>
      <w:bookmarkStart w:id="122" w:name="_Toc497827670"/>
      <w:bookmarkStart w:id="123" w:name="_Toc497827850"/>
      <w:bookmarkStart w:id="124" w:name="_Toc497903486"/>
      <w:bookmarkStart w:id="125" w:name="_Toc497909185"/>
      <w:bookmarkStart w:id="126" w:name="_Toc497909351"/>
      <w:bookmarkStart w:id="127" w:name="_Toc497909802"/>
      <w:bookmarkStart w:id="128" w:name="_Toc497914584"/>
      <w:bookmarkStart w:id="129" w:name="_Toc500175400"/>
      <w:bookmarkStart w:id="130" w:name="_Toc500177851"/>
      <w:bookmarkStart w:id="131" w:name="_Toc500178868"/>
      <w:bookmarkStart w:id="132" w:name="_Toc500181552"/>
      <w:bookmarkStart w:id="133" w:name="_Toc500182008"/>
      <w:bookmarkStart w:id="134" w:name="_Toc500182766"/>
      <w:bookmarkStart w:id="135" w:name="_Toc500183701"/>
      <w:bookmarkStart w:id="136" w:name="_Toc500187122"/>
      <w:bookmarkStart w:id="137" w:name="_Toc500190578"/>
      <w:bookmarkStart w:id="138" w:name="_Toc500193605"/>
      <w:bookmarkStart w:id="139" w:name="_Toc500196046"/>
      <w:bookmarkStart w:id="140" w:name="_Toc500196883"/>
      <w:bookmarkStart w:id="141" w:name="_Toc500241288"/>
      <w:bookmarkStart w:id="142" w:name="_Toc500246979"/>
      <w:bookmarkStart w:id="143" w:name="_Toc500240856"/>
      <w:bookmarkStart w:id="144" w:name="_Toc500252872"/>
      <w:bookmarkStart w:id="145" w:name="_Toc500253720"/>
      <w:bookmarkStart w:id="146" w:name="_Toc500255556"/>
      <w:bookmarkStart w:id="147" w:name="_Toc500257329"/>
      <w:bookmarkStart w:id="148" w:name="_Toc500257773"/>
      <w:bookmarkStart w:id="149" w:name="_Toc500256283"/>
      <w:bookmarkStart w:id="150" w:name="_Toc500258738"/>
      <w:bookmarkStart w:id="151" w:name="_Toc500259542"/>
      <w:bookmarkStart w:id="152" w:name="_Toc500262914"/>
      <w:bookmarkStart w:id="153" w:name="_Toc500271294"/>
      <w:bookmarkStart w:id="154" w:name="_Toc500271864"/>
      <w:bookmarkStart w:id="155" w:name="_Toc500276359"/>
      <w:bookmarkStart w:id="156" w:name="_Toc500270926"/>
      <w:bookmarkStart w:id="157" w:name="_Toc500277693"/>
      <w:bookmarkStart w:id="158" w:name="_Toc500279056"/>
      <w:bookmarkStart w:id="159" w:name="_Toc500280194"/>
      <w:bookmarkStart w:id="160" w:name="_Toc500281995"/>
      <w:bookmarkStart w:id="161" w:name="_Toc500280657"/>
      <w:bookmarkStart w:id="162" w:name="_Toc500283382"/>
      <w:bookmarkStart w:id="163" w:name="_Toc500282443"/>
      <w:bookmarkStart w:id="164" w:name="_Toc505350037"/>
      <w:bookmarkStart w:id="165" w:name="_Toc505352093"/>
      <w:bookmarkStart w:id="166" w:name="_Toc505352416"/>
      <w:bookmarkStart w:id="167" w:name="_Toc505353020"/>
      <w:bookmarkStart w:id="168" w:name="_Toc505355982"/>
      <w:bookmarkStart w:id="169" w:name="_Toc505620745"/>
      <w:bookmarkStart w:id="170" w:name="_Toc505872617"/>
      <w:bookmarkStart w:id="171" w:name="_Toc505873353"/>
      <w:bookmarkStart w:id="172" w:name="_Toc507428862"/>
      <w:bookmarkStart w:id="173" w:name="_Toc507793718"/>
      <w:bookmarkStart w:id="174" w:name="_Toc508297385"/>
      <w:bookmarkStart w:id="175" w:name="_Toc508350144"/>
      <w:bookmarkStart w:id="176" w:name="_Toc508351588"/>
      <w:bookmarkStart w:id="177" w:name="_Toc508360003"/>
      <w:bookmarkStart w:id="178" w:name="_Toc511220503"/>
      <w:bookmarkStart w:id="179" w:name="_Toc511234948"/>
      <w:bookmarkStart w:id="180" w:name="_Toc511292861"/>
      <w:bookmarkEnd w:id="112"/>
      <w:bookmarkEnd w:id="113"/>
      <w:r>
        <w:rPr>
          <w:noProof/>
        </w:rPr>
        <w:t xml:space="preserve">Subsidiarity: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noProof/>
        </w:rPr>
        <w:t>EU action required to provide harmonised framework for cross-border, online platform-specific issues</w:t>
      </w:r>
      <w:bookmarkEnd w:id="175"/>
      <w:bookmarkEnd w:id="176"/>
      <w:bookmarkEnd w:id="177"/>
      <w:bookmarkEnd w:id="178"/>
      <w:bookmarkEnd w:id="179"/>
      <w:bookmarkEnd w:id="180"/>
    </w:p>
    <w:p>
      <w:pPr>
        <w:rPr>
          <w:noProof/>
        </w:rPr>
      </w:pPr>
      <w:r>
        <w:rPr>
          <w:noProof/>
        </w:rPr>
        <w:t>EU action is the only way to prevent direct harm to businesses in the immediate term, and to safeguard the Single Market-potential of online platforms in the medium to long term. One part of the interlinked problem set is that existing redress possibilities including national rules are ineffective in tackling the online platform-specific cross-border trading practices. The ineffectiveness of existing redress combined with the occurrence of such trading practices is in fact not only causing direct harm to EU businesses, but also fuelling the long(er)-term risk of fragmentation, which would negatively affect the Single Market potential of online platforms.</w:t>
      </w:r>
    </w:p>
    <w:p>
      <w:pPr>
        <w:rPr>
          <w:noProof/>
        </w:rPr>
      </w:pPr>
      <w:r>
        <w:rPr>
          <w:noProof/>
        </w:rPr>
        <w:t>EU action targeting online platforms will not result in any fragmentation in the legal framework within which EU businesses operate, as businesses use online platforms for a dedicated purpose (most efficient way to make direct cross-border sales to consumers) while facing specific problems (access to justice is particularly ineffective, and delisting, data &amp; self-learning algorithms are not seen offline). Indeed, the set-up of online intermediation does not have an offline equivalent. Online platforms enable direct transactions between business users and consumers while maintaining a degree of control over them. Supermarkets do not enable such direct transactions, whereas shopping malls do but without maintaining control (in relation to shopping malls, it is noted that leases for retail space sometimes include turnover-based rent calculations which actually serve to protect the business user in case of disappointing "foot fall" – reflecting a bargaining position that is at least equal). Second, the combination of drivers underlying the problem in the present initiative is specific to online platforms, with in particular the size and nature of the data-driven indirect and direct network effects leading to a particularly important dependency of business users on platforms as the most effective gateway to very large cross-border consumer markets. Finally, the individual problems are equally specific to online platforms; in the offline world, the effects of paid-for placement are for example not opaque (all suppliers can visit the supermarket and verify). Also, the negative effects of unilateral P2B trading practices partly result from the lack of effective bilateral complaint-handling which, in turn, is due to the unparalleled size of businesses and products offered (even a specialised platform like Etsy.com has 2 million sellers).</w:t>
      </w:r>
    </w:p>
    <w:p>
      <w:pPr>
        <w:pStyle w:val="Heading2"/>
        <w:rPr>
          <w:noProof/>
        </w:rPr>
      </w:pPr>
      <w:bookmarkStart w:id="181" w:name="_Toc508297386"/>
      <w:bookmarkStart w:id="182" w:name="_Toc508350145"/>
      <w:bookmarkStart w:id="183" w:name="_Toc508351589"/>
      <w:bookmarkStart w:id="184" w:name="_Toc508360004"/>
      <w:bookmarkStart w:id="185" w:name="_Toc511220504"/>
      <w:bookmarkStart w:id="186" w:name="_Toc511234949"/>
      <w:bookmarkStart w:id="187" w:name="_Toc511292862"/>
      <w:r>
        <w:rPr>
          <w:noProof/>
        </w:rPr>
        <w:t>A light-touch and staged co-regulatory option geared to online intermediation</w:t>
      </w:r>
      <w:bookmarkEnd w:id="181"/>
      <w:bookmarkEnd w:id="182"/>
      <w:bookmarkEnd w:id="183"/>
      <w:bookmarkEnd w:id="184"/>
      <w:bookmarkEnd w:id="185"/>
      <w:bookmarkEnd w:id="186"/>
      <w:bookmarkEnd w:id="187"/>
    </w:p>
    <w:p>
      <w:pPr>
        <w:rPr>
          <w:noProof/>
        </w:rPr>
      </w:pPr>
      <w:r>
        <w:rPr>
          <w:noProof/>
        </w:rPr>
        <w:t>The principal aim of the Initiative is to improve transparency and bilateral conflict resolution in a first step, focusing on internal complaint-handling and mediation, subject to transparency-enabled monitoring. This links to the particularity of online intermediation, where speed is crucial and issues can only be solved quickly by the platform itself. Indeed, 71% of business users that took action to resolve issues turned to the platform itself, but in the majority of cases (68%) the issue could not be resolved. And although currently used only to a limited extent, online mediation did allow problems to be resolved in a majority of cases (64% for heavy users).</w:t>
      </w:r>
      <w:r>
        <w:rPr>
          <w:noProof/>
          <w:vertAlign w:val="superscript"/>
        </w:rPr>
        <w:footnoteReference w:id="12"/>
      </w:r>
    </w:p>
    <w:p>
      <w:pPr>
        <w:rPr>
          <w:noProof/>
        </w:rPr>
      </w:pPr>
      <w:r>
        <w:rPr>
          <w:noProof/>
        </w:rPr>
        <w:t xml:space="preserve">The proposed regulatory framework therefore requires (and enables) </w:t>
      </w:r>
      <w:r>
        <w:rPr>
          <w:i/>
          <w:noProof/>
        </w:rPr>
        <w:t>monitoring</w:t>
      </w:r>
      <w:r>
        <w:rPr>
          <w:noProof/>
        </w:rPr>
        <w:t xml:space="preserve"> rather than </w:t>
      </w:r>
      <w:r>
        <w:rPr>
          <w:i/>
          <w:noProof/>
        </w:rPr>
        <w:t>public enforcement</w:t>
      </w:r>
      <w:r>
        <w:rPr>
          <w:noProof/>
        </w:rPr>
        <w:t>. The proposed legal obligations in the Preferred Option nonetheless play on important reputational levers (that can influence both businesses and consumers) and will already help to prevent harm from P2B trading practices. Indeed, enhanced transparency on the "business-friendliness" of incumbent online platforms, combined with a dedicated monitoring function, should provide real additional competitive parameters for the thousands of online platform start-ups that exist in the EU as well as at global level.</w:t>
      </w:r>
    </w:p>
    <w:p>
      <w:pPr>
        <w:rPr>
          <w:noProof/>
        </w:rPr>
      </w:pPr>
      <w:r>
        <w:rPr>
          <w:noProof/>
        </w:rPr>
        <w:t xml:space="preserve">The legal transparency and redress obligations at the same time mostly require a one-off implementation by the platform, and are relatively easy to monitor. The provision providing representative organisations with legal standing to bring actions on behalf of business users is therefore foreseen to ensure enforcement </w:t>
      </w:r>
      <w:r>
        <w:rPr>
          <w:i/>
          <w:noProof/>
        </w:rPr>
        <w:t>exclusively</w:t>
      </w:r>
      <w:r>
        <w:rPr>
          <w:noProof/>
        </w:rPr>
        <w:t xml:space="preserve"> of these high-level legal transparency and redress obligations, in light of the main barriers to justice identified in online intermediation, i.e. the fear of retaliation and the use of exclusive choice of forum-clauses. To reflect this purpose, it will also be limited to injunctive (and not compensatory) relief and therefore not imply additional costs over and above those identified in section 6. It will at the same time be fully aligned with the quality criteria for representative bodies set out in the 2013 Commission Recommendation on Collective Redress. By limiting standing for representative organisations to applications for injunctive relief only, it is more effective and can avoid the problems encountered at Member State-level in relation to </w:t>
      </w:r>
      <w:r>
        <w:rPr>
          <w:i/>
          <w:noProof/>
        </w:rPr>
        <w:t>compensatory</w:t>
      </w:r>
      <w:r>
        <w:rPr>
          <w:noProof/>
        </w:rPr>
        <w:t xml:space="preserve"> collective redress.</w:t>
      </w:r>
      <w:r>
        <w:rPr>
          <w:noProof/>
          <w:vertAlign w:val="superscript"/>
        </w:rPr>
        <w:footnoteReference w:id="13"/>
      </w:r>
      <w:r>
        <w:rPr>
          <w:noProof/>
        </w:rPr>
        <w:t xml:space="preserve"> Indeed, legal standing to bring injunctive actions for organisations representing SMEs is an established phenomenon in the area of unfair trading practices in all EU Member States.</w:t>
      </w:r>
      <w:r>
        <w:rPr>
          <w:noProof/>
          <w:vertAlign w:val="superscript"/>
        </w:rPr>
        <w:footnoteReference w:id="14"/>
      </w:r>
      <w:r>
        <w:rPr>
          <w:noProof/>
        </w:rPr>
        <w:t xml:space="preserve"> </w:t>
      </w:r>
    </w:p>
    <w:p>
      <w:pPr>
        <w:pStyle w:val="Heading2"/>
        <w:rPr>
          <w:noProof/>
        </w:rPr>
      </w:pPr>
      <w:bookmarkStart w:id="188" w:name="_Toc497827568"/>
      <w:bookmarkStart w:id="189" w:name="_Toc497827615"/>
      <w:bookmarkStart w:id="190" w:name="_Toc497827779"/>
      <w:bookmarkStart w:id="191" w:name="_Toc497827959"/>
      <w:bookmarkStart w:id="192" w:name="_Toc497903595"/>
      <w:bookmarkStart w:id="193" w:name="_Toc497909295"/>
      <w:bookmarkStart w:id="194" w:name="_Toc497909461"/>
      <w:bookmarkStart w:id="195" w:name="_Toc497914613"/>
      <w:bookmarkStart w:id="196" w:name="_Toc500175618"/>
      <w:bookmarkStart w:id="197" w:name="_Toc500179086"/>
      <w:bookmarkStart w:id="198" w:name="_Toc500181770"/>
      <w:bookmarkStart w:id="199" w:name="_Toc500182130"/>
      <w:bookmarkStart w:id="200" w:name="_Toc500182888"/>
      <w:bookmarkStart w:id="201" w:name="_Toc500184751"/>
      <w:bookmarkStart w:id="202" w:name="_Toc500187244"/>
      <w:bookmarkStart w:id="203" w:name="_Toc500196269"/>
      <w:bookmarkStart w:id="204" w:name="_Toc500197366"/>
      <w:bookmarkStart w:id="205" w:name="_Toc500241527"/>
      <w:bookmarkStart w:id="206" w:name="_Toc500243879"/>
      <w:bookmarkStart w:id="207" w:name="_Toc500247218"/>
      <w:bookmarkStart w:id="208" w:name="_Toc500243552"/>
      <w:bookmarkStart w:id="209" w:name="_Toc500253113"/>
      <w:bookmarkStart w:id="210" w:name="_Toc500255797"/>
      <w:bookmarkStart w:id="211" w:name="_Toc500257532"/>
      <w:bookmarkStart w:id="212" w:name="_Toc500257976"/>
      <w:bookmarkStart w:id="213" w:name="_Toc500258214"/>
      <w:bookmarkStart w:id="214" w:name="_Toc500258941"/>
      <w:bookmarkStart w:id="215" w:name="_Toc500260119"/>
      <w:bookmarkStart w:id="216" w:name="_Toc500263116"/>
      <w:bookmarkStart w:id="217" w:name="_Toc500271393"/>
      <w:bookmarkStart w:id="218" w:name="_Toc500271963"/>
      <w:bookmarkStart w:id="219" w:name="_Toc500276563"/>
      <w:bookmarkStart w:id="220" w:name="_Toc500265275"/>
      <w:bookmarkStart w:id="221" w:name="_Toc500273538"/>
      <w:bookmarkStart w:id="222" w:name="_Toc500279261"/>
      <w:bookmarkStart w:id="223" w:name="_Toc500280399"/>
      <w:bookmarkStart w:id="224" w:name="_Toc500282200"/>
      <w:bookmarkStart w:id="225" w:name="_Toc500283446"/>
      <w:bookmarkStart w:id="226" w:name="_Toc500282512"/>
      <w:bookmarkStart w:id="227" w:name="_Toc505350086"/>
      <w:bookmarkStart w:id="228" w:name="_Toc505352145"/>
      <w:bookmarkStart w:id="229" w:name="_Toc505352465"/>
      <w:bookmarkStart w:id="230" w:name="_Toc505353072"/>
      <w:bookmarkStart w:id="231" w:name="_Toc505356031"/>
      <w:bookmarkStart w:id="232" w:name="_Toc505620794"/>
      <w:bookmarkStart w:id="233" w:name="_Toc505872677"/>
      <w:bookmarkStart w:id="234" w:name="_Toc507428520"/>
      <w:bookmarkStart w:id="235" w:name="_Toc507428943"/>
      <w:bookmarkStart w:id="236" w:name="_Toc507793765"/>
      <w:bookmarkStart w:id="237" w:name="_Toc508297387"/>
      <w:bookmarkStart w:id="238" w:name="_Toc508350146"/>
      <w:bookmarkStart w:id="239" w:name="_Toc508351590"/>
      <w:bookmarkStart w:id="240" w:name="_Toc508360005"/>
      <w:bookmarkStart w:id="241" w:name="_Toc511220505"/>
      <w:bookmarkStart w:id="242" w:name="_Toc511234950"/>
      <w:bookmarkStart w:id="243" w:name="_Toc51129286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noProof/>
        </w:rPr>
        <w:t>High-level but effective transparency obligations with a scope for self-regulation</w:t>
      </w:r>
      <w:bookmarkEnd w:id="237"/>
      <w:bookmarkEnd w:id="238"/>
      <w:bookmarkEnd w:id="239"/>
      <w:bookmarkEnd w:id="240"/>
      <w:bookmarkEnd w:id="241"/>
      <w:bookmarkEnd w:id="242"/>
      <w:bookmarkEnd w:id="243"/>
    </w:p>
    <w:p>
      <w:pPr>
        <w:rPr>
          <w:noProof/>
        </w:rPr>
      </w:pPr>
      <w:r>
        <w:rPr>
          <w:noProof/>
        </w:rPr>
        <w:t>The proposed legal obligations will balance the need to be concrete in order to provide the required legal certainty for both online platforms as well as their business with the need to prevent any significant compliance burden.</w:t>
      </w:r>
    </w:p>
    <w:p>
      <w:pPr>
        <w:rPr>
          <w:noProof/>
        </w:rPr>
      </w:pPr>
      <w:r>
        <w:rPr>
          <w:noProof/>
        </w:rPr>
        <w:t xml:space="preserve">This will be achieved by providing clear yet technologically-neutral principles and concrete interpretative examples in a directly applicable EU Regulation. The transparency obligations will also translate only to targeted descriptions to be included in platforms' </w:t>
      </w:r>
      <w:r>
        <w:rPr>
          <w:i/>
          <w:noProof/>
        </w:rPr>
        <w:t>general</w:t>
      </w:r>
      <w:r>
        <w:rPr>
          <w:noProof/>
        </w:rPr>
        <w:t xml:space="preserve"> terms and conditions rather than at the level of individual businesses, services or products, which approach reflects the dependency-situation that falls within the scope of the Initiative.  </w:t>
      </w:r>
    </w:p>
    <w:p>
      <w:pPr>
        <w:rPr>
          <w:noProof/>
        </w:rPr>
      </w:pPr>
      <w:r>
        <w:rPr>
          <w:noProof/>
        </w:rPr>
        <w:t>By way of example, on ranking it will be explained in the proposed legal instrument that the</w:t>
      </w:r>
      <w:r>
        <w:rPr>
          <w:iCs/>
          <w:noProof/>
          <w:lang w:eastAsia="en-GB"/>
        </w:rPr>
        <w:t xml:space="preserve"> description of the </w:t>
      </w:r>
      <w:r>
        <w:rPr>
          <w:i/>
          <w:noProof/>
          <w:lang w:eastAsia="en-GB"/>
        </w:rPr>
        <w:t>main ranking parameters</w:t>
      </w:r>
      <w:r>
        <w:rPr>
          <w:iCs/>
          <w:noProof/>
          <w:lang w:eastAsia="en-GB"/>
        </w:rPr>
        <w:t xml:space="preserve"> shall be general in nature and refer to the average situation applying for the relevant online intermediation services, which, however, will need to be based on real historic results. In this regard, it will be explained that by complying with this provision platforms must enable business users to obtain a reasonable understanding of the functioning thereof, to the extent these parameters do not individually or jointly constitute trade secrets as defined in Article 2(1) of the Trade Secrets Directive</w:t>
      </w:r>
      <w:r>
        <w:rPr>
          <w:noProof/>
        </w:rPr>
        <w:t xml:space="preserve">. Similarly, on the use of MFN clauses, online platforms will be required to provide only a targeted description of the main justifications for their use, while referring to concrete data and facts. </w:t>
      </w:r>
    </w:p>
    <w:p>
      <w:pPr>
        <w:rPr>
          <w:noProof/>
        </w:rPr>
      </w:pPr>
      <w:r>
        <w:rPr>
          <w:noProof/>
        </w:rPr>
        <w:t xml:space="preserve">Such an approach is also based on selected real-life industry examples of meaningful transparency provided by certain – but not all – platform operators. For example, one particular collaborative economy platform that also hosts professional users provides a general page setting out the six main factors determining listing results, providing for each factor a concrete example of what is meant. In addition, this collaborative economy platform explicitly mentions that it may boost results of business users that are new to the platform. </w:t>
      </w:r>
    </w:p>
    <w:p>
      <w:pPr>
        <w:rPr>
          <w:noProof/>
        </w:rPr>
      </w:pPr>
      <w:r>
        <w:rPr>
          <w:noProof/>
        </w:rPr>
        <w:t>Another vertically integrated e-commerce platform explicitly commits in its general terms and conditions to log and give access to all activities of business users on the platform in the form of statistics and reports.</w:t>
      </w:r>
    </w:p>
    <w:p>
      <w:pPr>
        <w:rPr>
          <w:noProof/>
        </w:rPr>
      </w:pPr>
      <w:r>
        <w:rPr>
          <w:noProof/>
        </w:rPr>
        <w:t xml:space="preserve">Therefore, the legal obligations constitute self-standing rules. They however impose only minimum levels of required transparency and the Regulation will be drafted in a results-oriented manner, providing only interpretative examples of how the desired result may be achieved. Hence, the Initiative deliberately leaves room to industry to develop different methods to comply with the legal principles. In this regard, the foreseen dedicated monitoring exercises to specifically inform a possible review of the legal instrument will aim at triggering an important self-regulatory effort in a first step - with the potential for this to be incorporated in any future rules that may be required in a second step. The Initiative will include an encouragement to industry to draw up legitimate codes of conduct for the implementation of the legal principles in the most useful and efficient manner in light of evolving technologies. Moreover, the legal instrument will comprise a review clause that includes an explicit reference that any such legitimate codes of conduct may be taken into account in the evaluation by the Commission. </w:t>
      </w:r>
    </w:p>
    <w:p>
      <w:pPr>
        <w:pStyle w:val="Heading2"/>
        <w:rPr>
          <w:noProof/>
        </w:rPr>
      </w:pPr>
      <w:bookmarkStart w:id="244" w:name="_Toc500196273"/>
      <w:bookmarkStart w:id="245" w:name="_Toc500197370"/>
      <w:bookmarkStart w:id="246" w:name="_Toc500241531"/>
      <w:bookmarkStart w:id="247" w:name="_Toc500243883"/>
      <w:bookmarkStart w:id="248" w:name="_Toc500239871"/>
      <w:bookmarkStart w:id="249" w:name="_Toc500247222"/>
      <w:bookmarkStart w:id="250" w:name="_Toc500243560"/>
      <w:bookmarkStart w:id="251" w:name="_Toc500251293"/>
      <w:bookmarkStart w:id="252" w:name="_Toc500253117"/>
      <w:bookmarkStart w:id="253" w:name="_Toc500253481"/>
      <w:bookmarkStart w:id="254" w:name="_Toc500255801"/>
      <w:bookmarkStart w:id="255" w:name="_Toc500257536"/>
      <w:bookmarkStart w:id="256" w:name="_Toc500257980"/>
      <w:bookmarkStart w:id="257" w:name="_Toc500258218"/>
      <w:bookmarkStart w:id="258" w:name="_Toc500258945"/>
      <w:bookmarkStart w:id="259" w:name="_Toc500260123"/>
      <w:bookmarkStart w:id="260" w:name="_Toc500261477"/>
      <w:bookmarkStart w:id="261" w:name="_Toc500263120"/>
      <w:bookmarkStart w:id="262" w:name="_Toc500271397"/>
      <w:bookmarkStart w:id="263" w:name="_Toc500271967"/>
      <w:bookmarkStart w:id="264" w:name="_Toc500276567"/>
      <w:bookmarkStart w:id="265" w:name="_Toc500273542"/>
      <w:bookmarkStart w:id="266" w:name="_Toc500279265"/>
      <w:bookmarkStart w:id="267" w:name="_Toc500280403"/>
      <w:bookmarkStart w:id="268" w:name="_Toc500282204"/>
      <w:bookmarkStart w:id="269" w:name="_Toc500283449"/>
      <w:bookmarkStart w:id="270" w:name="_Toc500282515"/>
      <w:bookmarkStart w:id="271" w:name="_Toc505350089"/>
      <w:bookmarkStart w:id="272" w:name="_Toc505352149"/>
      <w:bookmarkStart w:id="273" w:name="_Toc505352468"/>
      <w:bookmarkStart w:id="274" w:name="_Toc505353076"/>
      <w:bookmarkStart w:id="275" w:name="_Toc505356034"/>
      <w:bookmarkStart w:id="276" w:name="_Toc505620797"/>
      <w:bookmarkStart w:id="277" w:name="_Toc505872681"/>
      <w:bookmarkStart w:id="278" w:name="_Toc505873391"/>
      <w:bookmarkStart w:id="279" w:name="_Toc507428523"/>
      <w:bookmarkStart w:id="280" w:name="_Toc507428946"/>
      <w:bookmarkStart w:id="281" w:name="_Toc507793768"/>
      <w:bookmarkStart w:id="282" w:name="_Toc508297388"/>
      <w:bookmarkStart w:id="283" w:name="_Toc508350147"/>
      <w:bookmarkStart w:id="284" w:name="_Toc508351591"/>
      <w:bookmarkStart w:id="285" w:name="_Toc508360006"/>
      <w:bookmarkStart w:id="286" w:name="_Toc511220506"/>
      <w:bookmarkStart w:id="287" w:name="_Toc511234951"/>
      <w:bookmarkStart w:id="288" w:name="_Toc511292864"/>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noProof/>
        </w:rPr>
        <w:t>Effectiveness of a legal definition of online intermediation services</w:t>
      </w:r>
      <w:bookmarkEnd w:id="282"/>
      <w:bookmarkEnd w:id="283"/>
      <w:bookmarkEnd w:id="284"/>
      <w:bookmarkEnd w:id="285"/>
      <w:bookmarkEnd w:id="286"/>
      <w:bookmarkEnd w:id="287"/>
      <w:bookmarkEnd w:id="288"/>
    </w:p>
    <w:p>
      <w:pPr>
        <w:spacing w:before="60" w:after="0"/>
        <w:rPr>
          <w:noProof/>
        </w:rPr>
      </w:pPr>
      <w:r>
        <w:rPr>
          <w:noProof/>
        </w:rPr>
        <w:t>The legal definitional elements of "online intermediation services" allow a precise scoping of online platforms that can exhibit the dependency-related problems that the present Initiative aims to address.</w:t>
      </w:r>
    </w:p>
    <w:p>
      <w:pPr>
        <w:spacing w:before="60" w:after="0"/>
        <w:rPr>
          <w:noProof/>
        </w:rPr>
      </w:pPr>
    </w:p>
    <w:p>
      <w:pPr>
        <w:spacing w:after="0"/>
        <w:rPr>
          <w:noProof/>
        </w:rPr>
      </w:pPr>
      <w:r>
        <w:rPr>
          <w:noProof/>
        </w:rPr>
        <w:t xml:space="preserve">First, all targeted platform services are provided as part of an "information society service", in line with the existing services-based definition in Regulation 2015/1535/EU. This limits the scope of the intervention to </w:t>
      </w:r>
      <w:r>
        <w:rPr>
          <w:i/>
          <w:noProof/>
        </w:rPr>
        <w:t>online</w:t>
      </w:r>
      <w:r>
        <w:rPr>
          <w:noProof/>
        </w:rPr>
        <w:t xml:space="preserve"> services. </w:t>
      </w:r>
    </w:p>
    <w:p>
      <w:pPr>
        <w:spacing w:before="60" w:after="0"/>
        <w:rPr>
          <w:noProof/>
        </w:rPr>
      </w:pPr>
    </w:p>
    <w:p>
      <w:pPr>
        <w:spacing w:before="60" w:after="0"/>
        <w:rPr>
          <w:noProof/>
        </w:rPr>
      </w:pPr>
      <w:r>
        <w:rPr>
          <w:noProof/>
        </w:rPr>
        <w:t xml:space="preserve">Second, online platforms can only act as a "gateway" to consumers in case their online intermediation services enable in some way commercial relations occurring between two different groups of </w:t>
      </w:r>
      <w:r>
        <w:rPr>
          <w:i/>
          <w:noProof/>
        </w:rPr>
        <w:t>direct</w:t>
      </w:r>
      <w:r>
        <w:rPr>
          <w:noProof/>
        </w:rPr>
        <w:t xml:space="preserve"> users (business users and consumers) of the same online intermediation services. The definition will to this end refer to the existence of a direct contractual relationship between, on the one hand, the relevant information society service providing the online intermediation services and, on the other hand, each of its business users and private users (consumers), as the targeted multi-sided markets are without exception characterised by such triangular business-platform-consumer contractual relationships. A wide array of online tools that have some (one-sided or auxiliary) involvement in the commercial relations between business users and consumers but that do not constitute a "gateway intermediary" are thus excluded (e.g. ad serving platforms or search engine optimisation software). The notion of "consumer" in addition refers exclusively to private individuals under EU law, further limiting the scope of the initiative to online platforms that intermediate </w:t>
      </w:r>
      <w:r>
        <w:rPr>
          <w:i/>
          <w:noProof/>
        </w:rPr>
        <w:t>B2C</w:t>
      </w:r>
      <w:r>
        <w:rPr>
          <w:noProof/>
        </w:rPr>
        <w:t xml:space="preserve"> commercial relations, where network effects and related imbalances in bargaining power are largest, and where evidence of harmful trading practices is available.      </w:t>
      </w:r>
    </w:p>
    <w:p>
      <w:pPr>
        <w:spacing w:before="60" w:after="0"/>
        <w:rPr>
          <w:noProof/>
        </w:rPr>
      </w:pPr>
      <w:r>
        <w:rPr>
          <w:noProof/>
        </w:rPr>
        <w:t xml:space="preserve">Third, the proposed legal transparency obligations will apply only to the extent online platforms unilaterally impose "pre-defined, standard terms and conditions", to reflect the superior bargaining power of the "gateway intermediaries" that the initiative targets.  </w:t>
      </w:r>
    </w:p>
    <w:p>
      <w:pPr>
        <w:spacing w:before="60" w:after="0"/>
        <w:rPr>
          <w:noProof/>
        </w:rPr>
      </w:pPr>
      <w:r>
        <w:rPr>
          <w:noProof/>
        </w:rPr>
        <w:t xml:space="preserve">Fourth, the "online intermediation services" will be defined as consisting in (i) "allowing business users to offer their goods and services to consumers", (ii) "with the </w:t>
      </w:r>
      <w:r>
        <w:rPr>
          <w:iCs/>
          <w:noProof/>
        </w:rPr>
        <w:t>aim to facilitate the initiating of direct transactions between business users and consumers, irrespective of where these transactions are ultimately concluded"</w:t>
      </w:r>
      <w:r>
        <w:rPr>
          <w:noProof/>
        </w:rPr>
        <w:t xml:space="preserve">. Crucial gateway intermediaries including "local search" services where the transactional decision is taken online regardless of where the deal is ultimately concluded (e.g. offline for restaurants) will thereby be covered, whereas mere auxiliary activities such as online payment services will be excluded. The latter activity is namely inherently auxiliary to the supply of goods and services and can never be used on a standalone basis to </w:t>
      </w:r>
      <w:r>
        <w:rPr>
          <w:i/>
          <w:noProof/>
        </w:rPr>
        <w:t>initiate</w:t>
      </w:r>
      <w:r>
        <w:rPr>
          <w:noProof/>
        </w:rPr>
        <w:t xml:space="preserve"> commercial relations.</w:t>
      </w:r>
    </w:p>
    <w:p>
      <w:pPr>
        <w:spacing w:before="60" w:after="0"/>
        <w:rPr>
          <w:noProof/>
        </w:rPr>
      </w:pPr>
      <w:r>
        <w:rPr>
          <w:b/>
          <w:noProof/>
        </w:rPr>
        <w:t>T</w:t>
      </w:r>
      <w:r>
        <w:rPr>
          <w:b/>
          <w:noProof/>
          <w:lang w:val="en-US"/>
        </w:rPr>
        <w:t xml:space="preserve">he existing legal definition of </w:t>
      </w:r>
      <w:r>
        <w:rPr>
          <w:b/>
          <w:i/>
          <w:noProof/>
          <w:lang w:val="en-US"/>
        </w:rPr>
        <w:t>online search engines</w:t>
      </w:r>
      <w:r>
        <w:rPr>
          <w:b/>
          <w:i/>
          <w:noProof/>
          <w:vertAlign w:val="superscript"/>
          <w:lang w:val="en-US"/>
        </w:rPr>
        <w:footnoteReference w:id="15"/>
      </w:r>
      <w:r>
        <w:rPr>
          <w:b/>
          <w:noProof/>
          <w:lang w:val="en-US"/>
        </w:rPr>
        <w:t xml:space="preserve"> would be incorporated into the legal instrument for a targeted extension of the legal transparency provision on ranking</w:t>
      </w:r>
      <w:r>
        <w:rPr>
          <w:noProof/>
          <w:lang w:val="en-US"/>
        </w:rPr>
        <w:t>. The use of this separate legal definition for a type of online service provider that is different from the online platforms, which will be targeted horizontally, would only help confirm the narrow scope of the concept "online intermediation services".</w:t>
      </w:r>
      <w:r>
        <w:rPr>
          <w:noProof/>
        </w:rPr>
        <w:t xml:space="preserve"> </w:t>
      </w:r>
    </w:p>
    <w:p>
      <w:pPr>
        <w:spacing w:before="60" w:after="0"/>
        <w:rPr>
          <w:noProof/>
        </w:rPr>
      </w:pPr>
      <w:r>
        <w:rPr>
          <w:noProof/>
        </w:rPr>
        <w:t>The additional inclusion of online search engines in the scope of the provision would, however, be limited to the provisions on ranking and legal representative standing, in order to maintain the balance of effectiveness, efficiency, and proportionality.</w:t>
      </w:r>
    </w:p>
    <w:p>
      <w:pPr>
        <w:spacing w:before="60" w:after="0"/>
        <w:rPr>
          <w:b/>
          <w:smallCaps/>
          <w:noProof/>
          <w:lang w:eastAsia="en-GB"/>
        </w:rPr>
      </w:pPr>
      <w:r>
        <w:rPr>
          <w:noProof/>
        </w:rPr>
        <w:t xml:space="preserve">Alignment with future legal definitions, e.g. </w:t>
      </w:r>
      <w:r>
        <w:rPr>
          <w:b/>
          <w:noProof/>
        </w:rPr>
        <w:t xml:space="preserve">in the field of taxation </w:t>
      </w:r>
      <w:r>
        <w:rPr>
          <w:noProof/>
        </w:rPr>
        <w:t xml:space="preserve">is currently in progress, with due regard to the different objectives and the requirements to limit the unnecessary proliferation of legal definitions of platforms. </w:t>
      </w:r>
    </w:p>
    <w:p>
      <w:pPr>
        <w:pStyle w:val="Heading1"/>
        <w:numPr>
          <w:ilvl w:val="0"/>
          <w:numId w:val="12"/>
        </w:numPr>
        <w:rPr>
          <w:noProof/>
        </w:rPr>
      </w:pPr>
      <w:bookmarkStart w:id="289" w:name="_Toc508294453"/>
      <w:bookmarkStart w:id="290" w:name="_Toc508295104"/>
      <w:bookmarkStart w:id="291" w:name="_Toc508297389"/>
      <w:bookmarkStart w:id="292" w:name="_Toc508302126"/>
      <w:bookmarkStart w:id="293" w:name="_Toc508348755"/>
      <w:bookmarkStart w:id="294" w:name="_Toc508348863"/>
      <w:bookmarkStart w:id="295" w:name="_Toc508348977"/>
      <w:bookmarkStart w:id="296" w:name="_Toc508349472"/>
      <w:bookmarkStart w:id="297" w:name="_Toc508349634"/>
      <w:bookmarkStart w:id="298" w:name="_Toc508350046"/>
      <w:bookmarkStart w:id="299" w:name="_Toc508350148"/>
      <w:bookmarkStart w:id="300" w:name="_Toc508350251"/>
      <w:bookmarkStart w:id="301" w:name="_Toc500262098"/>
      <w:bookmarkStart w:id="302" w:name="_Toc507167007"/>
      <w:bookmarkStart w:id="303" w:name="_Toc508297390"/>
      <w:bookmarkStart w:id="304" w:name="_Toc508350149"/>
      <w:bookmarkStart w:id="305" w:name="_Toc508351592"/>
      <w:bookmarkStart w:id="306" w:name="_Toc508360007"/>
      <w:bookmarkStart w:id="307" w:name="_Toc511220507"/>
      <w:bookmarkStart w:id="308" w:name="_Toc511234952"/>
      <w:bookmarkStart w:id="309" w:name="_Toc511292865"/>
      <w:bookmarkEnd w:id="289"/>
      <w:bookmarkEnd w:id="290"/>
      <w:bookmarkEnd w:id="291"/>
      <w:bookmarkEnd w:id="292"/>
      <w:bookmarkEnd w:id="293"/>
      <w:bookmarkEnd w:id="294"/>
      <w:bookmarkEnd w:id="295"/>
      <w:bookmarkEnd w:id="296"/>
      <w:bookmarkEnd w:id="297"/>
      <w:bookmarkEnd w:id="298"/>
      <w:bookmarkEnd w:id="299"/>
      <w:bookmarkEnd w:id="300"/>
      <w:r>
        <w:rPr>
          <w:noProof/>
        </w:rPr>
        <w:t>Procedural Information</w:t>
      </w:r>
      <w:bookmarkEnd w:id="37"/>
      <w:bookmarkEnd w:id="38"/>
      <w:bookmarkEnd w:id="39"/>
      <w:bookmarkEnd w:id="40"/>
      <w:bookmarkEnd w:id="41"/>
      <w:bookmarkEnd w:id="42"/>
      <w:bookmarkEnd w:id="43"/>
      <w:bookmarkEnd w:id="44"/>
      <w:bookmarkEnd w:id="301"/>
      <w:bookmarkEnd w:id="302"/>
      <w:bookmarkEnd w:id="303"/>
      <w:bookmarkEnd w:id="304"/>
      <w:bookmarkEnd w:id="305"/>
      <w:bookmarkEnd w:id="306"/>
      <w:bookmarkEnd w:id="307"/>
      <w:bookmarkEnd w:id="308"/>
      <w:bookmarkEnd w:id="309"/>
    </w:p>
    <w:p>
      <w:pPr>
        <w:pStyle w:val="Heading2"/>
        <w:rPr>
          <w:noProof/>
        </w:rPr>
      </w:pPr>
      <w:bookmarkStart w:id="310" w:name="_Toc492046765"/>
      <w:bookmarkStart w:id="311" w:name="_Toc492048704"/>
      <w:bookmarkStart w:id="312" w:name="_Toc492049370"/>
      <w:bookmarkStart w:id="313" w:name="_Toc492056840"/>
      <w:bookmarkStart w:id="314" w:name="_Toc492056939"/>
      <w:bookmarkStart w:id="315" w:name="_Toc492557153"/>
      <w:bookmarkStart w:id="316" w:name="_Toc495420754"/>
      <w:bookmarkStart w:id="317" w:name="_Toc492046766"/>
      <w:bookmarkStart w:id="318" w:name="_Toc492048705"/>
      <w:bookmarkStart w:id="319" w:name="_Toc492049371"/>
      <w:bookmarkStart w:id="320" w:name="_Toc492056841"/>
      <w:bookmarkStart w:id="321" w:name="_Toc492056940"/>
      <w:bookmarkStart w:id="322" w:name="_Toc492557154"/>
      <w:bookmarkStart w:id="323" w:name="_Toc495420755"/>
      <w:bookmarkStart w:id="324" w:name="_Toc492046767"/>
      <w:bookmarkStart w:id="325" w:name="_Toc492048706"/>
      <w:bookmarkStart w:id="326" w:name="_Toc492049372"/>
      <w:bookmarkStart w:id="327" w:name="_Toc492056842"/>
      <w:bookmarkStart w:id="328" w:name="_Toc492056941"/>
      <w:bookmarkStart w:id="329" w:name="_Toc492557155"/>
      <w:bookmarkStart w:id="330" w:name="_Toc495420756"/>
      <w:bookmarkStart w:id="331" w:name="_Toc492046768"/>
      <w:bookmarkStart w:id="332" w:name="_Toc492048707"/>
      <w:bookmarkStart w:id="333" w:name="_Toc492049373"/>
      <w:bookmarkStart w:id="334" w:name="_Toc492056843"/>
      <w:bookmarkStart w:id="335" w:name="_Toc492056942"/>
      <w:bookmarkStart w:id="336" w:name="_Toc492557156"/>
      <w:bookmarkStart w:id="337" w:name="_Toc495420757"/>
      <w:bookmarkStart w:id="338" w:name="_Toc492046769"/>
      <w:bookmarkStart w:id="339" w:name="_Toc492048708"/>
      <w:bookmarkStart w:id="340" w:name="_Toc492049374"/>
      <w:bookmarkStart w:id="341" w:name="_Toc492056844"/>
      <w:bookmarkStart w:id="342" w:name="_Toc492056943"/>
      <w:bookmarkStart w:id="343" w:name="_Toc492557157"/>
      <w:bookmarkStart w:id="344" w:name="_Toc495420758"/>
      <w:bookmarkStart w:id="345" w:name="_Toc462394224"/>
      <w:bookmarkStart w:id="346" w:name="_Toc462751872"/>
      <w:bookmarkStart w:id="347" w:name="_Toc462831156"/>
      <w:bookmarkStart w:id="348" w:name="_Toc462991828"/>
      <w:bookmarkStart w:id="349" w:name="_Toc463260534"/>
      <w:bookmarkStart w:id="350" w:name="_Toc463369456"/>
      <w:bookmarkStart w:id="351" w:name="_Toc463446431"/>
      <w:bookmarkStart w:id="352" w:name="_Toc464048716"/>
      <w:bookmarkStart w:id="353" w:name="_Toc464056521"/>
      <w:bookmarkStart w:id="354" w:name="_Toc464057524"/>
      <w:bookmarkStart w:id="355" w:name="_Toc465173577"/>
      <w:bookmarkStart w:id="356" w:name="_Toc465180486"/>
      <w:bookmarkStart w:id="357" w:name="_Toc465234792"/>
      <w:bookmarkStart w:id="358" w:name="_Toc465328476"/>
      <w:bookmarkStart w:id="359" w:name="_Toc465332644"/>
      <w:bookmarkStart w:id="360" w:name="_Toc465355132"/>
      <w:bookmarkStart w:id="361" w:name="_Toc465417504"/>
      <w:bookmarkStart w:id="362" w:name="_Toc465428674"/>
      <w:bookmarkStart w:id="363" w:name="_Toc465430585"/>
      <w:bookmarkStart w:id="364" w:name="_Toc486857682"/>
      <w:bookmarkStart w:id="365" w:name="_Toc486926958"/>
      <w:bookmarkStart w:id="366" w:name="_Toc487796382"/>
      <w:bookmarkStart w:id="367" w:name="_Toc487796491"/>
      <w:bookmarkStart w:id="368" w:name="_Toc489013102"/>
      <w:bookmarkStart w:id="369" w:name="_Toc489279704"/>
      <w:bookmarkStart w:id="370" w:name="_Toc492048397"/>
      <w:bookmarkStart w:id="371" w:name="_Toc492557158"/>
      <w:bookmarkStart w:id="372" w:name="_Toc497906501"/>
      <w:bookmarkStart w:id="373" w:name="_Toc497912982"/>
      <w:bookmarkStart w:id="374" w:name="_Toc497919430"/>
      <w:bookmarkStart w:id="375" w:name="_Toc497919749"/>
      <w:bookmarkStart w:id="376" w:name="_Toc497921480"/>
      <w:bookmarkStart w:id="377" w:name="_Toc497921575"/>
      <w:bookmarkStart w:id="378" w:name="_Toc500262099"/>
      <w:bookmarkStart w:id="379" w:name="_Toc507167008"/>
      <w:bookmarkStart w:id="380" w:name="_Toc508297391"/>
      <w:bookmarkStart w:id="381" w:name="_Toc508350150"/>
      <w:bookmarkStart w:id="382" w:name="_Toc508351593"/>
      <w:bookmarkStart w:id="383" w:name="_Toc508360008"/>
      <w:bookmarkStart w:id="384" w:name="_Toc511220508"/>
      <w:bookmarkStart w:id="385" w:name="_Toc511234953"/>
      <w:bookmarkStart w:id="386" w:name="_Toc5112928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noProof/>
        </w:rPr>
        <w:t>Identification</w:t>
      </w:r>
      <w:bookmarkStart w:id="387" w:name="_Toc462394225"/>
      <w:bookmarkStart w:id="388" w:name="_Toc462751873"/>
      <w:bookmarkStart w:id="389" w:name="_Toc462831157"/>
      <w:bookmarkStart w:id="390" w:name="_Toc462991829"/>
      <w:bookmarkStart w:id="391" w:name="_Toc463260535"/>
      <w:bookmarkStart w:id="392" w:name="_Toc463369457"/>
      <w:bookmarkStart w:id="393" w:name="_Toc463446432"/>
      <w:bookmarkStart w:id="394" w:name="_Toc464048717"/>
      <w:bookmarkStart w:id="395" w:name="_Toc464056522"/>
      <w:bookmarkStart w:id="396" w:name="_Toc464057525"/>
      <w:bookmarkStart w:id="397" w:name="_Toc465173578"/>
      <w:bookmarkStart w:id="398" w:name="_Toc465180487"/>
      <w:bookmarkStart w:id="399" w:name="_Toc465234793"/>
      <w:bookmarkStart w:id="400" w:name="_Toc465328477"/>
      <w:bookmarkStart w:id="401" w:name="_Toc465332645"/>
      <w:bookmarkStart w:id="402" w:name="_Toc465355133"/>
      <w:bookmarkStart w:id="403" w:name="_Toc465417505"/>
      <w:bookmarkStart w:id="404" w:name="_Toc465428675"/>
      <w:bookmarkStart w:id="405" w:name="_Toc465430586"/>
      <w:bookmarkStart w:id="406" w:name="_Toc486857683"/>
      <w:bookmarkStart w:id="407" w:name="_Toc486926959"/>
      <w:bookmarkStart w:id="408" w:name="_Toc487796383"/>
      <w:bookmarkStart w:id="409" w:name="_Toc487796492"/>
      <w:bookmarkStart w:id="410" w:name="_Toc489013103"/>
      <w:bookmarkStart w:id="411" w:name="_Toc489279705"/>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Pr>
        <w:pStyle w:val="Text3"/>
        <w:ind w:left="0"/>
        <w:rPr>
          <w:noProof/>
        </w:rPr>
      </w:pPr>
      <w:r>
        <w:rPr>
          <w:noProof/>
        </w:rPr>
        <w:t xml:space="preserve">This Staff Working Paper was prepared by Directorate F of Directorate General 'Communications Networks, Content and Technology' and Directorate E of DG GROW. The </w:t>
      </w:r>
      <w:r>
        <w:rPr>
          <w:i/>
          <w:noProof/>
        </w:rPr>
        <w:t>Decide</w:t>
      </w:r>
      <w:r>
        <w:rPr>
          <w:noProof/>
        </w:rPr>
        <w:t xml:space="preserve"> reference of this initiative is PLAN/2017/1375.</w:t>
      </w:r>
    </w:p>
    <w:p>
      <w:pPr>
        <w:pStyle w:val="Heading2"/>
        <w:rPr>
          <w:noProof/>
        </w:rPr>
      </w:pPr>
      <w:bookmarkStart w:id="412" w:name="_Toc492048398"/>
      <w:bookmarkStart w:id="413" w:name="_Toc492557159"/>
      <w:bookmarkStart w:id="414" w:name="_Toc497906502"/>
      <w:bookmarkStart w:id="415" w:name="_Toc497912983"/>
      <w:bookmarkStart w:id="416" w:name="_Toc497919431"/>
      <w:bookmarkStart w:id="417" w:name="_Toc497919750"/>
      <w:bookmarkStart w:id="418" w:name="_Toc497921481"/>
      <w:bookmarkStart w:id="419" w:name="_Toc497921576"/>
      <w:bookmarkStart w:id="420" w:name="_Toc500262100"/>
      <w:bookmarkStart w:id="421" w:name="_Toc507167009"/>
      <w:bookmarkStart w:id="422" w:name="_Toc508297392"/>
      <w:bookmarkStart w:id="423" w:name="_Toc508350151"/>
      <w:bookmarkStart w:id="424" w:name="_Toc508351594"/>
      <w:bookmarkStart w:id="425" w:name="_Toc508360009"/>
      <w:bookmarkStart w:id="426" w:name="_Toc511220509"/>
      <w:bookmarkStart w:id="427" w:name="_Toc511234954"/>
      <w:bookmarkStart w:id="428" w:name="_Toc511292867"/>
      <w:r>
        <w:rPr>
          <w:noProof/>
        </w:rPr>
        <w:t>Organisation and chronology</w:t>
      </w:r>
      <w:bookmarkStart w:id="429" w:name="_Toc462394226"/>
      <w:bookmarkStart w:id="430" w:name="_Toc462751874"/>
      <w:bookmarkStart w:id="431" w:name="_Toc462831158"/>
      <w:bookmarkStart w:id="432" w:name="_Toc462991830"/>
      <w:bookmarkStart w:id="433" w:name="_Toc463260536"/>
      <w:bookmarkStart w:id="434" w:name="_Toc463369458"/>
      <w:bookmarkStart w:id="435" w:name="_Toc463446433"/>
      <w:bookmarkStart w:id="436" w:name="_Toc464048718"/>
      <w:bookmarkStart w:id="437" w:name="_Toc464056523"/>
      <w:bookmarkStart w:id="438" w:name="_Toc464057526"/>
      <w:bookmarkStart w:id="439" w:name="_Toc465173579"/>
      <w:bookmarkStart w:id="440" w:name="_Toc465180488"/>
      <w:bookmarkStart w:id="441" w:name="_Toc465234794"/>
      <w:bookmarkStart w:id="442" w:name="_Toc465328478"/>
      <w:bookmarkStart w:id="443" w:name="_Toc465332646"/>
      <w:bookmarkStart w:id="444" w:name="_Toc465355134"/>
      <w:bookmarkStart w:id="445" w:name="_Toc465417506"/>
      <w:bookmarkStart w:id="446" w:name="_Toc465428676"/>
      <w:bookmarkStart w:id="447" w:name="_Toc465430587"/>
      <w:bookmarkStart w:id="448" w:name="_Toc486857684"/>
      <w:bookmarkStart w:id="449" w:name="_Toc486926960"/>
      <w:bookmarkStart w:id="450" w:name="_Toc487796384"/>
      <w:bookmarkStart w:id="451" w:name="_Toc487796493"/>
      <w:bookmarkStart w:id="452" w:name="_Toc489013104"/>
      <w:bookmarkStart w:id="453" w:name="_Toc489279706"/>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pStyle w:val="Text3"/>
        <w:ind w:left="0"/>
        <w:rPr>
          <w:noProof/>
        </w:rPr>
      </w:pPr>
      <w:r>
        <w:rPr>
          <w:noProof/>
        </w:rPr>
        <w:t>Several other services of the Commission with a policy interest in the initiative have been associated in the development of this analysis. An Inter-Service Steering Group (ISG) has been created to this effect. The ISG includes representatives of DG COMP, DG GROW, DG ECFIN, DG EMPL, DG JUST, DG TRADE, DG ENV, DG ENER, LS, EPSC, JRC, RTD, EAC.</w:t>
      </w:r>
    </w:p>
    <w:p>
      <w:pPr>
        <w:pStyle w:val="Text3"/>
        <w:ind w:left="0"/>
        <w:rPr>
          <w:noProof/>
        </w:rPr>
      </w:pPr>
      <w:r>
        <w:rPr>
          <w:noProof/>
        </w:rPr>
        <w:t xml:space="preserve">The last meeting of the ISG, chaired by the Secretariat General of the European Commission was held on 30 October 2017. Minutes Ares(2017)5417127 of the meeting are enclosed. </w:t>
      </w:r>
    </w:p>
    <w:p>
      <w:pPr>
        <w:pStyle w:val="Heading2"/>
        <w:rPr>
          <w:noProof/>
        </w:rPr>
      </w:pPr>
      <w:bookmarkStart w:id="454" w:name="_Toc492048399"/>
      <w:bookmarkStart w:id="455" w:name="_Toc492557160"/>
      <w:bookmarkStart w:id="456" w:name="_Toc497906503"/>
      <w:bookmarkStart w:id="457" w:name="_Toc497912984"/>
      <w:bookmarkStart w:id="458" w:name="_Toc497919432"/>
      <w:bookmarkStart w:id="459" w:name="_Toc497919751"/>
      <w:bookmarkStart w:id="460" w:name="_Toc497921482"/>
      <w:bookmarkStart w:id="461" w:name="_Toc497921577"/>
      <w:bookmarkStart w:id="462" w:name="_Toc500262101"/>
      <w:bookmarkStart w:id="463" w:name="_Toc507167010"/>
      <w:bookmarkStart w:id="464" w:name="_Toc508297393"/>
      <w:bookmarkStart w:id="465" w:name="_Toc508350152"/>
      <w:bookmarkStart w:id="466" w:name="_Toc508351595"/>
      <w:bookmarkStart w:id="467" w:name="_Toc508360010"/>
      <w:bookmarkStart w:id="468" w:name="_Toc511220510"/>
      <w:bookmarkStart w:id="469" w:name="_Toc511234955"/>
      <w:bookmarkStart w:id="470" w:name="_Toc511292868"/>
      <w:r>
        <w:rPr>
          <w:noProof/>
        </w:rPr>
        <w:t>Regulatory Scrutiny Board</w:t>
      </w:r>
      <w:bookmarkStart w:id="471" w:name="_Toc462394227"/>
      <w:bookmarkStart w:id="472" w:name="_Toc462751875"/>
      <w:bookmarkStart w:id="473" w:name="_Toc462831159"/>
      <w:bookmarkStart w:id="474" w:name="_Toc462991831"/>
      <w:bookmarkStart w:id="475" w:name="_Toc463260537"/>
      <w:bookmarkStart w:id="476" w:name="_Toc463369459"/>
      <w:bookmarkStart w:id="477" w:name="_Toc463446434"/>
      <w:bookmarkStart w:id="478" w:name="_Toc464048719"/>
      <w:bookmarkStart w:id="479" w:name="_Toc464056524"/>
      <w:bookmarkStart w:id="480" w:name="_Toc464057527"/>
      <w:bookmarkStart w:id="481" w:name="_Toc465173580"/>
      <w:bookmarkStart w:id="482" w:name="_Toc465180489"/>
      <w:bookmarkStart w:id="483" w:name="_Toc465234795"/>
      <w:bookmarkStart w:id="484" w:name="_Toc465328479"/>
      <w:bookmarkStart w:id="485" w:name="_Toc465332647"/>
      <w:bookmarkStart w:id="486" w:name="_Toc465355135"/>
      <w:bookmarkStart w:id="487" w:name="_Toc465417507"/>
      <w:bookmarkStart w:id="488" w:name="_Toc465428677"/>
      <w:bookmarkStart w:id="489" w:name="_Toc465430588"/>
      <w:bookmarkStart w:id="490" w:name="_Toc486857685"/>
      <w:bookmarkStart w:id="491" w:name="_Toc486926961"/>
      <w:bookmarkStart w:id="492" w:name="_Toc487796385"/>
      <w:bookmarkStart w:id="493" w:name="_Toc487796494"/>
      <w:bookmarkStart w:id="494" w:name="_Toc489013105"/>
      <w:bookmarkStart w:id="495" w:name="_Toc489279707"/>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Pr>
        <w:pStyle w:val="Text3"/>
        <w:ind w:left="0"/>
        <w:rPr>
          <w:noProof/>
        </w:rPr>
      </w:pPr>
      <w:r>
        <w:rPr>
          <w:noProof/>
        </w:rPr>
        <w:t>This staff working document was discussed at the regulatory scrutiny board meeting of 29 November 2017. The Board issued a negative opinion.</w:t>
      </w:r>
    </w:p>
    <w:p>
      <w:pPr>
        <w:pStyle w:val="Heading2"/>
        <w:rPr>
          <w:noProof/>
        </w:rPr>
      </w:pPr>
      <w:bookmarkStart w:id="496" w:name="_Toc492048400"/>
      <w:bookmarkStart w:id="497" w:name="_Toc492557161"/>
      <w:bookmarkStart w:id="498" w:name="_Toc497906504"/>
      <w:bookmarkStart w:id="499" w:name="_Toc497912985"/>
      <w:bookmarkStart w:id="500" w:name="_Toc497919433"/>
      <w:bookmarkStart w:id="501" w:name="_Toc497919752"/>
      <w:bookmarkStart w:id="502" w:name="_Toc497921483"/>
      <w:bookmarkStart w:id="503" w:name="_Toc497921578"/>
      <w:bookmarkStart w:id="504" w:name="_Toc500262102"/>
      <w:bookmarkStart w:id="505" w:name="_Toc507167011"/>
      <w:bookmarkStart w:id="506" w:name="_Toc508297394"/>
      <w:bookmarkStart w:id="507" w:name="_Toc508350153"/>
      <w:bookmarkStart w:id="508" w:name="_Toc508351596"/>
      <w:bookmarkStart w:id="509" w:name="_Toc508360011"/>
      <w:bookmarkStart w:id="510" w:name="_Toc511220511"/>
      <w:bookmarkStart w:id="511" w:name="_Toc511234956"/>
      <w:bookmarkStart w:id="512" w:name="_Toc511292869"/>
      <w:r>
        <w:rPr>
          <w:noProof/>
        </w:rPr>
        <w:t>Evidence</w:t>
      </w:r>
      <w:bookmarkStart w:id="513" w:name="_Toc462394228"/>
      <w:bookmarkStart w:id="514" w:name="_Toc462751876"/>
      <w:bookmarkStart w:id="515" w:name="_Toc462831160"/>
      <w:bookmarkStart w:id="516" w:name="_Toc462991832"/>
      <w:bookmarkStart w:id="517" w:name="_Toc463260538"/>
      <w:bookmarkStart w:id="518" w:name="_Toc463369460"/>
      <w:bookmarkStart w:id="519" w:name="_Toc463446435"/>
      <w:bookmarkStart w:id="520" w:name="_Toc464048720"/>
      <w:bookmarkStart w:id="521" w:name="_Toc464056525"/>
      <w:bookmarkStart w:id="522" w:name="_Toc464057528"/>
      <w:bookmarkStart w:id="523" w:name="_Toc465173581"/>
      <w:bookmarkStart w:id="524" w:name="_Toc465180490"/>
      <w:bookmarkStart w:id="525" w:name="_Toc465234796"/>
      <w:bookmarkStart w:id="526" w:name="_Toc465328480"/>
      <w:bookmarkStart w:id="527" w:name="_Toc465332648"/>
      <w:bookmarkStart w:id="528" w:name="_Toc465355136"/>
      <w:bookmarkStart w:id="529" w:name="_Toc465417508"/>
      <w:bookmarkStart w:id="530" w:name="_Toc465428678"/>
      <w:bookmarkStart w:id="531" w:name="_Toc465430589"/>
      <w:bookmarkStart w:id="532" w:name="_Toc486857686"/>
      <w:bookmarkStart w:id="533" w:name="_Toc486926962"/>
      <w:bookmarkStart w:id="534" w:name="_Toc487796386"/>
      <w:bookmarkStart w:id="535" w:name="_Toc487796495"/>
      <w:bookmarkStart w:id="536" w:name="_Toc489013106"/>
      <w:bookmarkStart w:id="537" w:name="_Toc489279708"/>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pStyle w:val="Text3"/>
        <w:ind w:left="0"/>
        <w:rPr>
          <w:noProof/>
        </w:rPr>
      </w:pPr>
      <w:r>
        <w:rPr>
          <w:noProof/>
        </w:rPr>
        <w:t>The options considered in this impact assessment were designed by taking into account the following main inputs, in addition to less central references quoted in the body of the Impact Assessment:</w:t>
      </w:r>
    </w:p>
    <w:p>
      <w:pPr>
        <w:pStyle w:val="Text3"/>
        <w:numPr>
          <w:ilvl w:val="0"/>
          <w:numId w:val="22"/>
        </w:numPr>
        <w:ind w:left="426"/>
        <w:rPr>
          <w:noProof/>
          <w:u w:val="single"/>
        </w:rPr>
      </w:pPr>
      <w:r>
        <w:rPr>
          <w:noProof/>
          <w:u w:val="single"/>
        </w:rPr>
        <w:t>Studies commissioned by the European Commission</w:t>
      </w:r>
    </w:p>
    <w:p>
      <w:pPr>
        <w:pStyle w:val="Text3"/>
        <w:ind w:left="0"/>
        <w:rPr>
          <w:i/>
          <w:noProof/>
        </w:rPr>
      </w:pPr>
      <w:r>
        <w:rPr>
          <w:i/>
          <w:noProof/>
        </w:rPr>
        <w:t>On business to business issues</w:t>
      </w:r>
    </w:p>
    <w:p>
      <w:pPr>
        <w:pStyle w:val="Text3"/>
        <w:numPr>
          <w:ilvl w:val="0"/>
          <w:numId w:val="29"/>
        </w:numPr>
        <w:spacing w:after="0"/>
        <w:ind w:left="992" w:hanging="357"/>
        <w:rPr>
          <w:noProof/>
        </w:rPr>
      </w:pPr>
      <w:r>
        <w:rPr>
          <w:noProof/>
        </w:rPr>
        <w:t xml:space="preserve">ECORYS, </w:t>
      </w:r>
      <w:r>
        <w:rPr>
          <w:i/>
          <w:noProof/>
        </w:rPr>
        <w:t>Business-to-Business relations in the online platform environment FWC ENTR/300/PP/2013/FC-WIFO</w:t>
      </w:r>
      <w:r>
        <w:rPr>
          <w:noProof/>
        </w:rPr>
        <w:t>, 2017 (commissioned by DG GROW &amp; DG CNECT )</w:t>
      </w:r>
    </w:p>
    <w:p>
      <w:pPr>
        <w:pStyle w:val="Text3"/>
        <w:numPr>
          <w:ilvl w:val="0"/>
          <w:numId w:val="29"/>
        </w:numPr>
        <w:spacing w:after="0"/>
        <w:ind w:left="992" w:hanging="357"/>
        <w:rPr>
          <w:noProof/>
        </w:rPr>
      </w:pPr>
      <w:r>
        <w:rPr>
          <w:noProof/>
        </w:rPr>
        <w:t xml:space="preserve">ERNST&amp;YOUNG, </w:t>
      </w:r>
      <w:r>
        <w:rPr>
          <w:i/>
          <w:noProof/>
        </w:rPr>
        <w:t>Contractual Relationships between Online Platforms and Their Professional Users</w:t>
      </w:r>
      <w:r>
        <w:rPr>
          <w:noProof/>
        </w:rPr>
        <w:t xml:space="preserve">, SMART 2017/0041 (commissioned by DG CNECT) </w:t>
      </w:r>
    </w:p>
    <w:p>
      <w:pPr>
        <w:pStyle w:val="Text3"/>
        <w:numPr>
          <w:ilvl w:val="0"/>
          <w:numId w:val="29"/>
        </w:numPr>
        <w:spacing w:after="0"/>
        <w:ind w:left="964" w:hanging="284"/>
        <w:rPr>
          <w:noProof/>
        </w:rPr>
      </w:pPr>
      <w:r>
        <w:rPr>
          <w:noProof/>
        </w:rPr>
        <w:t xml:space="preserve">VVA, </w:t>
      </w:r>
      <w:r>
        <w:rPr>
          <w:i/>
          <w:noProof/>
        </w:rPr>
        <w:t>Data in platform-to-business relations</w:t>
      </w:r>
      <w:r>
        <w:rPr>
          <w:noProof/>
        </w:rPr>
        <w:t xml:space="preserve">, </w:t>
      </w:r>
      <w:r>
        <w:rPr>
          <w:i/>
          <w:noProof/>
        </w:rPr>
        <w:t xml:space="preserve">Contract nr FWC ENTR/172/PP/2012/FC-lot2 Service contract Nr 645/PP/GRO/IM A/17/1131/10398, </w:t>
      </w:r>
      <w:r>
        <w:rPr>
          <w:noProof/>
        </w:rPr>
        <w:t xml:space="preserve">forthcoming (commissioned by DG GROW)  </w:t>
      </w:r>
    </w:p>
    <w:p>
      <w:pPr>
        <w:pStyle w:val="Text3"/>
        <w:numPr>
          <w:ilvl w:val="0"/>
          <w:numId w:val="29"/>
        </w:numPr>
        <w:spacing w:after="0"/>
        <w:ind w:left="992" w:hanging="357"/>
        <w:rPr>
          <w:noProof/>
        </w:rPr>
      </w:pPr>
      <w:r>
        <w:rPr>
          <w:noProof/>
        </w:rPr>
        <w:t xml:space="preserve">GRAEF I. et al., </w:t>
      </w:r>
      <w:r>
        <w:rPr>
          <w:i/>
          <w:noProof/>
        </w:rPr>
        <w:t xml:space="preserve">Contractual terms and conditions of large e-commerce platforms, </w:t>
      </w:r>
      <w:r>
        <w:rPr>
          <w:noProof/>
        </w:rPr>
        <w:t>2016 (commissioned by DG GROW)</w:t>
      </w:r>
    </w:p>
    <w:p>
      <w:pPr>
        <w:pStyle w:val="Text3"/>
        <w:numPr>
          <w:ilvl w:val="0"/>
          <w:numId w:val="29"/>
        </w:numPr>
        <w:spacing w:after="0"/>
        <w:ind w:left="992" w:hanging="357"/>
        <w:rPr>
          <w:noProof/>
        </w:rPr>
      </w:pPr>
      <w:r>
        <w:rPr>
          <w:noProof/>
        </w:rPr>
        <w:t>Flash Eurobarometer 439 "The use of online marketplaces and search engines by SMEs"  of June 2016 (4 904 respondents)</w:t>
      </w:r>
    </w:p>
    <w:p>
      <w:pPr>
        <w:pStyle w:val="Text3"/>
        <w:spacing w:before="240"/>
        <w:ind w:left="0"/>
        <w:rPr>
          <w:i/>
          <w:noProof/>
          <w:lang w:val="nl-NL"/>
        </w:rPr>
      </w:pPr>
      <w:r>
        <w:rPr>
          <w:i/>
          <w:noProof/>
        </w:rPr>
        <w:t>On consumer issues</w:t>
      </w:r>
    </w:p>
    <w:p>
      <w:pPr>
        <w:pStyle w:val="Text3"/>
        <w:numPr>
          <w:ilvl w:val="0"/>
          <w:numId w:val="30"/>
        </w:numPr>
        <w:spacing w:after="0"/>
        <w:ind w:left="992" w:hanging="357"/>
        <w:rPr>
          <w:noProof/>
        </w:rPr>
      </w:pPr>
      <w:r>
        <w:rPr>
          <w:noProof/>
        </w:rPr>
        <w:t xml:space="preserve">LSE et al., </w:t>
      </w:r>
      <w:r>
        <w:rPr>
          <w:i/>
          <w:noProof/>
        </w:rPr>
        <w:t>Behavioural Study on the Transparency of Online Platforms</w:t>
      </w:r>
      <w:r>
        <w:rPr>
          <w:noProof/>
        </w:rPr>
        <w:t>, Request for Specific Services 2016 85 04 for the implementation of the Framework Contract no Chafea/2015/CP/01, forthcoming (commissioned by DG JUST)</w:t>
      </w:r>
    </w:p>
    <w:p>
      <w:pPr>
        <w:pStyle w:val="Text3"/>
        <w:numPr>
          <w:ilvl w:val="0"/>
          <w:numId w:val="30"/>
        </w:numPr>
        <w:spacing w:after="0"/>
        <w:ind w:left="992" w:hanging="357"/>
        <w:rPr>
          <w:noProof/>
        </w:rPr>
      </w:pPr>
      <w:r>
        <w:rPr>
          <w:noProof/>
        </w:rPr>
        <w:t xml:space="preserve">Ipsos Public Affairs </w:t>
      </w:r>
      <w:r>
        <w:rPr>
          <w:i/>
          <w:noProof/>
        </w:rPr>
        <w:t>Consumer market study on online market segmentation through personalised pricing/offers in the European Union</w:t>
      </w:r>
      <w:r>
        <w:rPr>
          <w:noProof/>
        </w:rPr>
        <w:t xml:space="preserve">, forthcoming  (commissioned by DG JUST) </w:t>
      </w:r>
    </w:p>
    <w:p>
      <w:pPr>
        <w:pStyle w:val="Text3"/>
        <w:numPr>
          <w:ilvl w:val="0"/>
          <w:numId w:val="30"/>
        </w:numPr>
        <w:spacing w:after="0"/>
        <w:ind w:left="992" w:hanging="357"/>
        <w:rPr>
          <w:noProof/>
        </w:rPr>
      </w:pPr>
      <w:r>
        <w:rPr>
          <w:noProof/>
        </w:rPr>
        <w:t xml:space="preserve">GfK et al., </w:t>
      </w:r>
      <w:r>
        <w:rPr>
          <w:i/>
          <w:noProof/>
        </w:rPr>
        <w:t>Behavioural study on advertising and marketing practices in online social media</w:t>
      </w:r>
      <w:r>
        <w:rPr>
          <w:noProof/>
        </w:rPr>
        <w:t>, forthcoming (commissioned by DG JUST)</w:t>
      </w:r>
    </w:p>
    <w:p>
      <w:pPr>
        <w:pStyle w:val="Text3"/>
        <w:numPr>
          <w:ilvl w:val="0"/>
          <w:numId w:val="30"/>
        </w:numPr>
        <w:spacing w:after="0"/>
        <w:ind w:left="992" w:hanging="357"/>
        <w:rPr>
          <w:noProof/>
        </w:rPr>
      </w:pPr>
      <w:r>
        <w:rPr>
          <w:noProof/>
        </w:rPr>
        <w:t xml:space="preserve">VVA,  </w:t>
      </w:r>
      <w:r>
        <w:rPr>
          <w:i/>
          <w:noProof/>
        </w:rPr>
        <w:t>Exploratory study of consumer issues in online peer-to-peer platform markets</w:t>
      </w:r>
      <w:r>
        <w:rPr>
          <w:noProof/>
        </w:rPr>
        <w:t>, May 2017 (commissioned by DG JUST)</w:t>
      </w:r>
    </w:p>
    <w:p>
      <w:pPr>
        <w:pStyle w:val="Text3"/>
        <w:numPr>
          <w:ilvl w:val="0"/>
          <w:numId w:val="30"/>
        </w:numPr>
        <w:spacing w:after="0"/>
        <w:ind w:left="992" w:hanging="357"/>
        <w:rPr>
          <w:noProof/>
        </w:rPr>
      </w:pPr>
      <w:r>
        <w:rPr>
          <w:noProof/>
        </w:rPr>
        <w:t xml:space="preserve">Special Eurobarometer 447 "Online platforms" of June 2016 (27 969 respondents) </w:t>
      </w:r>
    </w:p>
    <w:p>
      <w:pPr>
        <w:pStyle w:val="Text3"/>
        <w:numPr>
          <w:ilvl w:val="0"/>
          <w:numId w:val="30"/>
        </w:numPr>
        <w:spacing w:after="0"/>
        <w:ind w:left="992" w:hanging="357"/>
        <w:rPr>
          <w:noProof/>
        </w:rPr>
      </w:pPr>
      <w:r>
        <w:rPr>
          <w:noProof/>
        </w:rPr>
        <w:t>Standard Eurobarometer 86 "Public opinion in the European Union" of Autumn 2016 survey (27 818 respondents)</w:t>
      </w:r>
    </w:p>
    <w:p>
      <w:pPr>
        <w:pStyle w:val="Text3"/>
        <w:spacing w:before="240"/>
        <w:ind w:left="0"/>
        <w:rPr>
          <w:i/>
          <w:noProof/>
        </w:rPr>
      </w:pPr>
      <w:r>
        <w:rPr>
          <w:i/>
          <w:noProof/>
        </w:rPr>
        <w:t>Research conducted by the Joint Research Centre</w:t>
      </w:r>
    </w:p>
    <w:p>
      <w:pPr>
        <w:pStyle w:val="Text3"/>
        <w:numPr>
          <w:ilvl w:val="0"/>
          <w:numId w:val="31"/>
        </w:numPr>
        <w:spacing w:after="0"/>
        <w:ind w:left="992" w:hanging="357"/>
        <w:rPr>
          <w:noProof/>
        </w:rPr>
      </w:pPr>
      <w:hyperlink r:id="rId32" w:history="1">
        <w:r>
          <w:rPr>
            <w:rStyle w:val="Hyperlink"/>
            <w:noProof/>
          </w:rPr>
          <w:t>JRC research online platforms</w:t>
        </w:r>
      </w:hyperlink>
    </w:p>
    <w:p>
      <w:pPr>
        <w:pStyle w:val="Text3"/>
        <w:numPr>
          <w:ilvl w:val="0"/>
          <w:numId w:val="31"/>
        </w:numPr>
        <w:spacing w:after="0"/>
        <w:ind w:left="992" w:hanging="357"/>
        <w:rPr>
          <w:noProof/>
        </w:rPr>
      </w:pPr>
      <w:r>
        <w:rPr>
          <w:noProof/>
        </w:rPr>
        <w:t xml:space="preserve">JRC, </w:t>
      </w:r>
      <w:r>
        <w:rPr>
          <w:i/>
          <w:noProof/>
        </w:rPr>
        <w:t xml:space="preserve">Quality discrimination in multi-sided </w:t>
      </w:r>
      <w:r>
        <w:rPr>
          <w:i/>
          <w:noProof/>
          <w:szCs w:val="24"/>
        </w:rPr>
        <w:t>markets</w:t>
      </w:r>
      <w:r>
        <w:rPr>
          <w:rStyle w:val="FootnoteReference"/>
          <w:noProof/>
        </w:rPr>
        <w:footnoteReference w:id="16"/>
      </w:r>
    </w:p>
    <w:p>
      <w:pPr>
        <w:pStyle w:val="Text3"/>
        <w:numPr>
          <w:ilvl w:val="0"/>
          <w:numId w:val="31"/>
        </w:numPr>
        <w:spacing w:after="0"/>
        <w:ind w:left="992" w:hanging="357"/>
        <w:rPr>
          <w:noProof/>
        </w:rPr>
      </w:pPr>
      <w:r>
        <w:rPr>
          <w:noProof/>
        </w:rPr>
        <w:t xml:space="preserve">JRC, </w:t>
      </w:r>
      <w:r>
        <w:rPr>
          <w:i/>
          <w:noProof/>
        </w:rPr>
        <w:t xml:space="preserve">Platform to business relations in online </w:t>
      </w:r>
      <w:r>
        <w:rPr>
          <w:i/>
          <w:noProof/>
          <w:szCs w:val="24"/>
        </w:rPr>
        <w:t>ecosystem</w:t>
      </w:r>
      <w:r>
        <w:rPr>
          <w:rStyle w:val="FootnoteReference"/>
          <w:noProof/>
        </w:rPr>
        <w:footnoteReference w:id="17"/>
      </w:r>
    </w:p>
    <w:p>
      <w:pPr>
        <w:pStyle w:val="Text3"/>
        <w:spacing w:before="240"/>
        <w:ind w:left="0"/>
        <w:rPr>
          <w:i/>
          <w:noProof/>
        </w:rPr>
      </w:pPr>
      <w:r>
        <w:rPr>
          <w:i/>
          <w:noProof/>
        </w:rPr>
        <w:t>Other data sources</w:t>
      </w:r>
    </w:p>
    <w:p>
      <w:pPr>
        <w:pStyle w:val="Text3"/>
        <w:numPr>
          <w:ilvl w:val="0"/>
          <w:numId w:val="43"/>
        </w:numPr>
        <w:tabs>
          <w:tab w:val="clear" w:pos="720"/>
          <w:tab w:val="num" w:pos="993"/>
        </w:tabs>
        <w:spacing w:after="0"/>
        <w:ind w:left="992" w:hanging="357"/>
        <w:rPr>
          <w:noProof/>
        </w:rPr>
      </w:pPr>
      <w:r>
        <w:rPr>
          <w:noProof/>
        </w:rPr>
        <w:t>Dealroom economic report and data set on online platforms in Europe</w:t>
      </w:r>
    </w:p>
    <w:p>
      <w:pPr>
        <w:pStyle w:val="Text3"/>
        <w:numPr>
          <w:ilvl w:val="0"/>
          <w:numId w:val="43"/>
        </w:numPr>
        <w:tabs>
          <w:tab w:val="clear" w:pos="720"/>
          <w:tab w:val="num" w:pos="993"/>
        </w:tabs>
        <w:spacing w:after="0"/>
        <w:ind w:left="992" w:hanging="357"/>
        <w:rPr>
          <w:noProof/>
          <w:szCs w:val="24"/>
        </w:rPr>
      </w:pPr>
      <w:hyperlink r:id="rId33" w:tgtFrame="_blank" w:history="1">
        <w:r>
          <w:rPr>
            <w:rStyle w:val="Hyperlink"/>
            <w:noProof/>
            <w:szCs w:val="24"/>
            <w:lang w:val="en"/>
          </w:rPr>
          <w:t>Eurostat 2017</w:t>
        </w:r>
      </w:hyperlink>
      <w:r>
        <w:rPr>
          <w:noProof/>
          <w:szCs w:val="24"/>
          <w:lang w:val="en"/>
        </w:rPr>
        <w:t>: use of social networks by businesses</w:t>
      </w:r>
    </w:p>
    <w:p>
      <w:pPr>
        <w:pStyle w:val="Text3"/>
        <w:numPr>
          <w:ilvl w:val="0"/>
          <w:numId w:val="43"/>
        </w:numPr>
        <w:tabs>
          <w:tab w:val="clear" w:pos="720"/>
          <w:tab w:val="num" w:pos="993"/>
        </w:tabs>
        <w:spacing w:after="0"/>
        <w:ind w:left="992" w:hanging="357"/>
        <w:rPr>
          <w:noProof/>
          <w:szCs w:val="24"/>
        </w:rPr>
      </w:pPr>
      <w:hyperlink r:id="rId34" w:tgtFrame="_blank" w:history="1">
        <w:r>
          <w:rPr>
            <w:rStyle w:val="Hyperlink"/>
            <w:noProof/>
            <w:szCs w:val="24"/>
            <w:lang w:val="en"/>
          </w:rPr>
          <w:t>Eurostat 2017</w:t>
        </w:r>
      </w:hyperlink>
      <w:r>
        <w:rPr>
          <w:noProof/>
          <w:lang w:val="en"/>
        </w:rPr>
        <w:t>: use of on</w:t>
      </w:r>
      <w:r>
        <w:rPr>
          <w:noProof/>
          <w:szCs w:val="24"/>
          <w:lang w:val="en"/>
        </w:rPr>
        <w:t>line advertising by businesses</w:t>
      </w:r>
    </w:p>
    <w:p>
      <w:pPr>
        <w:pStyle w:val="Text3"/>
        <w:numPr>
          <w:ilvl w:val="0"/>
          <w:numId w:val="43"/>
        </w:numPr>
        <w:tabs>
          <w:tab w:val="clear" w:pos="720"/>
          <w:tab w:val="num" w:pos="993"/>
        </w:tabs>
        <w:spacing w:after="0"/>
        <w:ind w:left="992" w:hanging="357"/>
        <w:rPr>
          <w:noProof/>
          <w:szCs w:val="24"/>
        </w:rPr>
      </w:pPr>
      <w:r>
        <w:rPr>
          <w:noProof/>
        </w:rPr>
        <w:t>Report on the Monitoring Exercise Carried out in the Online Hotel Booking Sector by EU Competition Authorities in 2016</w:t>
      </w:r>
    </w:p>
    <w:p>
      <w:pPr>
        <w:pStyle w:val="Text3"/>
        <w:numPr>
          <w:ilvl w:val="0"/>
          <w:numId w:val="22"/>
        </w:numPr>
        <w:spacing w:before="240"/>
        <w:ind w:left="426"/>
        <w:rPr>
          <w:noProof/>
          <w:u w:val="single"/>
        </w:rPr>
      </w:pPr>
      <w:r>
        <w:rPr>
          <w:noProof/>
          <w:u w:val="single"/>
        </w:rPr>
        <w:t>Industry surveys and studies consulted</w:t>
      </w:r>
    </w:p>
    <w:p>
      <w:pPr>
        <w:pStyle w:val="Text3"/>
        <w:numPr>
          <w:ilvl w:val="0"/>
          <w:numId w:val="33"/>
        </w:numPr>
        <w:spacing w:after="0"/>
        <w:ind w:left="992" w:hanging="357"/>
        <w:rPr>
          <w:noProof/>
        </w:rPr>
      </w:pPr>
      <w:r>
        <w:rPr>
          <w:noProof/>
        </w:rPr>
        <w:t>The Booksellers Association of the UK &amp; Ireland, survey into business-to-business relations on online platforms of September 2017 (83 respondents)</w:t>
      </w:r>
    </w:p>
    <w:p>
      <w:pPr>
        <w:pStyle w:val="Text3"/>
        <w:numPr>
          <w:ilvl w:val="0"/>
          <w:numId w:val="33"/>
        </w:numPr>
        <w:spacing w:after="0"/>
        <w:ind w:left="992" w:hanging="357"/>
        <w:rPr>
          <w:noProof/>
        </w:rPr>
      </w:pPr>
      <w:r>
        <w:rPr>
          <w:noProof/>
        </w:rPr>
        <w:t>Amazon Webretailer survey (1 500 respondents)</w:t>
      </w:r>
    </w:p>
    <w:p>
      <w:pPr>
        <w:pStyle w:val="Text3"/>
        <w:numPr>
          <w:ilvl w:val="0"/>
          <w:numId w:val="33"/>
        </w:numPr>
        <w:spacing w:after="0"/>
        <w:ind w:left="992" w:hanging="357"/>
        <w:rPr>
          <w:noProof/>
        </w:rPr>
      </w:pPr>
      <w:r>
        <w:rPr>
          <w:noProof/>
        </w:rPr>
        <w:t>App Alliance survey (673 respondents)</w:t>
      </w:r>
    </w:p>
    <w:p>
      <w:pPr>
        <w:pStyle w:val="Text3"/>
        <w:numPr>
          <w:ilvl w:val="0"/>
          <w:numId w:val="33"/>
        </w:numPr>
        <w:spacing w:after="0"/>
        <w:ind w:left="992" w:hanging="357"/>
        <w:rPr>
          <w:noProof/>
        </w:rPr>
      </w:pPr>
      <w:r>
        <w:rPr>
          <w:noProof/>
        </w:rPr>
        <w:t>IAB programmatic advertising survey (1 232 respondents)</w:t>
      </w:r>
    </w:p>
    <w:p>
      <w:pPr>
        <w:pStyle w:val="Text3"/>
        <w:numPr>
          <w:ilvl w:val="0"/>
          <w:numId w:val="33"/>
        </w:numPr>
        <w:spacing w:after="0"/>
        <w:ind w:left="992" w:hanging="357"/>
        <w:rPr>
          <w:noProof/>
        </w:rPr>
      </w:pPr>
      <w:r>
        <w:rPr>
          <w:noProof/>
        </w:rPr>
        <w:t>Future of Business survey, report on international trade (49 081 respondents), by the World Bank, OECD, Facebook</w:t>
      </w:r>
    </w:p>
    <w:p>
      <w:pPr>
        <w:pStyle w:val="Text3"/>
        <w:numPr>
          <w:ilvl w:val="0"/>
          <w:numId w:val="38"/>
        </w:numPr>
        <w:spacing w:after="0"/>
        <w:ind w:left="992" w:hanging="357"/>
        <w:rPr>
          <w:noProof/>
          <w:color w:val="3D3D3D"/>
          <w:szCs w:val="24"/>
          <w:lang w:val="en"/>
        </w:rPr>
      </w:pPr>
      <w:r>
        <w:rPr>
          <w:noProof/>
        </w:rPr>
        <w:t xml:space="preserve">iOS developer survey </w:t>
      </w:r>
      <w:hyperlink r:id="rId35" w:history="1">
        <w:r>
          <w:rPr>
            <w:rStyle w:val="Hyperlink"/>
            <w:noProof/>
          </w:rPr>
          <w:t>https://tapdaq.com/blog/apple-developers-think-you-are-just-one-inconsistent-loop</w:t>
        </w:r>
      </w:hyperlink>
      <w:r>
        <w:rPr>
          <w:noProof/>
        </w:rPr>
        <w:t xml:space="preserve"> Survey among crowdworkers: "</w:t>
      </w:r>
      <w:r>
        <w:rPr>
          <w:i/>
          <w:noProof/>
        </w:rPr>
        <w:t>Unfair treatment by requesters and disinterest from platform.</w:t>
      </w:r>
      <w:r>
        <w:rPr>
          <w:i/>
          <w:iCs/>
          <w:noProof/>
          <w:szCs w:val="24"/>
        </w:rPr>
        <w:t xml:space="preserve"> </w:t>
      </w:r>
      <w:hyperlink r:id="rId36" w:history="1">
        <w:r>
          <w:rPr>
            <w:rStyle w:val="Hyperlink"/>
            <w:noProof/>
          </w:rPr>
          <w:t>http://www.ilo.org/wcmsp5/groups/public/---ed_protect/---protrav/---travail/documents/publication/wcms_479693.pdf</w:t>
        </w:r>
      </w:hyperlink>
      <w:hyperlink r:id="rId37" w:tgtFrame="_blank" w:history="1">
        <w:r>
          <w:rPr>
            <w:rStyle w:val="Hyperlink"/>
            <w:noProof/>
            <w:szCs w:val="24"/>
            <w:lang w:val="en"/>
          </w:rPr>
          <w:t>Copenhagen Economics study</w:t>
        </w:r>
      </w:hyperlink>
      <w:r>
        <w:rPr>
          <w:noProof/>
          <w:color w:val="3D3D3D"/>
          <w:szCs w:val="24"/>
          <w:lang w:val="en"/>
        </w:rPr>
        <w:t xml:space="preserve"> </w:t>
      </w:r>
      <w:r>
        <w:rPr>
          <w:noProof/>
        </w:rPr>
        <w:t>(for EDiMA) - online platforms the engines of the EU economy</w:t>
      </w:r>
    </w:p>
    <w:p>
      <w:pPr>
        <w:pStyle w:val="Text3"/>
        <w:numPr>
          <w:ilvl w:val="0"/>
          <w:numId w:val="38"/>
        </w:numPr>
        <w:spacing w:after="0"/>
        <w:ind w:left="992" w:hanging="357"/>
        <w:rPr>
          <w:noProof/>
          <w:szCs w:val="24"/>
          <w:lang w:val="en"/>
        </w:rPr>
      </w:pPr>
      <w:hyperlink r:id="rId38" w:tgtFrame="_blank" w:history="1">
        <w:r>
          <w:rPr>
            <w:rStyle w:val="Hyperlink"/>
            <w:noProof/>
            <w:szCs w:val="24"/>
            <w:lang w:val="en"/>
          </w:rPr>
          <w:t xml:space="preserve">Copenhagen Economics study </w:t>
        </w:r>
      </w:hyperlink>
      <w:r>
        <w:rPr>
          <w:noProof/>
          <w:szCs w:val="24"/>
          <w:lang w:val="en"/>
        </w:rPr>
        <w:t>(for Ebay) - economics effects of marketplace bans</w:t>
      </w:r>
    </w:p>
    <w:p>
      <w:pPr>
        <w:pStyle w:val="Text3"/>
        <w:numPr>
          <w:ilvl w:val="0"/>
          <w:numId w:val="38"/>
        </w:numPr>
        <w:spacing w:after="0"/>
        <w:ind w:left="992" w:hanging="357"/>
        <w:rPr>
          <w:noProof/>
          <w:color w:val="3D3D3D"/>
          <w:szCs w:val="24"/>
          <w:lang w:val="en"/>
        </w:rPr>
      </w:pPr>
      <w:r>
        <w:rPr>
          <w:noProof/>
          <w:szCs w:val="24"/>
          <w:lang w:val="en"/>
        </w:rPr>
        <w:t xml:space="preserve">Roland Berger report </w:t>
      </w:r>
      <w:r>
        <w:rPr>
          <w:noProof/>
          <w:color w:val="3D3D3D"/>
          <w:szCs w:val="24"/>
          <w:lang w:val="en"/>
        </w:rPr>
        <w:t>"</w:t>
      </w:r>
      <w:hyperlink r:id="rId39" w:tgtFrame="_blank" w:history="1">
        <w:r>
          <w:rPr>
            <w:rStyle w:val="Hyperlink"/>
            <w:noProof/>
            <w:szCs w:val="24"/>
            <w:lang w:val="en"/>
          </w:rPr>
          <w:t>Fair play in the digital arena</w:t>
        </w:r>
      </w:hyperlink>
      <w:r>
        <w:rPr>
          <w:noProof/>
          <w:szCs w:val="24"/>
          <w:lang w:val="en"/>
        </w:rPr>
        <w:t>" (for 1&amp;1 in Germany)</w:t>
      </w:r>
    </w:p>
    <w:p>
      <w:pPr>
        <w:pStyle w:val="Text3"/>
        <w:numPr>
          <w:ilvl w:val="0"/>
          <w:numId w:val="38"/>
        </w:numPr>
        <w:spacing w:after="0"/>
        <w:ind w:left="992" w:hanging="357"/>
        <w:rPr>
          <w:noProof/>
          <w:color w:val="3D3D3D"/>
          <w:szCs w:val="24"/>
          <w:lang w:val="en"/>
        </w:rPr>
      </w:pPr>
      <w:hyperlink r:id="rId40" w:tgtFrame="_blank" w:history="1">
        <w:r>
          <w:rPr>
            <w:rStyle w:val="Hyperlink"/>
            <w:noProof/>
            <w:lang w:val="en"/>
          </w:rPr>
          <w:t>Oxera study</w:t>
        </w:r>
      </w:hyperlink>
      <w:r>
        <w:rPr>
          <w:rFonts w:ascii="Helvetica Neue" w:hAnsi="Helvetica Neue"/>
          <w:noProof/>
          <w:color w:val="3D3D3D"/>
          <w:sz w:val="21"/>
          <w:szCs w:val="21"/>
          <w:lang w:val="en"/>
        </w:rPr>
        <w:t xml:space="preserve"> </w:t>
      </w:r>
      <w:r>
        <w:rPr>
          <w:noProof/>
          <w:lang w:val="en"/>
        </w:rPr>
        <w:t>(Google sponsored) on benefits of online platforms.</w:t>
      </w:r>
      <w:r>
        <w:rPr>
          <w:rFonts w:ascii="Helvetica Neue" w:hAnsi="Helvetica Neue"/>
          <w:noProof/>
          <w:color w:val="3D3D3D"/>
          <w:sz w:val="21"/>
          <w:szCs w:val="21"/>
          <w:lang w:val="en"/>
        </w:rPr>
        <w:t xml:space="preserve"> </w:t>
      </w:r>
      <w:hyperlink r:id="rId41" w:tgtFrame="_blank" w:history="1">
        <w:r>
          <w:rPr>
            <w:rStyle w:val="Hyperlink"/>
            <w:noProof/>
            <w:lang w:val="en"/>
          </w:rPr>
          <w:t>Technical appendix</w:t>
        </w:r>
      </w:hyperlink>
    </w:p>
    <w:p>
      <w:pPr>
        <w:pStyle w:val="Text3"/>
        <w:numPr>
          <w:ilvl w:val="0"/>
          <w:numId w:val="22"/>
        </w:numPr>
        <w:ind w:left="426"/>
        <w:rPr>
          <w:noProof/>
          <w:szCs w:val="24"/>
          <w:u w:val="single"/>
        </w:rPr>
      </w:pPr>
      <w:r>
        <w:rPr>
          <w:noProof/>
          <w:szCs w:val="24"/>
          <w:u w:val="single"/>
        </w:rPr>
        <w:t>Other sources</w:t>
      </w:r>
    </w:p>
    <w:p>
      <w:pPr>
        <w:pStyle w:val="Text3"/>
        <w:numPr>
          <w:ilvl w:val="0"/>
          <w:numId w:val="25"/>
        </w:numPr>
        <w:spacing w:after="0"/>
        <w:ind w:left="992"/>
        <w:jc w:val="left"/>
        <w:rPr>
          <w:noProof/>
          <w:szCs w:val="24"/>
        </w:rPr>
      </w:pPr>
      <w:r>
        <w:rPr>
          <w:noProof/>
          <w:szCs w:val="24"/>
        </w:rPr>
        <w:t xml:space="preserve">Labour platforms EP report: </w:t>
      </w:r>
      <w:hyperlink r:id="rId42" w:history="1">
        <w:r>
          <w:rPr>
            <w:rStyle w:val="Hyperlink"/>
            <w:noProof/>
            <w:szCs w:val="24"/>
          </w:rPr>
          <w:t>http://www.europarl.europa.eu/RegData/etudes/IDAN/2016/587316/IPOL_IDA(2016)587316_EN.pdf</w:t>
        </w:r>
      </w:hyperlink>
      <w:r>
        <w:rPr>
          <w:noProof/>
          <w:szCs w:val="24"/>
        </w:rPr>
        <w:t xml:space="preserve"> </w:t>
      </w:r>
    </w:p>
    <w:p>
      <w:pPr>
        <w:pStyle w:val="Text3"/>
        <w:numPr>
          <w:ilvl w:val="0"/>
          <w:numId w:val="25"/>
        </w:numPr>
        <w:spacing w:after="0"/>
        <w:ind w:left="992"/>
        <w:rPr>
          <w:noProof/>
          <w:szCs w:val="24"/>
        </w:rPr>
      </w:pPr>
      <w:hyperlink r:id="rId43" w:tgtFrame="_blank" w:history="1">
        <w:r>
          <w:rPr>
            <w:rStyle w:val="Hyperlink"/>
            <w:noProof/>
            <w:szCs w:val="24"/>
            <w:lang w:val="en"/>
          </w:rPr>
          <w:t xml:space="preserve">TNO NL report </w:t>
        </w:r>
      </w:hyperlink>
      <w:r>
        <w:rPr>
          <w:noProof/>
          <w:szCs w:val="24"/>
          <w:lang w:val="en"/>
        </w:rPr>
        <w:t>- Digital platforms: an analytical framework for identifying and evaluating policy options</w:t>
      </w:r>
    </w:p>
    <w:p>
      <w:pPr>
        <w:numPr>
          <w:ilvl w:val="0"/>
          <w:numId w:val="25"/>
        </w:numPr>
        <w:shd w:val="clear" w:color="auto" w:fill="FFFFFF"/>
        <w:spacing w:after="0"/>
        <w:ind w:left="992"/>
        <w:jc w:val="left"/>
        <w:rPr>
          <w:noProof/>
          <w:color w:val="3D3D3D"/>
          <w:szCs w:val="24"/>
          <w:lang w:val="en"/>
        </w:rPr>
      </w:pPr>
      <w:r>
        <w:rPr>
          <w:noProof/>
          <w:szCs w:val="24"/>
          <w:lang w:val="en"/>
        </w:rPr>
        <w:t xml:space="preserve">UK House of Lords report on </w:t>
      </w:r>
      <w:hyperlink r:id="rId44" w:tgtFrame="_blank" w:history="1">
        <w:r>
          <w:rPr>
            <w:rStyle w:val="Hyperlink"/>
            <w:noProof/>
            <w:szCs w:val="24"/>
            <w:lang w:val="en"/>
          </w:rPr>
          <w:t>Online platforms</w:t>
        </w:r>
      </w:hyperlink>
    </w:p>
    <w:p>
      <w:pPr>
        <w:shd w:val="clear" w:color="auto" w:fill="FFFFFF"/>
        <w:spacing w:after="0"/>
        <w:ind w:left="992"/>
        <w:jc w:val="left"/>
        <w:rPr>
          <w:noProof/>
          <w:color w:val="3D3D3D"/>
          <w:szCs w:val="24"/>
          <w:lang w:val="en"/>
        </w:rPr>
      </w:pPr>
    </w:p>
    <w:p>
      <w:pPr>
        <w:pStyle w:val="Text3"/>
        <w:numPr>
          <w:ilvl w:val="0"/>
          <w:numId w:val="25"/>
        </w:numPr>
        <w:spacing w:after="0"/>
        <w:ind w:left="992"/>
        <w:rPr>
          <w:noProof/>
          <w:szCs w:val="24"/>
        </w:rPr>
      </w:pPr>
      <w:r>
        <w:rPr>
          <w:noProof/>
          <w:szCs w:val="24"/>
        </w:rPr>
        <w:t>CNNum Report</w:t>
      </w:r>
    </w:p>
    <w:p>
      <w:pPr>
        <w:pStyle w:val="Text3"/>
        <w:numPr>
          <w:ilvl w:val="0"/>
          <w:numId w:val="25"/>
        </w:numPr>
        <w:spacing w:after="0"/>
        <w:ind w:left="992"/>
        <w:rPr>
          <w:noProof/>
          <w:szCs w:val="24"/>
        </w:rPr>
      </w:pPr>
      <w:hyperlink r:id="rId45" w:history="1">
        <w:r>
          <w:rPr>
            <w:rStyle w:val="Hyperlink"/>
            <w:noProof/>
            <w:lang w:val="en"/>
          </w:rPr>
          <w:t>Monopolkommission</w:t>
        </w:r>
        <w:r>
          <w:rPr>
            <w:rStyle w:val="Hyperlink"/>
            <w:noProof/>
            <w:szCs w:val="24"/>
          </w:rPr>
          <w:t xml:space="preserve"> Special Report No 68 "Competition policy: The challenge of digital markets" of 2015</w:t>
        </w:r>
      </w:hyperlink>
    </w:p>
    <w:p>
      <w:pPr>
        <w:pStyle w:val="Text3"/>
        <w:numPr>
          <w:ilvl w:val="0"/>
          <w:numId w:val="25"/>
        </w:numPr>
        <w:spacing w:after="0"/>
        <w:ind w:left="992"/>
        <w:rPr>
          <w:noProof/>
          <w:szCs w:val="24"/>
        </w:rPr>
      </w:pPr>
      <w:r>
        <w:rPr>
          <w:noProof/>
          <w:szCs w:val="24"/>
        </w:rPr>
        <w:t>UK CMA report price comparison tools</w:t>
      </w:r>
    </w:p>
    <w:p>
      <w:pPr>
        <w:pStyle w:val="Text3"/>
        <w:numPr>
          <w:ilvl w:val="0"/>
          <w:numId w:val="25"/>
        </w:numPr>
        <w:spacing w:after="0"/>
        <w:ind w:left="992"/>
        <w:rPr>
          <w:noProof/>
          <w:szCs w:val="24"/>
        </w:rPr>
      </w:pPr>
    </w:p>
    <w:p>
      <w:pPr>
        <w:pStyle w:val="Heading2"/>
        <w:rPr>
          <w:noProof/>
        </w:rPr>
      </w:pPr>
      <w:bookmarkStart w:id="538" w:name="_Toc492048401"/>
      <w:bookmarkStart w:id="539" w:name="_Toc492557162"/>
      <w:bookmarkStart w:id="540" w:name="_Toc497906505"/>
      <w:bookmarkStart w:id="541" w:name="_Toc497912986"/>
      <w:bookmarkStart w:id="542" w:name="_Toc497919434"/>
      <w:bookmarkStart w:id="543" w:name="_Toc497919753"/>
      <w:bookmarkStart w:id="544" w:name="_Toc497921484"/>
      <w:bookmarkStart w:id="545" w:name="_Toc497921579"/>
      <w:bookmarkStart w:id="546" w:name="_Toc500262103"/>
      <w:bookmarkStart w:id="547" w:name="_Toc507167012"/>
      <w:bookmarkStart w:id="548" w:name="_Toc508297395"/>
      <w:bookmarkStart w:id="549" w:name="_Toc508350154"/>
      <w:bookmarkStart w:id="550" w:name="_Toc508351597"/>
      <w:bookmarkStart w:id="551" w:name="_Toc508360012"/>
      <w:bookmarkStart w:id="552" w:name="_Toc511220512"/>
      <w:bookmarkStart w:id="553" w:name="_Toc511234957"/>
      <w:bookmarkStart w:id="554" w:name="_Toc511292870"/>
      <w:r>
        <w:rPr>
          <w:noProof/>
        </w:rPr>
        <w:t>External expertise</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Text3"/>
        <w:ind w:left="0"/>
        <w:rPr>
          <w:noProof/>
        </w:rPr>
      </w:pPr>
      <w:r>
        <w:rPr>
          <w:noProof/>
        </w:rPr>
        <w:t>The European Commission sought external expertise, as follows, before drafting this Impact Assessment. Views of the experts have contributed to the problem framing and evidence collection strategy. Consultation of experts listed here below does not imply automatic endorsement on their side of the Impact Assessment report.</w:t>
      </w:r>
    </w:p>
    <w:p>
      <w:pPr>
        <w:pStyle w:val="ListParagraph"/>
        <w:numPr>
          <w:ilvl w:val="0"/>
          <w:numId w:val="92"/>
        </w:numPr>
        <w:rPr>
          <w:noProof/>
        </w:rPr>
      </w:pPr>
      <w:r>
        <w:rPr>
          <w:noProof/>
        </w:rPr>
        <w:t>Andrei Hagiu, Harvard Business School in November 2015</w:t>
      </w:r>
    </w:p>
    <w:p>
      <w:pPr>
        <w:pStyle w:val="ListParagraph"/>
        <w:numPr>
          <w:ilvl w:val="0"/>
          <w:numId w:val="92"/>
        </w:numPr>
        <w:rPr>
          <w:noProof/>
        </w:rPr>
      </w:pPr>
      <w:r>
        <w:rPr>
          <w:noProof/>
        </w:rPr>
        <w:t>Annabelle Gawer, Imperial College of London in November 2015, February 2016</w:t>
      </w:r>
    </w:p>
    <w:p>
      <w:pPr>
        <w:pStyle w:val="ListParagraph"/>
        <w:numPr>
          <w:ilvl w:val="0"/>
          <w:numId w:val="92"/>
        </w:numPr>
        <w:rPr>
          <w:noProof/>
        </w:rPr>
      </w:pPr>
      <w:r>
        <w:rPr>
          <w:noProof/>
        </w:rPr>
        <w:t>Bernard Rieder, University of Amsterdam in November 2015</w:t>
      </w:r>
    </w:p>
    <w:p>
      <w:pPr>
        <w:pStyle w:val="ListParagraph"/>
        <w:numPr>
          <w:ilvl w:val="0"/>
          <w:numId w:val="92"/>
        </w:numPr>
        <w:rPr>
          <w:noProof/>
        </w:rPr>
      </w:pPr>
      <w:r>
        <w:rPr>
          <w:noProof/>
        </w:rPr>
        <w:t>Bruno Jullien, Toulouse School of Economics in November 2015</w:t>
      </w:r>
    </w:p>
    <w:p>
      <w:pPr>
        <w:pStyle w:val="ListParagraph"/>
        <w:numPr>
          <w:ilvl w:val="0"/>
          <w:numId w:val="92"/>
        </w:numPr>
        <w:rPr>
          <w:noProof/>
        </w:rPr>
      </w:pPr>
      <w:r>
        <w:rPr>
          <w:noProof/>
        </w:rPr>
        <w:t>David Evans, University of Chicago in October 2015</w:t>
      </w:r>
    </w:p>
    <w:p>
      <w:pPr>
        <w:pStyle w:val="ListParagraph"/>
        <w:numPr>
          <w:ilvl w:val="0"/>
          <w:numId w:val="92"/>
        </w:numPr>
        <w:rPr>
          <w:noProof/>
        </w:rPr>
      </w:pPr>
      <w:r>
        <w:rPr>
          <w:noProof/>
        </w:rPr>
        <w:t>Geoffrey Parker, Tulane University in February 2016</w:t>
      </w:r>
    </w:p>
    <w:p>
      <w:pPr>
        <w:pStyle w:val="ListParagraph"/>
        <w:numPr>
          <w:ilvl w:val="0"/>
          <w:numId w:val="92"/>
        </w:numPr>
        <w:rPr>
          <w:noProof/>
          <w:lang w:val="it-IT"/>
        </w:rPr>
      </w:pPr>
      <w:r>
        <w:rPr>
          <w:noProof/>
          <w:lang w:val="it-IT"/>
        </w:rPr>
        <w:t>Giorgos Zervas, Boston University in November 2015</w:t>
      </w:r>
    </w:p>
    <w:p>
      <w:pPr>
        <w:pStyle w:val="ListParagraph"/>
        <w:numPr>
          <w:ilvl w:val="0"/>
          <w:numId w:val="92"/>
        </w:numPr>
        <w:rPr>
          <w:noProof/>
        </w:rPr>
      </w:pPr>
      <w:r>
        <w:rPr>
          <w:noProof/>
        </w:rPr>
        <w:t>Inge Graef, Catholic University of Leuven in November 2015</w:t>
      </w:r>
    </w:p>
    <w:p>
      <w:pPr>
        <w:pStyle w:val="ListParagraph"/>
        <w:numPr>
          <w:ilvl w:val="0"/>
          <w:numId w:val="92"/>
        </w:numPr>
        <w:rPr>
          <w:noProof/>
        </w:rPr>
      </w:pPr>
      <w:r>
        <w:rPr>
          <w:noProof/>
        </w:rPr>
        <w:t>Jonathan Cave,  University of Warwick in December 2015</w:t>
      </w:r>
    </w:p>
    <w:p>
      <w:pPr>
        <w:pStyle w:val="ListParagraph"/>
        <w:numPr>
          <w:ilvl w:val="0"/>
          <w:numId w:val="92"/>
        </w:numPr>
        <w:rPr>
          <w:noProof/>
        </w:rPr>
      </w:pPr>
      <w:r>
        <w:rPr>
          <w:noProof/>
        </w:rPr>
        <w:t>Jose Luis Moraga Gonzalez, Free University of Amsterdam in November 2015</w:t>
      </w:r>
    </w:p>
    <w:p>
      <w:pPr>
        <w:pStyle w:val="ListParagraph"/>
        <w:numPr>
          <w:ilvl w:val="0"/>
          <w:numId w:val="92"/>
        </w:numPr>
        <w:rPr>
          <w:noProof/>
        </w:rPr>
      </w:pPr>
      <w:r>
        <w:rPr>
          <w:noProof/>
        </w:rPr>
        <w:t>Lapo Filistrucchi, University of Florence in November 2015</w:t>
      </w:r>
    </w:p>
    <w:p>
      <w:pPr>
        <w:pStyle w:val="ListParagraph"/>
        <w:numPr>
          <w:ilvl w:val="0"/>
          <w:numId w:val="92"/>
        </w:numPr>
        <w:rPr>
          <w:noProof/>
        </w:rPr>
      </w:pPr>
      <w:r>
        <w:rPr>
          <w:noProof/>
        </w:rPr>
        <w:t>Marc Bourreau, Telecom – Paris Tech in November 2015</w:t>
      </w:r>
    </w:p>
    <w:p>
      <w:pPr>
        <w:pStyle w:val="ListParagraph"/>
        <w:numPr>
          <w:ilvl w:val="0"/>
          <w:numId w:val="92"/>
        </w:numPr>
        <w:rPr>
          <w:noProof/>
          <w:lang w:val="it-IT"/>
        </w:rPr>
      </w:pPr>
      <w:r>
        <w:rPr>
          <w:noProof/>
          <w:lang w:val="it-IT"/>
        </w:rPr>
        <w:t>Nicolai van Gorp, E-conomics in January 2016</w:t>
      </w:r>
    </w:p>
    <w:p>
      <w:pPr>
        <w:pStyle w:val="ListParagraph"/>
        <w:numPr>
          <w:ilvl w:val="0"/>
          <w:numId w:val="92"/>
        </w:numPr>
        <w:rPr>
          <w:noProof/>
        </w:rPr>
      </w:pPr>
      <w:r>
        <w:rPr>
          <w:noProof/>
        </w:rPr>
        <w:t>Peter Evans, Center for Global Enterprise in February 2016</w:t>
      </w:r>
    </w:p>
    <w:p>
      <w:pPr>
        <w:pStyle w:val="ListParagraph"/>
        <w:numPr>
          <w:ilvl w:val="0"/>
          <w:numId w:val="92"/>
        </w:numPr>
        <w:rPr>
          <w:noProof/>
        </w:rPr>
      </w:pPr>
      <w:r>
        <w:rPr>
          <w:noProof/>
        </w:rPr>
        <w:t>Pieter Nooren, Christine Balch, TNO in October 2016</w:t>
      </w:r>
    </w:p>
    <w:p>
      <w:pPr>
        <w:pStyle w:val="ListParagraph"/>
        <w:numPr>
          <w:ilvl w:val="0"/>
          <w:numId w:val="92"/>
        </w:numPr>
        <w:rPr>
          <w:noProof/>
        </w:rPr>
      </w:pPr>
      <w:r>
        <w:rPr>
          <w:noProof/>
        </w:rPr>
        <w:t>Viktor Mayer-Schönberger, Oxford Internet Institute, in December 2015</w:t>
      </w:r>
    </w:p>
    <w:p>
      <w:pPr>
        <w:pStyle w:val="Heading1"/>
        <w:numPr>
          <w:ilvl w:val="0"/>
          <w:numId w:val="12"/>
        </w:numPr>
        <w:rPr>
          <w:noProof/>
        </w:rPr>
      </w:pPr>
      <w:bookmarkStart w:id="555" w:name="_Toc508348762"/>
      <w:bookmarkStart w:id="556" w:name="_Toc508348870"/>
      <w:bookmarkStart w:id="557" w:name="_Toc508348984"/>
      <w:bookmarkStart w:id="558" w:name="_Toc508349479"/>
      <w:bookmarkStart w:id="559" w:name="_Toc508349641"/>
      <w:bookmarkStart w:id="560" w:name="_Toc508350053"/>
      <w:bookmarkStart w:id="561" w:name="_Toc508350155"/>
      <w:bookmarkStart w:id="562" w:name="_Toc508350258"/>
      <w:bookmarkStart w:id="563" w:name="_Toc508348763"/>
      <w:bookmarkStart w:id="564" w:name="_Toc508348871"/>
      <w:bookmarkStart w:id="565" w:name="_Toc508348985"/>
      <w:bookmarkStart w:id="566" w:name="_Toc508349480"/>
      <w:bookmarkStart w:id="567" w:name="_Toc508349642"/>
      <w:bookmarkStart w:id="568" w:name="_Toc508350054"/>
      <w:bookmarkStart w:id="569" w:name="_Toc508350156"/>
      <w:bookmarkStart w:id="570" w:name="_Toc508350259"/>
      <w:bookmarkStart w:id="571" w:name="_Toc492046775"/>
      <w:bookmarkStart w:id="572" w:name="_Toc492048714"/>
      <w:bookmarkStart w:id="573" w:name="_Toc492049380"/>
      <w:bookmarkStart w:id="574" w:name="_Toc492056850"/>
      <w:bookmarkStart w:id="575" w:name="_Toc492056949"/>
      <w:bookmarkStart w:id="576" w:name="_Toc492557163"/>
      <w:bookmarkStart w:id="577" w:name="_Toc495420764"/>
      <w:bookmarkStart w:id="578" w:name="_Toc492046776"/>
      <w:bookmarkStart w:id="579" w:name="_Toc492048715"/>
      <w:bookmarkStart w:id="580" w:name="_Toc492049381"/>
      <w:bookmarkStart w:id="581" w:name="_Toc492056851"/>
      <w:bookmarkStart w:id="582" w:name="_Toc492056950"/>
      <w:bookmarkStart w:id="583" w:name="_Toc492557164"/>
      <w:bookmarkStart w:id="584" w:name="_Toc495420765"/>
      <w:bookmarkStart w:id="585" w:name="_Toc492046777"/>
      <w:bookmarkStart w:id="586" w:name="_Toc492048716"/>
      <w:bookmarkStart w:id="587" w:name="_Toc492049382"/>
      <w:bookmarkStart w:id="588" w:name="_Toc492056852"/>
      <w:bookmarkStart w:id="589" w:name="_Toc492056951"/>
      <w:bookmarkStart w:id="590" w:name="_Toc492557165"/>
      <w:bookmarkStart w:id="591" w:name="_Toc495420766"/>
      <w:bookmarkStart w:id="592" w:name="_Toc492046778"/>
      <w:bookmarkStart w:id="593" w:name="_Toc492048717"/>
      <w:bookmarkStart w:id="594" w:name="_Toc492049383"/>
      <w:bookmarkStart w:id="595" w:name="_Toc492056853"/>
      <w:bookmarkStart w:id="596" w:name="_Toc492056952"/>
      <w:bookmarkStart w:id="597" w:name="_Toc492557166"/>
      <w:bookmarkStart w:id="598" w:name="_Toc495420767"/>
      <w:bookmarkStart w:id="599" w:name="_Toc492046779"/>
      <w:bookmarkStart w:id="600" w:name="_Toc492048718"/>
      <w:bookmarkStart w:id="601" w:name="_Toc492049384"/>
      <w:bookmarkStart w:id="602" w:name="_Toc492056854"/>
      <w:bookmarkStart w:id="603" w:name="_Toc492056953"/>
      <w:bookmarkStart w:id="604" w:name="_Toc492557167"/>
      <w:bookmarkStart w:id="605" w:name="_Toc495420768"/>
      <w:bookmarkStart w:id="606" w:name="_Toc492046780"/>
      <w:bookmarkStart w:id="607" w:name="_Toc492048719"/>
      <w:bookmarkStart w:id="608" w:name="_Toc492049385"/>
      <w:bookmarkStart w:id="609" w:name="_Toc492056855"/>
      <w:bookmarkStart w:id="610" w:name="_Toc492056954"/>
      <w:bookmarkStart w:id="611" w:name="_Toc492557168"/>
      <w:bookmarkStart w:id="612" w:name="_Toc495420769"/>
      <w:bookmarkStart w:id="613" w:name="_Toc492048402"/>
      <w:bookmarkStart w:id="614" w:name="_Toc492557169"/>
      <w:bookmarkStart w:id="615" w:name="_Toc497906506"/>
      <w:bookmarkStart w:id="616" w:name="_Toc497912987"/>
      <w:bookmarkStart w:id="617" w:name="_Toc497919435"/>
      <w:bookmarkStart w:id="618" w:name="_Toc497919754"/>
      <w:bookmarkStart w:id="619" w:name="_Toc497921485"/>
      <w:bookmarkStart w:id="620" w:name="_Toc497921580"/>
      <w:bookmarkStart w:id="621" w:name="_Toc500262104"/>
      <w:bookmarkStart w:id="622" w:name="_Toc507167013"/>
      <w:bookmarkStart w:id="623" w:name="_Toc508297396"/>
      <w:bookmarkStart w:id="624" w:name="_Toc508350157"/>
      <w:bookmarkStart w:id="625" w:name="_Toc508351598"/>
      <w:bookmarkStart w:id="626" w:name="_Toc508360013"/>
      <w:bookmarkStart w:id="627" w:name="_Toc511220513"/>
      <w:bookmarkStart w:id="628" w:name="_Toc511234958"/>
      <w:bookmarkStart w:id="629" w:name="_Toc511292871"/>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noProof/>
        </w:rPr>
        <w:t>Stakeholder Consultation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pStyle w:val="Heading2"/>
        <w:rPr>
          <w:noProof/>
        </w:rPr>
      </w:pPr>
      <w:bookmarkStart w:id="630" w:name="_Toc462394230"/>
      <w:bookmarkStart w:id="631" w:name="_Toc462751878"/>
      <w:bookmarkStart w:id="632" w:name="_Toc462831162"/>
      <w:bookmarkStart w:id="633" w:name="_Toc462991834"/>
      <w:bookmarkStart w:id="634" w:name="_Toc463260540"/>
      <w:bookmarkStart w:id="635" w:name="_Toc463369462"/>
      <w:bookmarkStart w:id="636" w:name="_Toc463446437"/>
      <w:bookmarkStart w:id="637" w:name="_Toc464048722"/>
      <w:bookmarkStart w:id="638" w:name="_Toc464056527"/>
      <w:bookmarkStart w:id="639" w:name="_Toc464057530"/>
      <w:bookmarkStart w:id="640" w:name="_Toc465173583"/>
      <w:bookmarkStart w:id="641" w:name="_Toc465180492"/>
      <w:bookmarkStart w:id="642" w:name="_Toc465234798"/>
      <w:bookmarkStart w:id="643" w:name="_Toc465328482"/>
      <w:bookmarkStart w:id="644" w:name="_Toc465332650"/>
      <w:bookmarkStart w:id="645" w:name="_Toc465355138"/>
      <w:bookmarkStart w:id="646" w:name="_Toc465417510"/>
      <w:bookmarkStart w:id="647" w:name="_Toc465428680"/>
      <w:bookmarkStart w:id="648" w:name="_Toc465430591"/>
      <w:bookmarkStart w:id="649" w:name="_Toc486857688"/>
      <w:bookmarkStart w:id="650" w:name="_Toc486926964"/>
      <w:bookmarkStart w:id="651" w:name="_Toc487796388"/>
      <w:bookmarkStart w:id="652" w:name="_Toc487796497"/>
      <w:bookmarkStart w:id="653" w:name="_Toc489013108"/>
      <w:bookmarkStart w:id="654" w:name="_Toc489279710"/>
      <w:bookmarkStart w:id="655" w:name="_Toc492048403"/>
      <w:bookmarkStart w:id="656" w:name="_Toc492557170"/>
      <w:bookmarkStart w:id="657" w:name="_Toc497906507"/>
      <w:bookmarkStart w:id="658" w:name="_Toc497912988"/>
      <w:bookmarkStart w:id="659" w:name="_Toc497919436"/>
      <w:bookmarkStart w:id="660" w:name="_Toc497919755"/>
      <w:bookmarkStart w:id="661" w:name="_Toc497921486"/>
      <w:bookmarkStart w:id="662" w:name="_Toc497921581"/>
      <w:bookmarkStart w:id="663" w:name="_Toc500262105"/>
      <w:bookmarkStart w:id="664" w:name="_Toc507167014"/>
      <w:bookmarkStart w:id="665" w:name="_Toc508297397"/>
      <w:bookmarkStart w:id="666" w:name="_Toc508350158"/>
      <w:bookmarkStart w:id="667" w:name="_Toc508351599"/>
      <w:bookmarkStart w:id="668" w:name="_Toc508360014"/>
      <w:bookmarkStart w:id="669" w:name="_Toc511220514"/>
      <w:bookmarkStart w:id="670" w:name="_Toc511234959"/>
      <w:bookmarkStart w:id="671" w:name="_Toc511292872"/>
      <w:r>
        <w:rPr>
          <w:noProof/>
        </w:rPr>
        <w:t>The stakeholders engagement strategy</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pStyle w:val="Text2"/>
        <w:ind w:left="0"/>
        <w:rPr>
          <w:noProof/>
        </w:rPr>
      </w:pPr>
      <w:r>
        <w:rPr>
          <w:noProof/>
          <w:lang w:val="en" w:eastAsia="en-US"/>
        </w:rPr>
        <w:t xml:space="preserve">The Commission has consulted broadly on the business-to-business related issues emerging in the online platforms' ecosystem. First, preceding the Communication on online platforms, a wide consultation led to a clearer definition of the </w:t>
      </w:r>
      <w:r>
        <w:rPr>
          <w:b/>
          <w:noProof/>
          <w:lang w:val="en" w:eastAsia="en-US"/>
        </w:rPr>
        <w:t>problem space</w:t>
      </w:r>
      <w:r>
        <w:rPr>
          <w:noProof/>
          <w:lang w:val="en" w:eastAsia="en-US"/>
        </w:rPr>
        <w:t xml:space="preserve"> and the start of an in-depth fact-finding exercise. Second, a series of workshops and broad consultation through several surveys informed the </w:t>
      </w:r>
      <w:r>
        <w:rPr>
          <w:b/>
          <w:noProof/>
          <w:lang w:val="en" w:eastAsia="en-US"/>
        </w:rPr>
        <w:t>problem definition</w:t>
      </w:r>
      <w:r>
        <w:rPr>
          <w:noProof/>
          <w:lang w:val="en" w:eastAsia="en-US"/>
        </w:rPr>
        <w:t xml:space="preserve"> and led to preliminary policy options. Finally, in-depth focus groups, workshops, a questionnaire and open presentation to the Member States contributed to the </w:t>
      </w:r>
      <w:r>
        <w:rPr>
          <w:b/>
          <w:noProof/>
          <w:lang w:val="en" w:eastAsia="en-US"/>
        </w:rPr>
        <w:t>design and testing of policy options</w:t>
      </w:r>
      <w:r>
        <w:rPr>
          <w:noProof/>
          <w:lang w:val="en" w:eastAsia="en-US"/>
        </w:rPr>
        <w:t xml:space="preserve">. </w:t>
      </w:r>
    </w:p>
    <w:p>
      <w:pPr>
        <w:pStyle w:val="Text2"/>
        <w:ind w:left="0"/>
        <w:rPr>
          <w:noProof/>
        </w:rPr>
      </w:pPr>
      <w:r>
        <w:rPr>
          <w:noProof/>
          <w:lang w:val="en" w:eastAsia="en-US"/>
        </w:rPr>
        <w:t xml:space="preserve">In addition to the consultation tools used, the Commission's services have met or interviewed through bilateral meetings a series of stakeholders, as listed here-below. </w:t>
      </w:r>
    </w:p>
    <w:p>
      <w:pPr>
        <w:pStyle w:val="Text2"/>
        <w:ind w:left="0"/>
        <w:rPr>
          <w:noProof/>
        </w:rPr>
      </w:pPr>
      <w:r>
        <w:rPr>
          <w:noProof/>
          <w:lang w:val="en" w:eastAsia="en-US"/>
        </w:rPr>
        <w:t xml:space="preserve">In developing the stakeholder engagement strategy, the </w:t>
      </w:r>
      <w:r>
        <w:rPr>
          <w:b/>
          <w:noProof/>
          <w:lang w:val="en" w:eastAsia="en-US"/>
        </w:rPr>
        <w:t>stakeholder mapping</w:t>
      </w:r>
      <w:r>
        <w:rPr>
          <w:noProof/>
          <w:lang w:val="en" w:eastAsia="en-US"/>
        </w:rPr>
        <w:t xml:space="preserve"> included: (i) a spectrum of business users of online platforms (to the extent possible per type of platform, size of companies, geographical spread in Europe), (ii) a long-list of online platforms (in different sectors, different company sizes, established in Europe or international), (iii) citizens (through consumer organizations and digital rights civil society representatives), (iv) third party services (e.g. payment or data intermediaries), and (v) academia. </w:t>
      </w:r>
    </w:p>
    <w:p>
      <w:pPr>
        <w:pStyle w:val="Text2"/>
        <w:ind w:left="0"/>
        <w:rPr>
          <w:noProof/>
        </w:rPr>
      </w:pPr>
      <w:r>
        <w:rPr>
          <w:noProof/>
          <w:lang w:val="en" w:eastAsia="en-US"/>
        </w:rPr>
        <w:t xml:space="preserve">The different consultation tools as well as brief summaries of their results are described here-below. </w:t>
      </w:r>
    </w:p>
    <w:p>
      <w:pPr>
        <w:pStyle w:val="Heading2"/>
        <w:rPr>
          <w:noProof/>
        </w:rPr>
      </w:pPr>
      <w:bookmarkStart w:id="672" w:name="_Toc492056858"/>
      <w:bookmarkStart w:id="673" w:name="_Toc492056957"/>
      <w:bookmarkStart w:id="674" w:name="_Toc492557171"/>
      <w:bookmarkStart w:id="675" w:name="_Toc495420772"/>
      <w:bookmarkStart w:id="676" w:name="_Toc492048404"/>
      <w:bookmarkStart w:id="677" w:name="_Toc492557172"/>
      <w:bookmarkStart w:id="678" w:name="_Toc497906508"/>
      <w:bookmarkStart w:id="679" w:name="_Toc497912989"/>
      <w:bookmarkStart w:id="680" w:name="_Toc497919437"/>
      <w:bookmarkStart w:id="681" w:name="_Toc497919756"/>
      <w:bookmarkStart w:id="682" w:name="_Toc497921487"/>
      <w:bookmarkStart w:id="683" w:name="_Toc497921582"/>
      <w:bookmarkStart w:id="684" w:name="_Toc500262106"/>
      <w:bookmarkStart w:id="685" w:name="_Toc507167015"/>
      <w:bookmarkStart w:id="686" w:name="_Toc508297398"/>
      <w:bookmarkStart w:id="687" w:name="_Toc508350159"/>
      <w:bookmarkStart w:id="688" w:name="_Toc508351600"/>
      <w:bookmarkStart w:id="689" w:name="_Toc508360015"/>
      <w:bookmarkStart w:id="690" w:name="_Toc511220515"/>
      <w:bookmarkStart w:id="691" w:name="_Toc511234960"/>
      <w:bookmarkStart w:id="692" w:name="_Toc511292873"/>
      <w:bookmarkStart w:id="693" w:name="_Toc462394231"/>
      <w:bookmarkStart w:id="694" w:name="_Toc462751879"/>
      <w:bookmarkStart w:id="695" w:name="_Toc462831163"/>
      <w:bookmarkStart w:id="696" w:name="_Toc462991835"/>
      <w:bookmarkStart w:id="697" w:name="_Toc463260541"/>
      <w:bookmarkStart w:id="698" w:name="_Toc463369463"/>
      <w:bookmarkStart w:id="699" w:name="_Toc463446438"/>
      <w:bookmarkStart w:id="700" w:name="_Toc464048723"/>
      <w:bookmarkStart w:id="701" w:name="_Toc464056528"/>
      <w:bookmarkStart w:id="702" w:name="_Toc464057531"/>
      <w:bookmarkStart w:id="703" w:name="_Toc465173584"/>
      <w:bookmarkStart w:id="704" w:name="_Toc465180493"/>
      <w:bookmarkStart w:id="705" w:name="_Toc465234799"/>
      <w:bookmarkStart w:id="706" w:name="_Toc465328483"/>
      <w:bookmarkStart w:id="707" w:name="_Toc465332651"/>
      <w:bookmarkStart w:id="708" w:name="_Toc465355139"/>
      <w:bookmarkStart w:id="709" w:name="_Toc465417511"/>
      <w:bookmarkStart w:id="710" w:name="_Toc465428681"/>
      <w:bookmarkStart w:id="711" w:name="_Toc465430592"/>
      <w:bookmarkStart w:id="712" w:name="_Toc486857689"/>
      <w:bookmarkStart w:id="713" w:name="_Toc486926965"/>
      <w:bookmarkStart w:id="714" w:name="_Toc487796389"/>
      <w:bookmarkStart w:id="715" w:name="_Toc487796498"/>
      <w:bookmarkStart w:id="716" w:name="_Toc489013109"/>
      <w:bookmarkStart w:id="717" w:name="_Toc489279711"/>
      <w:bookmarkEnd w:id="672"/>
      <w:bookmarkEnd w:id="673"/>
      <w:bookmarkEnd w:id="674"/>
      <w:bookmarkEnd w:id="675"/>
      <w:r>
        <w:rPr>
          <w:noProof/>
        </w:rPr>
        <w:t>Bilateral meetings</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pStyle w:val="Text2"/>
        <w:rPr>
          <w:noProof/>
        </w:rPr>
      </w:pPr>
      <w:r>
        <w:rPr>
          <w:noProof/>
          <w:lang w:val="en" w:eastAsia="en-US"/>
        </w:rPr>
        <w:t xml:space="preserve">In the course of the preparation of this fact-finding exercise, the Commission has engaged with the following stakeholders through bilateral meetings: </w:t>
      </w:r>
    </w:p>
    <w:p>
      <w:pPr>
        <w:pStyle w:val="ListParagraph"/>
        <w:numPr>
          <w:ilvl w:val="0"/>
          <w:numId w:val="25"/>
        </w:numPr>
        <w:ind w:left="1276" w:hanging="357"/>
        <w:rPr>
          <w:noProof/>
          <w:szCs w:val="24"/>
        </w:rPr>
      </w:pPr>
      <w:r>
        <w:rPr>
          <w:noProof/>
          <w:szCs w:val="24"/>
          <w:lang w:val="de-DE"/>
        </w:rPr>
        <w:t xml:space="preserve">ACCOR Hotels </w:t>
      </w:r>
    </w:p>
    <w:p>
      <w:pPr>
        <w:pStyle w:val="ListParagraph"/>
        <w:numPr>
          <w:ilvl w:val="0"/>
          <w:numId w:val="25"/>
        </w:numPr>
        <w:ind w:left="1276" w:hanging="357"/>
        <w:rPr>
          <w:noProof/>
          <w:szCs w:val="24"/>
        </w:rPr>
      </w:pPr>
      <w:r>
        <w:rPr>
          <w:noProof/>
          <w:szCs w:val="24"/>
          <w:lang w:val="de-DE"/>
        </w:rPr>
        <w:t>AGCOM</w:t>
      </w:r>
      <w:r>
        <w:rPr>
          <w:noProof/>
          <w:szCs w:val="24"/>
        </w:rPr>
        <w:t xml:space="preserve"> </w:t>
      </w:r>
    </w:p>
    <w:p>
      <w:pPr>
        <w:pStyle w:val="ListParagraph"/>
        <w:numPr>
          <w:ilvl w:val="0"/>
          <w:numId w:val="25"/>
        </w:numPr>
        <w:ind w:left="1276" w:hanging="357"/>
        <w:rPr>
          <w:noProof/>
          <w:szCs w:val="24"/>
        </w:rPr>
      </w:pPr>
      <w:r>
        <w:rPr>
          <w:noProof/>
          <w:szCs w:val="24"/>
        </w:rPr>
        <w:t xml:space="preserve">Airbnb </w:t>
      </w:r>
    </w:p>
    <w:p>
      <w:pPr>
        <w:pStyle w:val="ListParagraph"/>
        <w:numPr>
          <w:ilvl w:val="0"/>
          <w:numId w:val="25"/>
        </w:numPr>
        <w:ind w:left="1276" w:hanging="357"/>
        <w:rPr>
          <w:noProof/>
          <w:szCs w:val="24"/>
        </w:rPr>
      </w:pPr>
      <w:r>
        <w:rPr>
          <w:noProof/>
          <w:szCs w:val="24"/>
        </w:rPr>
        <w:t xml:space="preserve">Akamai Technologies </w:t>
      </w:r>
    </w:p>
    <w:p>
      <w:pPr>
        <w:pStyle w:val="ListParagraph"/>
        <w:numPr>
          <w:ilvl w:val="0"/>
          <w:numId w:val="25"/>
        </w:numPr>
        <w:ind w:left="1276" w:hanging="357"/>
        <w:rPr>
          <w:noProof/>
          <w:szCs w:val="24"/>
        </w:rPr>
      </w:pPr>
      <w:r>
        <w:rPr>
          <w:noProof/>
          <w:szCs w:val="24"/>
          <w:lang w:val="de-DE"/>
        </w:rPr>
        <w:t>Allegro</w:t>
      </w:r>
      <w:r>
        <w:rPr>
          <w:noProof/>
          <w:szCs w:val="24"/>
        </w:rPr>
        <w:t xml:space="preserve"> </w:t>
      </w:r>
    </w:p>
    <w:p>
      <w:pPr>
        <w:pStyle w:val="ListParagraph"/>
        <w:numPr>
          <w:ilvl w:val="0"/>
          <w:numId w:val="25"/>
        </w:numPr>
        <w:ind w:left="1276" w:hanging="357"/>
        <w:rPr>
          <w:noProof/>
          <w:szCs w:val="24"/>
        </w:rPr>
      </w:pPr>
      <w:r>
        <w:rPr>
          <w:noProof/>
          <w:szCs w:val="24"/>
        </w:rPr>
        <w:t xml:space="preserve">Alibaba </w:t>
      </w:r>
    </w:p>
    <w:p>
      <w:pPr>
        <w:pStyle w:val="ListParagraph"/>
        <w:numPr>
          <w:ilvl w:val="0"/>
          <w:numId w:val="25"/>
        </w:numPr>
        <w:ind w:left="1276" w:hanging="357"/>
        <w:rPr>
          <w:noProof/>
          <w:szCs w:val="24"/>
        </w:rPr>
      </w:pPr>
      <w:r>
        <w:rPr>
          <w:noProof/>
          <w:szCs w:val="24"/>
        </w:rPr>
        <w:t xml:space="preserve">Amazon </w:t>
      </w:r>
    </w:p>
    <w:p>
      <w:pPr>
        <w:pStyle w:val="ListParagraph"/>
        <w:numPr>
          <w:ilvl w:val="0"/>
          <w:numId w:val="25"/>
        </w:numPr>
        <w:ind w:left="1276" w:hanging="357"/>
        <w:rPr>
          <w:noProof/>
          <w:szCs w:val="24"/>
        </w:rPr>
      </w:pPr>
      <w:r>
        <w:rPr>
          <w:noProof/>
          <w:szCs w:val="24"/>
        </w:rPr>
        <w:t xml:space="preserve">App Developers Alliance </w:t>
      </w:r>
    </w:p>
    <w:p>
      <w:pPr>
        <w:pStyle w:val="ListParagraph"/>
        <w:numPr>
          <w:ilvl w:val="0"/>
          <w:numId w:val="25"/>
        </w:numPr>
        <w:ind w:left="1276" w:hanging="357"/>
        <w:rPr>
          <w:noProof/>
          <w:szCs w:val="24"/>
        </w:rPr>
      </w:pPr>
      <w:r>
        <w:rPr>
          <w:noProof/>
          <w:szCs w:val="24"/>
          <w:lang w:val="de-DE"/>
        </w:rPr>
        <w:t>Apple</w:t>
      </w:r>
      <w:r>
        <w:rPr>
          <w:noProof/>
          <w:szCs w:val="24"/>
        </w:rPr>
        <w:t xml:space="preserve"> </w:t>
      </w:r>
    </w:p>
    <w:p>
      <w:pPr>
        <w:pStyle w:val="ListParagraph"/>
        <w:numPr>
          <w:ilvl w:val="0"/>
          <w:numId w:val="25"/>
        </w:numPr>
        <w:ind w:left="1276" w:hanging="357"/>
        <w:rPr>
          <w:noProof/>
          <w:lang w:val="de-DE"/>
        </w:rPr>
      </w:pPr>
      <w:r>
        <w:rPr>
          <w:noProof/>
          <w:lang w:val="de-DE"/>
        </w:rPr>
        <w:t>Bundesverband E-Commerce und Ve</w:t>
      </w:r>
      <w:r>
        <w:rPr>
          <w:noProof/>
          <w:szCs w:val="24"/>
          <w:lang w:val="de-DE"/>
        </w:rPr>
        <w:t>r</w:t>
      </w:r>
      <w:r>
        <w:rPr>
          <w:noProof/>
          <w:lang w:val="de-DE"/>
        </w:rPr>
        <w:t xml:space="preserve">sandhandel Deutschland e.V. </w:t>
      </w:r>
      <w:r>
        <w:rPr>
          <w:noProof/>
          <w:szCs w:val="24"/>
          <w:lang w:val="de-DE"/>
        </w:rPr>
        <w:t>(bevh)</w:t>
      </w:r>
    </w:p>
    <w:p>
      <w:pPr>
        <w:pStyle w:val="ListParagraph"/>
        <w:numPr>
          <w:ilvl w:val="0"/>
          <w:numId w:val="25"/>
        </w:numPr>
        <w:ind w:left="1276" w:hanging="357"/>
        <w:rPr>
          <w:noProof/>
          <w:szCs w:val="24"/>
        </w:rPr>
      </w:pPr>
      <w:r>
        <w:rPr>
          <w:noProof/>
          <w:szCs w:val="24"/>
        </w:rPr>
        <w:t>Booking.com</w:t>
      </w:r>
    </w:p>
    <w:p>
      <w:pPr>
        <w:pStyle w:val="ListParagraph"/>
        <w:numPr>
          <w:ilvl w:val="0"/>
          <w:numId w:val="25"/>
        </w:numPr>
        <w:ind w:left="1276" w:hanging="357"/>
        <w:rPr>
          <w:noProof/>
          <w:szCs w:val="24"/>
        </w:rPr>
      </w:pPr>
      <w:r>
        <w:rPr>
          <w:noProof/>
          <w:szCs w:val="24"/>
        </w:rPr>
        <w:t>Cicero group</w:t>
      </w:r>
    </w:p>
    <w:p>
      <w:pPr>
        <w:pStyle w:val="ListParagraph"/>
        <w:numPr>
          <w:ilvl w:val="0"/>
          <w:numId w:val="25"/>
        </w:numPr>
        <w:ind w:left="1276" w:hanging="357"/>
        <w:rPr>
          <w:noProof/>
          <w:szCs w:val="24"/>
          <w:lang w:val="de-DE"/>
        </w:rPr>
      </w:pPr>
      <w:r>
        <w:rPr>
          <w:noProof/>
          <w:szCs w:val="24"/>
          <w:lang w:val="de-DE"/>
        </w:rPr>
        <w:t>Der Mittelstandsverbund – ZGV e.V.</w:t>
      </w:r>
    </w:p>
    <w:p>
      <w:pPr>
        <w:pStyle w:val="ListParagraph"/>
        <w:numPr>
          <w:ilvl w:val="0"/>
          <w:numId w:val="25"/>
        </w:numPr>
        <w:ind w:left="1276" w:hanging="357"/>
        <w:rPr>
          <w:noProof/>
          <w:szCs w:val="24"/>
          <w:lang w:val="de-DE"/>
        </w:rPr>
      </w:pPr>
      <w:r>
        <w:rPr>
          <w:noProof/>
          <w:szCs w:val="24"/>
          <w:lang w:val="de-DE"/>
        </w:rPr>
        <w:t>Deutsche Telekom</w:t>
      </w:r>
    </w:p>
    <w:p>
      <w:pPr>
        <w:pStyle w:val="ListParagraph"/>
        <w:numPr>
          <w:ilvl w:val="0"/>
          <w:numId w:val="25"/>
        </w:numPr>
        <w:ind w:left="1276" w:hanging="357"/>
        <w:rPr>
          <w:noProof/>
          <w:szCs w:val="24"/>
          <w:lang w:val="de-DE"/>
        </w:rPr>
      </w:pPr>
      <w:r>
        <w:rPr>
          <w:noProof/>
          <w:szCs w:val="24"/>
          <w:lang w:val="de-DE"/>
        </w:rPr>
        <w:t>Ebay</w:t>
      </w:r>
    </w:p>
    <w:p>
      <w:pPr>
        <w:pStyle w:val="ListParagraph"/>
        <w:numPr>
          <w:ilvl w:val="0"/>
          <w:numId w:val="25"/>
        </w:numPr>
        <w:ind w:left="1276" w:hanging="357"/>
        <w:rPr>
          <w:noProof/>
          <w:szCs w:val="24"/>
          <w:lang w:val="de-DE"/>
        </w:rPr>
      </w:pPr>
      <w:r>
        <w:rPr>
          <w:noProof/>
          <w:szCs w:val="24"/>
          <w:lang w:val="de-DE"/>
        </w:rPr>
        <w:t xml:space="preserve">Edima </w:t>
      </w:r>
    </w:p>
    <w:p>
      <w:pPr>
        <w:pStyle w:val="ListParagraph"/>
        <w:numPr>
          <w:ilvl w:val="0"/>
          <w:numId w:val="25"/>
        </w:numPr>
        <w:ind w:left="1276" w:hanging="357"/>
        <w:rPr>
          <w:noProof/>
          <w:szCs w:val="24"/>
        </w:rPr>
      </w:pPr>
      <w:r>
        <w:rPr>
          <w:noProof/>
          <w:szCs w:val="24"/>
        </w:rPr>
        <w:t>EFSI - European Federation for Services to Individuals (personal and household services)</w:t>
      </w:r>
    </w:p>
    <w:p>
      <w:pPr>
        <w:pStyle w:val="ListParagraph"/>
        <w:numPr>
          <w:ilvl w:val="0"/>
          <w:numId w:val="25"/>
        </w:numPr>
        <w:ind w:left="1276" w:hanging="357"/>
        <w:rPr>
          <w:noProof/>
          <w:szCs w:val="24"/>
        </w:rPr>
      </w:pPr>
      <w:r>
        <w:rPr>
          <w:noProof/>
          <w:szCs w:val="24"/>
          <w:lang w:val="de-DE"/>
        </w:rPr>
        <w:t>Enterprise Holdings</w:t>
      </w:r>
      <w:r>
        <w:rPr>
          <w:noProof/>
          <w:szCs w:val="24"/>
        </w:rPr>
        <w:t xml:space="preserve"> </w:t>
      </w:r>
    </w:p>
    <w:p>
      <w:pPr>
        <w:pStyle w:val="ListParagraph"/>
        <w:numPr>
          <w:ilvl w:val="0"/>
          <w:numId w:val="25"/>
        </w:numPr>
        <w:ind w:left="1276" w:hanging="357"/>
        <w:rPr>
          <w:noProof/>
          <w:szCs w:val="24"/>
        </w:rPr>
      </w:pPr>
      <w:r>
        <w:rPr>
          <w:noProof/>
          <w:szCs w:val="24"/>
        </w:rPr>
        <w:t xml:space="preserve">ETSY </w:t>
      </w:r>
    </w:p>
    <w:p>
      <w:pPr>
        <w:pStyle w:val="ListParagraph"/>
        <w:numPr>
          <w:ilvl w:val="0"/>
          <w:numId w:val="25"/>
        </w:numPr>
        <w:ind w:left="1276" w:hanging="357"/>
        <w:rPr>
          <w:noProof/>
          <w:szCs w:val="24"/>
        </w:rPr>
      </w:pPr>
      <w:r>
        <w:rPr>
          <w:noProof/>
          <w:szCs w:val="24"/>
        </w:rPr>
        <w:t xml:space="preserve">ETTSA </w:t>
      </w:r>
    </w:p>
    <w:p>
      <w:pPr>
        <w:pStyle w:val="ListParagraph"/>
        <w:numPr>
          <w:ilvl w:val="0"/>
          <w:numId w:val="25"/>
        </w:numPr>
        <w:ind w:left="1276" w:hanging="357"/>
        <w:rPr>
          <w:noProof/>
          <w:szCs w:val="24"/>
        </w:rPr>
      </w:pPr>
      <w:r>
        <w:rPr>
          <w:noProof/>
          <w:szCs w:val="24"/>
        </w:rPr>
        <w:t xml:space="preserve">European Association of Communications Agencies </w:t>
      </w:r>
    </w:p>
    <w:p>
      <w:pPr>
        <w:pStyle w:val="ListParagraph"/>
        <w:numPr>
          <w:ilvl w:val="0"/>
          <w:numId w:val="25"/>
        </w:numPr>
        <w:ind w:left="1276" w:hanging="357"/>
        <w:rPr>
          <w:noProof/>
          <w:szCs w:val="24"/>
        </w:rPr>
      </w:pPr>
      <w:r>
        <w:rPr>
          <w:noProof/>
          <w:szCs w:val="24"/>
        </w:rPr>
        <w:t>European Booksellers' Association</w:t>
      </w:r>
    </w:p>
    <w:p>
      <w:pPr>
        <w:pStyle w:val="ListParagraph"/>
        <w:numPr>
          <w:ilvl w:val="0"/>
          <w:numId w:val="25"/>
        </w:numPr>
        <w:ind w:left="1276" w:hanging="357"/>
        <w:rPr>
          <w:noProof/>
          <w:szCs w:val="24"/>
        </w:rPr>
      </w:pPr>
      <w:r>
        <w:rPr>
          <w:noProof/>
          <w:szCs w:val="24"/>
        </w:rPr>
        <w:t xml:space="preserve">European eCommerce and Omni-Channel Trade Association (EMOTA) </w:t>
      </w:r>
    </w:p>
    <w:p>
      <w:pPr>
        <w:pStyle w:val="ListParagraph"/>
        <w:numPr>
          <w:ilvl w:val="0"/>
          <w:numId w:val="25"/>
        </w:numPr>
        <w:ind w:left="1276" w:hanging="357"/>
        <w:rPr>
          <w:noProof/>
          <w:szCs w:val="24"/>
        </w:rPr>
      </w:pPr>
      <w:r>
        <w:rPr>
          <w:noProof/>
          <w:szCs w:val="24"/>
        </w:rPr>
        <w:t xml:space="preserve">European Hotel Forum </w:t>
      </w:r>
    </w:p>
    <w:p>
      <w:pPr>
        <w:pStyle w:val="ListParagraph"/>
        <w:numPr>
          <w:ilvl w:val="0"/>
          <w:numId w:val="25"/>
        </w:numPr>
        <w:ind w:left="1276" w:hanging="357"/>
        <w:rPr>
          <w:noProof/>
          <w:szCs w:val="24"/>
        </w:rPr>
      </w:pPr>
      <w:r>
        <w:rPr>
          <w:noProof/>
          <w:szCs w:val="24"/>
        </w:rPr>
        <w:t xml:space="preserve">European Games Developer Federation </w:t>
      </w:r>
    </w:p>
    <w:p>
      <w:pPr>
        <w:pStyle w:val="ListParagraph"/>
        <w:numPr>
          <w:ilvl w:val="0"/>
          <w:numId w:val="25"/>
        </w:numPr>
        <w:ind w:left="1276" w:hanging="357"/>
        <w:rPr>
          <w:noProof/>
          <w:szCs w:val="24"/>
          <w:lang w:val="de-DE"/>
        </w:rPr>
      </w:pPr>
      <w:r>
        <w:rPr>
          <w:noProof/>
          <w:szCs w:val="24"/>
          <w:lang w:val="de-DE"/>
        </w:rPr>
        <w:t>Expedia</w:t>
      </w:r>
    </w:p>
    <w:p>
      <w:pPr>
        <w:pStyle w:val="ListParagraph"/>
        <w:numPr>
          <w:ilvl w:val="0"/>
          <w:numId w:val="25"/>
        </w:numPr>
        <w:ind w:left="1276" w:hanging="357"/>
        <w:rPr>
          <w:noProof/>
          <w:szCs w:val="24"/>
          <w:lang w:val="de-DE"/>
        </w:rPr>
      </w:pPr>
      <w:r>
        <w:rPr>
          <w:noProof/>
          <w:szCs w:val="24"/>
          <w:lang w:val="de-DE"/>
        </w:rPr>
        <w:t>Facebook</w:t>
      </w:r>
    </w:p>
    <w:p>
      <w:pPr>
        <w:pStyle w:val="ListParagraph"/>
        <w:numPr>
          <w:ilvl w:val="0"/>
          <w:numId w:val="25"/>
        </w:numPr>
        <w:ind w:left="1276" w:hanging="357"/>
        <w:rPr>
          <w:noProof/>
          <w:szCs w:val="24"/>
        </w:rPr>
      </w:pPr>
      <w:r>
        <w:rPr>
          <w:noProof/>
          <w:szCs w:val="24"/>
          <w:lang w:val="de-DE"/>
        </w:rPr>
        <w:t>Federation of European Publishers</w:t>
      </w:r>
      <w:r>
        <w:rPr>
          <w:noProof/>
          <w:szCs w:val="24"/>
        </w:rPr>
        <w:t xml:space="preserve"> </w:t>
      </w:r>
    </w:p>
    <w:p>
      <w:pPr>
        <w:pStyle w:val="ListParagraph"/>
        <w:numPr>
          <w:ilvl w:val="0"/>
          <w:numId w:val="25"/>
        </w:numPr>
        <w:ind w:left="1276" w:hanging="357"/>
        <w:rPr>
          <w:noProof/>
          <w:szCs w:val="24"/>
        </w:rPr>
      </w:pPr>
      <w:r>
        <w:rPr>
          <w:noProof/>
          <w:szCs w:val="24"/>
        </w:rPr>
        <w:t>Gobee.bike</w:t>
      </w:r>
    </w:p>
    <w:p>
      <w:pPr>
        <w:pStyle w:val="ListParagraph"/>
        <w:numPr>
          <w:ilvl w:val="0"/>
          <w:numId w:val="25"/>
        </w:numPr>
        <w:ind w:left="1276" w:hanging="357"/>
        <w:rPr>
          <w:noProof/>
          <w:szCs w:val="24"/>
        </w:rPr>
      </w:pPr>
      <w:r>
        <w:rPr>
          <w:noProof/>
          <w:szCs w:val="24"/>
        </w:rPr>
        <w:t xml:space="preserve">Google </w:t>
      </w:r>
    </w:p>
    <w:p>
      <w:pPr>
        <w:pStyle w:val="ListParagraph"/>
        <w:numPr>
          <w:ilvl w:val="0"/>
          <w:numId w:val="25"/>
        </w:numPr>
        <w:ind w:left="1276" w:hanging="357"/>
        <w:rPr>
          <w:noProof/>
          <w:szCs w:val="24"/>
        </w:rPr>
      </w:pPr>
      <w:r>
        <w:rPr>
          <w:noProof/>
          <w:szCs w:val="24"/>
        </w:rPr>
        <w:t xml:space="preserve">Hilton worldwide </w:t>
      </w:r>
    </w:p>
    <w:p>
      <w:pPr>
        <w:pStyle w:val="ListParagraph"/>
        <w:numPr>
          <w:ilvl w:val="0"/>
          <w:numId w:val="25"/>
        </w:numPr>
        <w:ind w:left="1276" w:hanging="357"/>
        <w:rPr>
          <w:noProof/>
          <w:szCs w:val="24"/>
          <w:lang w:val="de-DE"/>
        </w:rPr>
      </w:pPr>
      <w:r>
        <w:rPr>
          <w:noProof/>
          <w:szCs w:val="24"/>
          <w:lang w:val="de-DE"/>
        </w:rPr>
        <w:t>HOTREC</w:t>
      </w:r>
    </w:p>
    <w:p>
      <w:pPr>
        <w:pStyle w:val="ListParagraph"/>
        <w:numPr>
          <w:ilvl w:val="0"/>
          <w:numId w:val="25"/>
        </w:numPr>
        <w:ind w:left="1276" w:hanging="357"/>
        <w:rPr>
          <w:noProof/>
          <w:lang w:val="de-DE"/>
        </w:rPr>
      </w:pPr>
      <w:r>
        <w:rPr>
          <w:noProof/>
        </w:rPr>
        <w:t>Independent Retail Europe</w:t>
      </w:r>
    </w:p>
    <w:p>
      <w:pPr>
        <w:pStyle w:val="ListParagraph"/>
        <w:numPr>
          <w:ilvl w:val="0"/>
          <w:numId w:val="25"/>
        </w:numPr>
        <w:ind w:left="1276" w:hanging="357"/>
        <w:rPr>
          <w:noProof/>
          <w:szCs w:val="24"/>
          <w:lang w:val="de-DE"/>
        </w:rPr>
      </w:pPr>
      <w:r>
        <w:rPr>
          <w:noProof/>
        </w:rPr>
        <w:t>idealo</w:t>
      </w:r>
      <w:r>
        <w:rPr>
          <w:noProof/>
          <w:szCs w:val="24"/>
          <w:lang w:val="de-DE"/>
        </w:rPr>
        <w:t xml:space="preserve"> </w:t>
      </w:r>
    </w:p>
    <w:p>
      <w:pPr>
        <w:pStyle w:val="ListParagraph"/>
        <w:numPr>
          <w:ilvl w:val="0"/>
          <w:numId w:val="25"/>
        </w:numPr>
        <w:ind w:left="1276" w:hanging="357"/>
        <w:rPr>
          <w:noProof/>
          <w:szCs w:val="24"/>
          <w:lang w:val="de-DE"/>
        </w:rPr>
      </w:pPr>
      <w:r>
        <w:rPr>
          <w:noProof/>
          <w:szCs w:val="24"/>
          <w:lang w:val="de-DE"/>
        </w:rPr>
        <w:t>King Digital</w:t>
      </w:r>
    </w:p>
    <w:p>
      <w:pPr>
        <w:pStyle w:val="ListParagraph"/>
        <w:numPr>
          <w:ilvl w:val="0"/>
          <w:numId w:val="25"/>
        </w:numPr>
        <w:ind w:left="1276" w:hanging="357"/>
        <w:rPr>
          <w:noProof/>
          <w:szCs w:val="24"/>
          <w:lang w:val="de-DE"/>
        </w:rPr>
      </w:pPr>
      <w:r>
        <w:rPr>
          <w:noProof/>
          <w:szCs w:val="24"/>
          <w:lang w:val="de-DE"/>
        </w:rPr>
        <w:t xml:space="preserve">Mon Orxata </w:t>
      </w:r>
    </w:p>
    <w:p>
      <w:pPr>
        <w:pStyle w:val="ListParagraph"/>
        <w:numPr>
          <w:ilvl w:val="0"/>
          <w:numId w:val="25"/>
        </w:numPr>
        <w:ind w:left="1276" w:hanging="357"/>
        <w:rPr>
          <w:noProof/>
          <w:szCs w:val="24"/>
          <w:lang w:val="de-DE"/>
        </w:rPr>
      </w:pPr>
      <w:r>
        <w:rPr>
          <w:noProof/>
          <w:szCs w:val="24"/>
          <w:lang w:val="de-DE"/>
        </w:rPr>
        <w:t>Mozilla</w:t>
      </w:r>
    </w:p>
    <w:p>
      <w:pPr>
        <w:pStyle w:val="ListParagraph"/>
        <w:numPr>
          <w:ilvl w:val="0"/>
          <w:numId w:val="25"/>
        </w:numPr>
        <w:ind w:left="1276" w:hanging="357"/>
        <w:rPr>
          <w:noProof/>
          <w:szCs w:val="24"/>
          <w:lang w:val="de-DE"/>
        </w:rPr>
      </w:pPr>
      <w:r>
        <w:rPr>
          <w:noProof/>
          <w:szCs w:val="24"/>
          <w:lang w:val="de-DE"/>
        </w:rPr>
        <w:t>Mindbase</w:t>
      </w:r>
    </w:p>
    <w:p>
      <w:pPr>
        <w:pStyle w:val="ListParagraph"/>
        <w:numPr>
          <w:ilvl w:val="0"/>
          <w:numId w:val="25"/>
        </w:numPr>
        <w:ind w:left="1276" w:hanging="357"/>
        <w:rPr>
          <w:noProof/>
          <w:szCs w:val="24"/>
        </w:rPr>
      </w:pPr>
      <w:r>
        <w:rPr>
          <w:noProof/>
          <w:szCs w:val="24"/>
          <w:lang w:val="de-DE"/>
        </w:rPr>
        <w:t>Open Forum Europe</w:t>
      </w:r>
      <w:r>
        <w:rPr>
          <w:noProof/>
          <w:szCs w:val="24"/>
        </w:rPr>
        <w:t xml:space="preserve"> </w:t>
      </w:r>
    </w:p>
    <w:p>
      <w:pPr>
        <w:pStyle w:val="ListParagraph"/>
        <w:numPr>
          <w:ilvl w:val="0"/>
          <w:numId w:val="25"/>
        </w:numPr>
        <w:ind w:left="1276" w:hanging="357"/>
        <w:rPr>
          <w:noProof/>
          <w:szCs w:val="24"/>
        </w:rPr>
      </w:pPr>
      <w:r>
        <w:rPr>
          <w:noProof/>
          <w:szCs w:val="24"/>
        </w:rPr>
        <w:t xml:space="preserve">Independent Retail Europe </w:t>
      </w:r>
    </w:p>
    <w:p>
      <w:pPr>
        <w:pStyle w:val="ListParagraph"/>
        <w:numPr>
          <w:ilvl w:val="0"/>
          <w:numId w:val="25"/>
        </w:numPr>
        <w:ind w:left="1276" w:hanging="357"/>
        <w:rPr>
          <w:noProof/>
          <w:szCs w:val="24"/>
        </w:rPr>
      </w:pPr>
      <w:r>
        <w:rPr>
          <w:noProof/>
          <w:szCs w:val="24"/>
        </w:rPr>
        <w:t>Rakuten</w:t>
      </w:r>
      <w:r>
        <w:rPr>
          <w:noProof/>
        </w:rPr>
        <w:t xml:space="preserve"> </w:t>
      </w:r>
    </w:p>
    <w:p>
      <w:pPr>
        <w:pStyle w:val="ListParagraph"/>
        <w:numPr>
          <w:ilvl w:val="0"/>
          <w:numId w:val="25"/>
        </w:numPr>
        <w:ind w:left="1276" w:hanging="357"/>
        <w:rPr>
          <w:noProof/>
          <w:szCs w:val="24"/>
        </w:rPr>
      </w:pPr>
      <w:r>
        <w:rPr>
          <w:noProof/>
          <w:szCs w:val="24"/>
        </w:rPr>
        <w:t xml:space="preserve">Salesforce </w:t>
      </w:r>
    </w:p>
    <w:p>
      <w:pPr>
        <w:pStyle w:val="ListParagraph"/>
        <w:numPr>
          <w:ilvl w:val="0"/>
          <w:numId w:val="25"/>
        </w:numPr>
        <w:ind w:left="1276" w:hanging="357"/>
        <w:rPr>
          <w:noProof/>
          <w:szCs w:val="24"/>
        </w:rPr>
      </w:pPr>
      <w:r>
        <w:rPr>
          <w:noProof/>
          <w:szCs w:val="24"/>
        </w:rPr>
        <w:t>Sentiance</w:t>
      </w:r>
    </w:p>
    <w:p>
      <w:pPr>
        <w:pStyle w:val="ListParagraph"/>
        <w:numPr>
          <w:ilvl w:val="0"/>
          <w:numId w:val="25"/>
        </w:numPr>
        <w:ind w:left="1276" w:hanging="357"/>
        <w:rPr>
          <w:noProof/>
          <w:szCs w:val="24"/>
        </w:rPr>
      </w:pPr>
      <w:r>
        <w:rPr>
          <w:noProof/>
          <w:szCs w:val="24"/>
        </w:rPr>
        <w:t>Seznam - web portal and search engine</w:t>
      </w:r>
    </w:p>
    <w:p>
      <w:pPr>
        <w:pStyle w:val="ListParagraph"/>
        <w:numPr>
          <w:ilvl w:val="0"/>
          <w:numId w:val="25"/>
        </w:numPr>
        <w:ind w:left="1276" w:hanging="357"/>
        <w:rPr>
          <w:noProof/>
          <w:szCs w:val="24"/>
        </w:rPr>
      </w:pPr>
      <w:r>
        <w:rPr>
          <w:noProof/>
        </w:rPr>
        <w:t xml:space="preserve">Spotify </w:t>
      </w:r>
    </w:p>
    <w:p>
      <w:pPr>
        <w:pStyle w:val="ListParagraph"/>
        <w:numPr>
          <w:ilvl w:val="0"/>
          <w:numId w:val="25"/>
        </w:numPr>
        <w:ind w:left="1276" w:hanging="357"/>
        <w:rPr>
          <w:noProof/>
          <w:szCs w:val="24"/>
        </w:rPr>
      </w:pPr>
      <w:r>
        <w:rPr>
          <w:noProof/>
          <w:szCs w:val="24"/>
          <w:lang w:val="de-DE"/>
        </w:rPr>
        <w:t>SRIW/Bitkom</w:t>
      </w:r>
      <w:r>
        <w:rPr>
          <w:noProof/>
          <w:szCs w:val="24"/>
        </w:rPr>
        <w:t xml:space="preserve"> </w:t>
      </w:r>
    </w:p>
    <w:p>
      <w:pPr>
        <w:pStyle w:val="ListParagraph"/>
        <w:numPr>
          <w:ilvl w:val="0"/>
          <w:numId w:val="25"/>
        </w:numPr>
        <w:ind w:left="1276" w:hanging="357"/>
        <w:rPr>
          <w:noProof/>
          <w:szCs w:val="24"/>
        </w:rPr>
      </w:pPr>
      <w:r>
        <w:rPr>
          <w:noProof/>
          <w:szCs w:val="24"/>
        </w:rPr>
        <w:t>Sugartrends</w:t>
      </w:r>
    </w:p>
    <w:p>
      <w:pPr>
        <w:pStyle w:val="ListParagraph"/>
        <w:numPr>
          <w:ilvl w:val="0"/>
          <w:numId w:val="25"/>
        </w:numPr>
        <w:ind w:left="1276" w:hanging="357"/>
        <w:rPr>
          <w:noProof/>
          <w:szCs w:val="24"/>
        </w:rPr>
      </w:pPr>
      <w:r>
        <w:rPr>
          <w:noProof/>
          <w:szCs w:val="24"/>
        </w:rPr>
        <w:t>Tech</w:t>
      </w:r>
      <w:r>
        <w:rPr>
          <w:noProof/>
        </w:rPr>
        <w:t>UK</w:t>
      </w:r>
      <w:r>
        <w:rPr>
          <w:noProof/>
          <w:szCs w:val="24"/>
        </w:rPr>
        <w:t xml:space="preserve"> </w:t>
      </w:r>
    </w:p>
    <w:p>
      <w:pPr>
        <w:pStyle w:val="ListParagraph"/>
        <w:numPr>
          <w:ilvl w:val="0"/>
          <w:numId w:val="25"/>
        </w:numPr>
        <w:ind w:left="1276" w:hanging="357"/>
        <w:rPr>
          <w:noProof/>
          <w:szCs w:val="24"/>
        </w:rPr>
      </w:pPr>
      <w:r>
        <w:rPr>
          <w:noProof/>
          <w:szCs w:val="24"/>
        </w:rPr>
        <w:t xml:space="preserve">The Booksellers Association of the UK &amp; Ireland Ltd </w:t>
      </w:r>
    </w:p>
    <w:p>
      <w:pPr>
        <w:pStyle w:val="ListParagraph"/>
        <w:numPr>
          <w:ilvl w:val="0"/>
          <w:numId w:val="25"/>
        </w:numPr>
        <w:ind w:left="1276" w:hanging="357"/>
        <w:rPr>
          <w:noProof/>
          <w:szCs w:val="24"/>
        </w:rPr>
      </w:pPr>
      <w:r>
        <w:rPr>
          <w:noProof/>
          <w:szCs w:val="24"/>
        </w:rPr>
        <w:t>TripAdvisor</w:t>
      </w:r>
      <w:r>
        <w:rPr>
          <w:noProof/>
          <w:szCs w:val="24"/>
          <w:lang w:val="en-US"/>
        </w:rPr>
        <w:t xml:space="preserve"> </w:t>
      </w:r>
    </w:p>
    <w:p>
      <w:pPr>
        <w:pStyle w:val="ListParagraph"/>
        <w:numPr>
          <w:ilvl w:val="0"/>
          <w:numId w:val="25"/>
        </w:numPr>
        <w:ind w:left="1276" w:hanging="357"/>
        <w:rPr>
          <w:noProof/>
          <w:szCs w:val="24"/>
          <w:lang w:val="fr-BE"/>
        </w:rPr>
      </w:pPr>
      <w:r>
        <w:rPr>
          <w:noProof/>
          <w:lang w:val="fr-BE"/>
        </w:rPr>
        <w:t>Union des Métiers et des Industries de l'Hôtellerie</w:t>
      </w:r>
      <w:r>
        <w:rPr>
          <w:noProof/>
          <w:szCs w:val="24"/>
          <w:lang w:val="fr-BE"/>
        </w:rPr>
        <w:t xml:space="preserve"> </w:t>
      </w:r>
    </w:p>
    <w:p>
      <w:pPr>
        <w:pStyle w:val="ListParagraph"/>
        <w:numPr>
          <w:ilvl w:val="0"/>
          <w:numId w:val="25"/>
        </w:numPr>
        <w:ind w:left="1276" w:hanging="357"/>
        <w:rPr>
          <w:noProof/>
          <w:szCs w:val="24"/>
        </w:rPr>
      </w:pPr>
      <w:r>
        <w:rPr>
          <w:noProof/>
          <w:szCs w:val="24"/>
        </w:rPr>
        <w:t xml:space="preserve">United Internet Media and CEO of 1&amp;1 Mail &amp; Media Applications </w:t>
      </w:r>
    </w:p>
    <w:p>
      <w:pPr>
        <w:pStyle w:val="ListParagraph"/>
        <w:numPr>
          <w:ilvl w:val="0"/>
          <w:numId w:val="25"/>
        </w:numPr>
        <w:ind w:left="1276" w:hanging="357"/>
        <w:rPr>
          <w:noProof/>
          <w:szCs w:val="24"/>
        </w:rPr>
      </w:pPr>
      <w:r>
        <w:rPr>
          <w:noProof/>
          <w:szCs w:val="24"/>
        </w:rPr>
        <w:t xml:space="preserve">World Economic Forum </w:t>
      </w:r>
    </w:p>
    <w:p>
      <w:pPr>
        <w:pStyle w:val="ListParagraph"/>
        <w:numPr>
          <w:ilvl w:val="0"/>
          <w:numId w:val="25"/>
        </w:numPr>
        <w:ind w:left="1276" w:hanging="357"/>
        <w:rPr>
          <w:noProof/>
          <w:szCs w:val="24"/>
        </w:rPr>
      </w:pPr>
      <w:r>
        <w:rPr>
          <w:noProof/>
          <w:szCs w:val="24"/>
        </w:rPr>
        <w:t>Yelp, Inc.</w:t>
      </w:r>
    </w:p>
    <w:p>
      <w:pPr>
        <w:pStyle w:val="ListParagraph"/>
        <w:numPr>
          <w:ilvl w:val="0"/>
          <w:numId w:val="25"/>
        </w:numPr>
        <w:ind w:left="1276" w:hanging="357"/>
        <w:rPr>
          <w:noProof/>
          <w:szCs w:val="24"/>
        </w:rPr>
      </w:pPr>
      <w:r>
        <w:rPr>
          <w:noProof/>
          <w:szCs w:val="24"/>
        </w:rPr>
        <w:t xml:space="preserve">Zalando </w:t>
      </w:r>
    </w:p>
    <w:p>
      <w:pPr>
        <w:pStyle w:val="Heading2"/>
        <w:rPr>
          <w:noProof/>
        </w:rPr>
      </w:pPr>
      <w:bookmarkStart w:id="718" w:name="_Toc497919438"/>
      <w:bookmarkStart w:id="719" w:name="_Toc497919757"/>
      <w:bookmarkStart w:id="720" w:name="_Toc497920441"/>
      <w:bookmarkStart w:id="721" w:name="_Toc497921488"/>
      <w:bookmarkStart w:id="722" w:name="_Toc497921583"/>
      <w:bookmarkStart w:id="723" w:name="_Toc500262107"/>
      <w:bookmarkStart w:id="724" w:name="_Toc507167016"/>
      <w:bookmarkStart w:id="725" w:name="_Toc508297399"/>
      <w:bookmarkStart w:id="726" w:name="_Toc508350160"/>
      <w:bookmarkStart w:id="727" w:name="_Toc508351601"/>
      <w:bookmarkStart w:id="728" w:name="_Toc508360016"/>
      <w:bookmarkStart w:id="729" w:name="_Toc511220516"/>
      <w:bookmarkStart w:id="730" w:name="_Toc511234961"/>
      <w:bookmarkStart w:id="731" w:name="_Toc511292874"/>
      <w:r>
        <w:rPr>
          <w:noProof/>
        </w:rPr>
        <w:t>The Outcome of the Public Consultations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pStyle w:val="Heading3"/>
        <w:rPr>
          <w:noProof/>
        </w:rPr>
      </w:pPr>
      <w:bookmarkStart w:id="732" w:name="_Toc492049390"/>
      <w:bookmarkStart w:id="733" w:name="_Toc492056861"/>
      <w:bookmarkStart w:id="734" w:name="_Toc492056960"/>
      <w:bookmarkStart w:id="735" w:name="_Toc492557174"/>
      <w:bookmarkStart w:id="736" w:name="_Toc495420775"/>
      <w:bookmarkStart w:id="737" w:name="_Toc497906510"/>
      <w:bookmarkStart w:id="738" w:name="_Toc492048406"/>
      <w:bookmarkStart w:id="739" w:name="_Toc492557175"/>
      <w:bookmarkStart w:id="740" w:name="_Toc497912991"/>
      <w:bookmarkStart w:id="741" w:name="_Toc497919439"/>
      <w:bookmarkStart w:id="742" w:name="_Toc497919758"/>
      <w:bookmarkStart w:id="743" w:name="_Toc497920442"/>
      <w:bookmarkStart w:id="744" w:name="_Toc497921489"/>
      <w:bookmarkStart w:id="745" w:name="_Toc497921584"/>
      <w:bookmarkStart w:id="746" w:name="_Toc500262108"/>
      <w:bookmarkStart w:id="747" w:name="_Toc507167017"/>
      <w:bookmarkStart w:id="748" w:name="_Toc508297400"/>
      <w:bookmarkStart w:id="749" w:name="_Toc508350161"/>
      <w:bookmarkStart w:id="750" w:name="_Toc508351602"/>
      <w:bookmarkStart w:id="751" w:name="_Toc508360017"/>
      <w:bookmarkStart w:id="752" w:name="_Toc511220517"/>
      <w:bookmarkStart w:id="753" w:name="_Toc511234962"/>
      <w:bookmarkStart w:id="754" w:name="_Toc511292875"/>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32"/>
      <w:bookmarkEnd w:id="733"/>
      <w:bookmarkEnd w:id="734"/>
      <w:bookmarkEnd w:id="735"/>
      <w:bookmarkEnd w:id="736"/>
      <w:r>
        <w:rPr>
          <w:noProof/>
        </w:rPr>
        <w:t>Public consultation on online platforms, 24 September 2015 until 6 January 2016</w:t>
      </w:r>
      <w:r>
        <w:rPr>
          <w:rStyle w:val="FootnoteReference"/>
          <w:noProof/>
        </w:rPr>
        <w:footnoteReference w:id="18"/>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pPr>
        <w:spacing w:after="200"/>
        <w:rPr>
          <w:rFonts w:eastAsiaTheme="minorHAnsi"/>
          <w:noProof/>
        </w:rPr>
      </w:pPr>
      <w:r>
        <w:rPr>
          <w:rFonts w:eastAsiaTheme="minorHAnsi"/>
          <w:noProof/>
        </w:rPr>
        <w:t>The public consultation's objective was to gather evidence and views on the regulatory environment for platforms, liability of intermediaries, data and cloud and collaborative economy. It was launched on 24 September 2015 and closed on 6 January 2016.</w:t>
      </w:r>
    </w:p>
    <w:p>
      <w:pPr>
        <w:spacing w:after="200"/>
        <w:rPr>
          <w:rFonts w:eastAsiaTheme="minorHAnsi"/>
          <w:noProof/>
        </w:rPr>
      </w:pPr>
      <w:r>
        <w:rPr>
          <w:rFonts w:eastAsiaTheme="minorHAnsi"/>
          <w:noProof/>
        </w:rPr>
        <w:t>More than 1036 replies were received via the procedures foreseen in the consultation. An additional 10 599 individual contributions were received via one single advocacy association, mostly addressing only some of the questions posed in the consultation.</w:t>
      </w:r>
    </w:p>
    <w:p>
      <w:pPr>
        <w:spacing w:after="200"/>
        <w:rPr>
          <w:rFonts w:eastAsiaTheme="minorHAnsi"/>
          <w:noProof/>
        </w:rPr>
      </w:pPr>
      <w:r>
        <w:rPr>
          <w:rFonts w:eastAsiaTheme="minorHAnsi"/>
          <w:noProof/>
        </w:rPr>
        <w:t>Not all respondents answered every question or section. More than 80 percent of the respondents replied to the sections on 'platforms' and 'online intermediaries &amp; tackling illegal content', around 60 percent of the respondents replied to the section on 'data and cloud computing' and around one third replied to the section on 'collaborative economy'.</w:t>
      </w:r>
    </w:p>
    <w:p>
      <w:pPr>
        <w:spacing w:after="200"/>
        <w:rPr>
          <w:rFonts w:eastAsiaTheme="minorHAnsi"/>
          <w:noProof/>
        </w:rPr>
      </w:pPr>
      <w:r>
        <w:rPr>
          <w:rFonts w:eastAsiaTheme="minorHAnsi"/>
          <w:noProof/>
        </w:rPr>
        <w:t>As to the geographical distribution of responses:</w:t>
      </w:r>
    </w:p>
    <w:p>
      <w:pPr>
        <w:pStyle w:val="ListParagraph"/>
        <w:numPr>
          <w:ilvl w:val="0"/>
          <w:numId w:val="63"/>
        </w:numPr>
        <w:spacing w:after="200"/>
        <w:rPr>
          <w:rFonts w:eastAsiaTheme="minorHAnsi"/>
          <w:noProof/>
        </w:rPr>
      </w:pPr>
      <w:r>
        <w:rPr>
          <w:rFonts w:eastAsiaTheme="minorHAnsi"/>
          <w:noProof/>
        </w:rPr>
        <w:t>Replies came from 27 EU Member States.</w:t>
      </w:r>
    </w:p>
    <w:p>
      <w:pPr>
        <w:pStyle w:val="ListParagraph"/>
        <w:numPr>
          <w:ilvl w:val="0"/>
          <w:numId w:val="63"/>
        </w:numPr>
        <w:spacing w:after="200"/>
        <w:rPr>
          <w:rFonts w:eastAsiaTheme="minorHAnsi"/>
          <w:noProof/>
        </w:rPr>
      </w:pPr>
      <w:r>
        <w:rPr>
          <w:rFonts w:eastAsiaTheme="minorHAnsi"/>
          <w:noProof/>
        </w:rPr>
        <w:t>About 10 percent of the replies came from outside of the EU, more than half of them from the United States.</w:t>
      </w:r>
    </w:p>
    <w:p>
      <w:pPr>
        <w:pStyle w:val="ListParagraph"/>
        <w:numPr>
          <w:ilvl w:val="0"/>
          <w:numId w:val="63"/>
        </w:numPr>
        <w:spacing w:after="200"/>
        <w:rPr>
          <w:rFonts w:eastAsiaTheme="minorHAnsi"/>
          <w:noProof/>
        </w:rPr>
      </w:pPr>
      <w:r>
        <w:rPr>
          <w:rFonts w:eastAsiaTheme="minorHAnsi"/>
          <w:noProof/>
        </w:rPr>
        <w:t>The largest number of responses came from Germany (17 %), Belgium (13 %) and United Kingdom (11 %).</w:t>
      </w:r>
    </w:p>
    <w:p>
      <w:pPr>
        <w:spacing w:after="200"/>
        <w:rPr>
          <w:rFonts w:eastAsiaTheme="minorHAnsi"/>
          <w:noProof/>
        </w:rPr>
      </w:pPr>
      <w:r>
        <w:rPr>
          <w:rFonts w:eastAsiaTheme="minorHAnsi"/>
          <w:noProof/>
        </w:rPr>
        <w:t>By category, the respondents were:</w:t>
      </w:r>
    </w:p>
    <w:p>
      <w:pPr>
        <w:pStyle w:val="ListParagraph"/>
        <w:numPr>
          <w:ilvl w:val="0"/>
          <w:numId w:val="64"/>
        </w:numPr>
        <w:spacing w:after="200"/>
        <w:rPr>
          <w:rFonts w:eastAsiaTheme="minorHAnsi"/>
          <w:noProof/>
        </w:rPr>
      </w:pPr>
      <w:r>
        <w:rPr>
          <w:rFonts w:eastAsiaTheme="minorHAnsi"/>
          <w:noProof/>
        </w:rPr>
        <w:t xml:space="preserve">462 individual citizens </w:t>
      </w:r>
    </w:p>
    <w:p>
      <w:pPr>
        <w:pStyle w:val="ListParagraph"/>
        <w:numPr>
          <w:ilvl w:val="0"/>
          <w:numId w:val="64"/>
        </w:numPr>
        <w:spacing w:after="200"/>
        <w:rPr>
          <w:rFonts w:eastAsiaTheme="minorHAnsi"/>
          <w:noProof/>
        </w:rPr>
      </w:pPr>
      <w:r>
        <w:rPr>
          <w:rFonts w:eastAsiaTheme="minorHAnsi"/>
          <w:noProof/>
        </w:rPr>
        <w:t>243 associations or trade organizations representing businesses</w:t>
      </w:r>
    </w:p>
    <w:p>
      <w:pPr>
        <w:pStyle w:val="ListParagraph"/>
        <w:numPr>
          <w:ilvl w:val="0"/>
          <w:numId w:val="64"/>
        </w:numPr>
        <w:spacing w:after="200"/>
        <w:rPr>
          <w:rFonts w:eastAsiaTheme="minorHAnsi"/>
          <w:noProof/>
        </w:rPr>
      </w:pPr>
      <w:r>
        <w:rPr>
          <w:rFonts w:eastAsiaTheme="minorHAnsi"/>
          <w:noProof/>
        </w:rPr>
        <w:t>2 "other"</w:t>
      </w:r>
    </w:p>
    <w:p>
      <w:pPr>
        <w:pStyle w:val="ListParagraph"/>
        <w:numPr>
          <w:ilvl w:val="0"/>
          <w:numId w:val="64"/>
        </w:numPr>
        <w:spacing w:after="200"/>
        <w:rPr>
          <w:rFonts w:eastAsiaTheme="minorHAnsi"/>
          <w:noProof/>
        </w:rPr>
      </w:pPr>
      <w:r>
        <w:rPr>
          <w:rFonts w:eastAsiaTheme="minorHAnsi"/>
          <w:noProof/>
        </w:rPr>
        <w:t>157 businesses, including suppliers using an online platform to provide services</w:t>
      </w:r>
    </w:p>
    <w:p>
      <w:pPr>
        <w:pStyle w:val="ListParagraph"/>
        <w:numPr>
          <w:ilvl w:val="0"/>
          <w:numId w:val="64"/>
        </w:numPr>
        <w:spacing w:after="200"/>
        <w:rPr>
          <w:rFonts w:eastAsiaTheme="minorHAnsi"/>
          <w:noProof/>
        </w:rPr>
      </w:pPr>
      <w:r>
        <w:rPr>
          <w:rFonts w:eastAsiaTheme="minorHAnsi"/>
          <w:noProof/>
        </w:rPr>
        <w:t>46 associations or trade organizations representing civil society</w:t>
      </w:r>
    </w:p>
    <w:p>
      <w:pPr>
        <w:pStyle w:val="ListParagraph"/>
        <w:numPr>
          <w:ilvl w:val="0"/>
          <w:numId w:val="64"/>
        </w:numPr>
        <w:spacing w:after="200"/>
        <w:rPr>
          <w:rFonts w:eastAsiaTheme="minorHAnsi"/>
          <w:noProof/>
        </w:rPr>
      </w:pPr>
      <w:r>
        <w:rPr>
          <w:rFonts w:eastAsiaTheme="minorHAnsi"/>
          <w:noProof/>
        </w:rPr>
        <w:t>46 online platforms</w:t>
      </w:r>
    </w:p>
    <w:p>
      <w:pPr>
        <w:pStyle w:val="ListParagraph"/>
        <w:numPr>
          <w:ilvl w:val="0"/>
          <w:numId w:val="64"/>
        </w:numPr>
        <w:spacing w:after="200"/>
        <w:rPr>
          <w:rFonts w:eastAsiaTheme="minorHAnsi"/>
          <w:noProof/>
        </w:rPr>
      </w:pPr>
      <w:r>
        <w:rPr>
          <w:rFonts w:eastAsiaTheme="minorHAnsi"/>
          <w:noProof/>
        </w:rPr>
        <w:t>34 research institutions or Think Tanks</w:t>
      </w:r>
    </w:p>
    <w:p>
      <w:pPr>
        <w:pStyle w:val="ListParagraph"/>
        <w:numPr>
          <w:ilvl w:val="0"/>
          <w:numId w:val="64"/>
        </w:numPr>
        <w:spacing w:after="200"/>
        <w:rPr>
          <w:rFonts w:eastAsiaTheme="minorHAnsi"/>
          <w:noProof/>
        </w:rPr>
      </w:pPr>
      <w:r>
        <w:rPr>
          <w:rFonts w:eastAsiaTheme="minorHAnsi"/>
          <w:noProof/>
        </w:rPr>
        <w:t>28 public authorities</w:t>
      </w:r>
    </w:p>
    <w:p>
      <w:pPr>
        <w:pStyle w:val="ListParagraph"/>
        <w:numPr>
          <w:ilvl w:val="0"/>
          <w:numId w:val="64"/>
        </w:numPr>
        <w:spacing w:after="200"/>
        <w:rPr>
          <w:rFonts w:eastAsiaTheme="minorHAnsi"/>
          <w:noProof/>
        </w:rPr>
      </w:pPr>
      <w:r>
        <w:rPr>
          <w:rFonts w:eastAsiaTheme="minorHAnsi"/>
          <w:noProof/>
        </w:rPr>
        <w:t>15 associations or trade organizations representing consumers</w:t>
      </w:r>
    </w:p>
    <w:p>
      <w:pPr>
        <w:spacing w:after="200"/>
        <w:rPr>
          <w:rFonts w:eastAsiaTheme="minorHAnsi"/>
          <w:noProof/>
        </w:rPr>
      </w:pPr>
      <w:r>
        <w:rPr>
          <w:rFonts w:eastAsiaTheme="minorHAnsi"/>
          <w:noProof/>
        </w:rPr>
        <w:t>As pointed out in the qualitative analysis of the public consultation</w:t>
      </w:r>
      <w:r>
        <w:rPr>
          <w:rStyle w:val="FootnoteReference"/>
          <w:rFonts w:eastAsiaTheme="minorHAnsi"/>
          <w:noProof/>
        </w:rPr>
        <w:footnoteReference w:id="19"/>
      </w:r>
      <w:r>
        <w:rPr>
          <w:rFonts w:eastAsiaTheme="minorHAnsi"/>
          <w:noProof/>
        </w:rPr>
        <w:t>, businesses and associations of businesses were primarily concerned with platforms dominance leading to competition and fair-trading issues, copyright/IP rights protection, and to some extent the fairness of rankings and neutrality of online search results. Businesses and associations of businesses suggested that online platforms should display clearly their compliance with IP rights, clarity over usage of data, transparency / traceability of online service operators.</w:t>
      </w:r>
    </w:p>
    <w:p>
      <w:pPr>
        <w:spacing w:after="200"/>
        <w:rPr>
          <w:rFonts w:eastAsiaTheme="minorHAnsi"/>
          <w:noProof/>
          <w:sz w:val="22"/>
        </w:rPr>
      </w:pPr>
      <w:r>
        <w:rPr>
          <w:rFonts w:eastAsiaTheme="minorHAnsi"/>
          <w:noProof/>
        </w:rPr>
        <w:t xml:space="preserve">Most business and citizen respondents stated that platforms should be more transparent notably about search results, clarity about the actual supplier and reviews mechanisms. They also consider that online platforms do not provide sufficient information on personal and non-personal data collected and on their terms and conditions. Responses from businesses on how these problems could be best </w:t>
      </w:r>
      <w:r>
        <w:rPr>
          <w:rFonts w:eastAsiaTheme="minorHAnsi"/>
          <w:noProof/>
          <w:sz w:val="22"/>
        </w:rPr>
        <w:t xml:space="preserve">addressed were evenly divided between purely regulatory measures and a combination of market dynamics, self-regulatory and regulatory measures. </w:t>
      </w:r>
    </w:p>
    <w:p>
      <w:pPr>
        <w:spacing w:after="200"/>
        <w:rPr>
          <w:rFonts w:eastAsiaTheme="minorHAnsi"/>
          <w:noProof/>
          <w:sz w:val="22"/>
        </w:rPr>
      </w:pPr>
      <w:r>
        <w:rPr>
          <w:rFonts w:eastAsiaTheme="minorHAnsi"/>
          <w:noProof/>
          <w:sz w:val="22"/>
        </w:rPr>
        <w:t xml:space="preserve">According to the public consultation on online platforms most online platforms think they provide sufficient information regarding search rankings, clarity about the actual supplier, reviews mechanisms, terms &amp; conditions and data-collection. </w:t>
      </w:r>
    </w:p>
    <w:p>
      <w:pPr>
        <w:spacing w:after="200"/>
        <w:rPr>
          <w:rFonts w:eastAsiaTheme="minorHAnsi"/>
          <w:noProof/>
          <w:sz w:val="22"/>
        </w:rPr>
      </w:pPr>
      <w:r>
        <w:rPr>
          <w:rFonts w:eastAsiaTheme="minorHAnsi"/>
          <w:noProof/>
          <w:sz w:val="22"/>
        </w:rPr>
        <w:t>As pointed out in the qualitative analysis of the public consultation</w:t>
      </w:r>
      <w:r>
        <w:rPr>
          <w:rStyle w:val="FootnoteReference"/>
          <w:rFonts w:eastAsiaTheme="minorHAnsi"/>
          <w:noProof/>
          <w:sz w:val="22"/>
          <w:szCs w:val="22"/>
        </w:rPr>
        <w:footnoteReference w:id="20"/>
      </w:r>
      <w:r>
        <w:rPr>
          <w:rFonts w:eastAsiaTheme="minorHAnsi"/>
          <w:noProof/>
          <w:sz w:val="22"/>
          <w:szCs w:val="22"/>
        </w:rPr>
        <w:t xml:space="preserve">, online platforms consider they treat suppliers fairly, and identify various means by which they do. </w:t>
      </w:r>
      <w:r>
        <w:rPr>
          <w:rFonts w:eastAsiaTheme="minorHAnsi"/>
          <w:noProof/>
          <w:sz w:val="22"/>
        </w:rPr>
        <w:t xml:space="preserve">They point to the natural alignment of business incentives and the regularly efficient business terms and practices, including open communication, transparency, compliance with rules, help desks, and efficient APIs allowing customisation. Online platforms identify common constraints to their expansion to new markets in the EU, around non-harmonized sets of complex regulation across EU countries, and application of current EU directives which are not consistent enough within the EU. There is broad support for the Digital Single Market initiative. </w:t>
      </w:r>
    </w:p>
    <w:p>
      <w:pPr>
        <w:autoSpaceDE w:val="0"/>
        <w:autoSpaceDN w:val="0"/>
        <w:adjustRightInd w:val="0"/>
        <w:spacing w:after="0"/>
        <w:rPr>
          <w:rFonts w:eastAsiaTheme="minorHAnsi"/>
          <w:noProof/>
          <w:color w:val="4F81BD" w:themeColor="accent1"/>
          <w:szCs w:val="24"/>
        </w:rPr>
      </w:pPr>
    </w:p>
    <w:p>
      <w:pPr>
        <w:pStyle w:val="Heading3"/>
        <w:rPr>
          <w:noProof/>
        </w:rPr>
      </w:pPr>
      <w:bookmarkStart w:id="755" w:name="_Toc497906511"/>
      <w:bookmarkStart w:id="756" w:name="_Toc492048407"/>
      <w:bookmarkStart w:id="757" w:name="_Toc492557176"/>
      <w:bookmarkStart w:id="758" w:name="_Toc497912992"/>
      <w:bookmarkStart w:id="759" w:name="_Toc497919440"/>
      <w:bookmarkStart w:id="760" w:name="_Toc497919759"/>
      <w:bookmarkStart w:id="761" w:name="_Toc497920443"/>
      <w:bookmarkStart w:id="762" w:name="_Toc497921490"/>
      <w:bookmarkStart w:id="763" w:name="_Toc497921585"/>
      <w:bookmarkStart w:id="764" w:name="_Toc500262109"/>
      <w:bookmarkStart w:id="765" w:name="_Toc507167018"/>
      <w:bookmarkStart w:id="766" w:name="_Toc508297401"/>
      <w:bookmarkStart w:id="767" w:name="_Toc508350162"/>
      <w:bookmarkStart w:id="768" w:name="_Toc508351603"/>
      <w:bookmarkStart w:id="769" w:name="_Toc508360018"/>
      <w:bookmarkStart w:id="770" w:name="_Toc511220518"/>
      <w:bookmarkStart w:id="771" w:name="_Toc511234963"/>
      <w:bookmarkStart w:id="772" w:name="_Toc511292876"/>
      <w:r>
        <w:rPr>
          <w:noProof/>
        </w:rPr>
        <w:t>Public consultation: Building a European Data Economy, 10 January to 26 April 2017</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rPr>
          <w:rFonts w:eastAsiaTheme="minorHAnsi"/>
          <w:noProof/>
          <w:sz w:val="22"/>
        </w:rPr>
      </w:pPr>
      <w:r>
        <w:rPr>
          <w:rFonts w:eastAsiaTheme="minorHAnsi"/>
          <w:noProof/>
          <w:sz w:val="22"/>
        </w:rPr>
        <w:t>In the Public Consultation, the section on portability of non-personal data was responded</w:t>
      </w:r>
      <w:r>
        <w:rPr>
          <w:rFonts w:eastAsiaTheme="minorHAnsi"/>
          <w:noProof/>
          <w:sz w:val="22"/>
          <w:szCs w:val="24"/>
        </w:rPr>
        <w:t xml:space="preserve"> to by a total of 296 respondents, out of whom 261 represented businesses (including self-employed individuals) and 35 were individuals responding in their personal capacity.</w:t>
      </w:r>
    </w:p>
    <w:p>
      <w:pPr>
        <w:pStyle w:val="Subtitle"/>
        <w:jc w:val="both"/>
        <w:rPr>
          <w:rFonts w:ascii="Times New Roman" w:eastAsiaTheme="minorHAnsi" w:hAnsi="Times New Roman"/>
          <w:i w:val="0"/>
          <w:noProof/>
          <w:color w:val="auto"/>
          <w:spacing w:val="0"/>
          <w:sz w:val="22"/>
        </w:rPr>
      </w:pPr>
      <w:r>
        <w:rPr>
          <w:rFonts w:ascii="Times New Roman" w:eastAsiaTheme="minorHAnsi" w:hAnsi="Times New Roman"/>
          <w:i w:val="0"/>
          <w:noProof/>
          <w:color w:val="auto"/>
          <w:spacing w:val="0"/>
          <w:sz w:val="22"/>
        </w:rPr>
        <w:t>Out of the respondents to the portability section of the consultation, 54.3 % said they are using or that they had used services allowing the portability of non-personal data that they had previously provided to the service. Different types of cloud services were most frequently mentioned as the context for porting data, along with different kinds of online platforms. The majority of the respondents (73.1 %) were either neutral (43.1 %) or satisfied (30 %) with the current conditions they were met with. Among those less satisfied (26.9 %), the lack of, or insufficiency of standards on how to port data, as well as the lack of interoperability of formats and semantics, seem to be the two main reasons for dissatisfaction with the conditions for data portability. Other reasons mentioned were also technical in nature, such as the lack of possibilities to upload the data to another service once extracted and difficult demand for anonymisation or pseudonymisation of data. Contractual issues, such as unclear or changing contractual conditions were also mentioned by some respondents.</w:t>
      </w:r>
    </w:p>
    <w:p>
      <w:pPr>
        <w:pStyle w:val="Subtitle"/>
        <w:jc w:val="both"/>
        <w:rPr>
          <w:rFonts w:ascii="Times New Roman" w:eastAsiaTheme="minorHAnsi" w:hAnsi="Times New Roman"/>
          <w:i w:val="0"/>
          <w:noProof/>
          <w:color w:val="auto"/>
          <w:spacing w:val="0"/>
          <w:sz w:val="22"/>
        </w:rPr>
      </w:pPr>
      <w:r>
        <w:rPr>
          <w:rFonts w:ascii="Times New Roman" w:eastAsiaTheme="minorHAnsi" w:hAnsi="Times New Roman"/>
          <w:i w:val="0"/>
          <w:noProof/>
          <w:color w:val="auto"/>
          <w:spacing w:val="0"/>
          <w:sz w:val="22"/>
        </w:rPr>
        <w:t>Both businesses and individuals perceive the most important advantages of data portability to be the ability to build value deriving from the data (53.2 %), to switch providers (52.86 %), and to give access to third parties to the data (42.09 %). There were multiple answers possible, and many respondents opted for several answers. When asked to specify additional advantages to portability of non-personal data, 17 respondents mentioned the ability to introduce new business models, services or products and 17 respondents mentioned the positive effect such portability would have on the competition in the market.</w:t>
      </w:r>
    </w:p>
    <w:p>
      <w:pPr>
        <w:pStyle w:val="Subtitle"/>
        <w:jc w:val="both"/>
        <w:rPr>
          <w:rFonts w:eastAsiaTheme="minorHAnsi"/>
          <w:noProof/>
        </w:rPr>
      </w:pPr>
      <w:r>
        <w:rPr>
          <w:rFonts w:ascii="Times New Roman" w:eastAsiaTheme="minorHAnsi" w:hAnsi="Times New Roman"/>
          <w:i w:val="0"/>
          <w:noProof/>
          <w:color w:val="auto"/>
          <w:spacing w:val="0"/>
          <w:sz w:val="22"/>
        </w:rPr>
        <w:t xml:space="preserve">Out of the respondents representing businesses, 40.9% said their business offers portability of non-personal data to their clients. However, few respondents gave concrete examples when asked about the conditions under which they grant such portability. Out of those who did respond, 6 claimed to offer free portability of either all their data or all non-personal data. These were mostly organisations and research bodies. Another 5 reported to offer portability as a paid service. When asked to give good examples of services offering data portability, many respondents gave examples, but few were repeated by several respondents. </w:t>
      </w:r>
    </w:p>
    <w:p>
      <w:pPr>
        <w:pStyle w:val="Heading3"/>
        <w:rPr>
          <w:noProof/>
        </w:rPr>
      </w:pPr>
      <w:bookmarkStart w:id="773" w:name="_Toc492048408"/>
      <w:bookmarkStart w:id="774" w:name="_Toc492557177"/>
      <w:bookmarkStart w:id="775" w:name="_Toc497906512"/>
      <w:bookmarkStart w:id="776" w:name="_Toc497912993"/>
      <w:bookmarkStart w:id="777" w:name="_Toc497919441"/>
      <w:bookmarkStart w:id="778" w:name="_Toc497919760"/>
      <w:bookmarkStart w:id="779" w:name="_Toc497920444"/>
      <w:bookmarkStart w:id="780" w:name="_Toc497921491"/>
      <w:bookmarkStart w:id="781" w:name="_Toc497921586"/>
      <w:bookmarkStart w:id="782" w:name="_Toc500262110"/>
      <w:bookmarkStart w:id="783" w:name="_Toc507167019"/>
      <w:bookmarkStart w:id="784" w:name="_Toc508297402"/>
      <w:bookmarkStart w:id="785" w:name="_Toc508350163"/>
      <w:bookmarkStart w:id="786" w:name="_Toc508351604"/>
      <w:bookmarkStart w:id="787" w:name="_Toc508360019"/>
      <w:bookmarkStart w:id="788" w:name="_Toc511220519"/>
      <w:bookmarkStart w:id="789" w:name="_Toc511234964"/>
      <w:bookmarkStart w:id="790" w:name="_Toc511292877"/>
      <w:r>
        <w:rPr>
          <w:noProof/>
        </w:rPr>
        <w:t xml:space="preserve">Flash Eurobarometer 439: The use of online marketplaces and search engines by SMEs, </w:t>
      </w:r>
      <w:bookmarkEnd w:id="773"/>
      <w:bookmarkEnd w:id="774"/>
      <w:r>
        <w:rPr>
          <w:noProof/>
        </w:rPr>
        <w:t>6 July 2016</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spacing w:after="200"/>
        <w:rPr>
          <w:rFonts w:eastAsiaTheme="minorHAnsi"/>
          <w:noProof/>
          <w:sz w:val="22"/>
          <w:szCs w:val="22"/>
        </w:rPr>
      </w:pPr>
      <w:r>
        <w:rPr>
          <w:rFonts w:eastAsiaTheme="minorHAnsi"/>
          <w:noProof/>
          <w:sz w:val="22"/>
          <w:szCs w:val="22"/>
        </w:rPr>
        <w:t>The Eurobarometer</w:t>
      </w:r>
      <w:r>
        <w:rPr>
          <w:rStyle w:val="FootnoteReference"/>
          <w:rFonts w:eastAsiaTheme="minorHAnsi"/>
          <w:noProof/>
          <w:sz w:val="22"/>
          <w:szCs w:val="22"/>
        </w:rPr>
        <w:footnoteReference w:id="21"/>
      </w:r>
      <w:r>
        <w:rPr>
          <w:rFonts w:eastAsiaTheme="minorHAnsi"/>
          <w:noProof/>
          <w:sz w:val="22"/>
          <w:szCs w:val="22"/>
        </w:rPr>
        <w:t xml:space="preserve"> survey  focused on selling goods and services online and, in particular, on retail and services SMEs in 10 Member States, and their use of search engines and online marketplaces to sell their goods and services.</w:t>
      </w:r>
    </w:p>
    <w:p>
      <w:pPr>
        <w:autoSpaceDE w:val="0"/>
        <w:autoSpaceDN w:val="0"/>
        <w:adjustRightInd w:val="0"/>
        <w:spacing w:after="0"/>
        <w:rPr>
          <w:rFonts w:eastAsiaTheme="minorHAnsi"/>
          <w:noProof/>
          <w:sz w:val="22"/>
          <w:szCs w:val="22"/>
        </w:rPr>
      </w:pPr>
      <w:r>
        <w:rPr>
          <w:rFonts w:eastAsiaTheme="minorHAnsi"/>
          <w:noProof/>
          <w:sz w:val="22"/>
          <w:szCs w:val="22"/>
        </w:rPr>
        <w:t>Among other, findings of the study included that:</w:t>
      </w:r>
    </w:p>
    <w:p>
      <w:pPr>
        <w:autoSpaceDE w:val="0"/>
        <w:autoSpaceDN w:val="0"/>
        <w:adjustRightInd w:val="0"/>
        <w:spacing w:after="0"/>
        <w:rPr>
          <w:rFonts w:eastAsiaTheme="minorHAnsi"/>
          <w:noProof/>
          <w:sz w:val="22"/>
          <w:szCs w:val="22"/>
        </w:rPr>
      </w:pPr>
    </w:p>
    <w:p>
      <w:pPr>
        <w:numPr>
          <w:ilvl w:val="0"/>
          <w:numId w:val="3"/>
        </w:numPr>
        <w:autoSpaceDE w:val="0"/>
        <w:autoSpaceDN w:val="0"/>
        <w:adjustRightInd w:val="0"/>
        <w:spacing w:after="0" w:line="276" w:lineRule="auto"/>
        <w:ind w:left="426" w:hanging="426"/>
        <w:contextualSpacing/>
        <w:rPr>
          <w:rFonts w:eastAsiaTheme="minorHAnsi"/>
          <w:noProof/>
          <w:sz w:val="22"/>
          <w:szCs w:val="22"/>
        </w:rPr>
      </w:pPr>
      <w:r>
        <w:rPr>
          <w:rFonts w:eastAsiaTheme="minorHAnsi"/>
          <w:noProof/>
          <w:sz w:val="22"/>
          <w:szCs w:val="22"/>
        </w:rPr>
        <w:t xml:space="preserve">At least half of the companies using online marketplaces get the data they need about their customers (53%), while more than four in ten companies </w:t>
      </w:r>
      <w:r>
        <w:rPr>
          <w:rFonts w:eastAsiaTheme="minorHAnsi"/>
          <w:noProof/>
          <w:sz w:val="22"/>
        </w:rPr>
        <w:t>disagree</w:t>
      </w:r>
      <w:r>
        <w:rPr>
          <w:rFonts w:eastAsiaTheme="minorHAnsi"/>
          <w:b/>
          <w:bCs/>
          <w:noProof/>
          <w:sz w:val="22"/>
          <w:szCs w:val="22"/>
        </w:rPr>
        <w:t xml:space="preserve"> </w:t>
      </w:r>
      <w:r>
        <w:rPr>
          <w:rFonts w:eastAsiaTheme="minorHAnsi"/>
          <w:noProof/>
          <w:sz w:val="22"/>
          <w:szCs w:val="22"/>
        </w:rPr>
        <w:t>(42%).</w:t>
      </w:r>
    </w:p>
    <w:p>
      <w:pPr>
        <w:numPr>
          <w:ilvl w:val="0"/>
          <w:numId w:val="3"/>
        </w:numPr>
        <w:autoSpaceDE w:val="0"/>
        <w:autoSpaceDN w:val="0"/>
        <w:adjustRightInd w:val="0"/>
        <w:spacing w:after="0" w:line="276" w:lineRule="auto"/>
        <w:ind w:left="426" w:hanging="426"/>
        <w:contextualSpacing/>
        <w:rPr>
          <w:rFonts w:eastAsiaTheme="minorHAnsi"/>
          <w:noProof/>
          <w:sz w:val="22"/>
          <w:szCs w:val="22"/>
        </w:rPr>
      </w:pPr>
      <w:r>
        <w:rPr>
          <w:rFonts w:eastAsiaTheme="minorHAnsi"/>
          <w:noProof/>
          <w:sz w:val="22"/>
          <w:szCs w:val="22"/>
        </w:rPr>
        <w:t>At least half of these companies know what data are collected by the online marketplace about their company’s activity, and how the data is used (55%), while 37% disagrees.</w:t>
      </w:r>
    </w:p>
    <w:p>
      <w:pPr>
        <w:numPr>
          <w:ilvl w:val="0"/>
          <w:numId w:val="3"/>
        </w:numPr>
        <w:autoSpaceDE w:val="0"/>
        <w:autoSpaceDN w:val="0"/>
        <w:adjustRightInd w:val="0"/>
        <w:spacing w:after="0" w:line="276" w:lineRule="auto"/>
        <w:ind w:left="426" w:hanging="426"/>
        <w:contextualSpacing/>
        <w:rPr>
          <w:rFonts w:eastAsiaTheme="minorHAnsi"/>
          <w:noProof/>
          <w:sz w:val="22"/>
          <w:szCs w:val="22"/>
        </w:rPr>
      </w:pPr>
      <w:r>
        <w:rPr>
          <w:rFonts w:eastAsiaTheme="minorHAnsi"/>
          <w:noProof/>
          <w:sz w:val="22"/>
          <w:szCs w:val="22"/>
        </w:rPr>
        <w:t xml:space="preserve">Just over four in ten companies using online marketplaces say they can easily transfer key commercial data from one online marketplace to another (41%). However, companies are most likely to </w:t>
      </w:r>
      <w:r>
        <w:rPr>
          <w:rFonts w:eastAsiaTheme="minorHAnsi"/>
          <w:noProof/>
          <w:sz w:val="22"/>
        </w:rPr>
        <w:t xml:space="preserve">disagree </w:t>
      </w:r>
      <w:r>
        <w:rPr>
          <w:rFonts w:eastAsiaTheme="minorHAnsi"/>
          <w:noProof/>
          <w:sz w:val="22"/>
          <w:szCs w:val="22"/>
        </w:rPr>
        <w:t xml:space="preserve">that this transfer can be easily made (47%). Just over one quarter </w:t>
      </w:r>
      <w:r>
        <w:rPr>
          <w:rFonts w:eastAsiaTheme="minorHAnsi"/>
          <w:noProof/>
          <w:sz w:val="22"/>
        </w:rPr>
        <w:t xml:space="preserve">tend to disagree </w:t>
      </w:r>
      <w:r>
        <w:rPr>
          <w:rFonts w:eastAsiaTheme="minorHAnsi"/>
          <w:noProof/>
          <w:sz w:val="22"/>
          <w:szCs w:val="22"/>
        </w:rPr>
        <w:t xml:space="preserve">(28%), while 19% </w:t>
      </w:r>
      <w:r>
        <w:rPr>
          <w:rFonts w:eastAsiaTheme="minorHAnsi"/>
          <w:noProof/>
          <w:sz w:val="22"/>
        </w:rPr>
        <w:t>totally disagree</w:t>
      </w:r>
      <w:r>
        <w:rPr>
          <w:rFonts w:eastAsiaTheme="minorHAnsi"/>
          <w:noProof/>
          <w:sz w:val="22"/>
          <w:szCs w:val="22"/>
        </w:rPr>
        <w:t>.</w:t>
      </w:r>
    </w:p>
    <w:p>
      <w:pPr>
        <w:numPr>
          <w:ilvl w:val="0"/>
          <w:numId w:val="3"/>
        </w:numPr>
        <w:autoSpaceDE w:val="0"/>
        <w:autoSpaceDN w:val="0"/>
        <w:adjustRightInd w:val="0"/>
        <w:spacing w:after="0" w:line="276" w:lineRule="auto"/>
        <w:ind w:left="426" w:hanging="426"/>
        <w:contextualSpacing/>
        <w:rPr>
          <w:rFonts w:eastAsiaTheme="minorHAnsi"/>
          <w:noProof/>
          <w:sz w:val="22"/>
          <w:szCs w:val="22"/>
        </w:rPr>
      </w:pPr>
      <w:r>
        <w:rPr>
          <w:rFonts w:eastAsiaTheme="minorHAnsi"/>
          <w:noProof/>
          <w:sz w:val="22"/>
          <w:szCs w:val="22"/>
        </w:rPr>
        <w:t xml:space="preserve">More than half of all companies selling online agree that they can report false reviews about their company and have them removed (53%). Just over one quarter </w:t>
      </w:r>
      <w:r>
        <w:rPr>
          <w:rFonts w:eastAsiaTheme="minorHAnsi"/>
          <w:noProof/>
          <w:sz w:val="22"/>
        </w:rPr>
        <w:t>disagree</w:t>
      </w:r>
      <w:r>
        <w:rPr>
          <w:rFonts w:eastAsiaTheme="minorHAnsi"/>
          <w:b/>
          <w:bCs/>
          <w:noProof/>
          <w:sz w:val="22"/>
          <w:szCs w:val="22"/>
        </w:rPr>
        <w:t xml:space="preserve"> </w:t>
      </w:r>
      <w:r>
        <w:rPr>
          <w:rFonts w:eastAsiaTheme="minorHAnsi"/>
          <w:noProof/>
          <w:sz w:val="22"/>
          <w:szCs w:val="22"/>
        </w:rPr>
        <w:t>(28%). However, more than half agree that, in general, user reviews are genuine (53%).</w:t>
      </w:r>
    </w:p>
    <w:p>
      <w:pPr>
        <w:numPr>
          <w:ilvl w:val="0"/>
          <w:numId w:val="3"/>
        </w:numPr>
        <w:autoSpaceDE w:val="0"/>
        <w:autoSpaceDN w:val="0"/>
        <w:adjustRightInd w:val="0"/>
        <w:spacing w:after="0" w:line="276" w:lineRule="auto"/>
        <w:ind w:left="426" w:hanging="426"/>
        <w:contextualSpacing/>
        <w:rPr>
          <w:rFonts w:eastAsiaTheme="minorHAnsi"/>
          <w:noProof/>
          <w:sz w:val="22"/>
          <w:szCs w:val="22"/>
        </w:rPr>
      </w:pPr>
      <w:r>
        <w:rPr>
          <w:rFonts w:eastAsiaTheme="minorHAnsi"/>
          <w:noProof/>
          <w:sz w:val="22"/>
          <w:szCs w:val="22"/>
        </w:rPr>
        <w:t>More than half say their company’s reviews on online platforms have a significant impact on their sales (52%).</w:t>
      </w:r>
    </w:p>
    <w:p>
      <w:pPr>
        <w:numPr>
          <w:ilvl w:val="0"/>
          <w:numId w:val="3"/>
        </w:numPr>
        <w:autoSpaceDE w:val="0"/>
        <w:autoSpaceDN w:val="0"/>
        <w:adjustRightInd w:val="0"/>
        <w:spacing w:after="0" w:line="276" w:lineRule="auto"/>
        <w:ind w:left="426" w:hanging="426"/>
        <w:contextualSpacing/>
        <w:rPr>
          <w:rFonts w:eastAsiaTheme="minorHAnsi"/>
          <w:noProof/>
          <w:sz w:val="22"/>
          <w:szCs w:val="22"/>
        </w:rPr>
      </w:pPr>
      <w:r>
        <w:rPr>
          <w:rFonts w:eastAsiaTheme="minorHAnsi"/>
          <w:noProof/>
          <w:sz w:val="22"/>
          <w:szCs w:val="22"/>
        </w:rPr>
        <w:t xml:space="preserve">Just over one in five companies using online marketplaces </w:t>
      </w:r>
      <w:r>
        <w:rPr>
          <w:rFonts w:eastAsiaTheme="minorHAnsi"/>
          <w:noProof/>
          <w:sz w:val="22"/>
        </w:rPr>
        <w:t xml:space="preserve">totally agree </w:t>
      </w:r>
      <w:r>
        <w:rPr>
          <w:rFonts w:eastAsiaTheme="minorHAnsi"/>
          <w:noProof/>
          <w:sz w:val="22"/>
          <w:szCs w:val="22"/>
        </w:rPr>
        <w:t xml:space="preserve">that </w:t>
      </w:r>
      <w:r>
        <w:rPr>
          <w:rFonts w:eastAsiaTheme="minorHAnsi"/>
          <w:noProof/>
          <w:sz w:val="22"/>
        </w:rPr>
        <w:t xml:space="preserve">the terms and conditions for online marketplaces are clear in general </w:t>
      </w:r>
      <w:r>
        <w:rPr>
          <w:rFonts w:eastAsiaTheme="minorHAnsi"/>
          <w:noProof/>
          <w:sz w:val="22"/>
          <w:szCs w:val="22"/>
        </w:rPr>
        <w:t xml:space="preserve">(21%), while 42% </w:t>
      </w:r>
      <w:r>
        <w:rPr>
          <w:rFonts w:eastAsiaTheme="minorHAnsi"/>
          <w:noProof/>
          <w:sz w:val="22"/>
        </w:rPr>
        <w:t>tend to agree</w:t>
      </w:r>
      <w:r>
        <w:rPr>
          <w:rFonts w:eastAsiaTheme="minorHAnsi"/>
          <w:noProof/>
          <w:sz w:val="22"/>
          <w:szCs w:val="22"/>
        </w:rPr>
        <w:t xml:space="preserve">. Overall, a majority agree to some extent that these terms and conditions are clear (63%), while 32% </w:t>
      </w:r>
      <w:r>
        <w:rPr>
          <w:rFonts w:eastAsiaTheme="minorHAnsi"/>
          <w:noProof/>
          <w:sz w:val="22"/>
        </w:rPr>
        <w:t>disagree</w:t>
      </w:r>
      <w:r>
        <w:rPr>
          <w:rFonts w:eastAsiaTheme="minorHAnsi"/>
          <w:noProof/>
          <w:sz w:val="22"/>
          <w:szCs w:val="22"/>
        </w:rPr>
        <w:t xml:space="preserve">. </w:t>
      </w:r>
    </w:p>
    <w:p>
      <w:pPr>
        <w:numPr>
          <w:ilvl w:val="0"/>
          <w:numId w:val="3"/>
        </w:numPr>
        <w:autoSpaceDE w:val="0"/>
        <w:autoSpaceDN w:val="0"/>
        <w:adjustRightInd w:val="0"/>
        <w:spacing w:after="0" w:line="276" w:lineRule="auto"/>
        <w:ind w:left="426" w:hanging="426"/>
        <w:contextualSpacing/>
        <w:rPr>
          <w:rFonts w:eastAsiaTheme="minorHAnsi"/>
          <w:noProof/>
          <w:sz w:val="22"/>
          <w:szCs w:val="22"/>
        </w:rPr>
      </w:pPr>
      <w:r>
        <w:rPr>
          <w:rFonts w:eastAsiaTheme="minorHAnsi"/>
          <w:noProof/>
          <w:sz w:val="22"/>
          <w:szCs w:val="22"/>
        </w:rPr>
        <w:t xml:space="preserve">Just over a third of companies agree that they can influence or amend the terms and conditions (36%). However, the majority (58%) </w:t>
      </w:r>
      <w:r>
        <w:rPr>
          <w:rFonts w:eastAsiaTheme="minorHAnsi"/>
          <w:noProof/>
          <w:sz w:val="22"/>
        </w:rPr>
        <w:t xml:space="preserve">disagree </w:t>
      </w:r>
      <w:r>
        <w:rPr>
          <w:rFonts w:eastAsiaTheme="minorHAnsi"/>
          <w:noProof/>
          <w:sz w:val="22"/>
          <w:szCs w:val="22"/>
        </w:rPr>
        <w:t>they can influence or amend these terms and</w:t>
      </w:r>
    </w:p>
    <w:p>
      <w:pPr>
        <w:numPr>
          <w:ilvl w:val="0"/>
          <w:numId w:val="3"/>
        </w:numPr>
        <w:autoSpaceDE w:val="0"/>
        <w:autoSpaceDN w:val="0"/>
        <w:adjustRightInd w:val="0"/>
        <w:spacing w:after="0" w:line="276" w:lineRule="auto"/>
        <w:ind w:left="426" w:hanging="426"/>
        <w:contextualSpacing/>
        <w:rPr>
          <w:rFonts w:eastAsiaTheme="minorHAnsi"/>
          <w:noProof/>
          <w:sz w:val="22"/>
          <w:szCs w:val="22"/>
        </w:rPr>
      </w:pPr>
      <w:r>
        <w:rPr>
          <w:rFonts w:eastAsiaTheme="minorHAnsi"/>
          <w:noProof/>
          <w:sz w:val="22"/>
          <w:szCs w:val="22"/>
        </w:rPr>
        <w:t xml:space="preserve">conditions, with 34% that </w:t>
      </w:r>
      <w:r>
        <w:rPr>
          <w:rFonts w:eastAsiaTheme="minorHAnsi"/>
          <w:noProof/>
          <w:sz w:val="22"/>
        </w:rPr>
        <w:t>totally disagree</w:t>
      </w:r>
      <w:r>
        <w:rPr>
          <w:rFonts w:eastAsiaTheme="minorHAnsi"/>
          <w:noProof/>
          <w:sz w:val="22"/>
          <w:szCs w:val="22"/>
        </w:rPr>
        <w:t>.</w:t>
      </w:r>
    </w:p>
    <w:p>
      <w:pPr>
        <w:numPr>
          <w:ilvl w:val="0"/>
          <w:numId w:val="3"/>
        </w:numPr>
        <w:autoSpaceDE w:val="0"/>
        <w:autoSpaceDN w:val="0"/>
        <w:adjustRightInd w:val="0"/>
        <w:spacing w:after="0" w:line="276" w:lineRule="auto"/>
        <w:ind w:left="426" w:hanging="426"/>
        <w:contextualSpacing/>
        <w:jc w:val="left"/>
        <w:rPr>
          <w:rFonts w:eastAsiaTheme="minorHAnsi"/>
          <w:noProof/>
          <w:sz w:val="22"/>
        </w:rPr>
      </w:pPr>
      <w:r>
        <w:rPr>
          <w:rFonts w:eastAsiaTheme="minorHAnsi"/>
          <w:noProof/>
          <w:sz w:val="22"/>
          <w:szCs w:val="22"/>
        </w:rPr>
        <w:t xml:space="preserve">The majority of these companies agree that they can easily switch to a different online marketplace if the existing terms and conditions are changed to the detriment of their company (54%). </w:t>
      </w:r>
      <w:r>
        <w:rPr>
          <w:rFonts w:eastAsiaTheme="minorHAnsi"/>
          <w:noProof/>
          <w:sz w:val="22"/>
        </w:rPr>
        <w:t>Overall, just over a third of companies disagree</w:t>
      </w:r>
      <w:r>
        <w:rPr>
          <w:rFonts w:eastAsiaTheme="minorHAnsi"/>
          <w:b/>
          <w:bCs/>
          <w:noProof/>
          <w:sz w:val="22"/>
        </w:rPr>
        <w:t xml:space="preserve"> </w:t>
      </w:r>
      <w:r>
        <w:rPr>
          <w:rFonts w:eastAsiaTheme="minorHAnsi"/>
          <w:noProof/>
          <w:sz w:val="22"/>
        </w:rPr>
        <w:t>with this statement (35%).</w:t>
      </w:r>
    </w:p>
    <w:p>
      <w:pPr>
        <w:autoSpaceDE w:val="0"/>
        <w:autoSpaceDN w:val="0"/>
        <w:adjustRightInd w:val="0"/>
        <w:spacing w:after="0" w:line="276" w:lineRule="auto"/>
        <w:contextualSpacing/>
        <w:jc w:val="left"/>
        <w:rPr>
          <w:rFonts w:eastAsiaTheme="minorHAnsi"/>
          <w:noProof/>
          <w:sz w:val="22"/>
          <w:szCs w:val="22"/>
        </w:rPr>
      </w:pPr>
      <w:r>
        <w:rPr>
          <w:rFonts w:eastAsiaTheme="minorHAnsi"/>
          <w:noProof/>
          <w:sz w:val="22"/>
          <w:szCs w:val="22"/>
        </w:rPr>
        <w:t>Half of the companies that use an online marketplace agree that there is a reliable dispute resolution system if they have a dispute with the online marketplace they use (50%).</w:t>
      </w:r>
      <w:r>
        <w:rPr>
          <w:rFonts w:eastAsiaTheme="minorHAnsi"/>
          <w:noProof/>
          <w:sz w:val="22"/>
        </w:rPr>
        <w:t xml:space="preserve"> Almost three in ten companies disagree</w:t>
      </w:r>
      <w:r>
        <w:rPr>
          <w:rFonts w:eastAsiaTheme="minorHAnsi"/>
          <w:b/>
          <w:bCs/>
          <w:noProof/>
          <w:sz w:val="22"/>
        </w:rPr>
        <w:t xml:space="preserve"> </w:t>
      </w:r>
      <w:r>
        <w:rPr>
          <w:rFonts w:eastAsiaTheme="minorHAnsi"/>
          <w:noProof/>
          <w:sz w:val="22"/>
        </w:rPr>
        <w:t>(29%).</w:t>
      </w:r>
    </w:p>
    <w:p>
      <w:pPr>
        <w:pStyle w:val="Heading3"/>
        <w:rPr>
          <w:noProof/>
        </w:rPr>
      </w:pPr>
      <w:bookmarkStart w:id="791" w:name="_Toc492049394"/>
      <w:bookmarkStart w:id="792" w:name="_Toc492056865"/>
      <w:bookmarkStart w:id="793" w:name="_Toc492056964"/>
      <w:bookmarkStart w:id="794" w:name="_Toc492557178"/>
      <w:bookmarkStart w:id="795" w:name="_Toc492565733"/>
      <w:bookmarkStart w:id="796" w:name="_Toc495420779"/>
      <w:bookmarkStart w:id="797" w:name="_Toc492048409"/>
      <w:bookmarkStart w:id="798" w:name="_Toc492557179"/>
      <w:bookmarkStart w:id="799" w:name="_Toc497906513"/>
      <w:bookmarkStart w:id="800" w:name="_Toc497912994"/>
      <w:bookmarkStart w:id="801" w:name="_Toc497919442"/>
      <w:bookmarkStart w:id="802" w:name="_Toc497919761"/>
      <w:bookmarkStart w:id="803" w:name="_Toc497920445"/>
      <w:bookmarkStart w:id="804" w:name="_Toc497921492"/>
      <w:bookmarkStart w:id="805" w:name="_Toc497921587"/>
      <w:bookmarkStart w:id="806" w:name="_Toc500262111"/>
      <w:bookmarkStart w:id="807" w:name="_Toc507167020"/>
      <w:bookmarkStart w:id="808" w:name="_Toc508297403"/>
      <w:bookmarkStart w:id="809" w:name="_Toc508350164"/>
      <w:bookmarkStart w:id="810" w:name="_Toc508351605"/>
      <w:bookmarkStart w:id="811" w:name="_Toc508360020"/>
      <w:bookmarkStart w:id="812" w:name="_Toc511220520"/>
      <w:bookmarkStart w:id="813" w:name="_Toc511234965"/>
      <w:bookmarkStart w:id="814" w:name="_Toc511292878"/>
      <w:bookmarkEnd w:id="791"/>
      <w:bookmarkEnd w:id="792"/>
      <w:bookmarkEnd w:id="793"/>
      <w:bookmarkEnd w:id="794"/>
      <w:bookmarkEnd w:id="795"/>
      <w:bookmarkEnd w:id="796"/>
      <w:r>
        <w:rPr>
          <w:noProof/>
        </w:rPr>
        <w:t xml:space="preserve">Survey of business users, </w:t>
      </w:r>
      <w:bookmarkEnd w:id="797"/>
      <w:bookmarkEnd w:id="798"/>
      <w:r>
        <w:rPr>
          <w:noProof/>
        </w:rPr>
        <w:t>5 December 2016 – 2 February 2017</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spacing w:after="200"/>
        <w:rPr>
          <w:noProof/>
          <w:sz w:val="22"/>
          <w:szCs w:val="22"/>
        </w:rPr>
      </w:pPr>
      <w:r>
        <w:rPr>
          <w:noProof/>
          <w:sz w:val="22"/>
          <w:szCs w:val="22"/>
        </w:rPr>
        <w:t>An external contractor (</w:t>
      </w:r>
      <w:r>
        <w:rPr>
          <w:rFonts w:eastAsiaTheme="minorHAnsi"/>
          <w:noProof/>
          <w:sz w:val="22"/>
          <w:szCs w:val="22"/>
          <w:u w:val="single"/>
        </w:rPr>
        <w:t xml:space="preserve">ECORYS; </w:t>
      </w:r>
      <w:r>
        <w:rPr>
          <w:rFonts w:eastAsiaTheme="minorHAnsi"/>
          <w:noProof/>
          <w:sz w:val="22"/>
          <w:u w:val="single"/>
        </w:rPr>
        <w:t xml:space="preserve">FWC ENTR/300/PP/2013/FC-WIFO) </w:t>
      </w:r>
      <w:r>
        <w:rPr>
          <w:noProof/>
          <w:sz w:val="22"/>
          <w:szCs w:val="22"/>
        </w:rPr>
        <w:t>carried out a study to provide additional evidence to help the Commission determine the scope, actual scale and impact of potentially unfair B2B trading practices applied by online platforms.</w:t>
      </w:r>
    </w:p>
    <w:p>
      <w:pPr>
        <w:rPr>
          <w:noProof/>
          <w:sz w:val="22"/>
          <w:szCs w:val="22"/>
        </w:rPr>
      </w:pPr>
      <w:r>
        <w:rPr>
          <w:noProof/>
          <w:sz w:val="22"/>
          <w:szCs w:val="22"/>
        </w:rPr>
        <w:t>In total three surveys for business users were conducted for the study. They consisted of one survey on invitation-only basis (‘closed survey’), one survey with an open invitation (made available via the website of the European Commission; ‘open survey’) and one survey making use of a business panel (‘business panel survey’). The results presented below are an aggregate of these three surveys.</w:t>
      </w:r>
    </w:p>
    <w:p>
      <w:pPr>
        <w:rPr>
          <w:noProof/>
          <w:sz w:val="22"/>
          <w:szCs w:val="22"/>
        </w:rPr>
      </w:pPr>
      <w:r>
        <w:rPr>
          <w:noProof/>
          <w:sz w:val="22"/>
          <w:szCs w:val="22"/>
        </w:rPr>
        <w:t>In the study 46% of business user responders had experienced problems and disagreements with the platforms in their business relationship. Among the business users with more than half of turnover generated via online platforms (heavy users), the share of those that experienced problems was significantly higher (75%). Technical problems and lack of customer support are the most prevalent causes of problems for both heavy and non-heavy users. Lack of transparency of platform policies and practices on data/content are experienced by larger share of heavy users compared to non-heavy users. Among other reported problems were e.g. unfair terms and conditions, sudden changes in contractual terms or pricing, discontinuation/ suspension of user account, limitations on payment possibilities and bias of search related practices.</w:t>
      </w:r>
    </w:p>
    <w:p>
      <w:pPr>
        <w:pStyle w:val="Heading3"/>
        <w:rPr>
          <w:noProof/>
        </w:rPr>
      </w:pPr>
      <w:bookmarkStart w:id="815" w:name="_Toc492557180"/>
      <w:bookmarkStart w:id="816" w:name="_Toc492048410"/>
      <w:bookmarkStart w:id="817" w:name="_Toc497906514"/>
      <w:bookmarkStart w:id="818" w:name="_Toc497912995"/>
      <w:bookmarkStart w:id="819" w:name="_Toc497919443"/>
      <w:bookmarkStart w:id="820" w:name="_Toc497919762"/>
      <w:bookmarkStart w:id="821" w:name="_Toc497920446"/>
      <w:bookmarkStart w:id="822" w:name="_Toc497921493"/>
      <w:bookmarkStart w:id="823" w:name="_Toc497921588"/>
      <w:bookmarkStart w:id="824" w:name="_Toc500262112"/>
      <w:bookmarkStart w:id="825" w:name="_Toc507167021"/>
      <w:bookmarkStart w:id="826" w:name="_Toc508297404"/>
      <w:bookmarkStart w:id="827" w:name="_Toc508350165"/>
      <w:bookmarkStart w:id="828" w:name="_Toc508351606"/>
      <w:bookmarkStart w:id="829" w:name="_Toc508360021"/>
      <w:bookmarkStart w:id="830" w:name="_Toc511220521"/>
      <w:bookmarkStart w:id="831" w:name="_Toc511234966"/>
      <w:bookmarkStart w:id="832" w:name="_Toc511292879"/>
      <w:r>
        <w:rPr>
          <w:noProof/>
        </w:rPr>
        <w:t>Problem definition: targeted workshops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spacing w:after="200"/>
        <w:rPr>
          <w:rFonts w:eastAsiaTheme="minorHAnsi"/>
          <w:b/>
          <w:bCs/>
          <w:noProof/>
          <w:sz w:val="22"/>
          <w:szCs w:val="22"/>
          <w:u w:val="single"/>
        </w:rPr>
      </w:pPr>
      <w:r>
        <w:rPr>
          <w:rFonts w:eastAsiaTheme="minorHAnsi"/>
          <w:b/>
          <w:bCs/>
          <w:noProof/>
          <w:sz w:val="22"/>
          <w:szCs w:val="22"/>
          <w:u w:val="single"/>
        </w:rPr>
        <w:t>Business-to-business relationships in the online platforms environment - data access, (re-)use and portability – engagement workshop, 19 October 2016</w:t>
      </w:r>
      <w:r>
        <w:rPr>
          <w:rStyle w:val="FootnoteReference"/>
          <w:rFonts w:eastAsiaTheme="minorHAnsi"/>
          <w:b/>
          <w:noProof/>
          <w:sz w:val="22"/>
          <w:u w:val="single"/>
        </w:rPr>
        <w:footnoteReference w:id="22"/>
      </w:r>
    </w:p>
    <w:p>
      <w:pPr>
        <w:spacing w:after="200"/>
        <w:rPr>
          <w:rFonts w:eastAsiaTheme="minorHAnsi"/>
          <w:noProof/>
          <w:color w:val="000000"/>
          <w:sz w:val="22"/>
          <w:szCs w:val="22"/>
        </w:rPr>
      </w:pPr>
      <w:r>
        <w:rPr>
          <w:rFonts w:eastAsiaTheme="minorHAnsi"/>
          <w:noProof/>
          <w:color w:val="000000"/>
          <w:sz w:val="22"/>
          <w:szCs w:val="22"/>
        </w:rPr>
        <w:t>The workshop aimed at providing a better insight into the data related practices in the relationship between online platforms and their business users. The workshop brought together individual business users of different online platforms, associations representing such business users, academics, think tanks and government officials.</w:t>
      </w:r>
    </w:p>
    <w:p>
      <w:pPr>
        <w:spacing w:after="200"/>
        <w:rPr>
          <w:rFonts w:eastAsiaTheme="minorHAnsi"/>
          <w:noProof/>
          <w:color w:val="000000"/>
          <w:sz w:val="22"/>
          <w:szCs w:val="22"/>
        </w:rPr>
      </w:pPr>
      <w:r>
        <w:rPr>
          <w:rFonts w:eastAsiaTheme="minorHAnsi"/>
          <w:noProof/>
          <w:color w:val="000000"/>
          <w:sz w:val="22"/>
          <w:szCs w:val="22"/>
        </w:rPr>
        <w:t xml:space="preserve">Several participants highlighted that some online platforms for example impose specific (proprietary) payment systems but do not share the </w:t>
      </w:r>
      <w:r>
        <w:rPr>
          <w:rFonts w:eastAsiaTheme="minorHAnsi"/>
          <w:bCs/>
          <w:noProof/>
          <w:color w:val="000000"/>
          <w:sz w:val="22"/>
          <w:szCs w:val="22"/>
        </w:rPr>
        <w:t>payment information</w:t>
      </w:r>
      <w:r>
        <w:rPr>
          <w:rFonts w:eastAsiaTheme="minorHAnsi"/>
          <w:b/>
          <w:bCs/>
          <w:noProof/>
          <w:color w:val="000000"/>
          <w:sz w:val="22"/>
          <w:szCs w:val="22"/>
        </w:rPr>
        <w:t xml:space="preserve"> </w:t>
      </w:r>
      <w:r>
        <w:rPr>
          <w:rFonts w:eastAsiaTheme="minorHAnsi"/>
          <w:noProof/>
          <w:color w:val="000000"/>
          <w:sz w:val="22"/>
          <w:szCs w:val="22"/>
        </w:rPr>
        <w:t xml:space="preserve">of a customer with the third-party business providing a service, including subscription-based services. Businesses highlighted that lack of direct financial contact with a customer limits customer strategy. According to the participants communication with customers, which is essential for certain personalised services, is often being run via platform. </w:t>
      </w:r>
      <w:r>
        <w:rPr>
          <w:rFonts w:eastAsiaTheme="minorHAnsi"/>
          <w:noProof/>
          <w:sz w:val="22"/>
          <w:szCs w:val="22"/>
        </w:rPr>
        <w:t xml:space="preserve">Businesses also reported that they experience lock-in effects with regard to the key data controlled by specific, individual online platforms. Businesses also seemed to have difficulties in accessing </w:t>
      </w:r>
      <w:r>
        <w:rPr>
          <w:rFonts w:eastAsiaTheme="minorHAnsi"/>
          <w:bCs/>
          <w:noProof/>
          <w:sz w:val="22"/>
          <w:szCs w:val="22"/>
        </w:rPr>
        <w:t xml:space="preserve">ad performance data </w:t>
      </w:r>
      <w:r>
        <w:rPr>
          <w:rFonts w:eastAsiaTheme="minorHAnsi"/>
          <w:noProof/>
          <w:sz w:val="22"/>
          <w:szCs w:val="22"/>
        </w:rPr>
        <w:t xml:space="preserve">and data on their </w:t>
      </w:r>
      <w:r>
        <w:rPr>
          <w:rFonts w:eastAsiaTheme="minorHAnsi"/>
          <w:bCs/>
          <w:noProof/>
          <w:sz w:val="22"/>
          <w:szCs w:val="22"/>
        </w:rPr>
        <w:t>sales statistics</w:t>
      </w:r>
      <w:r>
        <w:rPr>
          <w:rFonts w:eastAsiaTheme="minorHAnsi"/>
          <w:noProof/>
          <w:sz w:val="22"/>
          <w:szCs w:val="22"/>
        </w:rPr>
        <w:t>. There is generally a lack of transparency on the performance measurement (including on the functioning of algorithmic decision-making), and a procedural difficulty around the absence of independent third-party auditing of the services provided</w:t>
      </w:r>
    </w:p>
    <w:p>
      <w:pPr>
        <w:autoSpaceDE w:val="0"/>
        <w:autoSpaceDN w:val="0"/>
        <w:adjustRightInd w:val="0"/>
        <w:spacing w:after="0"/>
        <w:rPr>
          <w:rFonts w:eastAsiaTheme="minorHAnsi"/>
          <w:noProof/>
          <w:sz w:val="22"/>
          <w:szCs w:val="22"/>
        </w:rPr>
      </w:pPr>
      <w:r>
        <w:rPr>
          <w:rFonts w:eastAsiaTheme="minorHAnsi"/>
          <w:bCs/>
          <w:noProof/>
          <w:sz w:val="22"/>
          <w:szCs w:val="22"/>
        </w:rPr>
        <w:t xml:space="preserve">Solutions </w:t>
      </w:r>
      <w:r>
        <w:rPr>
          <w:rFonts w:eastAsiaTheme="minorHAnsi"/>
          <w:noProof/>
          <w:sz w:val="22"/>
          <w:szCs w:val="22"/>
        </w:rPr>
        <w:t>explored by the participants for enabling data sharing and trust range from sector-specific discussions, to dialogue and cooperation in data sharing, to standard contractual clauses, technical and legal data standards, enforcement of the existing data sharing framework for e.g. public sector information, and, finally, mediation mechanisms. Specifics of online industries and business models need to be taken into account when extension of application of similar rules (e.g. consumer protection) is being contemplated. Some businesses also explain that although market-driven solutions for offering enhanced transparency and access to data to business users could materialise, online platforms currently impair their development by technical means – including by the abovementioned data-related practices.</w:t>
      </w:r>
    </w:p>
    <w:p>
      <w:pPr>
        <w:spacing w:after="200"/>
        <w:rPr>
          <w:rFonts w:eastAsiaTheme="minorHAnsi"/>
          <w:b/>
          <w:bCs/>
          <w:noProof/>
          <w:sz w:val="22"/>
          <w:szCs w:val="22"/>
          <w:u w:val="single"/>
        </w:rPr>
      </w:pPr>
    </w:p>
    <w:p>
      <w:pPr>
        <w:spacing w:after="200"/>
        <w:rPr>
          <w:rFonts w:eastAsiaTheme="minorHAnsi"/>
          <w:b/>
          <w:bCs/>
          <w:noProof/>
          <w:sz w:val="22"/>
          <w:szCs w:val="22"/>
          <w:u w:val="single"/>
        </w:rPr>
      </w:pPr>
      <w:r>
        <w:rPr>
          <w:rFonts w:eastAsiaTheme="minorHAnsi"/>
          <w:b/>
          <w:bCs/>
          <w:noProof/>
          <w:sz w:val="22"/>
          <w:szCs w:val="22"/>
          <w:u w:val="single"/>
        </w:rPr>
        <w:t>Business-to-business relationships in the online platforms environment – issues related to Terms and Conditions, workshop hosted by the European Commission, 14 November 2016</w:t>
      </w:r>
      <w:r>
        <w:rPr>
          <w:rStyle w:val="FootnoteReference"/>
          <w:rFonts w:eastAsiaTheme="minorHAnsi"/>
          <w:b/>
          <w:noProof/>
          <w:sz w:val="22"/>
          <w:u w:val="single"/>
        </w:rPr>
        <w:footnoteReference w:id="23"/>
      </w:r>
    </w:p>
    <w:p>
      <w:pPr>
        <w:spacing w:after="200"/>
        <w:rPr>
          <w:rFonts w:eastAsiaTheme="minorHAnsi"/>
          <w:noProof/>
          <w:sz w:val="22"/>
          <w:szCs w:val="22"/>
        </w:rPr>
      </w:pPr>
      <w:r>
        <w:rPr>
          <w:rFonts w:eastAsiaTheme="minorHAnsi"/>
          <w:noProof/>
          <w:sz w:val="22"/>
          <w:szCs w:val="22"/>
        </w:rPr>
        <w:t>The workshop aimed to better understand the contractual conditions governing B2B relationships between online platforms and their business users, while specifically focusing on standard terms and conditions (T&amp;Cs) of online platforms applicable to business users. Accordingly, the core concerns of the discussion relate to (i.) (im)balances in T&amp;Cs; (ii.) clarity and transparency of T&amp;Cs; and (iii.) redress possibilities and possible solutions to conflicts.</w:t>
      </w:r>
    </w:p>
    <w:p>
      <w:pPr>
        <w:spacing w:after="200"/>
        <w:rPr>
          <w:rFonts w:eastAsiaTheme="minorHAnsi"/>
          <w:noProof/>
          <w:sz w:val="22"/>
          <w:szCs w:val="22"/>
        </w:rPr>
      </w:pPr>
      <w:r>
        <w:rPr>
          <w:rFonts w:eastAsiaTheme="minorHAnsi"/>
          <w:noProof/>
          <w:sz w:val="22"/>
          <w:szCs w:val="22"/>
        </w:rPr>
        <w:t xml:space="preserve">Regarding the first concern, online platforms usually reserve themselves the right to unilaterally alter their T&amp;Cs, without necessarily providing clear reasoning, prior notification to business users or transitional period for compliance. The overall conclusion is therefore that T&amp;Cs are not negotiable, which also raises questions concerning the transparency of T&amp;Cs. These T&amp;Cs frequently contain 'bundling clauses' that already prescribe the use of certain auxiliary services, or even refer to price-related/non-price-related parity clauses, which precludes businesses from offering benefits – such as membership schemes - to react to demand or competition. Another common practice that is identified in T&amp;Cs relates to not providing for the sharing of data controlled by the platform (including with their business users) and at the same time allowing platforms to have access to business and user data; since sharing data with the business users still remains at the discretion of the platforms. Lastly, termination or suspension of business users' accounts does not always seem to be based on clear and justified criteria. </w:t>
      </w:r>
    </w:p>
    <w:p>
      <w:pPr>
        <w:spacing w:after="200"/>
        <w:rPr>
          <w:rFonts w:eastAsiaTheme="minorHAnsi"/>
          <w:noProof/>
          <w:sz w:val="22"/>
          <w:szCs w:val="22"/>
        </w:rPr>
      </w:pPr>
      <w:r>
        <w:rPr>
          <w:rFonts w:eastAsiaTheme="minorHAnsi"/>
          <w:noProof/>
          <w:sz w:val="22"/>
          <w:szCs w:val="22"/>
        </w:rPr>
        <w:t>Moving forward to the second concern of readability, transparency and clarity of T&amp;Cs, participants reported that T&amp;Cs are frequently drafted in a rather vague manner, which creates space for difficulties regarding execution of the contractual T&amp;Cs, dispute resolution and enforcement. This can trigger operational difficulties for business users who are faced with a lack of clarity on the conditions and the procedures related to terminating or suspending a user account, or delisting a product or service. On top of that, an escalation timeframe and clear description of what a business user can do to rectify a breach of T&amp;Cs or react to a notification by a platform or to a complaint by a different user or consumer are often missing. Furthermore, T&amp;Cs do not explicitly stipulate the general factors that influence the fee paid to the platform and the ranking on the platform (or least how the algorithm responsible for allocating the ranking is weighted).</w:t>
      </w:r>
    </w:p>
    <w:p>
      <w:pPr>
        <w:autoSpaceDE w:val="0"/>
        <w:autoSpaceDN w:val="0"/>
        <w:adjustRightInd w:val="0"/>
        <w:spacing w:after="0"/>
        <w:rPr>
          <w:rFonts w:eastAsiaTheme="minorHAnsi"/>
          <w:noProof/>
          <w:sz w:val="22"/>
          <w:szCs w:val="22"/>
        </w:rPr>
      </w:pPr>
      <w:r>
        <w:rPr>
          <w:rFonts w:eastAsiaTheme="minorHAnsi"/>
          <w:noProof/>
          <w:sz w:val="22"/>
          <w:szCs w:val="22"/>
        </w:rPr>
        <w:t xml:space="preserve">In relation to the last issue of redress, it was highlighted that two main hurdles have to be overcome in order to secure effective redress and solutions to conflicts: (i.)the lack of speed associated with traditional redress mechanisms and (ii.)the fear of retaliation that would prevent platforms' business users from complaining or initiating procedures. The responsibilities of the platform in the procedure also seem unclear, and without guarantee of unbiased decision-making. Redress possibilities appear superficial and burdened by imprecise procedural rules and lengthy procedures. References to external dispute resolution mechanisms are often missing in standard T&amp;Cs in a B2B context. In addition, a business that wishes to pursue the matter via litigation has to identify the proper respondent, which can be difficult given the complex company structure and choice of jurisdiction by platforms. Combined with the obstacles outlined above, there appears to be very little room for business users to successfully challenge platforms' decisions.  </w:t>
      </w:r>
    </w:p>
    <w:p>
      <w:pPr>
        <w:autoSpaceDE w:val="0"/>
        <w:autoSpaceDN w:val="0"/>
        <w:adjustRightInd w:val="0"/>
        <w:spacing w:after="0"/>
        <w:rPr>
          <w:rFonts w:eastAsiaTheme="minorHAnsi"/>
          <w:noProof/>
          <w:color w:val="000000"/>
          <w:sz w:val="22"/>
          <w:szCs w:val="22"/>
        </w:rPr>
      </w:pPr>
    </w:p>
    <w:p>
      <w:pPr>
        <w:spacing w:after="200"/>
        <w:rPr>
          <w:rFonts w:eastAsiaTheme="minorHAnsi"/>
          <w:b/>
          <w:bCs/>
          <w:noProof/>
          <w:sz w:val="22"/>
          <w:szCs w:val="22"/>
          <w:u w:val="single"/>
        </w:rPr>
      </w:pPr>
      <w:r>
        <w:rPr>
          <w:rFonts w:eastAsiaTheme="minorHAnsi"/>
          <w:b/>
          <w:bCs/>
          <w:noProof/>
          <w:sz w:val="22"/>
          <w:szCs w:val="22"/>
          <w:u w:val="single"/>
        </w:rPr>
        <w:t>Business-to-business relationships in the online platforms environment - algorithms, ranking and transparency workshop hosted by the European Commission, 16 March 2017</w:t>
      </w:r>
      <w:r>
        <w:rPr>
          <w:rStyle w:val="FootnoteReference"/>
          <w:rFonts w:eastAsiaTheme="minorHAnsi"/>
          <w:b/>
          <w:noProof/>
          <w:sz w:val="22"/>
          <w:u w:val="single"/>
        </w:rPr>
        <w:footnoteReference w:id="24"/>
      </w:r>
    </w:p>
    <w:p>
      <w:pPr>
        <w:spacing w:after="200"/>
        <w:rPr>
          <w:rFonts w:eastAsiaTheme="minorHAnsi"/>
          <w:noProof/>
          <w:sz w:val="22"/>
          <w:szCs w:val="22"/>
        </w:rPr>
      </w:pPr>
      <w:r>
        <w:rPr>
          <w:rFonts w:eastAsiaTheme="minorHAnsi"/>
          <w:noProof/>
          <w:sz w:val="22"/>
          <w:szCs w:val="22"/>
        </w:rPr>
        <w:t xml:space="preserve">The workshop aimed at gaining a better understanding of the challenges that algorithmic practices of online platforms may pose for their business users, as well as at putting the algorithmic selection in the context of various business models and industry sectors. Finally, it aimed at collecting views of business users about what would constitute desirable outcomes for them. </w:t>
      </w:r>
    </w:p>
    <w:p>
      <w:pPr>
        <w:spacing w:after="200"/>
        <w:rPr>
          <w:rFonts w:eastAsiaTheme="minorHAnsi"/>
          <w:noProof/>
          <w:sz w:val="22"/>
          <w:szCs w:val="22"/>
        </w:rPr>
      </w:pPr>
      <w:r>
        <w:rPr>
          <w:rFonts w:eastAsiaTheme="minorHAnsi"/>
          <w:noProof/>
          <w:sz w:val="22"/>
          <w:szCs w:val="22"/>
        </w:rPr>
        <w:t xml:space="preserve">Business users of online platforms reported lack of transparency of search algorithms and about experienced discrimination facilitated by this lack of transparency e.g. in the form of biased search result ranking that can be affected for example by paying additional fees to the platform. Due to lack of transparency advertisers cannot make sure that they get what they pay for. Publishers relying on platforms for the findability of their content have concerns that algorithms may be biased in favour of the content of the platform operator, without the users being aware. Business users across all sectors wish for more transparency with regard to search and ranking related practices of online platforms, i.e. the use of algorithms by platforms. All business users wish for a more effective enforcement of the current legislative and regulatory framework, both at the EU and national level. They argue that such more effective enforcement would be capable of resolving some of the issues they identify with algorithms used in search and ranking. Business users active in trade in services and goods would welcome an independent, external redress mechanism for resolution of problems and conflicts between platforms and their business users. As the service industry is more location-dependent, the businesses active on OTAs argued for the algorithm to take into account local regulation (for instance, on pricing). They claim that to be fair and more viable, the algorithm also needs to use more objective parameters (for instance geographic location instead of popularity, on OTAs). </w:t>
      </w:r>
    </w:p>
    <w:p>
      <w:pPr>
        <w:autoSpaceDE w:val="0"/>
        <w:autoSpaceDN w:val="0"/>
        <w:adjustRightInd w:val="0"/>
        <w:spacing w:after="0"/>
        <w:rPr>
          <w:rFonts w:eastAsiaTheme="minorHAnsi"/>
          <w:noProof/>
          <w:sz w:val="22"/>
          <w:szCs w:val="22"/>
        </w:rPr>
      </w:pPr>
      <w:r>
        <w:rPr>
          <w:rFonts w:eastAsiaTheme="minorHAnsi"/>
          <w:noProof/>
          <w:sz w:val="22"/>
          <w:szCs w:val="22"/>
        </w:rPr>
        <w:t>Besides the fuller and more effective application of the existing legislation including consumer protection regulation, business users consider self-regulation, codes of conduct and other soft law as potentially useful instruments in tackling these problems.</w:t>
      </w:r>
    </w:p>
    <w:p>
      <w:pPr>
        <w:spacing w:after="200"/>
        <w:rPr>
          <w:rFonts w:eastAsiaTheme="minorHAnsi"/>
          <w:b/>
          <w:bCs/>
          <w:noProof/>
          <w:sz w:val="22"/>
          <w:szCs w:val="22"/>
          <w:u w:val="single"/>
        </w:rPr>
      </w:pPr>
    </w:p>
    <w:p>
      <w:pPr>
        <w:spacing w:after="200"/>
        <w:rPr>
          <w:rFonts w:eastAsiaTheme="minorHAnsi"/>
          <w:b/>
          <w:bCs/>
          <w:noProof/>
          <w:sz w:val="22"/>
          <w:szCs w:val="22"/>
          <w:u w:val="single"/>
        </w:rPr>
      </w:pPr>
      <w:r>
        <w:rPr>
          <w:rFonts w:eastAsiaTheme="minorHAnsi"/>
          <w:b/>
          <w:bCs/>
          <w:noProof/>
          <w:sz w:val="22"/>
          <w:szCs w:val="22"/>
          <w:u w:val="single"/>
        </w:rPr>
        <w:t>Business-to-business relationships in the online platforms environment – discussion with online platforms, workshop hosted by the European Commission, 24 March 2017</w:t>
      </w:r>
      <w:r>
        <w:rPr>
          <w:rStyle w:val="FootnoteReference"/>
          <w:rFonts w:eastAsiaTheme="minorHAnsi"/>
          <w:b/>
          <w:noProof/>
          <w:sz w:val="22"/>
          <w:u w:val="single"/>
        </w:rPr>
        <w:footnoteReference w:id="25"/>
      </w:r>
    </w:p>
    <w:p>
      <w:pPr>
        <w:spacing w:after="200"/>
        <w:rPr>
          <w:rFonts w:eastAsiaTheme="minorHAnsi"/>
          <w:noProof/>
          <w:sz w:val="22"/>
          <w:szCs w:val="22"/>
        </w:rPr>
      </w:pPr>
      <w:r>
        <w:rPr>
          <w:rFonts w:eastAsiaTheme="minorHAnsi"/>
          <w:noProof/>
          <w:sz w:val="22"/>
          <w:szCs w:val="22"/>
        </w:rPr>
        <w:t>The workshop focused on gathering the platforms' views on the subject of relationships between online platforms and their business users. According to representatives of online platforms unilateral changes to T&amp;C of use and the lack of the possibility to negotiate them is due to large amount of users. Most of the platforms reported that they inform their business users about changes of T&amp;C by email and specify what exactly has been amended as well as when changes are to enter in force. Platforms claim such amendments are not very frequent and they may stem from the quickly changing business environment and the need to adapt to other platforms' practices. With regard to search and ranking practices, platforms denied a lack of transparency. Consumer legislation also imposes a degree of transparency, for instance by clearly indicating advertising as such.</w:t>
      </w:r>
    </w:p>
    <w:p>
      <w:pPr>
        <w:spacing w:after="200"/>
        <w:rPr>
          <w:rFonts w:eastAsiaTheme="minorHAnsi"/>
          <w:noProof/>
          <w:sz w:val="22"/>
          <w:szCs w:val="22"/>
        </w:rPr>
      </w:pPr>
      <w:r>
        <w:rPr>
          <w:rFonts w:eastAsiaTheme="minorHAnsi"/>
          <w:noProof/>
          <w:sz w:val="22"/>
          <w:szCs w:val="22"/>
        </w:rPr>
        <w:t>According the platforms, the number of suspensions is marginal compared to the number of businesses active on platforms. Blocking of accounts occur only for the most serious violations, most usually after a series of warnings. Suspensions are linked mostly to fraudulent actions or illegal content/ items. Business users are usually informed about delisting or suspension concerning their products / accounts by automated email, or information displayed in their personal area of the website. Platforms may also make available information about how to challenge suspension/delisting decision to businesses by setting up dedicated online forums, FAQs, etc., and some of them have set up call centres where eventually a human interlocutor can be reached.</w:t>
      </w:r>
    </w:p>
    <w:p>
      <w:pPr>
        <w:spacing w:after="200"/>
        <w:rPr>
          <w:rFonts w:eastAsiaTheme="minorHAnsi"/>
          <w:noProof/>
          <w:sz w:val="22"/>
          <w:szCs w:val="22"/>
        </w:rPr>
      </w:pPr>
      <w:r>
        <w:rPr>
          <w:rFonts w:eastAsiaTheme="minorHAnsi"/>
          <w:noProof/>
          <w:sz w:val="22"/>
          <w:szCs w:val="22"/>
        </w:rPr>
        <w:t>Platforms also identified the notice-and-take-down requirements as a significant challenge due to the strict deadlines and harsh consequences imposed for non-compliance. The risk of liability platforms are facing is such that they prefer to take action first and deal with possible wrongful suspension later, which leads to some cases of businesses using false complaints against each-other as commercial tactics.</w:t>
      </w:r>
    </w:p>
    <w:p>
      <w:pPr>
        <w:spacing w:after="200"/>
        <w:rPr>
          <w:rFonts w:eastAsiaTheme="minorHAnsi"/>
          <w:noProof/>
          <w:sz w:val="22"/>
          <w:szCs w:val="22"/>
        </w:rPr>
      </w:pPr>
      <w:r>
        <w:rPr>
          <w:rFonts w:eastAsiaTheme="minorHAnsi"/>
          <w:noProof/>
          <w:sz w:val="22"/>
          <w:szCs w:val="22"/>
        </w:rPr>
        <w:t>Platforms do not share business users’ concerns with regard to favouring certain products/services on online platforms. Platforms state that when they act as retailers and compete with their own business users, they do so within the limits and requirements of competition law. Platforms consider this competition as logical business practice which would not need redress. Platforms also disagree with the statement that they prefer certain auxiliary services (for example, payment or delivery systems) to other and limit the choice of business users in this regard.</w:t>
      </w:r>
    </w:p>
    <w:p>
      <w:pPr>
        <w:spacing w:after="200"/>
        <w:rPr>
          <w:rFonts w:eastAsiaTheme="minorHAnsi"/>
          <w:noProof/>
          <w:sz w:val="22"/>
          <w:szCs w:val="22"/>
        </w:rPr>
      </w:pPr>
      <w:r>
        <w:rPr>
          <w:rFonts w:eastAsiaTheme="minorHAnsi"/>
          <w:noProof/>
          <w:sz w:val="22"/>
          <w:szCs w:val="22"/>
        </w:rPr>
        <w:t>Platforms explained that various data are available to business users to access and in certain cases to retrieve. Business data may in certain cases be personal data in the sense of the General Data Protection Regulation (GDPR). Sharing personal data is restricted due to legal constraints. Platforms explained that they share little personal data because of these constraints, but also to avoid free-riding due to their business model, which is based on creating relationships between business users and consumers. Certain types of business data are shared with business users, as it is valuable to them to help to develop their business.</w:t>
      </w:r>
    </w:p>
    <w:p>
      <w:pPr>
        <w:spacing w:after="200"/>
        <w:rPr>
          <w:rFonts w:eastAsiaTheme="minorHAnsi"/>
          <w:noProof/>
          <w:sz w:val="22"/>
          <w:szCs w:val="22"/>
        </w:rPr>
      </w:pPr>
      <w:r>
        <w:rPr>
          <w:rFonts w:eastAsiaTheme="minorHAnsi"/>
          <w:noProof/>
          <w:sz w:val="22"/>
          <w:szCs w:val="22"/>
        </w:rPr>
        <w:t>Regarding redress, the platforms' argument is twofold. On the one hand they put forward the strength and claimed effectiveness of their internal redress mechanisms, which they are constantly improving and adapting to the market's demands, as well as the symbiotic nature of their relation with the businesses. On the other hand, they are sceptical about the creation of an external redress mechanism to deal with platform-to-business issues, and do not see how such a system could fit the requirements, i.e. be effective, cheap and fast, at least in comparison with the existing solutions. They point out the significant differences in business models of different platforms and in different sectors, which they consider would make a “one size fits all” solution unfeasible.</w:t>
      </w:r>
    </w:p>
    <w:p>
      <w:pPr>
        <w:pStyle w:val="Heading3"/>
        <w:rPr>
          <w:noProof/>
        </w:rPr>
      </w:pPr>
      <w:bookmarkStart w:id="833" w:name="_Toc492046789"/>
      <w:bookmarkStart w:id="834" w:name="_Toc492048729"/>
      <w:bookmarkStart w:id="835" w:name="_Toc492049397"/>
      <w:bookmarkStart w:id="836" w:name="_Toc492056868"/>
      <w:bookmarkStart w:id="837" w:name="_Toc492056967"/>
      <w:bookmarkStart w:id="838" w:name="_Toc492557181"/>
      <w:bookmarkStart w:id="839" w:name="_Toc492565736"/>
      <w:bookmarkStart w:id="840" w:name="_Toc495420782"/>
      <w:bookmarkStart w:id="841" w:name="_Toc492046790"/>
      <w:bookmarkStart w:id="842" w:name="_Toc492048730"/>
      <w:bookmarkStart w:id="843" w:name="_Toc492049398"/>
      <w:bookmarkStart w:id="844" w:name="_Toc492056869"/>
      <w:bookmarkStart w:id="845" w:name="_Toc492056968"/>
      <w:bookmarkStart w:id="846" w:name="_Toc492557182"/>
      <w:bookmarkStart w:id="847" w:name="_Toc492565737"/>
      <w:bookmarkStart w:id="848" w:name="_Toc495420783"/>
      <w:bookmarkStart w:id="849" w:name="_Toc492046791"/>
      <w:bookmarkStart w:id="850" w:name="_Toc492048731"/>
      <w:bookmarkStart w:id="851" w:name="_Toc492049399"/>
      <w:bookmarkStart w:id="852" w:name="_Toc492056870"/>
      <w:bookmarkStart w:id="853" w:name="_Toc492056969"/>
      <w:bookmarkStart w:id="854" w:name="_Toc492557183"/>
      <w:bookmarkStart w:id="855" w:name="_Toc495420784"/>
      <w:bookmarkStart w:id="856" w:name="_Toc492046792"/>
      <w:bookmarkStart w:id="857" w:name="_Toc492048732"/>
      <w:bookmarkStart w:id="858" w:name="_Toc492049400"/>
      <w:bookmarkStart w:id="859" w:name="_Toc492056871"/>
      <w:bookmarkStart w:id="860" w:name="_Toc492056970"/>
      <w:bookmarkStart w:id="861" w:name="_Toc492557184"/>
      <w:bookmarkStart w:id="862" w:name="_Toc492565739"/>
      <w:bookmarkStart w:id="863" w:name="_Toc495420785"/>
      <w:bookmarkStart w:id="864" w:name="_Toc492048411"/>
      <w:bookmarkStart w:id="865" w:name="_Toc492557185"/>
      <w:bookmarkStart w:id="866" w:name="_Toc497906516"/>
      <w:bookmarkStart w:id="867" w:name="_Toc497912997"/>
      <w:bookmarkStart w:id="868" w:name="_Toc497919445"/>
      <w:bookmarkStart w:id="869" w:name="_Toc497919764"/>
      <w:bookmarkStart w:id="870" w:name="_Toc497920448"/>
      <w:bookmarkStart w:id="871" w:name="_Toc497921495"/>
      <w:bookmarkStart w:id="872" w:name="_Toc497921590"/>
      <w:bookmarkStart w:id="873" w:name="_Toc500262113"/>
      <w:bookmarkStart w:id="874" w:name="_Toc507167022"/>
      <w:bookmarkStart w:id="875" w:name="_Toc508297405"/>
      <w:bookmarkStart w:id="876" w:name="_Toc508350166"/>
      <w:bookmarkStart w:id="877" w:name="_Toc508351607"/>
      <w:bookmarkStart w:id="878" w:name="_Toc508360022"/>
      <w:bookmarkStart w:id="879" w:name="_Toc511220522"/>
      <w:bookmarkStart w:id="880" w:name="_Toc511234967"/>
      <w:bookmarkStart w:id="881" w:name="_Toc511292880"/>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noProof/>
        </w:rPr>
        <w:t>Options design and evaluation</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pPr>
        <w:rPr>
          <w:rFonts w:eastAsiaTheme="minorHAnsi"/>
          <w:b/>
          <w:noProof/>
          <w:u w:val="single"/>
        </w:rPr>
      </w:pPr>
      <w:bookmarkStart w:id="882" w:name="_Toc492557186"/>
      <w:bookmarkStart w:id="883" w:name="_Toc497906517"/>
      <w:bookmarkStart w:id="884" w:name="_Toc497912998"/>
      <w:r>
        <w:rPr>
          <w:rFonts w:eastAsiaTheme="minorHAnsi"/>
          <w:b/>
          <w:noProof/>
          <w:u w:val="single"/>
        </w:rPr>
        <w:t>Focus Groups</w:t>
      </w:r>
      <w:bookmarkEnd w:id="882"/>
      <w:r>
        <w:rPr>
          <w:rFonts w:eastAsiaTheme="minorHAnsi"/>
          <w:b/>
          <w:noProof/>
          <w:u w:val="single"/>
        </w:rPr>
        <w:t xml:space="preserve"> with Business Users – 7 September 2017</w:t>
      </w:r>
      <w:bookmarkEnd w:id="883"/>
      <w:bookmarkEnd w:id="884"/>
    </w:p>
    <w:p>
      <w:pPr>
        <w:spacing w:after="0"/>
        <w:rPr>
          <w:rFonts w:eastAsia="Calibri"/>
          <w:noProof/>
          <w:sz w:val="22"/>
        </w:rPr>
      </w:pPr>
      <w:r>
        <w:rPr>
          <w:noProof/>
          <w:sz w:val="22"/>
          <w:lang w:val="en-US"/>
        </w:rPr>
        <w:t xml:space="preserve">On the 7th of September 2017, DG CNECT and DG GROW together with the EU Policy Lab organised a workshop with businesses active on internet platforms. The purpose of the workshop was to explore, with the invited businesses, the potential solutions to the problems arising in relations between platforms and businesses. </w:t>
      </w:r>
    </w:p>
    <w:p>
      <w:pPr>
        <w:spacing w:after="0"/>
        <w:rPr>
          <w:noProof/>
          <w:sz w:val="22"/>
          <w:lang w:val="en-US"/>
        </w:rPr>
      </w:pPr>
    </w:p>
    <w:p>
      <w:pPr>
        <w:spacing w:after="0"/>
        <w:rPr>
          <w:noProof/>
          <w:sz w:val="22"/>
          <w:lang w:val="en-US"/>
        </w:rPr>
      </w:pPr>
      <w:r>
        <w:rPr>
          <w:noProof/>
          <w:sz w:val="22"/>
          <w:u w:val="single"/>
          <w:lang w:val="en-US"/>
        </w:rPr>
        <w:t>The main specific problems identified</w:t>
      </w:r>
      <w:r>
        <w:rPr>
          <w:noProof/>
          <w:sz w:val="22"/>
          <w:lang w:val="en-US"/>
        </w:rPr>
        <w:t xml:space="preserve"> could be grouped around the following topics: (de) ranking, delisting on social media platforms, access to and use of data, lack of contact person to solve issues encountered by businesses, extra-EU Court jurisdiction, unfair refund policies, fraudulent end-users, platforms’ strong positioning on the market, fear of retaliation, T&amp;C (sudden and frequent changes, issues related to translation of the original T&amp;C), brand-bidding (online travel agencies buying Google Adds using a hotel brand to take over the search results), price-parity clauses, discrimination when platforms compete directly with their business users.</w:t>
      </w:r>
    </w:p>
    <w:p>
      <w:pPr>
        <w:spacing w:after="0"/>
        <w:rPr>
          <w:noProof/>
          <w:sz w:val="22"/>
          <w:lang w:val="en-US"/>
        </w:rPr>
      </w:pPr>
    </w:p>
    <w:p>
      <w:pPr>
        <w:rPr>
          <w:noProof/>
          <w:sz w:val="22"/>
        </w:rPr>
      </w:pPr>
      <w:r>
        <w:rPr>
          <w:noProof/>
          <w:sz w:val="22"/>
          <w:lang w:val="en-US"/>
        </w:rPr>
        <w:t>Participants selected four issues identified to explore in more detail: two of them related to the</w:t>
      </w:r>
      <w:r>
        <w:rPr>
          <w:noProof/>
          <w:sz w:val="22"/>
        </w:rPr>
        <w:t xml:space="preserve"> transparency on ranking and delisting decisions (in e-commerce and apps), while the two others addressed access to customer data (e-commerce) and price parity (online travel agencies (OTAs)). The round tables organised around these four topics resulted in the design by participants of the following dispute resolution possibilities. </w:t>
      </w:r>
    </w:p>
    <w:p>
      <w:pPr>
        <w:spacing w:after="160" w:line="259" w:lineRule="auto"/>
        <w:rPr>
          <w:rFonts w:eastAsia="Calibri"/>
          <w:noProof/>
          <w:sz w:val="22"/>
          <w:u w:val="single"/>
        </w:rPr>
      </w:pPr>
      <w:r>
        <w:rPr>
          <w:rFonts w:eastAsia="Calibri"/>
          <w:noProof/>
          <w:sz w:val="22"/>
          <w:u w:val="single"/>
        </w:rPr>
        <w:t>Case 1: Access to Data (e-commerce market places)</w:t>
      </w:r>
    </w:p>
    <w:p>
      <w:pPr>
        <w:spacing w:after="160" w:line="259" w:lineRule="auto"/>
        <w:rPr>
          <w:rFonts w:eastAsia="Calibri"/>
          <w:noProof/>
          <w:sz w:val="22"/>
        </w:rPr>
      </w:pPr>
      <w:r>
        <w:rPr>
          <w:rFonts w:eastAsia="Calibri"/>
          <w:noProof/>
          <w:sz w:val="22"/>
        </w:rPr>
        <w:t xml:space="preserve">This anticipates a new rule that platforms must transfer data to business-users (customer name, address, telephone number, email and source (e.g. Instagram, Facebook etc. payment details were of no interest)). This would require the platform to obtain the consent of the consumer for the transfer of personal data to the business-user and for the business-user to agree, within the T&amp;Cs, that they will use it purely for information purposes (i.e. not to circumvent the platform). </w:t>
      </w:r>
    </w:p>
    <w:p>
      <w:pPr>
        <w:spacing w:after="160" w:line="259" w:lineRule="auto"/>
        <w:rPr>
          <w:rFonts w:eastAsia="Calibri"/>
          <w:noProof/>
          <w:sz w:val="22"/>
        </w:rPr>
      </w:pPr>
      <w:r>
        <w:rPr>
          <w:rFonts w:eastAsia="Calibri"/>
          <w:noProof/>
          <w:sz w:val="22"/>
        </w:rPr>
        <w:t xml:space="preserve">If the platform does not comply with the rule for all business-users on the platform, the first step would be for the business-user to complain to the platform and demand access. If the platform does not provide access, the options for a business user are: </w:t>
      </w:r>
    </w:p>
    <w:p>
      <w:pPr>
        <w:numPr>
          <w:ilvl w:val="0"/>
          <w:numId w:val="53"/>
        </w:numPr>
        <w:spacing w:after="160" w:line="259" w:lineRule="auto"/>
        <w:contextualSpacing/>
        <w:rPr>
          <w:rFonts w:eastAsia="Calibri"/>
          <w:noProof/>
          <w:sz w:val="22"/>
        </w:rPr>
      </w:pPr>
      <w:r>
        <w:rPr>
          <w:rFonts w:eastAsia="Calibri"/>
          <w:noProof/>
          <w:sz w:val="22"/>
        </w:rPr>
        <w:t>Leave the platform.</w:t>
      </w:r>
    </w:p>
    <w:p>
      <w:pPr>
        <w:numPr>
          <w:ilvl w:val="0"/>
          <w:numId w:val="53"/>
        </w:numPr>
        <w:spacing w:after="160" w:line="259" w:lineRule="auto"/>
        <w:contextualSpacing/>
        <w:rPr>
          <w:rFonts w:eastAsia="Calibri"/>
          <w:noProof/>
          <w:sz w:val="22"/>
        </w:rPr>
      </w:pPr>
      <w:r>
        <w:rPr>
          <w:rFonts w:eastAsia="Calibri"/>
          <w:noProof/>
          <w:sz w:val="22"/>
        </w:rPr>
        <w:t xml:space="preserve">Make a complaint to a 'business-protection organisation' (similar to a consumer protection organisation that is not necessarily a business association). The complaint can be directed to either an industry body, who issues a notice of non-compliance to the platform and demands it complies with the rule, or to an EU level Agency/government body, who similarly issues a notice of non-compliance but who has the ability to impose a fine or a penalty in the case of non-compliance with such notice. </w:t>
      </w:r>
    </w:p>
    <w:p>
      <w:pPr>
        <w:numPr>
          <w:ilvl w:val="0"/>
          <w:numId w:val="53"/>
        </w:numPr>
        <w:spacing w:after="160" w:line="259" w:lineRule="auto"/>
        <w:contextualSpacing/>
        <w:rPr>
          <w:rFonts w:eastAsia="Calibri"/>
          <w:noProof/>
          <w:sz w:val="22"/>
        </w:rPr>
      </w:pPr>
      <w:r>
        <w:rPr>
          <w:rFonts w:eastAsia="Calibri"/>
          <w:noProof/>
          <w:sz w:val="22"/>
        </w:rPr>
        <w:t xml:space="preserve">Go to the civil courts, with the option for business-users to join a class action, which could lead to a judgment that could also impose a fine or penalty. </w:t>
      </w:r>
    </w:p>
    <w:p>
      <w:pPr>
        <w:numPr>
          <w:ilvl w:val="0"/>
          <w:numId w:val="53"/>
        </w:numPr>
        <w:spacing w:after="160" w:line="259" w:lineRule="auto"/>
        <w:contextualSpacing/>
        <w:rPr>
          <w:rFonts w:eastAsia="Calibri"/>
          <w:noProof/>
          <w:sz w:val="22"/>
        </w:rPr>
      </w:pPr>
      <w:r>
        <w:rPr>
          <w:rFonts w:eastAsia="Calibri"/>
          <w:noProof/>
          <w:sz w:val="22"/>
        </w:rPr>
        <w:t xml:space="preserve">Go to mediation or arbitration, the result of which would be a recommendation. If the platform failed to comply with the recommendation, then it would be open to the business-user to resort to the civil courts in the manner set out at 3 above. </w:t>
      </w:r>
    </w:p>
    <w:p>
      <w:pPr>
        <w:spacing w:after="0" w:line="259" w:lineRule="auto"/>
        <w:rPr>
          <w:rFonts w:eastAsia="Calibri"/>
          <w:b/>
          <w:noProof/>
          <w:sz w:val="22"/>
          <w:lang w:val="en-US"/>
        </w:rPr>
      </w:pPr>
    </w:p>
    <w:p>
      <w:pPr>
        <w:spacing w:after="160" w:line="259" w:lineRule="auto"/>
        <w:rPr>
          <w:rFonts w:eastAsia="Calibri"/>
          <w:noProof/>
          <w:sz w:val="22"/>
          <w:u w:val="single"/>
        </w:rPr>
      </w:pPr>
      <w:r>
        <w:rPr>
          <w:rFonts w:eastAsia="Calibri"/>
          <w:noProof/>
          <w:sz w:val="22"/>
          <w:u w:val="single"/>
        </w:rPr>
        <w:t>Case 2: Transparency in ranking of apps (app stores)</w:t>
      </w:r>
    </w:p>
    <w:p>
      <w:pPr>
        <w:spacing w:after="160" w:line="259" w:lineRule="auto"/>
        <w:rPr>
          <w:rFonts w:eastAsia="Calibri"/>
          <w:noProof/>
          <w:sz w:val="22"/>
          <w:lang w:val="en-US"/>
        </w:rPr>
      </w:pPr>
      <w:r>
        <w:rPr>
          <w:rFonts w:eastAsia="Calibri"/>
          <w:noProof/>
          <w:sz w:val="22"/>
          <w:lang w:val="en-US"/>
        </w:rPr>
        <w:t>A package of solutions was proposed to address the issue, composed of different aspects:</w:t>
      </w:r>
    </w:p>
    <w:p>
      <w:pPr>
        <w:numPr>
          <w:ilvl w:val="0"/>
          <w:numId w:val="54"/>
        </w:numPr>
        <w:spacing w:after="0" w:line="259" w:lineRule="auto"/>
        <w:ind w:left="714" w:hanging="357"/>
        <w:rPr>
          <w:rFonts w:eastAsia="Calibri"/>
          <w:noProof/>
          <w:sz w:val="22"/>
          <w:lang w:val="en-US"/>
        </w:rPr>
      </w:pPr>
      <w:r>
        <w:rPr>
          <w:rFonts w:eastAsia="Calibri"/>
          <w:noProof/>
          <w:sz w:val="22"/>
          <w:lang w:val="en-US"/>
        </w:rPr>
        <w:t xml:space="preserve">The link between the consumer protection and business regulation was stressed. App developers expressed the view that consumers should be educated to understand criteria used for ranking. This would allow them to notice non-transparent and unfair ranking and act against it. The participants believed that consumers should put more pressure on the app stores to release a set of objective criteria. Consumers should also be empowered to have influence on search results in an app store, by being able to set different filters (for instance 5 star rating etc.) – currently major app stores do not offer this. </w:t>
      </w:r>
    </w:p>
    <w:p>
      <w:pPr>
        <w:numPr>
          <w:ilvl w:val="0"/>
          <w:numId w:val="54"/>
        </w:numPr>
        <w:spacing w:after="0" w:line="259" w:lineRule="auto"/>
        <w:ind w:left="714" w:hanging="357"/>
        <w:rPr>
          <w:rFonts w:eastAsia="Calibri"/>
          <w:noProof/>
          <w:sz w:val="22"/>
          <w:lang w:val="en-US"/>
        </w:rPr>
      </w:pPr>
      <w:r>
        <w:rPr>
          <w:rFonts w:eastAsia="Calibri"/>
          <w:noProof/>
          <w:sz w:val="22"/>
          <w:lang w:val="en-US"/>
        </w:rPr>
        <w:t xml:space="preserve">Definition of clear ranking criteria. There are no published rules how the ranking is done and what are the criteria. The developers and consumers have to guess what elements/criteria impact the ranking of an app. Given that there are no transparent criteria for ranking, it is not possible to complain about them. The consumers should know whether search and ranking is influenced by paid advertising, as there were cases where some apps got de-ranked from one day to another, due to other app developer were presumably paying for marketing. Platforms are hiding behind secret algorithms that cannot be divulged to public. </w:t>
      </w:r>
    </w:p>
    <w:p>
      <w:pPr>
        <w:numPr>
          <w:ilvl w:val="0"/>
          <w:numId w:val="54"/>
        </w:numPr>
        <w:spacing w:after="0" w:line="259" w:lineRule="auto"/>
        <w:ind w:left="714" w:hanging="357"/>
        <w:rPr>
          <w:rFonts w:eastAsia="Calibri"/>
          <w:noProof/>
          <w:sz w:val="22"/>
          <w:lang w:val="en-US"/>
        </w:rPr>
      </w:pPr>
      <w:r>
        <w:rPr>
          <w:rFonts w:eastAsia="Calibri"/>
          <w:noProof/>
          <w:sz w:val="22"/>
          <w:lang w:val="en-US"/>
        </w:rPr>
        <w:t xml:space="preserve">The participants agreed that search functions of app stores are very basic – useful mainly if consumers are already aware of a particular app and looking up its name directly. The ranking in app store can make or break a business. The fact that there are millions of apps available and the construction of app stores do not allow consumers to clearly define search criteria, makes it difficult for a great number of developers to become visible and sell their apps. </w:t>
      </w:r>
    </w:p>
    <w:p>
      <w:pPr>
        <w:numPr>
          <w:ilvl w:val="0"/>
          <w:numId w:val="54"/>
        </w:numPr>
        <w:spacing w:after="0" w:line="259" w:lineRule="auto"/>
        <w:ind w:left="714" w:hanging="357"/>
        <w:rPr>
          <w:rFonts w:eastAsia="Calibri"/>
          <w:noProof/>
          <w:sz w:val="22"/>
          <w:lang w:val="en-US"/>
        </w:rPr>
      </w:pPr>
      <w:r>
        <w:rPr>
          <w:rFonts w:eastAsia="Calibri"/>
          <w:noProof/>
          <w:sz w:val="22"/>
          <w:lang w:val="en-US"/>
        </w:rPr>
        <w:t>Competitive ranking sites could be established that would combine all apps as well as clear and open search criteria. This would allow comparing different platforms’ ranking methodologies and defining industry-agreed clear ranking criteria.</w:t>
      </w:r>
    </w:p>
    <w:p>
      <w:pPr>
        <w:numPr>
          <w:ilvl w:val="0"/>
          <w:numId w:val="54"/>
        </w:numPr>
        <w:spacing w:after="160" w:line="259" w:lineRule="auto"/>
        <w:contextualSpacing/>
        <w:jc w:val="left"/>
        <w:rPr>
          <w:rFonts w:eastAsia="Calibri"/>
          <w:noProof/>
          <w:sz w:val="22"/>
          <w:lang w:val="en-US"/>
        </w:rPr>
      </w:pPr>
      <w:r>
        <w:rPr>
          <w:rFonts w:eastAsia="Calibri"/>
          <w:noProof/>
          <w:sz w:val="22"/>
          <w:lang w:val="en-US"/>
        </w:rPr>
        <w:t xml:space="preserve">Platforms should inform their business users of the reasons having led to their de-ranking. </w:t>
      </w:r>
      <w:r>
        <w:rPr>
          <w:noProof/>
          <w:sz w:val="22"/>
          <w:lang w:eastAsia="fr-FR"/>
        </w:rPr>
        <w:t>App developers do not get any notifications about ranking, and therefore may be unaware of the fact that their position is going down. It would be in particular useful that app stores send a notification, as sometimes a fall in ranking can be due to a bug or a mistake in a feature the developer is unaware of. In such cases, it would be useful to establish a procedure to challenge the correctness of the ranking.  </w:t>
      </w:r>
    </w:p>
    <w:p>
      <w:pPr>
        <w:numPr>
          <w:ilvl w:val="0"/>
          <w:numId w:val="54"/>
        </w:numPr>
        <w:spacing w:after="160" w:line="259" w:lineRule="auto"/>
        <w:contextualSpacing/>
        <w:jc w:val="left"/>
        <w:rPr>
          <w:rFonts w:eastAsia="Calibri"/>
          <w:noProof/>
          <w:sz w:val="22"/>
          <w:lang w:val="en-US"/>
        </w:rPr>
      </w:pPr>
      <w:r>
        <w:rPr>
          <w:rFonts w:eastAsia="Calibri"/>
          <w:noProof/>
          <w:sz w:val="22"/>
          <w:lang w:val="en-US"/>
        </w:rPr>
        <w:t>Legislation is needed to set up contact/support function to deal with errors in ranking algorithms. This function should be coupled with individualized support to improve ranking.</w:t>
      </w:r>
    </w:p>
    <w:p>
      <w:pPr>
        <w:spacing w:after="160" w:line="259" w:lineRule="auto"/>
        <w:ind w:left="720"/>
        <w:contextualSpacing/>
        <w:jc w:val="left"/>
        <w:rPr>
          <w:rFonts w:eastAsia="Calibri"/>
          <w:noProof/>
          <w:sz w:val="22"/>
          <w:lang w:val="en-US"/>
        </w:rPr>
      </w:pPr>
    </w:p>
    <w:p>
      <w:pPr>
        <w:spacing w:after="0" w:line="259" w:lineRule="auto"/>
        <w:rPr>
          <w:rFonts w:eastAsia="Calibri"/>
          <w:noProof/>
          <w:sz w:val="22"/>
          <w:u w:val="single"/>
        </w:rPr>
      </w:pPr>
      <w:r>
        <w:rPr>
          <w:rFonts w:eastAsia="Calibri"/>
          <w:noProof/>
          <w:sz w:val="22"/>
          <w:u w:val="single"/>
        </w:rPr>
        <w:t>Case 3: Price Parity (OTAs)</w:t>
      </w:r>
    </w:p>
    <w:p>
      <w:pPr>
        <w:spacing w:after="0"/>
        <w:jc w:val="left"/>
        <w:rPr>
          <w:rFonts w:eastAsia="Calibri"/>
          <w:b/>
          <w:noProof/>
          <w:sz w:val="22"/>
          <w:lang w:val="en-US"/>
        </w:rPr>
      </w:pPr>
    </w:p>
    <w:p>
      <w:pPr>
        <w:spacing w:after="0"/>
        <w:rPr>
          <w:rFonts w:eastAsia="Calibri"/>
          <w:noProof/>
          <w:sz w:val="22"/>
          <w:lang w:val="en-US"/>
        </w:rPr>
      </w:pPr>
      <w:r>
        <w:rPr>
          <w:rFonts w:eastAsia="Calibri"/>
          <w:noProof/>
          <w:sz w:val="22"/>
          <w:lang w:val="en-US"/>
        </w:rPr>
        <w:t>The hotel's sector discussion aimed to design a redress mechanism by using price parity as a test issue. The purpose of such a redress mechanism was, in the view of the participants, to ensure that hotels have the ability to set the price for the accommodation they are proposing, thus preserving the sector's freedom of contract.</w:t>
      </w:r>
    </w:p>
    <w:p>
      <w:pPr>
        <w:spacing w:after="0"/>
        <w:rPr>
          <w:rFonts w:eastAsia="Calibri"/>
          <w:noProof/>
          <w:sz w:val="22"/>
          <w:lang w:val="en-US"/>
        </w:rPr>
      </w:pPr>
    </w:p>
    <w:p>
      <w:pPr>
        <w:spacing w:after="0"/>
        <w:rPr>
          <w:rFonts w:eastAsia="Calibri"/>
          <w:noProof/>
          <w:sz w:val="22"/>
        </w:rPr>
      </w:pPr>
      <w:r>
        <w:rPr>
          <w:rFonts w:eastAsia="Calibri"/>
          <w:noProof/>
          <w:sz w:val="22"/>
          <w:lang w:val="en-US"/>
        </w:rPr>
        <w:t xml:space="preserve">A package of solutions was designed to address the issue, composed of different instruments: i) a legal ban on price parity clauses, ii) an education campaign aimed at the final customer to raise awareness about the existence of the issue and the platforms' role and benefits, iii) a redress mechanism built around several criteria (see below). The participants stressed that even in cases where price parity clauses were banned; this has not been an efficient measure since businesses would still fear retaliation for refusing to comply with the price parity requirement, i.e. platforms using practices such as de-ranking, "dimming" etc. Business users therefore argued that price-parity bans should be accompanied a transparency principle which would allow clearly showing the extent to which commissions paid by hotels influence the search/ranking results displayed by platforms. </w:t>
      </w:r>
    </w:p>
    <w:p>
      <w:pPr>
        <w:spacing w:after="0"/>
        <w:rPr>
          <w:rFonts w:eastAsia="Calibri"/>
          <w:noProof/>
          <w:sz w:val="22"/>
        </w:rPr>
      </w:pPr>
    </w:p>
    <w:p>
      <w:pPr>
        <w:spacing w:after="0"/>
        <w:rPr>
          <w:rFonts w:eastAsia="Calibri"/>
          <w:noProof/>
          <w:sz w:val="22"/>
        </w:rPr>
      </w:pPr>
      <w:r>
        <w:rPr>
          <w:rFonts w:eastAsia="Calibri"/>
          <w:noProof/>
          <w:sz w:val="22"/>
        </w:rPr>
        <w:t>Businesses expressed the view that for those instances in which price parity issues can't be solved on a bilateral P2B basis an external body should be created. This body should fit a series of criteria, such as being independent, affordable in terms of costs, accessible, confidential; have a clear and transparent (accountable) functioning. The body should be a newly created one, as the issues it would deal with are themselves new, and have a light structure to be able to efficiently concentrate on specific P2B issues. Some participants expressed the view that such organism would be competent for all platform-related issues, i.e. B2C and B2B. In addition to acting upon received complaints, an external redress body should also monitor the market and be able to start its own research/investigation. According to the participants, such a mechanism should be set by the European Commission and financed by platforms. The question was left open as to how exactly to ensure its independence (composition) in this case.</w:t>
      </w:r>
    </w:p>
    <w:p>
      <w:pPr>
        <w:spacing w:after="0" w:line="259" w:lineRule="auto"/>
        <w:rPr>
          <w:rFonts w:eastAsia="Calibri"/>
          <w:noProof/>
          <w:sz w:val="22"/>
        </w:rPr>
      </w:pPr>
    </w:p>
    <w:p>
      <w:pPr>
        <w:spacing w:after="160" w:line="259" w:lineRule="auto"/>
        <w:rPr>
          <w:rFonts w:eastAsia="Calibri"/>
          <w:b/>
          <w:noProof/>
          <w:sz w:val="22"/>
        </w:rPr>
      </w:pPr>
      <w:r>
        <w:rPr>
          <w:rFonts w:eastAsia="Calibri"/>
          <w:b/>
          <w:noProof/>
          <w:sz w:val="22"/>
        </w:rPr>
        <w:t>Case 4: Sudden Delisting</w:t>
      </w:r>
    </w:p>
    <w:p>
      <w:pPr>
        <w:spacing w:after="160" w:line="259" w:lineRule="auto"/>
        <w:rPr>
          <w:rFonts w:eastAsia="Calibri"/>
          <w:noProof/>
          <w:sz w:val="22"/>
        </w:rPr>
      </w:pPr>
      <w:r>
        <w:rPr>
          <w:rFonts w:eastAsia="Calibri"/>
          <w:noProof/>
          <w:sz w:val="22"/>
        </w:rPr>
        <w:t xml:space="preserve">Business users expressed the view that the lack of information about the grounds on which content has been delisted is the core of the problem. Without the knowledge of why delisting took place business users cannot remedy the situation.  </w:t>
      </w:r>
    </w:p>
    <w:p>
      <w:pPr>
        <w:spacing w:after="160" w:line="259" w:lineRule="auto"/>
        <w:rPr>
          <w:rFonts w:eastAsia="Calibri"/>
          <w:noProof/>
          <w:sz w:val="22"/>
        </w:rPr>
      </w:pPr>
      <w:r>
        <w:rPr>
          <w:rFonts w:eastAsia="Calibri"/>
          <w:noProof/>
          <w:sz w:val="22"/>
        </w:rPr>
        <w:t xml:space="preserve">Business users generally argued that transparency in the delisting process would address many of the issues raised. Once the reasons for delisting are understood and a chance is given to business users to address the problems, disputes with online platforms could quickly be settled. Business users' general concern is that the platforms' terms and conditions are often vague as to the grounds for delisting. Moreover, frequently business users are either not informed that their content has been delisted or the information is vague and does not allow them to take action to remedy the situation. Business users express therefore the view that transparency coupled with an effective internal dispute resolution should address the vast majority of cases. Quick, external dispute resolution would in their view be useful in cases related to the legality of content, e.g. copyright, and in those rare cases where internal dispute resolution will not work.  </w:t>
      </w:r>
    </w:p>
    <w:p>
      <w:pPr>
        <w:spacing w:after="0"/>
        <w:rPr>
          <w:rFonts w:eastAsia="Calibri"/>
          <w:noProof/>
          <w:sz w:val="22"/>
        </w:rPr>
      </w:pPr>
      <w:r>
        <w:rPr>
          <w:noProof/>
          <w:sz w:val="22"/>
          <w:szCs w:val="22"/>
          <w:lang w:val="en-US"/>
        </w:rPr>
        <w:t>The</w:t>
      </w:r>
      <w:r>
        <w:rPr>
          <w:noProof/>
          <w:sz w:val="22"/>
          <w:lang w:val="en-US"/>
        </w:rPr>
        <w:t xml:space="preserve"> full report prepared by the EU Policy Lab (JRC) will be published</w:t>
      </w:r>
      <w:r>
        <w:rPr>
          <w:rFonts w:eastAsia="Calibri"/>
          <w:noProof/>
          <w:sz w:val="22"/>
        </w:rPr>
        <w:t>.</w:t>
      </w:r>
    </w:p>
    <w:p>
      <w:pPr>
        <w:spacing w:after="0"/>
        <w:rPr>
          <w:rFonts w:eastAsia="Calibri"/>
          <w:noProof/>
          <w:sz w:val="22"/>
        </w:rPr>
      </w:pPr>
    </w:p>
    <w:p>
      <w:pPr>
        <w:rPr>
          <w:rFonts w:eastAsiaTheme="minorHAnsi"/>
          <w:b/>
          <w:noProof/>
          <w:u w:val="single"/>
        </w:rPr>
      </w:pPr>
      <w:bookmarkStart w:id="885" w:name="_Toc497906518"/>
      <w:bookmarkStart w:id="886" w:name="_Toc497912999"/>
      <w:r>
        <w:rPr>
          <w:rFonts w:eastAsiaTheme="minorHAnsi"/>
          <w:b/>
          <w:noProof/>
          <w:u w:val="single"/>
        </w:rPr>
        <w:t>Focus groups with Platforms – 20 October 2017</w:t>
      </w:r>
      <w:bookmarkEnd w:id="885"/>
      <w:bookmarkEnd w:id="886"/>
    </w:p>
    <w:p>
      <w:pPr>
        <w:rPr>
          <w:noProof/>
          <w:sz w:val="22"/>
          <w:lang w:val="en-US"/>
        </w:rPr>
      </w:pPr>
      <w:r>
        <w:rPr>
          <w:noProof/>
          <w:sz w:val="22"/>
          <w:szCs w:val="22"/>
          <w:lang w:val="en-US"/>
        </w:rPr>
        <w:t xml:space="preserve">The </w:t>
      </w:r>
      <w:r>
        <w:rPr>
          <w:noProof/>
          <w:sz w:val="22"/>
          <w:lang w:val="en-US"/>
        </w:rPr>
        <w:t xml:space="preserve">focus group explored possible solutions to issues identified during the fact-finding exercise. The workshop was focused on gathering information on how platforms deal with practices concerning the process of delisting the content/offers submitted by business users, the processes for handling complaints by from their business users, information provided to business users on the rules governing paid ranking or payment for increased visibility (if applicable), information provided to business users on more </w:t>
      </w:r>
      <w:r>
        <w:rPr>
          <w:noProof/>
          <w:sz w:val="22"/>
          <w:szCs w:val="22"/>
          <w:lang w:val="en-US"/>
        </w:rPr>
        <w:t>favorable</w:t>
      </w:r>
      <w:r>
        <w:rPr>
          <w:noProof/>
          <w:sz w:val="22"/>
          <w:lang w:val="en-US"/>
        </w:rPr>
        <w:t xml:space="preserve"> treatment of a platform's own products or services, information provided to business users on what data about their activity is collected and used by the platform operation and what data the business user has access to and the use of external mediation to solve disputes with business users. </w:t>
      </w:r>
    </w:p>
    <w:p>
      <w:pPr>
        <w:rPr>
          <w:noProof/>
          <w:sz w:val="22"/>
          <w:lang w:val="en-US"/>
        </w:rPr>
      </w:pPr>
      <w:r>
        <w:rPr>
          <w:noProof/>
          <w:sz w:val="22"/>
          <w:lang w:val="en-US"/>
        </w:rPr>
        <w:t xml:space="preserve">The workshop gathered representatives of platforms active in different sectors of the economy (e.g. e-commerce, app stores, review websites, online travel agencies – OTAs, social networks and advertising) as well as representatives of industry organizations. The workshop was organized under Chatham House rules and this report gives a high-level overview of the issues raised during the discussion. </w:t>
      </w:r>
    </w:p>
    <w:p>
      <w:pPr>
        <w:rPr>
          <w:noProof/>
          <w:sz w:val="22"/>
          <w:lang w:val="en-US"/>
        </w:rPr>
      </w:pPr>
      <w:r>
        <w:rPr>
          <w:noProof/>
          <w:sz w:val="22"/>
          <w:lang w:val="en-US"/>
        </w:rPr>
        <w:t xml:space="preserve">At the beginning, the European Commission presented the objective of the workshop, which was an opportunity to explore possible solutions to the issues identified during the fact-finding exercise on B2B relationships on online platforms. Participants then discussed the solutions in group settings. </w:t>
      </w:r>
    </w:p>
    <w:p>
      <w:pPr>
        <w:rPr>
          <w:noProof/>
          <w:sz w:val="22"/>
          <w:lang w:val="en-US"/>
        </w:rPr>
      </w:pPr>
      <w:r>
        <w:rPr>
          <w:noProof/>
          <w:sz w:val="22"/>
          <w:lang w:val="en-US"/>
        </w:rPr>
        <w:t xml:space="preserve">The discussion was focused on mapping how the practices identified above occurred in practice before discussing possible solutions focused on transparency, dispute resolution and the role a possible expert body could play. </w:t>
      </w:r>
    </w:p>
    <w:p>
      <w:pPr>
        <w:rPr>
          <w:noProof/>
          <w:sz w:val="22"/>
          <w:lang w:val="en-US"/>
        </w:rPr>
      </w:pPr>
      <w:r>
        <w:rPr>
          <w:noProof/>
          <w:sz w:val="22"/>
          <w:lang w:val="en-US"/>
        </w:rPr>
        <w:t xml:space="preserve">With regard to practices concerning the process of delisting the content/offers submitted by business users, it was discussed that the starting point should relate to a breach of the Terms and Conditions. A good rule for changes in the Terms and Conditions that may trigger delisting of content/offers, whether for changes in the law, clarification whether certain types of behaviour are acceptable or not (which may originate from business users or their associations, evolve from fraudulent activity or a desire for better protection etc.) is to communicate such changes to businesses. It was recognised that communication was key and if compliance caused practical difficulties when implemented, this should be considered before it triggered delisting. Good practices for communicating changes may depend on the nature of the change, but conveying the context was considered beneficial to businesses. Where a minor change is proposed, this could be notified through an email campaign. Where a more major change is anticipated, this could be potentially discussed in forums or tested with business associations. It was considered fair that changes in Terms and Conditions should not be applied retrospectively for example, to products or services already listed on a platform, but should apply for any future use of a platform.  </w:t>
      </w:r>
    </w:p>
    <w:p>
      <w:pPr>
        <w:rPr>
          <w:noProof/>
          <w:sz w:val="22"/>
          <w:lang w:val="en-US"/>
        </w:rPr>
      </w:pPr>
      <w:r>
        <w:rPr>
          <w:noProof/>
          <w:sz w:val="22"/>
          <w:lang w:val="en-US"/>
        </w:rPr>
        <w:t xml:space="preserve">With regard to the processes for handling complaints from their business users, platforms recognised that having the problem brought to the platform’s attention and a dialogue pursued, was a good way to try and correct problems quickly. This could be achieved through providing a point of contact. The value of having a mechanism that gave opportunities for businesses to correct their behaviour was in line with the platforms’ desire to continue the business relationship, save where they may be good reason to suspend the activities (for example, due to illegal activity or where more time is needed for a business to adapt their behaviour to meet the standards set out in the Terms and Conditions). The same objective was considered important whether such opportunity to correct behaviour occurred within the internal redress mechanisms or through an external mediation body, provided that this did not introduce additional administrative burdens. </w:t>
      </w:r>
    </w:p>
    <w:p>
      <w:pPr>
        <w:rPr>
          <w:noProof/>
          <w:sz w:val="22"/>
          <w:lang w:val="en-US"/>
        </w:rPr>
      </w:pPr>
      <w:r>
        <w:rPr>
          <w:noProof/>
          <w:sz w:val="22"/>
          <w:lang w:val="en-US"/>
        </w:rPr>
        <w:t xml:space="preserve">With regard to the information provided to business users on the rules governing paid ranking or payment for increased visibility (where applicable), there was a recognition that businesses should be made aware that their ranking still depended on them offering a quality product or service and that it was in both the interests of the platform and the businesses, for the paid ranking or any increased visibility to offer a return on the investment. This could be assisted by dialogue with businesses, communication of the information/guidelines on the factors taken into account for ranking (without disclosing algorithms) and the offer of analytical assistance. </w:t>
      </w:r>
    </w:p>
    <w:p>
      <w:pPr>
        <w:rPr>
          <w:noProof/>
          <w:sz w:val="22"/>
          <w:lang w:val="en-US"/>
        </w:rPr>
      </w:pPr>
      <w:r>
        <w:rPr>
          <w:noProof/>
          <w:sz w:val="22"/>
          <w:lang w:val="en-US"/>
        </w:rPr>
        <w:t xml:space="preserve">With regard to the information provided to business users on more </w:t>
      </w:r>
      <w:r>
        <w:rPr>
          <w:noProof/>
          <w:sz w:val="22"/>
          <w:szCs w:val="22"/>
          <w:lang w:val="en-US"/>
        </w:rPr>
        <w:t>favorable</w:t>
      </w:r>
      <w:r>
        <w:rPr>
          <w:noProof/>
          <w:sz w:val="22"/>
          <w:lang w:val="en-US"/>
        </w:rPr>
        <w:t xml:space="preserve"> treatment of a platform's own products or services, the placing of own products on the market was recognized as a practice to match customer demand so a full range of products or services were available on the platform. There was a recognition that consumers needed to be advised that where a product or service was the platform's own (providing the same transparency to businesses, as is required to consumers) and that such products or services would only compete if they were of quality. The value of ensuring Chinese walls were put in place to separate the departments that worked on the development of own products and search and ranking was recognised. This would lead to a desirable environment of fair competition. </w:t>
      </w:r>
    </w:p>
    <w:p>
      <w:pPr>
        <w:rPr>
          <w:noProof/>
          <w:sz w:val="22"/>
          <w:lang w:val="en-US"/>
        </w:rPr>
      </w:pPr>
      <w:r>
        <w:rPr>
          <w:noProof/>
          <w:sz w:val="22"/>
          <w:lang w:val="en-US"/>
        </w:rPr>
        <w:t xml:space="preserve">With regard to the information provided to business users on what data about their activity is collected and used by the platform and what data the business user has access to, it was recognised that data analysis was part of the service offered by platforms and access should be restricted to avoid circumvention and free-riding. The value in sharing data was recognised as it can ultimately lead to optimisation of sales, beneficial for both the businesses and the platforms. However, some reservations on sharing data were expressed such as the difficultly with the usefulness of raw data, the incompatibility of transferring data from one platform to another and vulnerability to abuse, where for example, the standards to verify reviews may be lower platform to platform. The benefit of businesses better understanding how they could use data was recognised. </w:t>
      </w:r>
    </w:p>
    <w:p>
      <w:pPr>
        <w:rPr>
          <w:rFonts w:eastAsiaTheme="minorHAnsi"/>
          <w:noProof/>
        </w:rPr>
      </w:pPr>
      <w:r>
        <w:rPr>
          <w:noProof/>
          <w:sz w:val="22"/>
          <w:lang w:val="en-US"/>
        </w:rPr>
        <w:t xml:space="preserve">With regard to an expert body, it was recognised that this could add value particularly if it could be used to raise awareness of the actions platforms were taking to be more transparent to their business users and could be used to publicise a platform’s performance in that regard, possibly via an internet portal. If the expert body was trusted by the businesses, it could be a useful avenue through which platforms could be informed of problems and complaints, where businesses do not go directly to them, to give an opportunity for them to be resolved. It may be a less damaging method for platforms, who could deal with problems without having to do so in reaction to a damaging, very public social media campaign. Such a body could collect good and bad practices and develop Codes of Practice however, it was recognised that such an expert body would need to respect platform’s business secrets so that it did not force them to disclose matters that may negatively affect their competitive advantage. </w:t>
      </w:r>
    </w:p>
    <w:p>
      <w:pPr>
        <w:pStyle w:val="Heading3"/>
        <w:rPr>
          <w:noProof/>
        </w:rPr>
      </w:pPr>
      <w:bookmarkStart w:id="887" w:name="_Toc495420789"/>
      <w:bookmarkStart w:id="888" w:name="_Toc495420790"/>
      <w:bookmarkStart w:id="889" w:name="_Toc495420791"/>
      <w:bookmarkStart w:id="890" w:name="_Toc495420792"/>
      <w:bookmarkStart w:id="891" w:name="_Toc497919446"/>
      <w:bookmarkStart w:id="892" w:name="_Toc497919765"/>
      <w:bookmarkStart w:id="893" w:name="_Toc497920449"/>
      <w:bookmarkStart w:id="894" w:name="_Toc497921496"/>
      <w:bookmarkStart w:id="895" w:name="_Toc497921591"/>
      <w:bookmarkStart w:id="896" w:name="_Toc500262114"/>
      <w:bookmarkStart w:id="897" w:name="_Toc507167023"/>
      <w:bookmarkStart w:id="898" w:name="_Toc508297406"/>
      <w:bookmarkStart w:id="899" w:name="_Toc508350167"/>
      <w:bookmarkStart w:id="900" w:name="_Toc508351608"/>
      <w:bookmarkStart w:id="901" w:name="_Toc508360023"/>
      <w:bookmarkStart w:id="902" w:name="_Toc511220523"/>
      <w:bookmarkStart w:id="903" w:name="_Toc511234968"/>
      <w:bookmarkStart w:id="904" w:name="_Toc511292881"/>
      <w:bookmarkStart w:id="905" w:name="_Toc492557187"/>
      <w:bookmarkStart w:id="906" w:name="_Toc497906519"/>
      <w:bookmarkStart w:id="907" w:name="_Toc497913000"/>
      <w:bookmarkEnd w:id="887"/>
      <w:bookmarkEnd w:id="888"/>
      <w:bookmarkEnd w:id="889"/>
      <w:bookmarkEnd w:id="890"/>
      <w:r>
        <w:rPr>
          <w:noProof/>
        </w:rPr>
        <w:t>Questionnaire "Online platforms and platforms-to-business relations for Member States</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Pr>
          <w:noProof/>
        </w:rPr>
        <w:t xml:space="preserve"> </w:t>
      </w:r>
      <w:bookmarkEnd w:id="905"/>
      <w:bookmarkEnd w:id="906"/>
      <w:bookmarkEnd w:id="907"/>
    </w:p>
    <w:p>
      <w:pPr>
        <w:rPr>
          <w:b/>
          <w:noProof/>
          <w:sz w:val="22"/>
        </w:rPr>
      </w:pPr>
      <w:r>
        <w:rPr>
          <w:b/>
          <w:noProof/>
          <w:sz w:val="22"/>
        </w:rPr>
        <w:t>A. Online Platforms – main findings</w:t>
      </w:r>
    </w:p>
    <w:p>
      <w:pPr>
        <w:rPr>
          <w:b/>
          <w:noProof/>
          <w:sz w:val="22"/>
        </w:rPr>
      </w:pPr>
      <w:r>
        <w:rPr>
          <w:b/>
          <w:noProof/>
          <w:sz w:val="22"/>
        </w:rPr>
        <w:t>A.1. Online platforms greatly benefit consumers as well as businesses, and it is an imperative for the EU to support their further development</w:t>
      </w:r>
    </w:p>
    <w:p>
      <w:pPr>
        <w:rPr>
          <w:noProof/>
          <w:sz w:val="22"/>
        </w:rPr>
      </w:pPr>
      <w:r>
        <w:rPr>
          <w:noProof/>
          <w:sz w:val="22"/>
        </w:rPr>
        <w:t>All Member States which commented on this point emphasised the significant benefits of platforms, their potential for growth and innovation, the opportunities both for consumers and businesses; most of them also stressed the need to support the platform environment, in particular the European marketplaces. Regarding the means of support, the views of Member States very much diverge: one Member State stressed that the statement was too general to be endorsed as such. Another stressed that only a clearly identified public interest would justify intervention into commercial freedom; other indicated that they took dissuasive enforcement measures (sanctions) in order to effectively support European businesses against repressive behaviour of platforms. Some responding Member States indicated that they would support self-regulatory measures only to enable platforms to develop. Some would abstain from regulation because they believe that the market is developing too fast to allow for timely regulation. Other favour a "neutrality" principle for platforms which would allow for balancing interests.</w:t>
      </w:r>
    </w:p>
    <w:p>
      <w:pPr>
        <w:rPr>
          <w:b/>
          <w:noProof/>
          <w:sz w:val="22"/>
        </w:rPr>
      </w:pPr>
      <w:r>
        <w:rPr>
          <w:b/>
          <w:noProof/>
          <w:sz w:val="22"/>
        </w:rPr>
        <w:t>A.2. Online platforms benefit from indirect and data network effects of an unprecedented magnitude</w:t>
      </w:r>
    </w:p>
    <w:p>
      <w:pPr>
        <w:rPr>
          <w:noProof/>
          <w:sz w:val="22"/>
        </w:rPr>
      </w:pPr>
      <w:r>
        <w:rPr>
          <w:noProof/>
          <w:sz w:val="22"/>
        </w:rPr>
        <w:t>Most responding Member States largely agreed on network effects, however some stressed that there is a high additional competitive pressure put on platforms; that there are competitive effects resulting from multi-homing and cross-market competition; that most platforms are small and local. Some stressed that network effect have both positive and negative aspects; that benefits from network effects may be justified in principle and only be addressed by regulatory means with respect to specific problems.</w:t>
      </w:r>
    </w:p>
    <w:p>
      <w:pPr>
        <w:rPr>
          <w:b/>
          <w:noProof/>
          <w:sz w:val="22"/>
        </w:rPr>
      </w:pPr>
      <w:r>
        <w:rPr>
          <w:b/>
          <w:noProof/>
          <w:sz w:val="22"/>
        </w:rPr>
        <w:t>A.3. Digital trade is growing fast and will increasingly be intermediated by online platforms</w:t>
      </w:r>
    </w:p>
    <w:p>
      <w:pPr>
        <w:rPr>
          <w:noProof/>
          <w:sz w:val="22"/>
        </w:rPr>
      </w:pPr>
      <w:r>
        <w:rPr>
          <w:noProof/>
          <w:sz w:val="22"/>
        </w:rPr>
        <w:t xml:space="preserve">Responding Member States confirm that according to statistics available there is exponential growth in digital trade, which is expected to continue to grow. One Member State points to the importance of free flow of data to enable European and indigenous platforms to capture this growth. Another Member State only agrees partially indicating that predictions of future growth of digital trade must be seen as part of an overall picture including also predictions on external costs (jobs, environment). Where Member States commented on the increase of intermediation by online platforms, they also agreed with the above statement.  While endorsing the statement, some Member States stressed that the evolution cannot be predicted in its precise form and that therefore any regulation should stay technologically-neutral and principles-based. </w:t>
      </w:r>
    </w:p>
    <w:p>
      <w:pPr>
        <w:rPr>
          <w:b/>
          <w:noProof/>
          <w:sz w:val="22"/>
        </w:rPr>
      </w:pPr>
      <w:r>
        <w:rPr>
          <w:b/>
          <w:noProof/>
          <w:sz w:val="22"/>
        </w:rPr>
        <w:t>A.4. Businesses increasingly depend on platforms for accessing customers, while online platforms lack an incentive to protect the business-side of their multi-sided markets.</w:t>
      </w:r>
    </w:p>
    <w:p>
      <w:pPr>
        <w:rPr>
          <w:noProof/>
          <w:sz w:val="22"/>
        </w:rPr>
      </w:pPr>
      <w:r>
        <w:rPr>
          <w:noProof/>
          <w:sz w:val="22"/>
        </w:rPr>
        <w:t xml:space="preserve">A large number of responding Member States in principle endorse the statement on dependency and the failure of competitive pressure of the market mechanism to allow businesses to protect their interests.  One Member State sees a stronger position on the side of the platforms and would seek for some outbalancing of the relationship. Another one agrees that there is often an unequal bargaining situation and a high risk of unfair terms. Some Member States see a direct need for appropriate regulation of online platforms. While endorsing the statement on dependency in principle, one Member State also pointed to a "three pillar" symbiosis: The P2C-B2C-P2B relationships are interdependent and platforms would have an incentive to protect businesses insofar as the loss of businesses on their platform would also lead to loss of consumers on the platforms. </w:t>
      </w:r>
    </w:p>
    <w:p>
      <w:pPr>
        <w:rPr>
          <w:noProof/>
          <w:sz w:val="22"/>
        </w:rPr>
      </w:pPr>
      <w:r>
        <w:rPr>
          <w:noProof/>
          <w:sz w:val="22"/>
        </w:rPr>
        <w:t>Some responding Member States take a more cautious approach. One Member State stressed the importance of not stifling competition between the platforms/businesses. Another one would not subscribe as such to a statement that online platforms would lack an incentive to protect businesses and is looking for final findings of the Commission in this respect. One Member State does not share a finding of dependency of SMEs on platforms (relying on Eurobarometer 447). Another believes that there is a diverse picture and that any problems would sufficiently be addressed by competition law. It was stressed that due to the evolving phenomenon of the platform economy, regulation may not be fit for purpose within a near future, as well as that regarding certain practices of platforms - such as typically manipulation of search results – these are subject to competitive constraints and therefore there would be an incentive for platforms to protect businesses interests.</w:t>
      </w:r>
    </w:p>
    <w:p>
      <w:pPr>
        <w:rPr>
          <w:b/>
          <w:noProof/>
          <w:sz w:val="22"/>
        </w:rPr>
      </w:pPr>
      <w:r>
        <w:rPr>
          <w:b/>
          <w:noProof/>
          <w:sz w:val="22"/>
        </w:rPr>
        <w:t>A.5. Friction exists in platform-to-business relations, but business users' important fear of commercial retaliation in the case of complaints means precise scale is unknown</w:t>
      </w:r>
    </w:p>
    <w:p>
      <w:pPr>
        <w:rPr>
          <w:noProof/>
          <w:sz w:val="22"/>
        </w:rPr>
      </w:pPr>
      <w:r>
        <w:rPr>
          <w:noProof/>
          <w:sz w:val="22"/>
        </w:rPr>
        <w:t>Some responding Member States agreed with the statement; some pointed to the fact that businesses might also be prone to sacrifice more and make compromises to the platforms' benefits. Some Member States would welcome an appeals mechanism for businesses to handle delisting which should be outbalanced with the burden put on platforms. Another Member State pointed out that their national competition authority allows for confidentiality and provides for interim measures to prevent retaliation.  Some Member States ask for inquiring this issue with businesses.</w:t>
      </w:r>
    </w:p>
    <w:p>
      <w:pPr>
        <w:rPr>
          <w:noProof/>
          <w:sz w:val="22"/>
        </w:rPr>
      </w:pPr>
      <w:r>
        <w:rPr>
          <w:noProof/>
          <w:sz w:val="22"/>
        </w:rPr>
        <w:t xml:space="preserve">One Member State asks for further examination as to how to address frictions if they exist. Some stressed that the higher risk of retaliation of business, if compared to consumers, should be seen against the fact that businesses also have more scope to preserve their rights (legal advice, ability to complain due to turnover). The fact finding exercise was welcomed by Member States who also inquired for more data to enable the authorities to address the problem effectively and in a proportionate way, pointing to the fact that imbalances in bargaining power are not particular to P2B relationships. </w:t>
      </w:r>
    </w:p>
    <w:p>
      <w:pPr>
        <w:rPr>
          <w:noProof/>
          <w:sz w:val="22"/>
        </w:rPr>
      </w:pPr>
      <w:r>
        <w:rPr>
          <w:noProof/>
          <w:sz w:val="22"/>
        </w:rPr>
        <w:t>One Member State indicated that it had not found evidence of friction and fear of retaliation and believes that the current legal framework is sufficient to ensure the functioning of the sector.</w:t>
      </w:r>
    </w:p>
    <w:p>
      <w:pPr>
        <w:rPr>
          <w:b/>
          <w:noProof/>
          <w:sz w:val="22"/>
        </w:rPr>
      </w:pPr>
      <w:r>
        <w:rPr>
          <w:b/>
          <w:noProof/>
          <w:sz w:val="22"/>
        </w:rPr>
        <w:t>B. Objectives of possible EU action on P2B relations</w:t>
      </w:r>
    </w:p>
    <w:p>
      <w:pPr>
        <w:rPr>
          <w:b/>
          <w:noProof/>
          <w:sz w:val="22"/>
        </w:rPr>
      </w:pPr>
      <w:r>
        <w:rPr>
          <w:b/>
          <w:noProof/>
          <w:sz w:val="22"/>
        </w:rPr>
        <w:t>B.1. To ensure a predictable business environment for firms trading online, thus supporting the development of trade on online platforms and related innovation as well as greater choice and value for consumers</w:t>
      </w:r>
    </w:p>
    <w:p>
      <w:pPr>
        <w:rPr>
          <w:noProof/>
          <w:sz w:val="22"/>
        </w:rPr>
      </w:pPr>
      <w:r>
        <w:rPr>
          <w:noProof/>
          <w:sz w:val="22"/>
        </w:rPr>
        <w:t xml:space="preserve">Various responding Member States emphasised the need to ensure a predictable business environment for firms trading online. Some stressed the need for legal certainty as well as creating fair competitive conditions for companies, free from discrimination. On the other hand, other consider that the first priority should be to ensure an environment where platforms are not only able to innovate, but also one in which the barriers to entry for emerging platforms and new business models are low. Thus, overly burdensome regulation on platform providers and businesses should be avoided, while standardised appeal mechanisms are welcomed. Some believe that any possible EU action on P2B relations would require an evidence-based assessment as to whether the current regulation (including antitrust) is sufficient to address potential issues related to online platforms. According to some Member States, the dynamic market developments of platforms poses a risk that legislation will not be able to follow and becomes a barrier to development of new business models. The need for technological neutrality was also stressed. </w:t>
      </w:r>
    </w:p>
    <w:p>
      <w:pPr>
        <w:rPr>
          <w:b/>
          <w:noProof/>
          <w:sz w:val="22"/>
        </w:rPr>
      </w:pPr>
      <w:r>
        <w:rPr>
          <w:b/>
          <w:noProof/>
          <w:sz w:val="22"/>
        </w:rPr>
        <w:t>B.2. To facilitate the emergence of new online platform firms, including by reducing barriers to entry and by ensuring a level playing field</w:t>
      </w:r>
    </w:p>
    <w:p>
      <w:pPr>
        <w:rPr>
          <w:noProof/>
          <w:sz w:val="22"/>
        </w:rPr>
      </w:pPr>
      <w:r>
        <w:rPr>
          <w:noProof/>
          <w:sz w:val="22"/>
        </w:rPr>
        <w:t xml:space="preserve">Responding Member States stressed the fact that overregulation can have a negative impact on the level playing field, competition, innovation and starting a digital business in the EU, as well as it can increase barriers to entry and make it less likely that future European platforms grow into global businesses. Some Member States emphasised the need to ensure fait relations between platforms and businesses based on transparency, non-discrimination and equality. Other believe that the emergence of new platforms can be facilitated by addressing outstanding barriers and updating existing regulation to make it fit for a digital age, as well as lightening the burden of regulation for small businesses and encouraging access to finance. On the other hand one Member State believes that most problems could be solved by ensuring efficient enforcement of existing regulations. Responding Member States also underlined the need for a high quality impact assessment, as well as for alternative tools to regulation to be considered. </w:t>
      </w:r>
    </w:p>
    <w:p>
      <w:pPr>
        <w:rPr>
          <w:b/>
          <w:noProof/>
          <w:sz w:val="22"/>
        </w:rPr>
      </w:pPr>
      <w:r>
        <w:rPr>
          <w:b/>
          <w:noProof/>
          <w:sz w:val="22"/>
        </w:rPr>
        <w:t>B.3. To prevent further fragmentation of the EU's Digital Single Market following diverging national platform-initiatives</w:t>
      </w:r>
    </w:p>
    <w:p>
      <w:pPr>
        <w:rPr>
          <w:noProof/>
          <w:sz w:val="22"/>
        </w:rPr>
      </w:pPr>
      <w:r>
        <w:rPr>
          <w:noProof/>
          <w:sz w:val="22"/>
        </w:rPr>
        <w:t xml:space="preserve">A large number of responding Member States believe that, given the borderless nature of the internet and platforms, it is necessary to avoid fragmentation of the EU Digital Single Market, and thus they consider that the European level is appropriate for initiatives, including, where necessary, adapting the institutional set-up for the challenges of digitalisation on the appropriate levels. This would allow not only for a coherent solution, preventing the fragmentation of the Digital Single market, but also would constitute a critical mass for changes. In addition, some Member States believe that one-size-fits-all solutions might not be possible, therefore it would also be necessary, in particular when it falls under the competence of the Member States, to ensure flexibility in terms of solutions that would need to be adopted by Member States themselves. One Member State believes the focus should be on ex-post regulation, which would be easier and faster to adapt to changes. One Member State emphasised the essential nature of free flow of data for the development of the DSM, while another one does not see a tendency for any fragmentation. </w:t>
      </w:r>
    </w:p>
    <w:p>
      <w:pPr>
        <w:keepNext/>
        <w:keepLines/>
        <w:rPr>
          <w:b/>
          <w:noProof/>
          <w:sz w:val="22"/>
        </w:rPr>
      </w:pPr>
      <w:r>
        <w:rPr>
          <w:b/>
          <w:noProof/>
          <w:sz w:val="22"/>
        </w:rPr>
        <w:t>C. Suggested follow-up</w:t>
      </w:r>
    </w:p>
    <w:p>
      <w:pPr>
        <w:keepNext/>
        <w:keepLines/>
        <w:rPr>
          <w:b/>
          <w:noProof/>
          <w:sz w:val="22"/>
        </w:rPr>
      </w:pPr>
      <w:r>
        <w:rPr>
          <w:b/>
          <w:noProof/>
          <w:sz w:val="22"/>
        </w:rPr>
        <w:t>C.1. Transparency</w:t>
      </w:r>
    </w:p>
    <w:p>
      <w:pPr>
        <w:keepNext/>
        <w:keepLines/>
        <w:rPr>
          <w:noProof/>
          <w:sz w:val="22"/>
        </w:rPr>
      </w:pPr>
      <w:r>
        <w:rPr>
          <w:noProof/>
          <w:sz w:val="22"/>
        </w:rPr>
        <w:t>Responding Member States emphasised the need to further ensure transparency, although this was expressed often in more general terms.</w:t>
      </w:r>
    </w:p>
    <w:p>
      <w:pPr>
        <w:rPr>
          <w:noProof/>
          <w:sz w:val="22"/>
        </w:rPr>
      </w:pPr>
      <w:r>
        <w:rPr>
          <w:noProof/>
          <w:sz w:val="22"/>
        </w:rPr>
        <w:t>Overall support is expressed as regards the need that changes to terms and conditions should be made clear and be announced reasonably in advance.</w:t>
      </w:r>
    </w:p>
    <w:p>
      <w:pPr>
        <w:rPr>
          <w:b/>
          <w:noProof/>
          <w:sz w:val="22"/>
        </w:rPr>
      </w:pPr>
      <w:r>
        <w:rPr>
          <w:b/>
          <w:noProof/>
          <w:sz w:val="22"/>
        </w:rPr>
        <w:t>C.2. Redress</w:t>
      </w:r>
    </w:p>
    <w:p>
      <w:pPr>
        <w:rPr>
          <w:noProof/>
          <w:sz w:val="22"/>
        </w:rPr>
      </w:pPr>
      <w:r>
        <w:rPr>
          <w:noProof/>
          <w:sz w:val="22"/>
        </w:rPr>
        <w:t>With respect to redress mechanisms,  a large number of responding Member States agrees on the importance of resolving disputes, some stressing that this should be the "normal " situation; some emphasise that both is needed, dispute settlement and access to courts; some believe that such mechanisms are already in place but remain open to possible EU action in this field. The interlinkage between effective redress and the creation of a clear unfairness standard was in addition highlighted by some Member States, i.e. the latter being a precondition for ensuring effective redress.</w:t>
      </w:r>
    </w:p>
    <w:p>
      <w:pPr>
        <w:rPr>
          <w:noProof/>
          <w:sz w:val="22"/>
        </w:rPr>
      </w:pPr>
      <w:r>
        <w:rPr>
          <w:b/>
          <w:noProof/>
          <w:sz w:val="22"/>
        </w:rPr>
        <w:t>C.3. Fairness</w:t>
      </w:r>
      <w:r>
        <w:rPr>
          <w:noProof/>
          <w:sz w:val="22"/>
        </w:rPr>
        <w:t xml:space="preserve"> </w:t>
      </w:r>
    </w:p>
    <w:p>
      <w:pPr>
        <w:rPr>
          <w:noProof/>
          <w:sz w:val="22"/>
        </w:rPr>
      </w:pPr>
      <w:r>
        <w:rPr>
          <w:noProof/>
          <w:sz w:val="22"/>
        </w:rPr>
        <w:t xml:space="preserve">More nuanced views are expressed in relation to the possible introduction of a fairness standard. Some responding Member States strongly favour the introduction of such a standard. They however stress the need to have any fairness standard serve as a minimum harmonisation tool, thereby enabling the Member States to continue enforcing their existing legislation on B2B unfair commercial practices, such as national legislation addressing imbalances in bargaining power and situations of economic dependency.  </w:t>
      </w:r>
    </w:p>
    <w:p>
      <w:pPr>
        <w:rPr>
          <w:b/>
          <w:noProof/>
          <w:sz w:val="22"/>
        </w:rPr>
      </w:pPr>
      <w:r>
        <w:rPr>
          <w:b/>
          <w:noProof/>
          <w:sz w:val="22"/>
        </w:rPr>
        <w:t>C.4. Other</w:t>
      </w:r>
    </w:p>
    <w:p>
      <w:pPr>
        <w:rPr>
          <w:noProof/>
          <w:sz w:val="22"/>
        </w:rPr>
      </w:pPr>
      <w:r>
        <w:rPr>
          <w:noProof/>
          <w:sz w:val="22"/>
        </w:rPr>
        <w:t xml:space="preserve">Certain responding Member States believe that the current legal framework that is used to tackle unfair practices (in particular competition rules) should be revised and updated to be rendered fit for purpose, and that the time needed to complete the procedures should be reduced. One Member State's main concern is the development of tools that would allow the regulator to effectively supervise the application of competition rules.  </w:t>
      </w:r>
    </w:p>
    <w:p>
      <w:pPr>
        <w:rPr>
          <w:b/>
          <w:noProof/>
          <w:sz w:val="22"/>
        </w:rPr>
      </w:pPr>
      <w:r>
        <w:rPr>
          <w:b/>
          <w:noProof/>
          <w:sz w:val="22"/>
        </w:rPr>
        <w:t>D. Indicators</w:t>
      </w:r>
    </w:p>
    <w:p>
      <w:pPr>
        <w:rPr>
          <w:noProof/>
          <w:sz w:val="22"/>
        </w:rPr>
      </w:pPr>
      <w:r>
        <w:rPr>
          <w:noProof/>
          <w:sz w:val="22"/>
        </w:rPr>
        <w:t>Possible indicators, as set out by Member States in the replies, should measure the competitiveness of the market, the level of effective and disruptive entry into the market, the level of innovation, but also the level of European capital invested in online platforms, the number of business users and consumers, and turnover with sufficient granularity.</w:t>
      </w:r>
    </w:p>
    <w:p>
      <w:pPr>
        <w:rPr>
          <w:b/>
          <w:noProof/>
          <w:sz w:val="22"/>
        </w:rPr>
      </w:pPr>
      <w:r>
        <w:rPr>
          <w:b/>
          <w:noProof/>
          <w:sz w:val="22"/>
        </w:rPr>
        <w:t>E. Platform-specific legislation in Member States</w:t>
      </w:r>
    </w:p>
    <w:p>
      <w:pPr>
        <w:rPr>
          <w:noProof/>
          <w:sz w:val="22"/>
        </w:rPr>
      </w:pPr>
      <w:r>
        <w:rPr>
          <w:noProof/>
          <w:sz w:val="22"/>
        </w:rPr>
        <w:t>In Germany, the 9</w:t>
      </w:r>
      <w:r>
        <w:rPr>
          <w:noProof/>
          <w:sz w:val="22"/>
          <w:vertAlign w:val="superscript"/>
        </w:rPr>
        <w:t>th</w:t>
      </w:r>
      <w:r>
        <w:rPr>
          <w:noProof/>
          <w:sz w:val="22"/>
        </w:rPr>
        <w:t xml:space="preserve"> Amendment of the German Act against Restraints and Competition enables the German FCO to explicitly take into account the characteristics of the digital economy when examining market power in merger reviews and antitrust investigations, taking into account the characteristics of multi-sided markets and networks. In France, le Code du Commerce (Titre IV du Livre IV, l'Article 442-6) allows for sanctioning of restrictive practices in business relations, and enables the government to act where a potential abusive practices occur. </w:t>
      </w:r>
      <w:r>
        <w:rPr>
          <w:noProof/>
          <w:sz w:val="22"/>
          <w:lang w:val="fr-BE"/>
        </w:rPr>
        <w:t xml:space="preserve">Moreover, la Commission d'examen des pratiques commerciales (CEPC) can issue opinions and recommendations on unfair practices. </w:t>
      </w:r>
      <w:r>
        <w:rPr>
          <w:noProof/>
          <w:sz w:val="22"/>
        </w:rPr>
        <w:t xml:space="preserve">Some responding Member States believe that existing regulation, including competition rules, are sufficient to address any issues related to online platforms. In Austria, unfair trading practices are dealt with within the framework of the Unfair Competition Act. Austria also introduced a legal framework banning parity clauses between platforms and hotels. Estonia considers that general legal acts (such as Law of Obligations Act, Trading Act, Consumer Protection Act, Information Society Act) also apply to online platforms. </w:t>
      </w:r>
    </w:p>
    <w:p>
      <w:pPr>
        <w:rPr>
          <w:b/>
          <w:noProof/>
          <w:sz w:val="22"/>
        </w:rPr>
      </w:pPr>
      <w:r>
        <w:rPr>
          <w:b/>
          <w:noProof/>
          <w:sz w:val="22"/>
        </w:rPr>
        <w:t>F. Evidence of unfair P2B commercial practices</w:t>
      </w:r>
    </w:p>
    <w:p>
      <w:pPr>
        <w:rPr>
          <w:noProof/>
          <w:sz w:val="22"/>
        </w:rPr>
      </w:pPr>
      <w:r>
        <w:rPr>
          <w:noProof/>
          <w:sz w:val="22"/>
        </w:rPr>
        <w:t xml:space="preserve">In general, price parity clauses, restrictive terms and conditions, delisting, de-ranking and misleading information provided by OTAs to consumers are the most often mentioned unfair P2B practices in many Member States. Some Member States in addition, mention privacy breaches, preferential treatment of platforms' own products, misleading ("last available room") or non-existing information or discounts supposedly offered by OTAs. Other also mentioned clauses forbidding direct B2C marketing. Some Member States, in turn, identified the following unfair practices: obligation to use payment processing provided by an app store that includes 30% commission; confusion around agreements between businesses and platforms; issues with ranking transparency and paid-for ranking. Competition authority in one Member State as part of its analysis concerning the digital markets, also identified wide parity clauses employed by OTAs as infringing competition law. However due to the fact that narrow parity clauses were subsequently implemented, further investigations were stopped. One Member State believes that traditional competition concerns regarding potentially unfair conduct can still be relevant, however evidence shows that their effects can vary based on market characteristics due to the complexity of multi-sided markets. </w:t>
      </w:r>
    </w:p>
    <w:p>
      <w:pPr>
        <w:pStyle w:val="Heading3"/>
        <w:rPr>
          <w:noProof/>
        </w:rPr>
      </w:pPr>
      <w:bookmarkStart w:id="908" w:name="_Toc497919447"/>
      <w:bookmarkStart w:id="909" w:name="_Toc497919766"/>
      <w:bookmarkStart w:id="910" w:name="_Toc497920450"/>
      <w:bookmarkStart w:id="911" w:name="_Toc497921497"/>
      <w:bookmarkStart w:id="912" w:name="_Toc497921592"/>
      <w:bookmarkStart w:id="913" w:name="_Toc500262115"/>
      <w:bookmarkStart w:id="914" w:name="_Toc507167024"/>
      <w:bookmarkStart w:id="915" w:name="_Toc508297407"/>
      <w:bookmarkStart w:id="916" w:name="_Toc508350168"/>
      <w:bookmarkStart w:id="917" w:name="_Toc508351609"/>
      <w:bookmarkStart w:id="918" w:name="_Toc508360024"/>
      <w:bookmarkStart w:id="919" w:name="_Toc511220524"/>
      <w:bookmarkStart w:id="920" w:name="_Toc511234969"/>
      <w:bookmarkStart w:id="921" w:name="_Toc511292882"/>
      <w:r>
        <w:rPr>
          <w:noProof/>
        </w:rPr>
        <w:t>Meeting of the eCommerce expert group of 24 October 2017</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rPr>
          <w:rFonts w:eastAsiaTheme="minorHAnsi"/>
          <w:noProof/>
          <w:sz w:val="22"/>
        </w:rPr>
      </w:pPr>
      <w:r>
        <w:rPr>
          <w:rFonts w:eastAsiaTheme="minorHAnsi"/>
          <w:noProof/>
          <w:sz w:val="22"/>
          <w:szCs w:val="22"/>
        </w:rPr>
        <w:t xml:space="preserve">The Commission presented to Member States a state of play of its platform-to-business initiative on 24 October in a meeting of the regular eCommerce expert group. Initially, the </w:t>
      </w:r>
      <w:r>
        <w:rPr>
          <w:rFonts w:eastAsiaTheme="minorHAnsi"/>
          <w:noProof/>
          <w:sz w:val="22"/>
        </w:rPr>
        <w:t xml:space="preserve">experts representing </w:t>
      </w:r>
      <w:r>
        <w:rPr>
          <w:rFonts w:eastAsiaTheme="minorHAnsi"/>
          <w:noProof/>
          <w:sz w:val="22"/>
          <w:szCs w:val="22"/>
        </w:rPr>
        <w:t>Member States</w:t>
      </w:r>
      <w:r>
        <w:rPr>
          <w:rFonts w:eastAsiaTheme="minorHAnsi"/>
          <w:noProof/>
          <w:sz w:val="22"/>
        </w:rPr>
        <w:t xml:space="preserve"> displayed an apprehension about parts of the exercise. They questioned what they perceived as an online/offline regulatory divide that would come from the proposal. They also showed some concerns about the necessity of regulation (instead of application of existing rules, mainly competition law), and stressed their wish not to create new bodies / agencies. </w:t>
      </w:r>
    </w:p>
    <w:p>
      <w:pPr>
        <w:rPr>
          <w:rFonts w:eastAsiaTheme="minorHAnsi"/>
          <w:noProof/>
          <w:sz w:val="22"/>
        </w:rPr>
      </w:pPr>
      <w:r>
        <w:rPr>
          <w:rFonts w:eastAsiaTheme="minorHAnsi"/>
          <w:noProof/>
          <w:sz w:val="22"/>
        </w:rPr>
        <w:t xml:space="preserve">In turn, the Commission re-stated its positive approach to both businesses and platforms. Experts were constructive during the discussions organised in four round tables. After the brainstorming on the different </w:t>
      </w:r>
      <w:r>
        <w:rPr>
          <w:rFonts w:eastAsiaTheme="minorHAnsi"/>
          <w:noProof/>
          <w:sz w:val="22"/>
          <w:szCs w:val="22"/>
        </w:rPr>
        <w:t>options</w:t>
      </w:r>
      <w:r>
        <w:rPr>
          <w:rFonts w:eastAsiaTheme="minorHAnsi"/>
          <w:noProof/>
          <w:sz w:val="22"/>
        </w:rPr>
        <w:t xml:space="preserve">, the reactions were more positive and indicated that </w:t>
      </w:r>
      <w:r>
        <w:rPr>
          <w:rFonts w:eastAsiaTheme="minorHAnsi"/>
          <w:noProof/>
          <w:sz w:val="22"/>
          <w:szCs w:val="22"/>
        </w:rPr>
        <w:t>experts'</w:t>
      </w:r>
      <w:r>
        <w:rPr>
          <w:rFonts w:eastAsiaTheme="minorHAnsi"/>
          <w:noProof/>
          <w:sz w:val="22"/>
        </w:rPr>
        <w:t xml:space="preserve"> concerns were partly assuaged by learning more about the </w:t>
      </w:r>
      <w:r>
        <w:rPr>
          <w:rFonts w:eastAsiaTheme="minorHAnsi"/>
          <w:noProof/>
          <w:sz w:val="22"/>
          <w:szCs w:val="22"/>
        </w:rPr>
        <w:t>initiative</w:t>
      </w:r>
      <w:r>
        <w:rPr>
          <w:rFonts w:eastAsiaTheme="minorHAnsi"/>
          <w:noProof/>
          <w:sz w:val="22"/>
        </w:rPr>
        <w:t>.</w:t>
      </w:r>
    </w:p>
    <w:p>
      <w:pPr>
        <w:spacing w:after="120"/>
        <w:rPr>
          <w:b/>
          <w:noProof/>
          <w:sz w:val="22"/>
          <w:lang w:val="en-US"/>
        </w:rPr>
      </w:pPr>
      <w:r>
        <w:rPr>
          <w:b/>
          <w:noProof/>
          <w:sz w:val="22"/>
          <w:lang w:val="en-US"/>
        </w:rPr>
        <w:t>Changes to terms and conditions, ranking and delisting</w:t>
      </w:r>
    </w:p>
    <w:p>
      <w:pPr>
        <w:rPr>
          <w:noProof/>
          <w:sz w:val="22"/>
          <w:lang w:val="en-US"/>
        </w:rPr>
      </w:pPr>
      <w:r>
        <w:rPr>
          <w:b/>
          <w:noProof/>
          <w:sz w:val="22"/>
          <w:lang w:val="en-US"/>
        </w:rPr>
        <w:t>Ranking:</w:t>
      </w:r>
      <w:r>
        <w:rPr>
          <w:noProof/>
          <w:sz w:val="22"/>
          <w:lang w:val="en-US"/>
        </w:rPr>
        <w:t xml:space="preserve"> Participants discussed (i) the appropriateness of imposing a transparency obligation requiring platforms to explain the criteria used for ranking, and (ii) whether the initiative should concern ranking practices in general or focus on paid-for ranking. Regarding (i), a transparency requirement as such was considered proportionate and legitimate. Two participants stressed however that ranking should not be covered by the initiative of the Commission since this is intervention in B2B space and should be left to commercial and COMP law. As to (ii), most participants felt unprepared to address this question but among those who were informed, there was a preference to opt for a transparency obligation covering ranking practices in general. Some participants stressed that they do not understand the issue around paid-for-ranking as such unfair practice would not be viable in the longer term, i.e. this would have a negative impact on the reputation of the platform concerned. One participant with more insight into ranking issues gave the example of an enterprise having lost 30% of turnover due to a change in the ranking policy of a platform. Another participant stressed the need for solving problems encountered in a timely manner. Yet another participant proposed to work towards identifying best practices in ranking. </w:t>
      </w:r>
    </w:p>
    <w:p>
      <w:pPr>
        <w:rPr>
          <w:noProof/>
          <w:sz w:val="22"/>
          <w:lang w:val="en-US"/>
        </w:rPr>
      </w:pPr>
      <w:r>
        <w:rPr>
          <w:b/>
          <w:noProof/>
          <w:sz w:val="22"/>
          <w:lang w:val="en-US"/>
        </w:rPr>
        <w:t xml:space="preserve">Changes to T&amp;C: </w:t>
      </w:r>
      <w:r>
        <w:rPr>
          <w:noProof/>
          <w:sz w:val="22"/>
          <w:lang w:val="en-US"/>
        </w:rPr>
        <w:t>This issue was judged core to the entire P2B issue. Clear T&amp;C and transparent changes to them could help address also the lack of redress issue. Some participants expressed the view that the proportionality of a transparency obligation would depend on the precise wording and on the size of the platform. While some participants considered that no regulation was needed since there was competition in the market space, other expressed the view that changes to terms and conditions should not only be announced with a prior notice but also that it was to the initiative to define the length of such a prior notice period (depending on the nature of the change to T&amp;C) and that it was important to ensure the effectiveness of the means of announcing the change (in a way that it reaches the business user). Another participant stressed that T&amp;C should be simplified in order to make them transparent and user-friendly for businesses. Most participants of the sub-group discussing the issue agreed with him that this would not be more burdensome for smaller platforms. Representative of Member States where businesses would not use platforms acknowledged that greater transparency and predictability may help promotion of digital literacy. It was also suggested to extend B2C legislation to B2B.</w:t>
      </w:r>
    </w:p>
    <w:p>
      <w:pPr>
        <w:spacing w:after="120"/>
        <w:rPr>
          <w:noProof/>
          <w:sz w:val="22"/>
          <w:lang w:val="en-US"/>
        </w:rPr>
      </w:pPr>
      <w:r>
        <w:rPr>
          <w:b/>
          <w:noProof/>
          <w:sz w:val="22"/>
          <w:lang w:val="en-US"/>
        </w:rPr>
        <w:t xml:space="preserve">Delisting: </w:t>
      </w:r>
      <w:r>
        <w:rPr>
          <w:noProof/>
          <w:sz w:val="22"/>
          <w:lang w:val="en-US"/>
        </w:rPr>
        <w:t>Some participants found legitimate the requirement on platforms to provide a statement of reasons for delisting. It was even suggested that such statement comprise an explanation on the procedure how to re-establish the user on the platform. According to other participants, evidence around the occurrence of the issue and the definition of the scope of the initiative were needed to decide whether the proposed transparency requirement was proportionate or not. Delisting-related requirements should be aligned with illegal content/N&amp;A procedure. A participant stressed that the criteria for delisting should be specified in the T&amp;C, which could also allow for automated responses thus limiting the burden of the transparency requirements.</w:t>
      </w:r>
    </w:p>
    <w:p>
      <w:pPr>
        <w:rPr>
          <w:noProof/>
          <w:sz w:val="22"/>
        </w:rPr>
      </w:pPr>
      <w:r>
        <w:rPr>
          <w:b/>
          <w:noProof/>
          <w:sz w:val="22"/>
        </w:rPr>
        <w:t>Redress</w:t>
      </w:r>
      <w:r>
        <w:rPr>
          <w:noProof/>
          <w:sz w:val="22"/>
        </w:rPr>
        <w:t>: There was an overall agreement among experts on the importance of redress. Some concerns were explained that internal complaints mechanisms could be burdensome for SMEs. The need was stressed to promote existing best practices (combining effectiveness with operational efficiency, possibly as part of a self-regulatory measure. Experts stressed that there was a clear link between transparency on T&amp;C and delisting on the one hand, and internal complaints systems on the other: greater clarity on the former would lead to less complaints. The following incentives for non-mandatory mediation were discussed:</w:t>
      </w:r>
    </w:p>
    <w:p>
      <w:pPr>
        <w:pStyle w:val="ListParagraph"/>
        <w:numPr>
          <w:ilvl w:val="0"/>
          <w:numId w:val="65"/>
        </w:numPr>
        <w:spacing w:after="0"/>
        <w:contextualSpacing w:val="0"/>
        <w:jc w:val="left"/>
        <w:rPr>
          <w:noProof/>
          <w:sz w:val="22"/>
        </w:rPr>
      </w:pPr>
      <w:r>
        <w:rPr>
          <w:noProof/>
          <w:sz w:val="22"/>
        </w:rPr>
        <w:t>Through naming and shaming (if platforms don't engage seriously in mediation).</w:t>
      </w:r>
    </w:p>
    <w:p>
      <w:pPr>
        <w:pStyle w:val="ListParagraph"/>
        <w:numPr>
          <w:ilvl w:val="0"/>
          <w:numId w:val="65"/>
        </w:numPr>
        <w:spacing w:after="0"/>
        <w:contextualSpacing w:val="0"/>
        <w:jc w:val="left"/>
        <w:rPr>
          <w:noProof/>
          <w:sz w:val="22"/>
        </w:rPr>
      </w:pPr>
      <w:r>
        <w:rPr>
          <w:noProof/>
          <w:sz w:val="22"/>
        </w:rPr>
        <w:t>Through the threat of easier access to EU courts. If platforms realise that they are getting an increasing number of complaints or requests for mediation in a given area, they might fear that some collective interest redress action might be building up. Hence, they may be well advised to pre-empt this through good faith mediation and/or adaptions of their contested behaviour.</w:t>
      </w:r>
    </w:p>
    <w:p>
      <w:pPr>
        <w:pStyle w:val="ListParagraph"/>
        <w:numPr>
          <w:ilvl w:val="0"/>
          <w:numId w:val="65"/>
        </w:numPr>
        <w:spacing w:after="0"/>
        <w:contextualSpacing w:val="0"/>
        <w:jc w:val="left"/>
        <w:rPr>
          <w:noProof/>
          <w:sz w:val="22"/>
        </w:rPr>
      </w:pPr>
      <w:r>
        <w:rPr>
          <w:noProof/>
          <w:sz w:val="22"/>
        </w:rPr>
        <w:t>Mediation will also grow in importance if it is offered in an accessible way, is fast and cheap. For instance, easy-to-use "online" mediation would clearly be important for SMEs (especially if they operate from the periphery). Domain name arbitration was quoted as a good example.</w:t>
      </w:r>
    </w:p>
    <w:p>
      <w:pPr>
        <w:pStyle w:val="ListParagraph"/>
        <w:numPr>
          <w:ilvl w:val="0"/>
          <w:numId w:val="65"/>
        </w:numPr>
        <w:spacing w:after="0"/>
        <w:contextualSpacing w:val="0"/>
        <w:jc w:val="left"/>
        <w:rPr>
          <w:noProof/>
          <w:sz w:val="22"/>
        </w:rPr>
      </w:pPr>
      <w:r>
        <w:rPr>
          <w:noProof/>
          <w:sz w:val="22"/>
        </w:rPr>
        <w:t>The number of competent and credible mediators on "platform issues" may also increase as a result of our intervention. If the Commission promotes and encourages the concept, we might act as "market makers" by attracting new mediators into this growing field.</w:t>
      </w:r>
    </w:p>
    <w:p>
      <w:pPr>
        <w:pStyle w:val="ListParagraph"/>
        <w:spacing w:after="0"/>
        <w:ind w:left="2160"/>
        <w:contextualSpacing w:val="0"/>
        <w:jc w:val="left"/>
        <w:rPr>
          <w:noProof/>
          <w:sz w:val="22"/>
        </w:rPr>
      </w:pPr>
    </w:p>
    <w:p>
      <w:pPr>
        <w:rPr>
          <w:noProof/>
          <w:sz w:val="22"/>
        </w:rPr>
      </w:pPr>
      <w:r>
        <w:rPr>
          <w:noProof/>
          <w:sz w:val="22"/>
        </w:rPr>
        <w:t xml:space="preserve">Collective interest redress was generally perceived positively, also in terms of overcoming the fear factor. While improved "access to EU Courts" was generally considered positively, there were some doubts as to how many SMEs would find this a feasible option (in terms of costs, fear factor, etc). However, it was stressed that the "threat of easier access to EU Courts" might be as important as the access itself, as it would platforms to take mediation more seriously. </w:t>
      </w:r>
    </w:p>
    <w:p>
      <w:pPr>
        <w:rPr>
          <w:noProof/>
          <w:sz w:val="22"/>
        </w:rPr>
      </w:pPr>
      <w:r>
        <w:rPr>
          <w:b/>
          <w:noProof/>
          <w:sz w:val="22"/>
          <w:lang w:val="en-US"/>
        </w:rPr>
        <w:t>Data, non-discrimination and MFNs</w:t>
      </w:r>
      <w:r>
        <w:rPr>
          <w:noProof/>
          <w:sz w:val="22"/>
          <w:lang w:val="en-US"/>
        </w:rPr>
        <w:t xml:space="preserve"> (emerging issues): there was no strong disagreement that further reflection was needed before any action is taken on these issues. It was stressed that there was a risk that a monitoring body on P2B would issue recommendations conflicting with other bodies. Hence, it was important to ensure coherence. </w:t>
      </w:r>
      <w:r>
        <w:rPr>
          <w:noProof/>
          <w:sz w:val="22"/>
        </w:rPr>
        <w:t>Some experts argued that issues like discrimination, data, bundling, price parity clauses were not platform specific. Data portability was raised as a possible issue for further analysis. It was argued that there was no evidence of problematic practices that could not be tackled by competition law. Some additional issues were flagged by some experts: EU-level negotiation with platforms to ensure access for businesses from smaller countries where platforms often don't offer services, promoting interoperability by working on common standards for data exchange, working with platforms to encourage voluntary sharing of aggregate data to inform policy – e.g. urban planning, transport networks, etc.</w:t>
      </w:r>
    </w:p>
    <w:p>
      <w:pPr>
        <w:rPr>
          <w:rFonts w:eastAsiaTheme="minorHAnsi"/>
          <w:b/>
          <w:noProof/>
          <w:sz w:val="22"/>
          <w:u w:val="single"/>
        </w:rPr>
      </w:pPr>
      <w:r>
        <w:rPr>
          <w:rFonts w:eastAsiaTheme="minorHAnsi"/>
          <w:b/>
          <w:noProof/>
          <w:sz w:val="22"/>
          <w:u w:val="single"/>
        </w:rPr>
        <w:t>Monitoring</w:t>
      </w:r>
    </w:p>
    <w:p>
      <w:pPr>
        <w:rPr>
          <w:rFonts w:eastAsiaTheme="minorHAnsi"/>
          <w:noProof/>
          <w:sz w:val="22"/>
        </w:rPr>
      </w:pPr>
      <w:r>
        <w:rPr>
          <w:rFonts w:eastAsiaTheme="minorHAnsi"/>
          <w:noProof/>
          <w:sz w:val="22"/>
        </w:rPr>
        <w:t xml:space="preserve">The Member States welcomed the discussion of </w:t>
      </w:r>
      <w:r>
        <w:rPr>
          <w:rFonts w:eastAsiaTheme="minorHAnsi"/>
          <w:noProof/>
          <w:sz w:val="22"/>
          <w:szCs w:val="22"/>
        </w:rPr>
        <w:t xml:space="preserve">24 October </w:t>
      </w:r>
      <w:r>
        <w:rPr>
          <w:rFonts w:eastAsiaTheme="minorHAnsi"/>
          <w:noProof/>
          <w:sz w:val="22"/>
        </w:rPr>
        <w:t xml:space="preserve">as it provided them with info on the progress of the Commission's work. They were eager to see the proposal and asked for as much information on it to be shared as early as possible. Given the small amount of knowledge they had about the monitoring part of the proposal, they mostly put forward general ideas during the discussion. </w:t>
      </w:r>
    </w:p>
    <w:p>
      <w:pPr>
        <w:rPr>
          <w:rFonts w:eastAsiaTheme="minorHAnsi"/>
          <w:noProof/>
          <w:sz w:val="22"/>
        </w:rPr>
      </w:pPr>
      <w:r>
        <w:rPr>
          <w:rFonts w:eastAsiaTheme="minorHAnsi"/>
          <w:noProof/>
          <w:sz w:val="22"/>
        </w:rPr>
        <w:t xml:space="preserve">They overall agreed with monitoring being part of the proposal. In the same time, they were generally against a new body being created for this task, and even more strongly against a new European Agency created to this purpose. </w:t>
      </w:r>
    </w:p>
    <w:p>
      <w:pPr>
        <w:rPr>
          <w:rFonts w:eastAsiaTheme="minorHAnsi"/>
          <w:noProof/>
          <w:sz w:val="22"/>
        </w:rPr>
      </w:pPr>
      <w:r>
        <w:rPr>
          <w:rFonts w:eastAsiaTheme="minorHAnsi"/>
          <w:noProof/>
          <w:sz w:val="22"/>
        </w:rPr>
        <w:t>As regards the competencies of the monitoring organism, many Member States wanted its activity to be linked to the proposal itself, that is to monitor the progress of the areas concerned by the text and the effect on the market players. They wanted to see data gathering, but also analysis, and some (few) mentioned the possibility of the body to propose policy recommendations based on its findings. A majority also stressed the need for the body to liaise with national level bodies that might have pertinent information, so that they benefit as much as possible from existing data. In the same vein, they also mentioned the body to collect national-level data. Monitoring of data relating to redress mechanisms was also mentioned (number of cases filed, solved, satisfaction levels, etc</w:t>
      </w:r>
      <w:r>
        <w:rPr>
          <w:rFonts w:eastAsiaTheme="minorHAnsi"/>
          <w:noProof/>
          <w:sz w:val="22"/>
          <w:szCs w:val="22"/>
        </w:rPr>
        <w:t>.).</w:t>
      </w:r>
    </w:p>
    <w:p>
      <w:pPr>
        <w:pStyle w:val="Heading3"/>
        <w:rPr>
          <w:noProof/>
        </w:rPr>
      </w:pPr>
      <w:bookmarkStart w:id="922" w:name="_Toc492557188"/>
      <w:bookmarkStart w:id="923" w:name="_Toc497906520"/>
      <w:bookmarkStart w:id="924" w:name="_Toc497913001"/>
      <w:bookmarkStart w:id="925" w:name="_Toc497919448"/>
      <w:bookmarkStart w:id="926" w:name="_Toc497919767"/>
      <w:bookmarkStart w:id="927" w:name="_Toc497920451"/>
      <w:bookmarkStart w:id="928" w:name="_Toc497921498"/>
      <w:bookmarkStart w:id="929" w:name="_Toc497921593"/>
      <w:bookmarkStart w:id="930" w:name="_Toc500262116"/>
      <w:bookmarkStart w:id="931" w:name="_Toc507167025"/>
      <w:bookmarkStart w:id="932" w:name="_Toc508297408"/>
      <w:bookmarkStart w:id="933" w:name="_Toc508350169"/>
      <w:bookmarkStart w:id="934" w:name="_Toc508351610"/>
      <w:bookmarkStart w:id="935" w:name="_Toc508360025"/>
      <w:bookmarkStart w:id="936" w:name="_Toc511220525"/>
      <w:bookmarkStart w:id="937" w:name="_Toc511234970"/>
      <w:bookmarkStart w:id="938" w:name="_Toc511292883"/>
      <w:r>
        <w:rPr>
          <w:noProof/>
        </w:rPr>
        <w:t>Stakeholder workshop effective dispute resolution and the fundamental right to conduct a business, 6 July 2017</w:t>
      </w:r>
      <w:r>
        <w:rPr>
          <w:rStyle w:val="FootnoteReference"/>
          <w:noProof/>
          <w:vertAlign w:val="baseline"/>
        </w:rPr>
        <w:footnoteReference w:id="26"/>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pPr>
        <w:autoSpaceDE w:val="0"/>
        <w:autoSpaceDN w:val="0"/>
        <w:adjustRightInd w:val="0"/>
        <w:spacing w:after="0"/>
        <w:rPr>
          <w:rFonts w:eastAsiaTheme="minorHAnsi"/>
          <w:noProof/>
          <w:sz w:val="22"/>
        </w:rPr>
      </w:pPr>
      <w:r>
        <w:rPr>
          <w:rFonts w:eastAsiaTheme="minorHAnsi"/>
          <w:noProof/>
          <w:sz w:val="22"/>
        </w:rPr>
        <w:t>The workshop aimed to gather experts' views on how to design a possible dispute resolution instrument capable of meeting digital-specific challenges around, amongst others, the need for speed &amp; anonymity, the required information gathering &amp; analytics capabilities as well as around jurisdiction in the context of global ecosystems. The participants consisted of dispute resolution, e-commerce and platform experts from EU Member States as well as academics.</w:t>
      </w:r>
    </w:p>
    <w:p>
      <w:pPr>
        <w:autoSpaceDE w:val="0"/>
        <w:autoSpaceDN w:val="0"/>
        <w:adjustRightInd w:val="0"/>
        <w:spacing w:after="0"/>
        <w:rPr>
          <w:rFonts w:eastAsiaTheme="minorHAnsi"/>
          <w:noProof/>
          <w:sz w:val="22"/>
        </w:rPr>
      </w:pPr>
    </w:p>
    <w:p>
      <w:pPr>
        <w:autoSpaceDE w:val="0"/>
        <w:autoSpaceDN w:val="0"/>
        <w:adjustRightInd w:val="0"/>
        <w:spacing w:after="0"/>
        <w:rPr>
          <w:rFonts w:eastAsiaTheme="minorHAnsi"/>
          <w:noProof/>
          <w:sz w:val="22"/>
        </w:rPr>
      </w:pPr>
      <w:r>
        <w:rPr>
          <w:rFonts w:eastAsiaTheme="minorHAnsi"/>
          <w:noProof/>
          <w:sz w:val="22"/>
        </w:rPr>
        <w:t>Questions such as should platforms publish their search ranking algorithms or should platforms refrain from competing on their own market place were discussed. In the case of algorithms their role as a source of competitive advantage was brought up. As they are a part of a service provided to customers they could be seen as trade secrets. Some member state's representatives emphasized the importance of distinguishing between on and offline platforms. It was noted that SMEs need fast and easy redress mechanisms for ensuring fairness and they should also be duly notified to be able to recognize possible unfair treatment. Platforms presenting themselves as merely intermediaries and the one-sided power balance in favour of customers and platforms were also mentioned as possibly raising issues on the business-side of the market. Generally, raising the need for fair treatment for SMEs was welcomed. Some Member States' experts specifically supported the idea of establishing an alternative dispute settlement mechanism, whereas others called first for the Commission's evidence on P2B practices to be published and for further discussions on the topic.</w:t>
      </w:r>
    </w:p>
    <w:p>
      <w:pPr>
        <w:autoSpaceDE w:val="0"/>
        <w:autoSpaceDN w:val="0"/>
        <w:adjustRightInd w:val="0"/>
        <w:spacing w:after="0"/>
        <w:rPr>
          <w:rFonts w:eastAsiaTheme="minorHAnsi"/>
          <w:noProof/>
          <w:sz w:val="22"/>
        </w:rPr>
      </w:pPr>
    </w:p>
    <w:p>
      <w:pPr>
        <w:autoSpaceDE w:val="0"/>
        <w:autoSpaceDN w:val="0"/>
        <w:adjustRightInd w:val="0"/>
        <w:spacing w:after="0"/>
        <w:rPr>
          <w:rFonts w:eastAsiaTheme="minorHAnsi"/>
          <w:noProof/>
          <w:sz w:val="22"/>
        </w:rPr>
      </w:pPr>
      <w:r>
        <w:rPr>
          <w:rFonts w:eastAsiaTheme="minorHAnsi"/>
          <w:noProof/>
          <w:sz w:val="22"/>
        </w:rPr>
        <w:t>Key characteristics identified that any dispute settlement mechanism would need to exhibit in order to be effective can be grouped along the following main themes:</w:t>
      </w:r>
    </w:p>
    <w:p>
      <w:pPr>
        <w:pStyle w:val="ListParagraph"/>
        <w:numPr>
          <w:ilvl w:val="0"/>
          <w:numId w:val="65"/>
        </w:numPr>
        <w:spacing w:after="0"/>
        <w:contextualSpacing w:val="0"/>
        <w:jc w:val="left"/>
        <w:rPr>
          <w:rFonts w:eastAsiaTheme="minorHAnsi"/>
          <w:noProof/>
          <w:sz w:val="22"/>
        </w:rPr>
      </w:pPr>
      <w:r>
        <w:rPr>
          <w:rFonts w:eastAsiaTheme="minorHAnsi"/>
          <w:noProof/>
          <w:sz w:val="22"/>
        </w:rPr>
        <w:t>EU-wide mechanism would have more leverage than fragmented national solutions</w:t>
      </w:r>
    </w:p>
    <w:p>
      <w:pPr>
        <w:pStyle w:val="ListParagraph"/>
        <w:numPr>
          <w:ilvl w:val="0"/>
          <w:numId w:val="65"/>
        </w:numPr>
        <w:spacing w:after="0"/>
        <w:contextualSpacing w:val="0"/>
        <w:jc w:val="left"/>
        <w:rPr>
          <w:rFonts w:eastAsiaTheme="minorHAnsi"/>
          <w:noProof/>
          <w:sz w:val="22"/>
        </w:rPr>
      </w:pPr>
      <w:r>
        <w:rPr>
          <w:rFonts w:eastAsiaTheme="minorHAnsi"/>
          <w:noProof/>
          <w:sz w:val="22"/>
        </w:rPr>
        <w:t>Flexibility of possible regulation, co-regulation with platforms and flexible implementing for EU Member States</w:t>
      </w:r>
    </w:p>
    <w:p>
      <w:pPr>
        <w:pStyle w:val="ListParagraph"/>
        <w:numPr>
          <w:ilvl w:val="0"/>
          <w:numId w:val="65"/>
        </w:numPr>
        <w:spacing w:after="0"/>
        <w:contextualSpacing w:val="0"/>
        <w:jc w:val="left"/>
        <w:rPr>
          <w:rFonts w:eastAsiaTheme="minorHAnsi"/>
          <w:noProof/>
          <w:sz w:val="22"/>
        </w:rPr>
      </w:pPr>
      <w:r>
        <w:rPr>
          <w:rFonts w:eastAsiaTheme="minorHAnsi"/>
          <w:noProof/>
          <w:sz w:val="22"/>
        </w:rPr>
        <w:t>Finding the right balance between transparency (establishing sort of case-law) and confidentiality (protecting trade secrets)</w:t>
      </w:r>
    </w:p>
    <w:p>
      <w:pPr>
        <w:pStyle w:val="ListParagraph"/>
        <w:numPr>
          <w:ilvl w:val="0"/>
          <w:numId w:val="65"/>
        </w:numPr>
        <w:spacing w:after="0"/>
        <w:contextualSpacing w:val="0"/>
        <w:jc w:val="left"/>
        <w:rPr>
          <w:rFonts w:eastAsiaTheme="minorHAnsi"/>
          <w:noProof/>
          <w:sz w:val="22"/>
        </w:rPr>
      </w:pPr>
      <w:r>
        <w:rPr>
          <w:rFonts w:eastAsiaTheme="minorHAnsi"/>
          <w:noProof/>
          <w:sz w:val="22"/>
        </w:rPr>
        <w:t>The cost, speed of proceedings and language of the process, ensuring the capability of SMEs to effectively use the mechanism</w:t>
      </w:r>
    </w:p>
    <w:p>
      <w:pPr>
        <w:pStyle w:val="ListParagraph"/>
        <w:numPr>
          <w:ilvl w:val="0"/>
          <w:numId w:val="65"/>
        </w:numPr>
        <w:spacing w:after="0"/>
        <w:contextualSpacing w:val="0"/>
        <w:jc w:val="left"/>
        <w:rPr>
          <w:rFonts w:eastAsiaTheme="minorHAnsi"/>
          <w:noProof/>
          <w:sz w:val="22"/>
        </w:rPr>
      </w:pPr>
      <w:r>
        <w:rPr>
          <w:rFonts w:eastAsiaTheme="minorHAnsi"/>
          <w:noProof/>
          <w:sz w:val="22"/>
        </w:rPr>
        <w:t>The independence of the adjudicator</w:t>
      </w:r>
    </w:p>
    <w:p>
      <w:pPr>
        <w:pStyle w:val="ListParagraph"/>
        <w:numPr>
          <w:ilvl w:val="0"/>
          <w:numId w:val="65"/>
        </w:numPr>
        <w:spacing w:after="0"/>
        <w:contextualSpacing w:val="0"/>
        <w:jc w:val="left"/>
        <w:rPr>
          <w:rFonts w:eastAsiaTheme="minorHAnsi"/>
          <w:noProof/>
          <w:sz w:val="22"/>
        </w:rPr>
      </w:pPr>
      <w:r>
        <w:rPr>
          <w:rFonts w:eastAsiaTheme="minorHAnsi"/>
          <w:noProof/>
          <w:sz w:val="22"/>
        </w:rPr>
        <w:t>The difference between technical and substantial problems</w:t>
      </w:r>
    </w:p>
    <w:p>
      <w:pPr>
        <w:pStyle w:val="ListParagraph"/>
        <w:numPr>
          <w:ilvl w:val="0"/>
          <w:numId w:val="65"/>
        </w:numPr>
        <w:spacing w:after="0"/>
        <w:contextualSpacing w:val="0"/>
        <w:jc w:val="left"/>
        <w:rPr>
          <w:rFonts w:eastAsiaTheme="minorHAnsi"/>
          <w:noProof/>
          <w:sz w:val="22"/>
        </w:rPr>
      </w:pPr>
      <w:r>
        <w:rPr>
          <w:rFonts w:eastAsiaTheme="minorHAnsi"/>
          <w:noProof/>
          <w:sz w:val="22"/>
        </w:rPr>
        <w:t>The balance to be struck between a decentralised and centralised architecture</w:t>
      </w:r>
    </w:p>
    <w:p>
      <w:pPr>
        <w:pStyle w:val="ListParagraph"/>
        <w:numPr>
          <w:ilvl w:val="0"/>
          <w:numId w:val="65"/>
        </w:numPr>
        <w:spacing w:after="0"/>
        <w:contextualSpacing w:val="0"/>
        <w:jc w:val="left"/>
        <w:rPr>
          <w:rFonts w:eastAsiaTheme="minorHAnsi"/>
          <w:noProof/>
          <w:sz w:val="22"/>
        </w:rPr>
      </w:pPr>
      <w:r>
        <w:rPr>
          <w:rFonts w:eastAsiaTheme="minorHAnsi"/>
          <w:noProof/>
          <w:sz w:val="22"/>
        </w:rPr>
        <w:t>Evidence gathering-capabilities versus the burden of proof</w:t>
      </w:r>
    </w:p>
    <w:p>
      <w:pPr>
        <w:pStyle w:val="ListParagraph"/>
        <w:numPr>
          <w:ilvl w:val="0"/>
          <w:numId w:val="65"/>
        </w:numPr>
        <w:spacing w:after="0"/>
        <w:contextualSpacing w:val="0"/>
        <w:jc w:val="left"/>
        <w:rPr>
          <w:rFonts w:eastAsiaTheme="minorHAnsi"/>
          <w:noProof/>
          <w:sz w:val="22"/>
        </w:rPr>
      </w:pPr>
      <w:r>
        <w:rPr>
          <w:rFonts w:eastAsiaTheme="minorHAnsi"/>
          <w:noProof/>
          <w:sz w:val="22"/>
        </w:rPr>
        <w:t>Need to provide for anonymity, and collective interest redress as a possible solution in this regard</w:t>
      </w:r>
    </w:p>
    <w:p>
      <w:pPr>
        <w:pStyle w:val="ListParagraph"/>
        <w:numPr>
          <w:ilvl w:val="0"/>
          <w:numId w:val="65"/>
        </w:numPr>
        <w:spacing w:after="0"/>
        <w:contextualSpacing w:val="0"/>
        <w:jc w:val="left"/>
        <w:rPr>
          <w:rFonts w:eastAsiaTheme="minorHAnsi"/>
          <w:noProof/>
          <w:sz w:val="22"/>
        </w:rPr>
      </w:pPr>
      <w:r>
        <w:rPr>
          <w:rFonts w:eastAsiaTheme="minorHAnsi"/>
          <w:noProof/>
          <w:sz w:val="22"/>
        </w:rPr>
        <w:t>Need for clarity on what rules would be applied was emphasized. On the one hand, businesses are said to require clear rules to overcome fear of retaliation that could hold back complaints. On the other hand, some of the Member States' experts questioned the need for parallel B2B regulation if no clear platform-specific market failure could be demonstrated</w:t>
      </w:r>
    </w:p>
    <w:p>
      <w:pPr>
        <w:pStyle w:val="ListParagraph"/>
        <w:numPr>
          <w:ilvl w:val="0"/>
          <w:numId w:val="65"/>
        </w:numPr>
        <w:spacing w:after="0"/>
        <w:contextualSpacing w:val="0"/>
        <w:jc w:val="left"/>
        <w:rPr>
          <w:rFonts w:eastAsiaTheme="minorHAnsi"/>
          <w:noProof/>
          <w:sz w:val="22"/>
        </w:rPr>
      </w:pPr>
      <w:r>
        <w:rPr>
          <w:rFonts w:eastAsiaTheme="minorHAnsi"/>
          <w:noProof/>
          <w:sz w:val="22"/>
        </w:rPr>
        <w:t>Need for binding decisions and the power for the dispute settlement mechanism to convene parties, while respecting parties' fundamental right to access justice (dispute settlement to exist in parallel to existing judicial systems).</w:t>
      </w:r>
    </w:p>
    <w:p>
      <w:pPr>
        <w:rPr>
          <w:rFonts w:eastAsiaTheme="minorHAnsi"/>
          <w:b/>
          <w:noProof/>
          <w:sz w:val="32"/>
          <w:szCs w:val="32"/>
        </w:rPr>
      </w:pPr>
    </w:p>
    <w:p>
      <w:pPr>
        <w:pStyle w:val="Heading2"/>
        <w:rPr>
          <w:noProof/>
        </w:rPr>
      </w:pPr>
      <w:bookmarkStart w:id="939" w:name="_Toc497805720"/>
      <w:bookmarkStart w:id="940" w:name="_Toc497861469"/>
      <w:bookmarkStart w:id="941" w:name="_Toc497862147"/>
      <w:bookmarkStart w:id="942" w:name="_Toc497862329"/>
      <w:bookmarkStart w:id="943" w:name="_Toc497900288"/>
      <w:bookmarkStart w:id="944" w:name="_Toc497901021"/>
      <w:bookmarkStart w:id="945" w:name="_Toc497902379"/>
      <w:bookmarkStart w:id="946" w:name="_Toc497906086"/>
      <w:bookmarkStart w:id="947" w:name="_Toc497906231"/>
      <w:bookmarkStart w:id="948" w:name="_Toc497906376"/>
      <w:bookmarkStart w:id="949" w:name="_Toc497906521"/>
      <w:bookmarkStart w:id="950" w:name="_Toc497907257"/>
      <w:bookmarkStart w:id="951" w:name="_Toc497907919"/>
      <w:bookmarkStart w:id="952" w:name="_Toc497909972"/>
      <w:bookmarkStart w:id="953" w:name="_Toc497912703"/>
      <w:bookmarkStart w:id="954" w:name="_Toc497912881"/>
      <w:bookmarkStart w:id="955" w:name="_Toc497913108"/>
      <w:bookmarkStart w:id="956" w:name="_Toc497914835"/>
      <w:bookmarkStart w:id="957" w:name="_Toc497915266"/>
      <w:bookmarkStart w:id="958" w:name="_Toc497915636"/>
      <w:bookmarkStart w:id="959" w:name="_Toc497915762"/>
      <w:bookmarkStart w:id="960" w:name="_Toc497916028"/>
      <w:bookmarkStart w:id="961" w:name="_Toc497916641"/>
      <w:bookmarkStart w:id="962" w:name="_Toc497916949"/>
      <w:bookmarkStart w:id="963" w:name="_Toc497917282"/>
      <w:bookmarkStart w:id="964" w:name="_Toc497918713"/>
      <w:bookmarkStart w:id="965" w:name="_Toc500262117"/>
      <w:bookmarkStart w:id="966" w:name="_Toc507167026"/>
      <w:bookmarkStart w:id="967" w:name="_Toc508297409"/>
      <w:bookmarkStart w:id="968" w:name="_Toc508350170"/>
      <w:bookmarkStart w:id="969" w:name="_Toc508351611"/>
      <w:bookmarkStart w:id="970" w:name="_Toc508360026"/>
      <w:bookmarkStart w:id="971" w:name="_Toc511220526"/>
      <w:bookmarkStart w:id="972" w:name="_Toc511234971"/>
      <w:bookmarkStart w:id="973" w:name="_Toc511292884"/>
      <w:bookmarkStart w:id="974" w:name="_Toc462394232"/>
      <w:bookmarkStart w:id="975" w:name="_Toc462751880"/>
      <w:bookmarkStart w:id="976" w:name="_Toc462831164"/>
      <w:bookmarkStart w:id="977" w:name="_Toc462991836"/>
      <w:bookmarkStart w:id="978" w:name="_Toc463260542"/>
      <w:bookmarkStart w:id="979" w:name="_Toc463369464"/>
      <w:bookmarkStart w:id="980" w:name="_Toc463446439"/>
      <w:bookmarkStart w:id="981" w:name="_Toc464048724"/>
      <w:bookmarkStart w:id="982" w:name="_Toc464056529"/>
      <w:bookmarkStart w:id="983" w:name="_Toc464057532"/>
      <w:bookmarkStart w:id="984" w:name="_Toc465173585"/>
      <w:bookmarkStart w:id="985" w:name="_Toc465180494"/>
      <w:bookmarkStart w:id="986" w:name="_Toc465234800"/>
      <w:bookmarkStart w:id="987" w:name="_Toc465328484"/>
      <w:bookmarkStart w:id="988" w:name="_Toc465332652"/>
      <w:bookmarkStart w:id="989" w:name="_Toc465355140"/>
      <w:bookmarkStart w:id="990" w:name="_Toc465417512"/>
      <w:bookmarkStart w:id="991" w:name="_Toc465428682"/>
      <w:bookmarkStart w:id="992" w:name="_Toc465430593"/>
      <w:bookmarkStart w:id="993" w:name="_Toc486857690"/>
      <w:bookmarkStart w:id="994" w:name="_Toc486926966"/>
      <w:bookmarkStart w:id="995" w:name="_Toc487796390"/>
      <w:bookmarkStart w:id="996" w:name="_Toc487796499"/>
      <w:bookmarkStart w:id="997" w:name="_Toc489013110"/>
      <w:bookmarkStart w:id="998" w:name="_Toc489279712"/>
      <w:bookmarkStart w:id="999" w:name="_Toc492048412"/>
      <w:bookmarkStart w:id="1000" w:name="_Toc492557189"/>
      <w:bookmarkStart w:id="1001" w:name="_Toc497906522"/>
      <w:bookmarkStart w:id="1002" w:name="_Toc497913002"/>
      <w:bookmarkStart w:id="1003" w:name="_Toc497919449"/>
      <w:bookmarkStart w:id="1004" w:name="_Toc497919768"/>
      <w:bookmarkStart w:id="1005" w:name="_Toc497920452"/>
      <w:bookmarkStart w:id="1006" w:name="_Toc497921499"/>
      <w:bookmarkStart w:id="1007" w:name="_Toc497921594"/>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Pr>
          <w:noProof/>
        </w:rPr>
        <w:t>Feedback to the Inception Impact Assessment</w:t>
      </w:r>
      <w:bookmarkEnd w:id="965"/>
      <w:bookmarkEnd w:id="966"/>
      <w:bookmarkEnd w:id="967"/>
      <w:bookmarkEnd w:id="968"/>
      <w:bookmarkEnd w:id="969"/>
      <w:bookmarkEnd w:id="970"/>
      <w:bookmarkEnd w:id="971"/>
      <w:bookmarkEnd w:id="972"/>
      <w:bookmarkEnd w:id="973"/>
    </w:p>
    <w:p>
      <w:pPr>
        <w:rPr>
          <w:noProof/>
        </w:rPr>
      </w:pPr>
      <w:r>
        <w:rPr>
          <w:noProof/>
        </w:rPr>
        <w:t>The Inception Impact Assessment (IIA) was published on 25 October 2017, giving stakeholders the opportunity to comment on. Until the closing date of the consultation, on 22 November 2017, 66 responses were received in total</w:t>
      </w:r>
    </w:p>
    <w:p>
      <w:pPr>
        <w:rPr>
          <w:noProof/>
        </w:rPr>
      </w:pPr>
      <w:r>
        <w:rPr>
          <w:noProof/>
        </w:rPr>
        <w:t>i. Geographical distribution of the responses:</w:t>
      </w:r>
    </w:p>
    <w:p>
      <w:pPr>
        <w:rPr>
          <w:noProof/>
        </w:rPr>
      </w:pPr>
      <w:r>
        <w:rPr>
          <w:noProof/>
        </w:rPr>
        <w:t xml:space="preserve">We received stakeholders' responses from 16 Member States and a non-Member State country. </w:t>
      </w:r>
    </w:p>
    <w:p>
      <w:pPr>
        <w:rPr>
          <w:noProof/>
        </w:rPr>
      </w:pPr>
      <w:r>
        <w:rPr>
          <w:noProof/>
        </w:rPr>
        <w:t>ii. By category, the respondents were:</w:t>
      </w:r>
    </w:p>
    <w:p>
      <w:pPr>
        <w:pStyle w:val="ListParagraph"/>
        <w:numPr>
          <w:ilvl w:val="0"/>
          <w:numId w:val="65"/>
        </w:numPr>
        <w:spacing w:after="0"/>
        <w:contextualSpacing w:val="0"/>
        <w:jc w:val="left"/>
        <w:rPr>
          <w:rFonts w:eastAsiaTheme="minorHAnsi"/>
          <w:noProof/>
          <w:sz w:val="22"/>
        </w:rPr>
      </w:pPr>
      <w:r>
        <w:rPr>
          <w:rFonts w:eastAsiaTheme="minorHAnsi"/>
          <w:noProof/>
          <w:sz w:val="22"/>
        </w:rPr>
        <w:t>Online Platform Operators (4);</w:t>
      </w:r>
    </w:p>
    <w:p>
      <w:pPr>
        <w:pStyle w:val="ListParagraph"/>
        <w:numPr>
          <w:ilvl w:val="0"/>
          <w:numId w:val="65"/>
        </w:numPr>
        <w:spacing w:after="0"/>
        <w:contextualSpacing w:val="0"/>
        <w:jc w:val="left"/>
        <w:rPr>
          <w:rFonts w:eastAsiaTheme="minorHAnsi"/>
          <w:noProof/>
          <w:sz w:val="22"/>
        </w:rPr>
      </w:pPr>
      <w:r>
        <w:rPr>
          <w:rFonts w:eastAsiaTheme="minorHAnsi"/>
          <w:noProof/>
          <w:sz w:val="22"/>
        </w:rPr>
        <w:t>Business-Users (classified as Business Organisations/ Companies) (16);</w:t>
      </w:r>
    </w:p>
    <w:p>
      <w:pPr>
        <w:pStyle w:val="ListParagraph"/>
        <w:numPr>
          <w:ilvl w:val="0"/>
          <w:numId w:val="65"/>
        </w:numPr>
        <w:spacing w:after="0"/>
        <w:contextualSpacing w:val="0"/>
        <w:jc w:val="left"/>
        <w:rPr>
          <w:rFonts w:eastAsiaTheme="minorHAnsi"/>
          <w:noProof/>
          <w:sz w:val="22"/>
        </w:rPr>
      </w:pPr>
      <w:r>
        <w:rPr>
          <w:rFonts w:eastAsiaTheme="minorHAnsi"/>
          <w:noProof/>
          <w:sz w:val="22"/>
        </w:rPr>
        <w:t>Business Associations (30);</w:t>
      </w:r>
    </w:p>
    <w:p>
      <w:pPr>
        <w:pStyle w:val="ListParagraph"/>
        <w:numPr>
          <w:ilvl w:val="0"/>
          <w:numId w:val="65"/>
        </w:numPr>
        <w:spacing w:after="0"/>
        <w:contextualSpacing w:val="0"/>
        <w:jc w:val="left"/>
        <w:rPr>
          <w:rFonts w:eastAsiaTheme="minorHAnsi"/>
          <w:noProof/>
          <w:sz w:val="22"/>
        </w:rPr>
      </w:pPr>
      <w:r>
        <w:rPr>
          <w:rFonts w:eastAsiaTheme="minorHAnsi"/>
          <w:noProof/>
          <w:sz w:val="22"/>
        </w:rPr>
        <w:t>NGOs (6);</w:t>
      </w:r>
    </w:p>
    <w:p>
      <w:pPr>
        <w:pStyle w:val="ListParagraph"/>
        <w:numPr>
          <w:ilvl w:val="0"/>
          <w:numId w:val="65"/>
        </w:numPr>
        <w:spacing w:after="0"/>
        <w:contextualSpacing w:val="0"/>
        <w:jc w:val="left"/>
        <w:rPr>
          <w:rFonts w:eastAsiaTheme="minorHAnsi"/>
          <w:noProof/>
          <w:sz w:val="22"/>
        </w:rPr>
      </w:pPr>
      <w:r>
        <w:rPr>
          <w:rFonts w:eastAsiaTheme="minorHAnsi"/>
          <w:noProof/>
          <w:sz w:val="22"/>
        </w:rPr>
        <w:t>Academic/ Research Institutes (3);</w:t>
      </w:r>
    </w:p>
    <w:p>
      <w:pPr>
        <w:pStyle w:val="ListParagraph"/>
        <w:numPr>
          <w:ilvl w:val="0"/>
          <w:numId w:val="65"/>
        </w:numPr>
        <w:spacing w:after="0"/>
        <w:contextualSpacing w:val="0"/>
        <w:jc w:val="left"/>
        <w:rPr>
          <w:rFonts w:eastAsiaTheme="minorHAnsi"/>
          <w:noProof/>
          <w:sz w:val="22"/>
        </w:rPr>
      </w:pPr>
      <w:r>
        <w:rPr>
          <w:rFonts w:eastAsiaTheme="minorHAnsi"/>
          <w:noProof/>
          <w:sz w:val="22"/>
        </w:rPr>
        <w:t>Trade Unions (3).</w:t>
      </w:r>
    </w:p>
    <w:p>
      <w:pPr>
        <w:spacing w:after="0"/>
        <w:ind w:left="360"/>
        <w:jc w:val="left"/>
        <w:rPr>
          <w:rFonts w:eastAsiaTheme="minorHAnsi"/>
          <w:noProof/>
          <w:sz w:val="22"/>
        </w:rPr>
      </w:pPr>
    </w:p>
    <w:p>
      <w:pPr>
        <w:rPr>
          <w:noProof/>
        </w:rPr>
      </w:pPr>
      <w:r>
        <w:rPr>
          <w:noProof/>
        </w:rPr>
        <w:t xml:space="preserve">As a caveat, it shall be mentioned that there are 3 duplicated responses received and there is also a response received by an individual that was removed from the feedback database. Thus, the total number of responses is considered to be 62. </w:t>
      </w:r>
    </w:p>
    <w:p>
      <w:pPr>
        <w:rPr>
          <w:b/>
          <w:noProof/>
          <w:u w:val="single"/>
        </w:rPr>
      </w:pPr>
      <w:r>
        <w:rPr>
          <w:b/>
          <w:noProof/>
          <w:u w:val="single"/>
        </w:rPr>
        <w:t>The IIA in context</w:t>
      </w:r>
    </w:p>
    <w:p>
      <w:pPr>
        <w:rPr>
          <w:noProof/>
        </w:rPr>
      </w:pPr>
      <w:r>
        <w:rPr>
          <w:noProof/>
        </w:rPr>
        <w:t xml:space="preserve">Online platforms offer major new opportunities to businesses in accessing global consumer markets and constitute a significant driver for innovation and growth in the digital economy. The European Commission has carried out a fact-finding exercise regarding platform-to-business practices in the online platform environment. The results of the fact-finding point to the existence of potentially unfair trading practices that could hinder both platforms and businesses in achieving their maximum potential in the digital economy. </w:t>
      </w:r>
    </w:p>
    <w:p>
      <w:pPr>
        <w:rPr>
          <w:noProof/>
        </w:rPr>
      </w:pPr>
      <w:r>
        <w:rPr>
          <w:noProof/>
        </w:rPr>
        <w:t>Based on this fact-finding, the Commission announced, in its Mid-Term Review of the Digital Single Market Strategy, its commitment to 'prepare actions to address the issues of unfair contractual clauses and trading practices identified in platform-to-business relationships, including by exploring dispute resolution, fair practices criteria and transparency. These actions could, on the basis of an Impact Assessment and informed by structured dialogues with Member States and stakeholders, take the form of a legislative instrument.'</w:t>
      </w:r>
    </w:p>
    <w:p>
      <w:pPr>
        <w:rPr>
          <w:noProof/>
        </w:rPr>
      </w:pPr>
      <w:r>
        <w:rPr>
          <w:noProof/>
        </w:rPr>
        <w:t>The present IIA is the preliminary step of the Impact Assessment process.</w:t>
      </w:r>
    </w:p>
    <w:p>
      <w:pPr>
        <w:rPr>
          <w:b/>
          <w:noProof/>
          <w:u w:val="single"/>
        </w:rPr>
      </w:pPr>
      <w:r>
        <w:rPr>
          <w:b/>
          <w:noProof/>
          <w:u w:val="single"/>
        </w:rPr>
        <w:t>Results</w:t>
      </w:r>
    </w:p>
    <w:p>
      <w:pPr>
        <w:rPr>
          <w:noProof/>
        </w:rPr>
      </w:pPr>
      <w:r>
        <w:rPr>
          <w:noProof/>
        </w:rPr>
        <w:t>i. Platforms:</w:t>
      </w:r>
    </w:p>
    <w:p>
      <w:pPr>
        <w:rPr>
          <w:noProof/>
        </w:rPr>
      </w:pPr>
      <w:r>
        <w:rPr>
          <w:noProof/>
        </w:rPr>
        <w:t xml:space="preserve">Among the stakeholder responses, 4 platforms were identified that fall under the scope of the exercise. Their positions are, in summary: 3 opted for self-regulation and 1 supported targeted (co-)regulatory approach, because of the fact that their model makes use of third-party app stores. In detail: </w:t>
      </w:r>
    </w:p>
    <w:p>
      <w:pPr>
        <w:ind w:left="720"/>
        <w:rPr>
          <w:noProof/>
        </w:rPr>
      </w:pPr>
      <w:r>
        <w:rPr>
          <w:noProof/>
        </w:rPr>
        <w:t xml:space="preserve">a. Booking.com: Opted for self-regulation, as they deem the existing rules sufficient for the attainment of the objectives laid down in this IIA. They believe that regulatory intervention would be a punishment for all fair platforms, thus this would be an option to be avoided. </w:t>
      </w:r>
    </w:p>
    <w:p>
      <w:pPr>
        <w:ind w:left="720"/>
        <w:rPr>
          <w:noProof/>
        </w:rPr>
      </w:pPr>
      <w:r>
        <w:rPr>
          <w:noProof/>
        </w:rPr>
        <w:t xml:space="preserve">b. Group Allegro: They expressed a clear preference for a light-touch self-regulation approach. </w:t>
      </w:r>
    </w:p>
    <w:p>
      <w:pPr>
        <w:ind w:left="720"/>
        <w:rPr>
          <w:noProof/>
        </w:rPr>
      </w:pPr>
      <w:r>
        <w:rPr>
          <w:noProof/>
        </w:rPr>
        <w:t>c. Google: They suggest caution against a presumption that targeted and prescriptive legislative intervention is necessary or inevitable.</w:t>
      </w:r>
    </w:p>
    <w:p>
      <w:pPr>
        <w:ind w:left="720"/>
        <w:rPr>
          <w:noProof/>
        </w:rPr>
      </w:pPr>
      <w:r>
        <w:rPr>
          <w:noProof/>
        </w:rPr>
        <w:t>d. Microsoft (partial platform as they also act as seller of third party apps/goods on online platforms): For them, isolated problems can almost always be solved with limited action, tailored to the failure that allowed the problem to persist. In Microsoft’s view this is the best way to ensure that online platforms continue to be a powerful catalyst for innovation, growth, and consumer welfare in the EU.</w:t>
      </w:r>
    </w:p>
    <w:p>
      <w:pPr>
        <w:rPr>
          <w:noProof/>
        </w:rPr>
      </w:pPr>
      <w:r>
        <w:rPr>
          <w:noProof/>
        </w:rPr>
        <w:t>ii. Business-users:</w:t>
      </w:r>
    </w:p>
    <w:p>
      <w:pPr>
        <w:rPr>
          <w:noProof/>
        </w:rPr>
      </w:pPr>
      <w:r>
        <w:rPr>
          <w:noProof/>
        </w:rPr>
        <w:t xml:space="preserve">16 companies/ business-users came forward with feedback on the IIA. Generally, their position was leaning on Self-/Co-Regulation (or a hybrid of those two – 10 out of 16), while 2 business-users stated that they would be particularly supportive to option 1, corresponding to soft law. </w:t>
      </w:r>
    </w:p>
    <w:p>
      <w:pPr>
        <w:rPr>
          <w:noProof/>
        </w:rPr>
      </w:pPr>
      <w:r>
        <w:rPr>
          <w:noProof/>
        </w:rPr>
        <w:t>Seznam, Spotify and Skyscanner (search engine, app provider and meta-search engine, respectively) were also in a favour of an industry-led solution that would correspond to self-regulation.</w:t>
      </w:r>
    </w:p>
    <w:p>
      <w:pPr>
        <w:rPr>
          <w:noProof/>
        </w:rPr>
      </w:pPr>
      <w:r>
        <w:rPr>
          <w:noProof/>
        </w:rPr>
        <w:t xml:space="preserve">iii. Business Associations: </w:t>
      </w:r>
    </w:p>
    <w:p>
      <w:pPr>
        <w:rPr>
          <w:noProof/>
        </w:rPr>
      </w:pPr>
      <w:r>
        <w:rPr>
          <w:noProof/>
        </w:rPr>
        <w:t>There were 30 responses by business associations, 12 of them (almost 40%) were advocating in favour of soft law (Option 1). Accordingly, Self-/Co-Regulation were considered as prominent choice amongst them as well with 6 supportive responses (plus another 4 endorsing them). Regulation was backed by only 5 respondents, while 3 of the business associations claimed that there is no need for change.</w:t>
      </w:r>
    </w:p>
    <w:p>
      <w:pPr>
        <w:rPr>
          <w:noProof/>
        </w:rPr>
      </w:pPr>
      <w:r>
        <w:rPr>
          <w:noProof/>
        </w:rPr>
        <w:t xml:space="preserve">As a caveat, concerning the categorization of business associations, it should be highlighted that there are cases of respondents that throughout the fact-finding exercise have been leaning towards representing the interests of platforms (i.e. EDiMA).  </w:t>
      </w:r>
    </w:p>
    <w:p>
      <w:pPr>
        <w:rPr>
          <w:noProof/>
        </w:rPr>
      </w:pPr>
      <w:r>
        <w:rPr>
          <w:noProof/>
        </w:rPr>
        <w:t>iv. Others:</w:t>
      </w:r>
    </w:p>
    <w:p>
      <w:pPr>
        <w:rPr>
          <w:noProof/>
        </w:rPr>
      </w:pPr>
      <w:r>
        <w:rPr>
          <w:noProof/>
        </w:rPr>
        <w:t>Lastly, according to the stakeholders' consultation all 3 Trade Unions that responded are in favour of Regulation. While the 6 NGOs called for a non-legislative approach. Notably enough, 4 of them advocated in favour of Self-/Co-Regulation and only 1 supported a soft-law approach for the matter at stake.</w:t>
      </w:r>
    </w:p>
    <w:p>
      <w:pPr>
        <w:pStyle w:val="Heading1"/>
        <w:numPr>
          <w:ilvl w:val="0"/>
          <w:numId w:val="12"/>
        </w:numPr>
        <w:rPr>
          <w:noProof/>
        </w:rPr>
      </w:pPr>
      <w:bookmarkStart w:id="1008" w:name="_Toc508350171"/>
      <w:bookmarkStart w:id="1009" w:name="_Toc508350274"/>
      <w:bookmarkStart w:id="1010" w:name="_Toc500262118"/>
      <w:bookmarkStart w:id="1011" w:name="_Toc507167027"/>
      <w:bookmarkStart w:id="1012" w:name="_Toc508297410"/>
      <w:bookmarkStart w:id="1013" w:name="_Toc508350172"/>
      <w:bookmarkStart w:id="1014" w:name="_Toc508351612"/>
      <w:bookmarkStart w:id="1015" w:name="_Toc508360027"/>
      <w:bookmarkStart w:id="1016" w:name="_Toc511220527"/>
      <w:bookmarkStart w:id="1017" w:name="_Toc511234972"/>
      <w:bookmarkStart w:id="1018" w:name="_Toc511292885"/>
      <w:bookmarkEnd w:id="1008"/>
      <w:bookmarkEnd w:id="1009"/>
      <w:r>
        <w:rPr>
          <w:noProof/>
        </w:rPr>
        <w:t>Who is Affected by the Initiative and How?</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10"/>
      <w:bookmarkEnd w:id="1011"/>
      <w:bookmarkEnd w:id="1012"/>
      <w:bookmarkEnd w:id="1013"/>
      <w:bookmarkEnd w:id="1014"/>
      <w:bookmarkEnd w:id="1015"/>
      <w:bookmarkEnd w:id="1016"/>
      <w:bookmarkEnd w:id="1017"/>
      <w:bookmarkEnd w:id="1018"/>
    </w:p>
    <w:p>
      <w:pPr>
        <w:pStyle w:val="Heading2"/>
        <w:rPr>
          <w:noProof/>
        </w:rPr>
      </w:pPr>
      <w:bookmarkStart w:id="1019" w:name="_Toc511234973"/>
      <w:bookmarkStart w:id="1020" w:name="_Toc511292886"/>
      <w:r>
        <w:rPr>
          <w:noProof/>
        </w:rPr>
        <w:t>Who is Affected ?</w:t>
      </w:r>
      <w:bookmarkEnd w:id="1019"/>
      <w:bookmarkEnd w:id="1020"/>
    </w:p>
    <w:p>
      <w:pPr>
        <w:pStyle w:val="Heading3"/>
        <w:rPr>
          <w:noProof/>
        </w:rPr>
      </w:pPr>
      <w:bookmarkStart w:id="1021" w:name="_Toc497919451"/>
      <w:bookmarkStart w:id="1022" w:name="_Toc497919770"/>
      <w:bookmarkStart w:id="1023" w:name="_Toc497920454"/>
      <w:bookmarkStart w:id="1024" w:name="_Toc497921501"/>
      <w:bookmarkStart w:id="1025" w:name="_Toc497921596"/>
      <w:bookmarkStart w:id="1026" w:name="_Toc500262120"/>
      <w:bookmarkStart w:id="1027" w:name="_Toc507167029"/>
      <w:bookmarkStart w:id="1028" w:name="_Toc508297412"/>
      <w:bookmarkStart w:id="1029" w:name="_Toc508350174"/>
      <w:bookmarkStart w:id="1030" w:name="_Toc508351614"/>
      <w:bookmarkStart w:id="1031" w:name="_Toc508360028"/>
      <w:bookmarkStart w:id="1032" w:name="_Toc511220528"/>
      <w:bookmarkStart w:id="1033" w:name="_Toc511234974"/>
      <w:bookmarkStart w:id="1034" w:name="_Toc511292887"/>
      <w:r>
        <w:rPr>
          <w:noProof/>
        </w:rPr>
        <w:t>Business users</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spacing w:line="276" w:lineRule="auto"/>
        <w:rPr>
          <w:noProof/>
          <w:szCs w:val="24"/>
        </w:rPr>
      </w:pPr>
      <w:r>
        <w:rPr>
          <w:noProof/>
          <w:szCs w:val="24"/>
        </w:rPr>
        <w:t>Business users of platforms depend on online platforms to enhance the visibility of their products/services. More than a million EU enterprises trade through online platforms in order to reach their customers, and almost half (42%) of SME respondents to a recent Eurobarometer survey on online platforms use online marketplaces to sell their products and services. A conservative analysis of the main sectors of the business users concerned by this impact assessment (including app developers, retail and accommodation) shows that around 4.7 million jobs depend on business users of online platforms.</w:t>
      </w:r>
    </w:p>
    <w:p>
      <w:pPr>
        <w:rPr>
          <w:b/>
          <w:i/>
          <w:noProof/>
        </w:rPr>
      </w:pPr>
      <w:r>
        <w:rPr>
          <w:b/>
          <w:i/>
          <w:noProof/>
        </w:rPr>
        <w:t xml:space="preserve">Impact of measures aiming to address potential unfair trading practices </w:t>
      </w:r>
    </w:p>
    <w:p>
      <w:pPr>
        <w:spacing w:line="276" w:lineRule="auto"/>
        <w:rPr>
          <w:noProof/>
          <w:szCs w:val="24"/>
        </w:rPr>
      </w:pPr>
      <w:r>
        <w:rPr>
          <w:noProof/>
          <w:szCs w:val="24"/>
        </w:rPr>
        <w:t xml:space="preserve">In terms of transparency, business users' operations will be significantly and positively affected, since the proposed measures entail legal obligations to provide business users with specific information regarding contractual terms and conditions and other aspects of platform's operations, and allowing for a transitional period for businesses to implement changes to T&amp;Cs. This positive impact will allow business users to arrange their operations to platforms' requirements. Transparency also allows business users to understand the rationale for delisting of their accounts and their separate products/services, and grants them the opportunity to challenge the delisting decision based on the actionable statement given. </w:t>
      </w:r>
    </w:p>
    <w:p>
      <w:pPr>
        <w:spacing w:line="276" w:lineRule="auto"/>
        <w:rPr>
          <w:noProof/>
          <w:szCs w:val="24"/>
        </w:rPr>
      </w:pPr>
      <w:r>
        <w:rPr>
          <w:noProof/>
          <w:szCs w:val="24"/>
        </w:rPr>
        <w:t xml:space="preserve">Business users will better understand the conditions of online platforms, including possible differential treatment of the platform's products or services. Bundling practices by platforms therefore have to be fully transparent, allowing business users to choose the platforms on which they operate and adapt their business models if needed. </w:t>
      </w:r>
    </w:p>
    <w:p>
      <w:pPr>
        <w:spacing w:line="276" w:lineRule="auto"/>
        <w:rPr>
          <w:noProof/>
          <w:szCs w:val="24"/>
        </w:rPr>
      </w:pPr>
      <w:r>
        <w:rPr>
          <w:noProof/>
          <w:szCs w:val="24"/>
        </w:rPr>
        <w:t>In the same vein, online platforms will have to include in contractual T&amp;Cs and/or other accessible information sources their ranking mechanism criteria. Business users will therefore better understand the conditions for the use of any mechanism that allows them to influence their ranking against remuneration, avoiding costs for business users that might not opt for such options based on the additional information provided.</w:t>
      </w:r>
    </w:p>
    <w:p>
      <w:pPr>
        <w:spacing w:line="276" w:lineRule="auto"/>
        <w:rPr>
          <w:noProof/>
          <w:szCs w:val="24"/>
        </w:rPr>
      </w:pPr>
      <w:r>
        <w:rPr>
          <w:noProof/>
          <w:szCs w:val="24"/>
        </w:rPr>
        <w:t xml:space="preserve">The requirement for platforms to explicitly state whether they impose MFN clauses on business users will also provide business users with greater legal certainty. They will also introduce more trust into the platform environment which will further increase business user participation, which in line with network effects will help platforms to engage with more. </w:t>
      </w:r>
    </w:p>
    <w:p>
      <w:pPr>
        <w:rPr>
          <w:b/>
          <w:i/>
          <w:noProof/>
        </w:rPr>
      </w:pPr>
      <w:r>
        <w:rPr>
          <w:b/>
          <w:i/>
          <w:noProof/>
        </w:rPr>
        <w:t>Impact of measures on effective redress</w:t>
      </w:r>
    </w:p>
    <w:p>
      <w:pPr>
        <w:spacing w:line="276" w:lineRule="auto"/>
        <w:rPr>
          <w:noProof/>
          <w:szCs w:val="24"/>
        </w:rPr>
      </w:pPr>
      <w:r>
        <w:rPr>
          <w:noProof/>
          <w:szCs w:val="24"/>
        </w:rPr>
        <w:t xml:space="preserve">The measures on redress in the preferred option will also have a positive impact on business users. Business users' access to redress will be facilitated, as they will be provided by additional evidence in case of problems thanks to the transparency on the content of T&amp;Cs, to reasons for delisting, differential treatment, data, MFNs and ranking. Business users' access to redress mechanisms will also be improved by the proposal for platforms to voluntarily set-up platform specific ADR mechanisms and the requirement to provide effective and accessible internal complaint handling mechanisms. In addition, business users will more easily be able to identify mediation possibilities thanks to the obligation for platforms to list to EU mediation bodies in their contractual T&amp;Cs. </w:t>
      </w:r>
    </w:p>
    <w:p>
      <w:pPr>
        <w:spacing w:line="276" w:lineRule="auto"/>
        <w:rPr>
          <w:noProof/>
          <w:szCs w:val="24"/>
        </w:rPr>
      </w:pPr>
      <w:r>
        <w:rPr>
          <w:noProof/>
          <w:szCs w:val="24"/>
        </w:rPr>
        <w:t xml:space="preserve">Overall, these measures will have a positive impact on business users since they will avoid significant costs of litigation and resolve issues more quickly and efficiently. A study commissioned by the European Parliament stresses that mediation costs amount to approximately a quarter of litigation costs (roughly estimated costs of litigation amount to 10.000 EUR, while mediation costs amount to 2.500 EUR </w:t>
      </w:r>
      <w:r>
        <w:rPr>
          <w:noProof/>
          <w:vertAlign w:val="superscript"/>
        </w:rPr>
        <w:footnoteReference w:id="27"/>
      </w:r>
      <w:r>
        <w:rPr>
          <w:noProof/>
          <w:szCs w:val="24"/>
        </w:rPr>
        <w:t xml:space="preserve">). </w:t>
      </w:r>
    </w:p>
    <w:p>
      <w:pPr>
        <w:rPr>
          <w:b/>
          <w:i/>
          <w:noProof/>
        </w:rPr>
      </w:pPr>
      <w:r>
        <w:rPr>
          <w:b/>
          <w:i/>
          <w:noProof/>
        </w:rPr>
        <w:t xml:space="preserve">Benefits for business users </w:t>
      </w:r>
    </w:p>
    <w:p>
      <w:pPr>
        <w:spacing w:before="60" w:after="60"/>
        <w:rPr>
          <w:noProof/>
        </w:rPr>
      </w:pPr>
      <w:r>
        <w:rPr>
          <w:noProof/>
        </w:rPr>
        <w:t xml:space="preserve">Businesses of all sizes using online platforms to trade will be the main beneficiary of the preferred option. The particular relative benefits will be strongest for weaker parties such as microenterprises, whose bargaining power in the online platform economy is particularly limited. </w:t>
      </w:r>
    </w:p>
    <w:p>
      <w:pPr>
        <w:rPr>
          <w:noProof/>
        </w:rPr>
      </w:pPr>
      <w:r>
        <w:rPr>
          <w:noProof/>
        </w:rPr>
        <w:t>The measures supporting greater transparency on delisting and/or T&amp;Cs could lead to fewer complaints for businesses and thus to reduced administrative and legal costs for platforms.  Business users will experience an increase in turnover, will be able to, inter alia, maintain employment and pursue sustainable growth, competition and competitiveness.</w:t>
      </w:r>
    </w:p>
    <w:p>
      <w:pPr>
        <w:spacing w:line="276" w:lineRule="auto"/>
        <w:rPr>
          <w:noProof/>
          <w:szCs w:val="24"/>
        </w:rPr>
      </w:pPr>
      <w:r>
        <w:rPr>
          <w:noProof/>
          <w:szCs w:val="24"/>
        </w:rPr>
        <w:t>The measures improving access to redress will avoid high costs by avoiding litigation, and by more quickly and effectively resolving disputes through better access to existing and new redress mechanisms.</w:t>
      </w:r>
    </w:p>
    <w:p>
      <w:pPr>
        <w:spacing w:line="276" w:lineRule="auto"/>
        <w:rPr>
          <w:noProof/>
        </w:rPr>
      </w:pPr>
      <w:r>
        <w:rPr>
          <w:noProof/>
        </w:rPr>
        <w:t>Business users would not incur any additional costs.</w:t>
      </w:r>
    </w:p>
    <w:p>
      <w:pPr>
        <w:pStyle w:val="Heading3"/>
        <w:rPr>
          <w:noProof/>
        </w:rPr>
      </w:pPr>
      <w:bookmarkStart w:id="1035" w:name="_Toc497919452"/>
      <w:bookmarkStart w:id="1036" w:name="_Toc497919771"/>
      <w:bookmarkStart w:id="1037" w:name="_Toc497920455"/>
      <w:bookmarkStart w:id="1038" w:name="_Toc497921502"/>
      <w:bookmarkStart w:id="1039" w:name="_Toc497921597"/>
      <w:bookmarkStart w:id="1040" w:name="_Toc500262121"/>
      <w:bookmarkStart w:id="1041" w:name="_Toc507167030"/>
      <w:bookmarkStart w:id="1042" w:name="_Toc508297413"/>
      <w:bookmarkStart w:id="1043" w:name="_Toc508350175"/>
      <w:bookmarkStart w:id="1044" w:name="_Toc508351615"/>
      <w:bookmarkStart w:id="1045" w:name="_Toc508360029"/>
      <w:bookmarkStart w:id="1046" w:name="_Toc511220529"/>
      <w:bookmarkStart w:id="1047" w:name="_Toc511234975"/>
      <w:bookmarkStart w:id="1048" w:name="_Toc511292888"/>
      <w:r>
        <w:rPr>
          <w:noProof/>
        </w:rPr>
        <w:t>Online platforms</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pPr>
        <w:pStyle w:val="Text3"/>
        <w:ind w:left="0"/>
        <w:rPr>
          <w:noProof/>
        </w:rPr>
      </w:pPr>
      <w:r>
        <w:rPr>
          <w:noProof/>
          <w:lang w:eastAsia="en-GB"/>
        </w:rPr>
        <w:t>Section 1.3 of the main report includes illustrative explanations of the type of business models which are considered in scope of the initiative. This section contains further details on how platforms are affected.</w:t>
      </w:r>
    </w:p>
    <w:p>
      <w:pPr>
        <w:rPr>
          <w:noProof/>
        </w:rPr>
      </w:pPr>
      <w:r>
        <w:rPr>
          <w:b/>
          <w:i/>
          <w:noProof/>
        </w:rPr>
        <w:t>How are platforms affected?</w:t>
      </w:r>
      <w:r>
        <w:rPr>
          <w:i/>
          <w:noProof/>
        </w:rPr>
        <w:t xml:space="preserve"> </w:t>
      </w:r>
    </w:p>
    <w:p>
      <w:pPr>
        <w:spacing w:line="276" w:lineRule="auto"/>
        <w:rPr>
          <w:b/>
          <w:noProof/>
          <w:szCs w:val="24"/>
        </w:rPr>
      </w:pPr>
      <w:r>
        <w:rPr>
          <w:noProof/>
          <w:szCs w:val="24"/>
        </w:rPr>
        <w:t xml:space="preserve">While online platforms will bear costs linked to the implementation of the measures in the preferred option package, they will also benefit from the effect of these measures, as an increase in the use of online platforms by business users will lead to increases in activity of online platforms as well. </w:t>
      </w:r>
      <w:r>
        <w:rPr>
          <w:noProof/>
        </w:rPr>
        <w:t>This is true for the approximately 6359 active online platform operators in the EU. The costs for these platforms will differ depending on their size (40% have &gt;10 employees, 77% have &gt;50 employees), as thresholds are proposed for the obligations related to internal redress mechanisms</w:t>
      </w:r>
      <w:r>
        <w:rPr>
          <w:rStyle w:val="FootnoteReference"/>
          <w:noProof/>
        </w:rPr>
        <w:footnoteReference w:id="28"/>
      </w:r>
      <w:r>
        <w:rPr>
          <w:noProof/>
        </w:rPr>
        <w:t>.</w:t>
      </w:r>
    </w:p>
    <w:p>
      <w:pPr>
        <w:spacing w:line="276" w:lineRule="auto"/>
        <w:rPr>
          <w:noProof/>
          <w:color w:val="000000"/>
          <w:szCs w:val="24"/>
        </w:rPr>
      </w:pPr>
      <w:r>
        <w:rPr>
          <w:noProof/>
          <w:color w:val="000000"/>
          <w:szCs w:val="24"/>
        </w:rPr>
        <w:t xml:space="preserve">Online platforms will incur different costs linked to the implementation of the measures on transparency and redress. </w:t>
      </w:r>
    </w:p>
    <w:p>
      <w:pPr>
        <w:rPr>
          <w:noProof/>
        </w:rPr>
      </w:pPr>
      <w:r>
        <w:rPr>
          <w:noProof/>
          <w:lang w:eastAsia="en-GB"/>
        </w:rPr>
        <w:t>First, p</w:t>
      </w:r>
      <w:r>
        <w:rPr>
          <w:noProof/>
        </w:rPr>
        <w:t>latforms need to comply with the different transparency requirements with regard to changes in their terms and conditions, delisting, discrimination, paid ranking, general data policy and MFNs. The costs would very much depend on the way chosen by platforms to comply with the proposed provisions. Quantifying the impacts of the transparency obligations would thus imply several assumptions and not be reliable. Therefore, the qualitative assessment of their impact is set out below:</w:t>
      </w:r>
    </w:p>
    <w:p>
      <w:pPr>
        <w:pStyle w:val="ListParagraph"/>
        <w:numPr>
          <w:ilvl w:val="0"/>
          <w:numId w:val="132"/>
        </w:numPr>
        <w:rPr>
          <w:noProof/>
        </w:rPr>
      </w:pPr>
      <w:r>
        <w:rPr>
          <w:noProof/>
        </w:rPr>
        <w:t xml:space="preserve">The obligation to </w:t>
      </w:r>
      <w:r>
        <w:rPr>
          <w:b/>
          <w:noProof/>
        </w:rPr>
        <w:t>announce changes to terms and conditions and provide business users with a reasonable notice period</w:t>
      </w:r>
      <w:r>
        <w:rPr>
          <w:noProof/>
        </w:rPr>
        <w:t xml:space="preserve"> to prepare to the changes announced is expected to lead to minimal operational and financial costs. Implementation costs would be limited to one-off effort for platforms to adapt the implementation and communication of their terms and conditions policy. This does not require however a more individualized approach which would be more heavy and expensive.</w:t>
      </w:r>
    </w:p>
    <w:p>
      <w:pPr>
        <w:pStyle w:val="ListParagraph"/>
        <w:ind w:left="360"/>
        <w:rPr>
          <w:noProof/>
        </w:rPr>
      </w:pPr>
    </w:p>
    <w:p>
      <w:pPr>
        <w:pStyle w:val="ListParagraph"/>
        <w:numPr>
          <w:ilvl w:val="0"/>
          <w:numId w:val="132"/>
        </w:numPr>
        <w:rPr>
          <w:noProof/>
        </w:rPr>
      </w:pPr>
      <w:r>
        <w:rPr>
          <w:noProof/>
        </w:rPr>
        <w:t xml:space="preserve">The obligation to provide business users with </w:t>
      </w:r>
      <w:r>
        <w:rPr>
          <w:b/>
          <w:noProof/>
        </w:rPr>
        <w:t xml:space="preserve">clear statement of the reasons for delisting or suspension </w:t>
      </w:r>
      <w:r>
        <w:rPr>
          <w:noProof/>
        </w:rPr>
        <w:t>would imply adjustment in the platforms' information system. Platforms could also face additional costs in safeguarding their customers and businesses against fraudulent businesses users who might use the additional information provided to circumvent or game existing safeguarding measures. On the other hand, more clarity on terms and conditions changes associated with a reasonable notice period and a statement of reasons for delisting could also result in a reduced number of P2B disputes thus also reducing platforms' litigation costs.</w:t>
      </w:r>
    </w:p>
    <w:p>
      <w:pPr>
        <w:pStyle w:val="ListParagraph"/>
        <w:ind w:left="360"/>
        <w:rPr>
          <w:noProof/>
        </w:rPr>
      </w:pPr>
    </w:p>
    <w:p>
      <w:pPr>
        <w:pStyle w:val="ListParagraph"/>
        <w:numPr>
          <w:ilvl w:val="0"/>
          <w:numId w:val="132"/>
        </w:numPr>
        <w:rPr>
          <w:noProof/>
        </w:rPr>
      </w:pPr>
      <w:r>
        <w:rPr>
          <w:noProof/>
        </w:rPr>
        <w:t xml:space="preserve">The obligation to </w:t>
      </w:r>
      <w:r>
        <w:rPr>
          <w:b/>
          <w:noProof/>
        </w:rPr>
        <w:t>make transparent the use of MFN clauses</w:t>
      </w:r>
      <w:r>
        <w:rPr>
          <w:noProof/>
        </w:rPr>
        <w:t xml:space="preserve"> </w:t>
      </w:r>
      <w:r>
        <w:rPr>
          <w:b/>
          <w:noProof/>
        </w:rPr>
        <w:t>and their justification</w:t>
      </w:r>
      <w:r>
        <w:rPr>
          <w:noProof/>
        </w:rPr>
        <w:t xml:space="preserve"> implies only a simple update of the terms and conditions.</w:t>
      </w:r>
    </w:p>
    <w:p>
      <w:pPr>
        <w:pStyle w:val="ListParagraph"/>
        <w:ind w:left="360"/>
        <w:rPr>
          <w:noProof/>
        </w:rPr>
      </w:pPr>
    </w:p>
    <w:p>
      <w:pPr>
        <w:pStyle w:val="ListParagraph"/>
        <w:numPr>
          <w:ilvl w:val="0"/>
          <w:numId w:val="132"/>
        </w:numPr>
        <w:rPr>
          <w:noProof/>
        </w:rPr>
      </w:pPr>
      <w:r>
        <w:rPr>
          <w:noProof/>
        </w:rPr>
        <w:t xml:space="preserve">The </w:t>
      </w:r>
      <w:r>
        <w:rPr>
          <w:b/>
          <w:noProof/>
        </w:rPr>
        <w:t>data-related transparency obligation</w:t>
      </w:r>
      <w:r>
        <w:rPr>
          <w:noProof/>
        </w:rPr>
        <w:t xml:space="preserve"> would imply a one-off initial cost limited to legal expertise and revision of the terms and conditions, where unclear language is used currently. The legal costs may be higher for platforms who have not defined their data policy.</w:t>
      </w:r>
    </w:p>
    <w:p>
      <w:pPr>
        <w:pStyle w:val="ListParagraph"/>
        <w:ind w:left="360"/>
        <w:rPr>
          <w:noProof/>
        </w:rPr>
      </w:pPr>
    </w:p>
    <w:p>
      <w:pPr>
        <w:pStyle w:val="ListParagraph"/>
        <w:numPr>
          <w:ilvl w:val="0"/>
          <w:numId w:val="132"/>
        </w:numPr>
        <w:rPr>
          <w:noProof/>
        </w:rPr>
      </w:pPr>
      <w:r>
        <w:rPr>
          <w:noProof/>
        </w:rPr>
        <w:t xml:space="preserve">The </w:t>
      </w:r>
      <w:r>
        <w:rPr>
          <w:b/>
          <w:noProof/>
        </w:rPr>
        <w:t>transparency obligation with regard to the criteria for ranking</w:t>
      </w:r>
      <w:r>
        <w:rPr>
          <w:noProof/>
        </w:rPr>
        <w:t xml:space="preserve"> would be applicable to a variety of technical models used by platforms to that effect. This provision would have no technical costs on the platform; the implementation costs would be limited to the publication of the measures. The costs are not excessive given that online platforms already need to comply with consumer protection law and need to disclose to consumers whether a presentation of offers on a website is influenced by the commercial interests of the platform operator.</w:t>
      </w:r>
    </w:p>
    <w:p>
      <w:pPr>
        <w:spacing w:line="276" w:lineRule="auto"/>
        <w:rPr>
          <w:b/>
          <w:noProof/>
          <w:color w:val="000000"/>
          <w:szCs w:val="24"/>
        </w:rPr>
      </w:pPr>
      <w:r>
        <w:rPr>
          <w:noProof/>
        </w:rPr>
        <w:t xml:space="preserve">The </w:t>
      </w:r>
      <w:r>
        <w:rPr>
          <w:b/>
          <w:noProof/>
        </w:rPr>
        <w:t>transparency obligation with regard to platforms' preferential treatment of its own services</w:t>
      </w:r>
      <w:r>
        <w:rPr>
          <w:noProof/>
        </w:rPr>
        <w:t xml:space="preserve"> could possibly lead to higher costs for larger, vertically integrated platform operators with many different products or services. In instances where differentiated treatment is possible on the basis of different criteria (e.g. delivery time, payment services, technical specifications, etc.), a platform with a big customer base or many services may incur higher one-off implementation costs to specify and explain the differentiated treatment it applies. Complying with transparency requirement with regard to auxiliary services this requirement is expected to entail limited one-off cost for adapting advertising and billing. As to the size of the platform, the same logic would apply: the greater the number of auxiliary services, the more burdensome the compliance with the obligation.</w:t>
      </w:r>
    </w:p>
    <w:p>
      <w:pPr>
        <w:pStyle w:val="Text4"/>
        <w:ind w:left="0"/>
        <w:rPr>
          <w:noProof/>
          <w:lang w:eastAsia="en-GB"/>
        </w:rPr>
      </w:pPr>
      <w:r>
        <w:rPr>
          <w:noProof/>
          <w:lang w:eastAsia="en-GB"/>
        </w:rPr>
        <w:t xml:space="preserve">The costs linked to creation or upgrading of an internal dispute settlement system will primarily affect medium and large platforms, as small ones will be exempted under the proposal. According to the interviews carried out by the Commission, most platforms already have some form of complaints handling system in place. A safe assumption is that online platforms would choose to build on existing structures so as to minimise costs. Nonetheless, these systems may need to be upgraded to comply with the quality standards set out in the legal act, notably speed and effectiveness. The changes to be made could include identifying a clear contact point for submitting complaints, offering an automatic filtering of complaints as well as human interfaces for more complex cases, as well as support in different languages. </w:t>
      </w:r>
    </w:p>
    <w:p>
      <w:pPr>
        <w:rPr>
          <w:noProof/>
        </w:rPr>
      </w:pPr>
      <w:r>
        <w:rPr>
          <w:noProof/>
          <w:lang w:eastAsia="en-GB"/>
        </w:rPr>
        <w:t xml:space="preserve">Assuming that platforms would need to create a dispute settlement system from scratch, the costs would be divided between set-up and running costs. </w:t>
      </w:r>
      <w:r>
        <w:rPr>
          <w:noProof/>
        </w:rPr>
        <w:t>While it cannot be guaranteed that the administrative burden resulting from this particular measure is always limited, platforms may in many cases be able to develop intelligent solutions to lower costs, and they are likely to have a commercial incentive to follow the example of larger players</w:t>
      </w:r>
      <w:r>
        <w:rPr>
          <w:rStyle w:val="FootnoteReference"/>
          <w:noProof/>
        </w:rPr>
        <w:footnoteReference w:id="29"/>
      </w:r>
      <w:r>
        <w:rPr>
          <w:noProof/>
        </w:rPr>
        <w:t xml:space="preserve">. </w:t>
      </w:r>
      <w:r>
        <w:rPr>
          <w:noProof/>
          <w:lang w:eastAsia="en-GB"/>
        </w:rPr>
        <w:t>In light of the foregoing, the cost for setting up an effective internal complaint-handling mechanism is limited, as many of the small but growing companies to which the obligation applies will be able to leverage existing internal structures as well as external technologies to minimize costs. In addition, putting in place an effective internal complaint-handling system constitutes an investment the costs of which may be somewhat offset over time as a result of increased or more efficient platform-use. The precise cost therefore strongly depends on a case-by-case assessment, but direct impacts can be estimated to lie in the range of a 0.4 to 1% increase in the cost base for smaller platform companies</w:t>
      </w:r>
      <w:r>
        <w:rPr>
          <w:rStyle w:val="FootnoteReference"/>
          <w:noProof/>
          <w:lang w:eastAsia="en-GB"/>
        </w:rPr>
        <w:footnoteReference w:id="30"/>
      </w:r>
      <w:r>
        <w:rPr>
          <w:noProof/>
          <w:lang w:eastAsia="en-GB"/>
        </w:rPr>
        <w:t>, and a one-off cost of 0.03% of total turnover for larger ones</w:t>
      </w:r>
      <w:r>
        <w:rPr>
          <w:rStyle w:val="FootnoteReference"/>
          <w:noProof/>
          <w:lang w:eastAsia="en-GB"/>
        </w:rPr>
        <w:footnoteReference w:id="31"/>
      </w:r>
      <w:r>
        <w:rPr>
          <w:noProof/>
          <w:lang w:eastAsia="en-GB"/>
        </w:rPr>
        <w:t>. The cost is therefore expected to be limited in all cases but can be expected to be exponentially bigger for the smallest companies, which supports exempting companies with less than 50 employees and a turnover or balance sheet total of less than €10 million from this particular obligation.</w:t>
      </w:r>
      <w:r>
        <w:rPr>
          <w:noProof/>
        </w:rPr>
        <w:t xml:space="preserve"> </w:t>
      </w:r>
    </w:p>
    <w:p>
      <w:pPr>
        <w:pStyle w:val="Text4"/>
        <w:ind w:left="0"/>
        <w:rPr>
          <w:noProof/>
          <w:color w:val="000000"/>
        </w:rPr>
      </w:pPr>
      <w:r>
        <w:rPr>
          <w:noProof/>
          <w:color w:val="000000"/>
        </w:rPr>
        <w:t xml:space="preserve">Small platforms which are micro-enterprises are excluded from the scope of the intervention according to the </w:t>
      </w:r>
      <w:r>
        <w:rPr>
          <w:noProof/>
          <w:color w:val="000000"/>
          <w:szCs w:val="24"/>
        </w:rPr>
        <w:t>Think Small First principle, unless their inclusion can be justified. In addition, small businesses</w:t>
      </w:r>
      <w:r>
        <w:rPr>
          <w:noProof/>
          <w:lang w:eastAsia="en-GB"/>
        </w:rPr>
        <w:t xml:space="preserve"> </w:t>
      </w:r>
      <w:r>
        <w:rPr>
          <w:noProof/>
          <w:color w:val="000000"/>
        </w:rPr>
        <w:t xml:space="preserve">will also be exempted of the measures linked to the internal redress mechanism obligation, to ensure that </w:t>
      </w:r>
      <w:r>
        <w:rPr>
          <w:noProof/>
        </w:rPr>
        <w:t>only companies that generate sufficient revenue to absorb the possible administrative burden are covered</w:t>
      </w:r>
      <w:r>
        <w:rPr>
          <w:noProof/>
          <w:color w:val="000000"/>
        </w:rPr>
        <w:t xml:space="preserve">. Neither micro- nor small enterprises will therefore have to bear the associated costs. </w:t>
      </w:r>
    </w:p>
    <w:p>
      <w:pPr>
        <w:pStyle w:val="Text4"/>
        <w:ind w:left="0"/>
        <w:rPr>
          <w:noProof/>
          <w:lang w:eastAsia="en-GB"/>
        </w:rPr>
      </w:pPr>
      <w:r>
        <w:rPr>
          <w:noProof/>
          <w:lang w:eastAsia="en-GB"/>
        </w:rPr>
        <w:t xml:space="preserve">The costs for setting up an industry-led </w:t>
      </w:r>
      <w:r>
        <w:rPr>
          <w:b/>
          <w:noProof/>
          <w:lang w:eastAsia="en-GB"/>
        </w:rPr>
        <w:t>external mediation mechanism</w:t>
      </w:r>
      <w:r>
        <w:rPr>
          <w:noProof/>
          <w:lang w:eastAsia="en-GB"/>
        </w:rPr>
        <w:t xml:space="preserve"> would be determined by the set-up chosen by industry, which is difficult to predict. However, this constitutes a voluntary call on platforms, and the cost can therefore be fully avoided. In addition, mediation constitutes a proven and much used alternative to court litigation</w:t>
      </w:r>
      <w:r>
        <w:rPr>
          <w:rStyle w:val="FootnoteReference"/>
          <w:noProof/>
          <w:lang w:eastAsia="en-GB"/>
        </w:rPr>
        <w:footnoteReference w:id="32"/>
      </w:r>
      <w:r>
        <w:rPr>
          <w:noProof/>
          <w:lang w:eastAsia="en-GB"/>
        </w:rPr>
        <w:t xml:space="preserve"> and private parties active in the legal services area are therefore likely to have an incentive to invest in this area. Indeed, it cannot be excluded that a market for specialised P2B mediation services can develop which would largely prevent the need for platforms to bear any costs. Finally, there are more than 7,000 platforms in the EU alone, and almost 20,000 globally.</w:t>
      </w:r>
      <w:r>
        <w:rPr>
          <w:rStyle w:val="FootnoteReference"/>
          <w:noProof/>
          <w:lang w:eastAsia="en-GB"/>
        </w:rPr>
        <w:footnoteReference w:id="33"/>
      </w:r>
      <w:r>
        <w:rPr>
          <w:noProof/>
          <w:lang w:eastAsia="en-GB"/>
        </w:rPr>
        <w:t xml:space="preserve"> Whilst it is difficult to predict with certainty how many exactly of all platforms worldwide will fall within the geographic scope of this initiative as described in Section 8.2 above, it is safe to assume that the yearly cost per platform will be minimal. In the event that the platform would choose to transfer these costs to the businesses operating on the platform, the cost increase for the average business would be even more diluted. </w:t>
      </w:r>
    </w:p>
    <w:p>
      <w:pPr>
        <w:pStyle w:val="Heading3"/>
        <w:rPr>
          <w:noProof/>
        </w:rPr>
      </w:pPr>
      <w:bookmarkStart w:id="1049" w:name="_Toc506981166"/>
      <w:bookmarkStart w:id="1050" w:name="_Toc507167031"/>
      <w:bookmarkStart w:id="1051" w:name="_Toc507168024"/>
      <w:bookmarkStart w:id="1052" w:name="_Toc507167032"/>
      <w:bookmarkStart w:id="1053" w:name="_Toc508297414"/>
      <w:bookmarkStart w:id="1054" w:name="_Toc508350176"/>
      <w:bookmarkStart w:id="1055" w:name="_Toc508351616"/>
      <w:bookmarkStart w:id="1056" w:name="_Toc508360030"/>
      <w:bookmarkStart w:id="1057" w:name="_Toc511220530"/>
      <w:bookmarkStart w:id="1058" w:name="_Toc511234976"/>
      <w:bookmarkStart w:id="1059" w:name="_Toc511292889"/>
      <w:bookmarkStart w:id="1060" w:name="_Toc497919453"/>
      <w:bookmarkStart w:id="1061" w:name="_Toc497919772"/>
      <w:bookmarkStart w:id="1062" w:name="_Toc497920456"/>
      <w:bookmarkStart w:id="1063" w:name="_Toc497921503"/>
      <w:bookmarkStart w:id="1064" w:name="_Toc497921598"/>
      <w:bookmarkStart w:id="1065" w:name="_Toc500262122"/>
      <w:bookmarkEnd w:id="1049"/>
      <w:bookmarkEnd w:id="1050"/>
      <w:bookmarkEnd w:id="1051"/>
      <w:r>
        <w:rPr>
          <w:noProof/>
        </w:rPr>
        <w:t>Online General Search Engines</w:t>
      </w:r>
      <w:bookmarkEnd w:id="1052"/>
      <w:bookmarkEnd w:id="1053"/>
      <w:bookmarkEnd w:id="1054"/>
      <w:bookmarkEnd w:id="1055"/>
      <w:bookmarkEnd w:id="1056"/>
      <w:bookmarkEnd w:id="1057"/>
      <w:bookmarkEnd w:id="1058"/>
      <w:bookmarkEnd w:id="1059"/>
    </w:p>
    <w:p>
      <w:pPr>
        <w:pStyle w:val="Text3"/>
        <w:ind w:left="0"/>
        <w:rPr>
          <w:noProof/>
        </w:rPr>
      </w:pPr>
      <w:r>
        <w:rPr>
          <w:noProof/>
          <w:lang w:eastAsia="en-GB"/>
        </w:rPr>
        <w:t>In addition to online platforms as defined in 4.1.2, the initiative would cover online general search engines. Online general search engines are defined in Directive (EU) No 2016/1148 of the European Parliament and of the Council of 6 July 2016 concerning measures for a high common level of security of network and information systems across the Union, as "a digital service that allows users to perform searches of, in principle, all websites or websites in a particular language on the basis of a query on any subject in the form of a keyword, phrase or other input, and returns links in which information related to the requested content can be found".</w:t>
      </w:r>
    </w:p>
    <w:p>
      <w:pPr>
        <w:pStyle w:val="Text3"/>
        <w:ind w:left="0"/>
        <w:rPr>
          <w:noProof/>
        </w:rPr>
      </w:pPr>
      <w:r>
        <w:rPr>
          <w:noProof/>
          <w:lang w:eastAsia="en-GB"/>
        </w:rPr>
        <w:t>Under policy option 2c, the providers of such digital services would face a single legal transparency obligation requiring them to inform the general public about their main ranking parameters. This would apply regardless of the fact that these digital services do not constitute online platforms or online intermediation services as defined in the previous section 4.1.2, but reflect their general importance as a source of referred Internet traffic – where ranking has a marked impact on revenues.</w:t>
      </w:r>
    </w:p>
    <w:p>
      <w:pPr>
        <w:pStyle w:val="Text3"/>
        <w:ind w:left="0"/>
        <w:rPr>
          <w:noProof/>
        </w:rPr>
      </w:pPr>
      <w:r>
        <w:rPr>
          <w:noProof/>
          <w:lang w:eastAsia="en-GB"/>
        </w:rPr>
        <w:t>The services covered by this option include only services such as Google Search, Yahoo and Bing</w:t>
      </w:r>
      <w:r>
        <w:rPr>
          <w:rStyle w:val="FootnoteReference"/>
          <w:noProof/>
          <w:lang w:eastAsia="en-GB"/>
        </w:rPr>
        <w:footnoteReference w:id="34"/>
      </w:r>
      <w:r>
        <w:rPr>
          <w:noProof/>
          <w:lang w:eastAsia="en-GB"/>
        </w:rPr>
        <w:t>, which all aim to index and render accessible the entire web, or regional examples of such services that index all websites in a particular language.</w:t>
      </w:r>
    </w:p>
    <w:p>
      <w:pPr>
        <w:pStyle w:val="Heading3"/>
        <w:rPr>
          <w:noProof/>
        </w:rPr>
      </w:pPr>
      <w:bookmarkStart w:id="1066" w:name="_Toc507167033"/>
      <w:bookmarkStart w:id="1067" w:name="_Toc508297415"/>
      <w:bookmarkStart w:id="1068" w:name="_Toc508350177"/>
      <w:bookmarkStart w:id="1069" w:name="_Toc508351617"/>
      <w:bookmarkStart w:id="1070" w:name="_Toc508360031"/>
      <w:bookmarkStart w:id="1071" w:name="_Toc511220531"/>
      <w:bookmarkStart w:id="1072" w:name="_Toc511234977"/>
      <w:bookmarkStart w:id="1073" w:name="_Toc511292890"/>
      <w:r>
        <w:rPr>
          <w:noProof/>
        </w:rPr>
        <w:t>Consumers</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spacing w:line="276" w:lineRule="auto"/>
        <w:rPr>
          <w:noProof/>
        </w:rPr>
      </w:pPr>
      <w:r>
        <w:rPr>
          <w:noProof/>
        </w:rPr>
        <w:t xml:space="preserve">Approximately 60% of private consumption and 30% of public consumption of goods and services related to the total 'Internet Economy' is channelled via online platforms. Therefore, any change that may happen to the regime governing the operations of online platforms will certainly impact consumers as well, since due to the relatively limited participation of business users in the platform economy, consumers may for instance not have access to the full range of products/services available. </w:t>
      </w:r>
    </w:p>
    <w:p>
      <w:pPr>
        <w:spacing w:line="276" w:lineRule="auto"/>
        <w:rPr>
          <w:noProof/>
        </w:rPr>
      </w:pPr>
      <w:r>
        <w:rPr>
          <w:noProof/>
        </w:rPr>
        <w:t>The proposed option is expected to lead to the growth of the platform economy. There will therefore be an increase of options available to the consumers. Investing on business-oriented fair practices and platform transparency could indirectly also  foster consumer's trust in platform economy and further support the growth of cross-border sales, as well as complement consumer protection rules on unfair commercial practices. Turnover on online platforms is therefore expected to increase. Indicatively, the value of good/services purchased by private households and the public sector via online intermediaries was estimated at EUR 270 billion (2014 figures), corresponding, namely, to 2,5% of the total final consumption in the EU-28, and can be expected to grow under the preferred package.</w:t>
      </w:r>
    </w:p>
    <w:p>
      <w:pPr>
        <w:spacing w:line="276" w:lineRule="auto"/>
        <w:rPr>
          <w:noProof/>
          <w:szCs w:val="24"/>
        </w:rPr>
      </w:pPr>
      <w:r>
        <w:rPr>
          <w:noProof/>
          <w:szCs w:val="24"/>
        </w:rPr>
        <w:t>C</w:t>
      </w:r>
      <w:r>
        <w:rPr>
          <w:noProof/>
        </w:rPr>
        <w:t>onsumer trust in e-commerce is also growing. More than one in two Europeans now buy online (55% of consumers in 2016</w:t>
      </w:r>
      <w:r>
        <w:rPr>
          <w:rStyle w:val="FootnoteReference"/>
          <w:noProof/>
        </w:rPr>
        <w:footnoteReference w:id="35"/>
      </w:r>
      <w:r>
        <w:rPr>
          <w:noProof/>
        </w:rPr>
        <w:t>). Since 2014, consumers' levels of trust have increased by 12 percentage points for purchases from retailers located in the same country (72.4% of consumers are confident buying online in their own country) and by 21 percentage points for purchases from other EU Member States (57.8%). Transparency about ranking criteria and other platform operational functionalities to consumers has been shown to positively influence consumer purchasing behaviour in an ongoing study on platform transparency and consumers.</w:t>
      </w:r>
      <w:r>
        <w:rPr>
          <w:rStyle w:val="FootnoteReference"/>
          <w:noProof/>
        </w:rPr>
        <w:footnoteReference w:id="36"/>
      </w:r>
      <w:r>
        <w:rPr>
          <w:noProof/>
        </w:rPr>
        <w:t xml:space="preserve"> The preferred options package may therefore, be expected to indirectly contribute to a continuation of this increase of consumer trust at an equivalent or higher pace in the future. This means that, should the proposed option package be implemented in four years' time and provided consumer confidence continues to grow at the same rate, 84% of consumers would be confident buying online cross-border by 2020.</w:t>
      </w:r>
    </w:p>
    <w:p>
      <w:pPr>
        <w:pStyle w:val="Heading3"/>
        <w:rPr>
          <w:noProof/>
        </w:rPr>
      </w:pPr>
      <w:bookmarkStart w:id="1074" w:name="_Toc497919454"/>
      <w:bookmarkStart w:id="1075" w:name="_Toc497919773"/>
      <w:bookmarkStart w:id="1076" w:name="_Toc497920457"/>
      <w:bookmarkStart w:id="1077" w:name="_Toc497921504"/>
      <w:bookmarkStart w:id="1078" w:name="_Toc497921599"/>
      <w:bookmarkStart w:id="1079" w:name="_Toc500262123"/>
      <w:bookmarkStart w:id="1080" w:name="_Toc507167034"/>
      <w:bookmarkStart w:id="1081" w:name="_Toc508297416"/>
      <w:bookmarkStart w:id="1082" w:name="_Toc508350178"/>
      <w:bookmarkStart w:id="1083" w:name="_Toc508351618"/>
      <w:bookmarkStart w:id="1084" w:name="_Toc508360032"/>
      <w:bookmarkStart w:id="1085" w:name="_Toc511220532"/>
      <w:bookmarkStart w:id="1086" w:name="_Toc511234978"/>
      <w:bookmarkStart w:id="1087" w:name="_Toc511292891"/>
      <w:r>
        <w:rPr>
          <w:noProof/>
        </w:rPr>
        <w:t>Public authorities (national and European Commission)</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spacing w:line="276" w:lineRule="auto"/>
        <w:rPr>
          <w:noProof/>
          <w:szCs w:val="24"/>
        </w:rPr>
      </w:pPr>
      <w:r>
        <w:rPr>
          <w:noProof/>
          <w:szCs w:val="24"/>
        </w:rPr>
        <w:t xml:space="preserve">Public authorities will bear costs linked to the implementation and enforcement of the preferred package of measures. </w:t>
      </w:r>
    </w:p>
    <w:p>
      <w:pPr>
        <w:spacing w:line="276" w:lineRule="auto"/>
        <w:rPr>
          <w:b/>
          <w:i/>
          <w:noProof/>
        </w:rPr>
      </w:pPr>
      <w:r>
        <w:rPr>
          <w:b/>
          <w:i/>
          <w:noProof/>
        </w:rPr>
        <w:t>National authorities</w:t>
      </w:r>
    </w:p>
    <w:p>
      <w:pPr>
        <w:tabs>
          <w:tab w:val="left" w:pos="2302"/>
        </w:tabs>
        <w:rPr>
          <w:noProof/>
        </w:rPr>
      </w:pPr>
      <w:r>
        <w:rPr>
          <w:noProof/>
        </w:rPr>
        <w:t xml:space="preserve">National authorities will </w:t>
      </w:r>
      <w:r>
        <w:rPr>
          <w:noProof/>
          <w:lang w:eastAsia="en-GB"/>
        </w:rPr>
        <w:t xml:space="preserve">not be directly impacted by </w:t>
      </w:r>
      <w:r>
        <w:rPr>
          <w:noProof/>
        </w:rPr>
        <w:t>the preferred option. Over time, they may deal with the possible increase in cases brought before national mediation bodies.</w:t>
      </w:r>
      <w:r>
        <w:rPr>
          <w:noProof/>
          <w:lang w:eastAsia="en-GB"/>
        </w:rPr>
        <w:t xml:space="preserve"> </w:t>
      </w:r>
      <w:r>
        <w:rPr>
          <w:noProof/>
        </w:rPr>
        <w:t xml:space="preserve">Mediation is however a private activity which will not impact public authorities. Member States will moreover not be required to adapt their existing certification schemes for mediators; those that already have such schemes in place will simply provide this existing service also for any new mediators that may enter the specialised area of P2B relations. </w:t>
      </w:r>
    </w:p>
    <w:p>
      <w:pPr>
        <w:tabs>
          <w:tab w:val="left" w:pos="2302"/>
        </w:tabs>
        <w:rPr>
          <w:noProof/>
        </w:rPr>
      </w:pPr>
      <w:r>
        <w:rPr>
          <w:noProof/>
        </w:rPr>
        <w:t>Any possible burden on national court systems is also expected to remain limited as a result of the layered design of the legal redress provisions. The preferred option relies on out-of-court, alternative dispute settlement mechanisms to solve substantive issues arising between business users and online platforms and the legal provision granting standing to business associations to effectively resolve disputes without having to resort to national courts. It will not be possible for these associations, as representatives of the business users, to rely on the foreseen legal instrument to instigate court cases concerning substantive issues relevant to individual business users. Rather such cases shall be limited to the prevention or termination of non-compliance with the obligations in the foreseen legal instrument, which will be limited to those that do not make the necessary adaptations.</w:t>
      </w:r>
    </w:p>
    <w:p>
      <w:pPr>
        <w:spacing w:line="276" w:lineRule="auto"/>
        <w:rPr>
          <w:b/>
          <w:i/>
          <w:noProof/>
        </w:rPr>
      </w:pPr>
      <w:r>
        <w:rPr>
          <w:b/>
          <w:i/>
          <w:noProof/>
        </w:rPr>
        <w:t>European Commission</w:t>
      </w:r>
    </w:p>
    <w:p>
      <w:pPr>
        <w:tabs>
          <w:tab w:val="left" w:pos="2302"/>
        </w:tabs>
        <w:rPr>
          <w:noProof/>
          <w:lang w:eastAsia="en-GB"/>
        </w:rPr>
      </w:pPr>
      <w:r>
        <w:rPr>
          <w:noProof/>
          <w:szCs w:val="24"/>
        </w:rPr>
        <w:t xml:space="preserve">The European Commission would be responsible for launching and supporting the EU Observatory and setting up the portal for receiving complaints from business users that have not been able to solve issues with online platforms through available redress mechanisms. </w:t>
      </w:r>
      <w:r>
        <w:rPr>
          <w:noProof/>
          <w:lang w:eastAsia="en-GB"/>
        </w:rPr>
        <w:t xml:space="preserve"> The running costs of the portal would include costs for hosting the platform, maintenance, translations and a possible helpdesk manned by a dedicated support team</w:t>
      </w:r>
      <w:r>
        <w:rPr>
          <w:noProof/>
          <w:szCs w:val="24"/>
        </w:rPr>
        <w:t xml:space="preserve">. </w:t>
      </w:r>
      <w:r>
        <w:rPr>
          <w:noProof/>
          <w:lang w:eastAsia="en-GB"/>
        </w:rPr>
        <w:t xml:space="preserve">Setting up such a portal would be linked to one-off costs for the European Commission reaching up to €1,000,000. </w:t>
      </w:r>
    </w:p>
    <w:p>
      <w:pPr>
        <w:pStyle w:val="Heading2"/>
        <w:rPr>
          <w:noProof/>
        </w:rPr>
      </w:pPr>
      <w:bookmarkStart w:id="1088" w:name="_Toc509596002"/>
      <w:bookmarkStart w:id="1089" w:name="_Toc509596003"/>
      <w:bookmarkStart w:id="1090" w:name="_Toc507407522"/>
      <w:bookmarkStart w:id="1091" w:name="_Toc507408609"/>
      <w:bookmarkStart w:id="1092" w:name="_Toc507408743"/>
      <w:bookmarkStart w:id="1093" w:name="_Toc507409834"/>
      <w:bookmarkStart w:id="1094" w:name="_Toc507410643"/>
      <w:bookmarkStart w:id="1095" w:name="_Toc507411042"/>
      <w:bookmarkStart w:id="1096" w:name="_Toc507411229"/>
      <w:bookmarkStart w:id="1097" w:name="_Toc507411569"/>
      <w:bookmarkStart w:id="1098" w:name="_Toc507412457"/>
      <w:bookmarkStart w:id="1099" w:name="_Toc507413703"/>
      <w:bookmarkStart w:id="1100" w:name="_Toc507414685"/>
      <w:bookmarkStart w:id="1101" w:name="_Toc507414460"/>
      <w:bookmarkStart w:id="1102" w:name="_Toc507415025"/>
      <w:bookmarkStart w:id="1103" w:name="_Toc507416005"/>
      <w:bookmarkStart w:id="1104" w:name="_Toc507416353"/>
      <w:bookmarkStart w:id="1105" w:name="_Toc507416525"/>
      <w:bookmarkStart w:id="1106" w:name="_Toc507416706"/>
      <w:bookmarkStart w:id="1107" w:name="_Toc507417091"/>
      <w:bookmarkStart w:id="1108" w:name="_Toc507417339"/>
      <w:bookmarkStart w:id="1109" w:name="_Toc507423465"/>
      <w:bookmarkStart w:id="1110" w:name="_Toc507423585"/>
      <w:bookmarkStart w:id="1111" w:name="_Toc507424858"/>
      <w:bookmarkStart w:id="1112" w:name="_Toc507425559"/>
      <w:bookmarkStart w:id="1113" w:name="_Toc507426428"/>
      <w:bookmarkStart w:id="1114" w:name="_Toc507427416"/>
      <w:bookmarkStart w:id="1115" w:name="_Toc507427752"/>
      <w:bookmarkStart w:id="1116" w:name="_Toc507427782"/>
      <w:bookmarkStart w:id="1117" w:name="_Toc507427872"/>
      <w:bookmarkStart w:id="1118" w:name="_Toc507427942"/>
      <w:bookmarkStart w:id="1119" w:name="_Toc507428042"/>
      <w:bookmarkStart w:id="1120" w:name="_Toc507428354"/>
      <w:bookmarkStart w:id="1121" w:name="_Toc507428444"/>
      <w:bookmarkStart w:id="1122" w:name="_Toc507428588"/>
      <w:bookmarkStart w:id="1123" w:name="_Toc507428924"/>
      <w:bookmarkStart w:id="1124" w:name="_Toc507429015"/>
      <w:bookmarkStart w:id="1125" w:name="_Toc507407523"/>
      <w:bookmarkStart w:id="1126" w:name="_Toc507408610"/>
      <w:bookmarkStart w:id="1127" w:name="_Toc507408744"/>
      <w:bookmarkStart w:id="1128" w:name="_Toc507409835"/>
      <w:bookmarkStart w:id="1129" w:name="_Toc507410644"/>
      <w:bookmarkStart w:id="1130" w:name="_Toc507411043"/>
      <w:bookmarkStart w:id="1131" w:name="_Toc507411230"/>
      <w:bookmarkStart w:id="1132" w:name="_Toc507411570"/>
      <w:bookmarkStart w:id="1133" w:name="_Toc507412458"/>
      <w:bookmarkStart w:id="1134" w:name="_Toc507413704"/>
      <w:bookmarkStart w:id="1135" w:name="_Toc507414686"/>
      <w:bookmarkStart w:id="1136" w:name="_Toc507414461"/>
      <w:bookmarkStart w:id="1137" w:name="_Toc507414866"/>
      <w:bookmarkStart w:id="1138" w:name="_Toc507416386"/>
      <w:bookmarkStart w:id="1139" w:name="_Toc507416838"/>
      <w:bookmarkStart w:id="1140" w:name="_Toc507416986"/>
      <w:bookmarkStart w:id="1141" w:name="_Toc507417234"/>
      <w:bookmarkStart w:id="1142" w:name="_Toc507417487"/>
      <w:bookmarkStart w:id="1143" w:name="_Toc507417635"/>
      <w:bookmarkStart w:id="1144" w:name="_Toc507418056"/>
      <w:bookmarkStart w:id="1145" w:name="_Toc507421278"/>
      <w:bookmarkStart w:id="1146" w:name="_Toc507421462"/>
      <w:bookmarkStart w:id="1147" w:name="_Toc507421796"/>
      <w:bookmarkStart w:id="1148" w:name="_Toc507421944"/>
      <w:bookmarkStart w:id="1149" w:name="_Toc507422092"/>
      <w:bookmarkStart w:id="1150" w:name="_Toc507422241"/>
      <w:bookmarkStart w:id="1151" w:name="_Toc507422639"/>
      <w:bookmarkStart w:id="1152" w:name="_Toc507424598"/>
      <w:bookmarkStart w:id="1153" w:name="_Toc507425066"/>
      <w:bookmarkStart w:id="1154" w:name="_Toc507425214"/>
      <w:bookmarkStart w:id="1155" w:name="_Toc507425362"/>
      <w:bookmarkStart w:id="1156" w:name="_Toc507425700"/>
      <w:bookmarkStart w:id="1157" w:name="_Toc507425848"/>
      <w:bookmarkStart w:id="1158" w:name="_Toc507427214"/>
      <w:bookmarkStart w:id="1159" w:name="_Toc507427311"/>
      <w:bookmarkStart w:id="1160" w:name="_Toc507427655"/>
      <w:bookmarkStart w:id="1161" w:name="_Toc507428183"/>
      <w:bookmarkStart w:id="1162" w:name="_Toc507428495"/>
      <w:bookmarkStart w:id="1163" w:name="_Toc496293780"/>
      <w:bookmarkStart w:id="1164" w:name="_Toc496296028"/>
      <w:bookmarkStart w:id="1165" w:name="_Toc496296288"/>
      <w:bookmarkStart w:id="1166" w:name="_Toc496296536"/>
      <w:bookmarkStart w:id="1167" w:name="_Toc496445290"/>
      <w:bookmarkStart w:id="1168" w:name="_Toc496484706"/>
      <w:bookmarkStart w:id="1169" w:name="_Toc496484974"/>
      <w:bookmarkStart w:id="1170" w:name="_Toc496293783"/>
      <w:bookmarkStart w:id="1171" w:name="_Toc496296031"/>
      <w:bookmarkStart w:id="1172" w:name="_Toc496296291"/>
      <w:bookmarkStart w:id="1173" w:name="_Toc496296539"/>
      <w:bookmarkStart w:id="1174" w:name="_Toc496445293"/>
      <w:bookmarkStart w:id="1175" w:name="_Toc496484709"/>
      <w:bookmarkStart w:id="1176" w:name="_Toc496484977"/>
      <w:bookmarkStart w:id="1177" w:name="_Toc496293794"/>
      <w:bookmarkStart w:id="1178" w:name="_Toc496296042"/>
      <w:bookmarkStart w:id="1179" w:name="_Toc496296302"/>
      <w:bookmarkStart w:id="1180" w:name="_Toc496296550"/>
      <w:bookmarkStart w:id="1181" w:name="_Toc496445304"/>
      <w:bookmarkStart w:id="1182" w:name="_Toc496484720"/>
      <w:bookmarkStart w:id="1183" w:name="_Toc496484988"/>
      <w:bookmarkStart w:id="1184" w:name="_Toc496293797"/>
      <w:bookmarkStart w:id="1185" w:name="_Toc496296045"/>
      <w:bookmarkStart w:id="1186" w:name="_Toc496296305"/>
      <w:bookmarkStart w:id="1187" w:name="_Toc496296553"/>
      <w:bookmarkStart w:id="1188" w:name="_Toc496445307"/>
      <w:bookmarkStart w:id="1189" w:name="_Toc496484723"/>
      <w:bookmarkStart w:id="1190" w:name="_Toc496484991"/>
      <w:bookmarkStart w:id="1191" w:name="_Toc496293798"/>
      <w:bookmarkStart w:id="1192" w:name="_Toc496296046"/>
      <w:bookmarkStart w:id="1193" w:name="_Toc496296306"/>
      <w:bookmarkStart w:id="1194" w:name="_Toc496296554"/>
      <w:bookmarkStart w:id="1195" w:name="_Toc496445308"/>
      <w:bookmarkStart w:id="1196" w:name="_Toc496484724"/>
      <w:bookmarkStart w:id="1197" w:name="_Toc496484992"/>
      <w:bookmarkStart w:id="1198" w:name="_Toc496293799"/>
      <w:bookmarkStart w:id="1199" w:name="_Toc496296047"/>
      <w:bookmarkStart w:id="1200" w:name="_Toc496296307"/>
      <w:bookmarkStart w:id="1201" w:name="_Toc496296555"/>
      <w:bookmarkStart w:id="1202" w:name="_Toc496445309"/>
      <w:bookmarkStart w:id="1203" w:name="_Toc496484725"/>
      <w:bookmarkStart w:id="1204" w:name="_Toc496484993"/>
      <w:bookmarkStart w:id="1205" w:name="_Toc496293800"/>
      <w:bookmarkStart w:id="1206" w:name="_Toc496296048"/>
      <w:bookmarkStart w:id="1207" w:name="_Toc496296308"/>
      <w:bookmarkStart w:id="1208" w:name="_Toc496296556"/>
      <w:bookmarkStart w:id="1209" w:name="_Toc496445310"/>
      <w:bookmarkStart w:id="1210" w:name="_Toc496484726"/>
      <w:bookmarkStart w:id="1211" w:name="_Toc496484994"/>
      <w:bookmarkStart w:id="1212" w:name="_Toc496293806"/>
      <w:bookmarkStart w:id="1213" w:name="_Toc496296054"/>
      <w:bookmarkStart w:id="1214" w:name="_Toc496296314"/>
      <w:bookmarkStart w:id="1215" w:name="_Toc496296562"/>
      <w:bookmarkStart w:id="1216" w:name="_Toc496445316"/>
      <w:bookmarkStart w:id="1217" w:name="_Toc496484732"/>
      <w:bookmarkStart w:id="1218" w:name="_Toc496485000"/>
      <w:bookmarkStart w:id="1219" w:name="_Toc496293807"/>
      <w:bookmarkStart w:id="1220" w:name="_Toc496296055"/>
      <w:bookmarkStart w:id="1221" w:name="_Toc496296315"/>
      <w:bookmarkStart w:id="1222" w:name="_Toc496296563"/>
      <w:bookmarkStart w:id="1223" w:name="_Toc496445317"/>
      <w:bookmarkStart w:id="1224" w:name="_Toc496484733"/>
      <w:bookmarkStart w:id="1225" w:name="_Toc496485001"/>
      <w:bookmarkStart w:id="1226" w:name="_Toc496293809"/>
      <w:bookmarkStart w:id="1227" w:name="_Toc496296057"/>
      <w:bookmarkStart w:id="1228" w:name="_Toc496296317"/>
      <w:bookmarkStart w:id="1229" w:name="_Toc496296565"/>
      <w:bookmarkStart w:id="1230" w:name="_Toc496445319"/>
      <w:bookmarkStart w:id="1231" w:name="_Toc496484735"/>
      <w:bookmarkStart w:id="1232" w:name="_Toc496485003"/>
      <w:bookmarkStart w:id="1233" w:name="_Toc496293810"/>
      <w:bookmarkStart w:id="1234" w:name="_Toc496296058"/>
      <w:bookmarkStart w:id="1235" w:name="_Toc496296318"/>
      <w:bookmarkStart w:id="1236" w:name="_Toc496296566"/>
      <w:bookmarkStart w:id="1237" w:name="_Toc496445320"/>
      <w:bookmarkStart w:id="1238" w:name="_Toc496484736"/>
      <w:bookmarkStart w:id="1239" w:name="_Toc496485004"/>
      <w:bookmarkStart w:id="1240" w:name="_Toc496293811"/>
      <w:bookmarkStart w:id="1241" w:name="_Toc496296059"/>
      <w:bookmarkStart w:id="1242" w:name="_Toc496296319"/>
      <w:bookmarkStart w:id="1243" w:name="_Toc496296567"/>
      <w:bookmarkStart w:id="1244" w:name="_Toc496445321"/>
      <w:bookmarkStart w:id="1245" w:name="_Toc496484737"/>
      <w:bookmarkStart w:id="1246" w:name="_Toc496485005"/>
      <w:bookmarkStart w:id="1247" w:name="_Toc496293812"/>
      <w:bookmarkStart w:id="1248" w:name="_Toc496296060"/>
      <w:bookmarkStart w:id="1249" w:name="_Toc496296320"/>
      <w:bookmarkStart w:id="1250" w:name="_Toc496296568"/>
      <w:bookmarkStart w:id="1251" w:name="_Toc496445322"/>
      <w:bookmarkStart w:id="1252" w:name="_Toc496484738"/>
      <w:bookmarkStart w:id="1253" w:name="_Toc496485006"/>
      <w:bookmarkStart w:id="1254" w:name="_Toc496293816"/>
      <w:bookmarkStart w:id="1255" w:name="_Toc496296064"/>
      <w:bookmarkStart w:id="1256" w:name="_Toc496296324"/>
      <w:bookmarkStart w:id="1257" w:name="_Toc496296572"/>
      <w:bookmarkStart w:id="1258" w:name="_Toc496445326"/>
      <w:bookmarkStart w:id="1259" w:name="_Toc496484742"/>
      <w:bookmarkStart w:id="1260" w:name="_Toc496485010"/>
      <w:bookmarkStart w:id="1261" w:name="_Toc496293820"/>
      <w:bookmarkStart w:id="1262" w:name="_Toc496296068"/>
      <w:bookmarkStart w:id="1263" w:name="_Toc496296328"/>
      <w:bookmarkStart w:id="1264" w:name="_Toc496296576"/>
      <w:bookmarkStart w:id="1265" w:name="_Toc496445330"/>
      <w:bookmarkStart w:id="1266" w:name="_Toc496484746"/>
      <w:bookmarkStart w:id="1267" w:name="_Toc496485014"/>
      <w:bookmarkStart w:id="1268" w:name="_Toc496293823"/>
      <w:bookmarkStart w:id="1269" w:name="_Toc496296071"/>
      <w:bookmarkStart w:id="1270" w:name="_Toc496296331"/>
      <w:bookmarkStart w:id="1271" w:name="_Toc496296579"/>
      <w:bookmarkStart w:id="1272" w:name="_Toc496445333"/>
      <w:bookmarkStart w:id="1273" w:name="_Toc496484749"/>
      <w:bookmarkStart w:id="1274" w:name="_Toc496485017"/>
      <w:bookmarkStart w:id="1275" w:name="_Toc496293826"/>
      <w:bookmarkStart w:id="1276" w:name="_Toc496296074"/>
      <w:bookmarkStart w:id="1277" w:name="_Toc496296334"/>
      <w:bookmarkStart w:id="1278" w:name="_Toc496296582"/>
      <w:bookmarkStart w:id="1279" w:name="_Toc496445336"/>
      <w:bookmarkStart w:id="1280" w:name="_Toc496484752"/>
      <w:bookmarkStart w:id="1281" w:name="_Toc496485020"/>
      <w:bookmarkStart w:id="1282" w:name="_Toc496293829"/>
      <w:bookmarkStart w:id="1283" w:name="_Toc496296077"/>
      <w:bookmarkStart w:id="1284" w:name="_Toc496296337"/>
      <w:bookmarkStart w:id="1285" w:name="_Toc496296585"/>
      <w:bookmarkStart w:id="1286" w:name="_Toc496445339"/>
      <w:bookmarkStart w:id="1287" w:name="_Toc496484755"/>
      <w:bookmarkStart w:id="1288" w:name="_Toc496485023"/>
      <w:bookmarkStart w:id="1289" w:name="_Toc496293832"/>
      <w:bookmarkStart w:id="1290" w:name="_Toc496296080"/>
      <w:bookmarkStart w:id="1291" w:name="_Toc496296340"/>
      <w:bookmarkStart w:id="1292" w:name="_Toc496296588"/>
      <w:bookmarkStart w:id="1293" w:name="_Toc496445342"/>
      <w:bookmarkStart w:id="1294" w:name="_Toc496484758"/>
      <w:bookmarkStart w:id="1295" w:name="_Toc496485026"/>
      <w:bookmarkStart w:id="1296" w:name="_Toc496293834"/>
      <w:bookmarkStart w:id="1297" w:name="_Toc496296082"/>
      <w:bookmarkStart w:id="1298" w:name="_Toc496296342"/>
      <w:bookmarkStart w:id="1299" w:name="_Toc496296590"/>
      <w:bookmarkStart w:id="1300" w:name="_Toc496445344"/>
      <w:bookmarkStart w:id="1301" w:name="_Toc496484760"/>
      <w:bookmarkStart w:id="1302" w:name="_Toc496485028"/>
      <w:bookmarkStart w:id="1303" w:name="_Toc496293835"/>
      <w:bookmarkStart w:id="1304" w:name="_Toc496296083"/>
      <w:bookmarkStart w:id="1305" w:name="_Toc496296343"/>
      <w:bookmarkStart w:id="1306" w:name="_Toc496296591"/>
      <w:bookmarkStart w:id="1307" w:name="_Toc496445345"/>
      <w:bookmarkStart w:id="1308" w:name="_Toc496484761"/>
      <w:bookmarkStart w:id="1309" w:name="_Toc496485029"/>
      <w:bookmarkStart w:id="1310" w:name="_Toc496293837"/>
      <w:bookmarkStart w:id="1311" w:name="_Toc496296085"/>
      <w:bookmarkStart w:id="1312" w:name="_Toc496296345"/>
      <w:bookmarkStart w:id="1313" w:name="_Toc496296593"/>
      <w:bookmarkStart w:id="1314" w:name="_Toc496445347"/>
      <w:bookmarkStart w:id="1315" w:name="_Toc496484763"/>
      <w:bookmarkStart w:id="1316" w:name="_Toc496485031"/>
      <w:bookmarkStart w:id="1317" w:name="_Toc496293838"/>
      <w:bookmarkStart w:id="1318" w:name="_Toc496296086"/>
      <w:bookmarkStart w:id="1319" w:name="_Toc496296346"/>
      <w:bookmarkStart w:id="1320" w:name="_Toc496296594"/>
      <w:bookmarkStart w:id="1321" w:name="_Toc496445348"/>
      <w:bookmarkStart w:id="1322" w:name="_Toc496484764"/>
      <w:bookmarkStart w:id="1323" w:name="_Toc496485032"/>
      <w:bookmarkStart w:id="1324" w:name="_Toc496293840"/>
      <w:bookmarkStart w:id="1325" w:name="_Toc496296088"/>
      <w:bookmarkStart w:id="1326" w:name="_Toc496296348"/>
      <w:bookmarkStart w:id="1327" w:name="_Toc496296596"/>
      <w:bookmarkStart w:id="1328" w:name="_Toc496445350"/>
      <w:bookmarkStart w:id="1329" w:name="_Toc496484766"/>
      <w:bookmarkStart w:id="1330" w:name="_Toc496485034"/>
      <w:bookmarkStart w:id="1331" w:name="_Toc496293844"/>
      <w:bookmarkStart w:id="1332" w:name="_Toc496296092"/>
      <w:bookmarkStart w:id="1333" w:name="_Toc496296352"/>
      <w:bookmarkStart w:id="1334" w:name="_Toc496296600"/>
      <w:bookmarkStart w:id="1335" w:name="_Toc496445354"/>
      <w:bookmarkStart w:id="1336" w:name="_Toc496484770"/>
      <w:bookmarkStart w:id="1337" w:name="_Toc496485038"/>
      <w:bookmarkStart w:id="1338" w:name="_Toc496293845"/>
      <w:bookmarkStart w:id="1339" w:name="_Toc496296093"/>
      <w:bookmarkStart w:id="1340" w:name="_Toc496296353"/>
      <w:bookmarkStart w:id="1341" w:name="_Toc496296601"/>
      <w:bookmarkStart w:id="1342" w:name="_Toc496445355"/>
      <w:bookmarkStart w:id="1343" w:name="_Toc496484771"/>
      <w:bookmarkStart w:id="1344" w:name="_Toc496485039"/>
      <w:bookmarkStart w:id="1345" w:name="_Toc496293853"/>
      <w:bookmarkStart w:id="1346" w:name="_Toc496296101"/>
      <w:bookmarkStart w:id="1347" w:name="_Toc496296361"/>
      <w:bookmarkStart w:id="1348" w:name="_Toc496296609"/>
      <w:bookmarkStart w:id="1349" w:name="_Toc496445363"/>
      <w:bookmarkStart w:id="1350" w:name="_Toc496484779"/>
      <w:bookmarkStart w:id="1351" w:name="_Toc496485047"/>
      <w:bookmarkStart w:id="1352" w:name="_Toc496293859"/>
      <w:bookmarkStart w:id="1353" w:name="_Toc496296107"/>
      <w:bookmarkStart w:id="1354" w:name="_Toc496296367"/>
      <w:bookmarkStart w:id="1355" w:name="_Toc496296615"/>
      <w:bookmarkStart w:id="1356" w:name="_Toc496445369"/>
      <w:bookmarkStart w:id="1357" w:name="_Toc496484785"/>
      <w:bookmarkStart w:id="1358" w:name="_Toc496485053"/>
      <w:bookmarkStart w:id="1359" w:name="_Toc496042883"/>
      <w:bookmarkStart w:id="1360" w:name="_Toc496293860"/>
      <w:bookmarkStart w:id="1361" w:name="_Toc496296108"/>
      <w:bookmarkStart w:id="1362" w:name="_Toc496296368"/>
      <w:bookmarkStart w:id="1363" w:name="_Toc496296616"/>
      <w:bookmarkStart w:id="1364" w:name="_Toc496445370"/>
      <w:bookmarkStart w:id="1365" w:name="_Toc496484786"/>
      <w:bookmarkStart w:id="1366" w:name="_Toc496485054"/>
      <w:bookmarkStart w:id="1367" w:name="_Toc496042886"/>
      <w:bookmarkStart w:id="1368" w:name="_Toc496293863"/>
      <w:bookmarkStart w:id="1369" w:name="_Toc496296111"/>
      <w:bookmarkStart w:id="1370" w:name="_Toc496296371"/>
      <w:bookmarkStart w:id="1371" w:name="_Toc496296619"/>
      <w:bookmarkStart w:id="1372" w:name="_Toc496445373"/>
      <w:bookmarkStart w:id="1373" w:name="_Toc496484789"/>
      <w:bookmarkStart w:id="1374" w:name="_Toc496485057"/>
      <w:bookmarkStart w:id="1375" w:name="_Toc496042887"/>
      <w:bookmarkStart w:id="1376" w:name="_Toc496293864"/>
      <w:bookmarkStart w:id="1377" w:name="_Toc496296112"/>
      <w:bookmarkStart w:id="1378" w:name="_Toc496296372"/>
      <w:bookmarkStart w:id="1379" w:name="_Toc496296620"/>
      <w:bookmarkStart w:id="1380" w:name="_Toc496445374"/>
      <w:bookmarkStart w:id="1381" w:name="_Toc496484790"/>
      <w:bookmarkStart w:id="1382" w:name="_Toc496485058"/>
      <w:bookmarkStart w:id="1383" w:name="_Toc496042889"/>
      <w:bookmarkStart w:id="1384" w:name="_Toc496293866"/>
      <w:bookmarkStart w:id="1385" w:name="_Toc496296114"/>
      <w:bookmarkStart w:id="1386" w:name="_Toc496296374"/>
      <w:bookmarkStart w:id="1387" w:name="_Toc496296622"/>
      <w:bookmarkStart w:id="1388" w:name="_Toc496445376"/>
      <w:bookmarkStart w:id="1389" w:name="_Toc496484792"/>
      <w:bookmarkStart w:id="1390" w:name="_Toc496485060"/>
      <w:bookmarkStart w:id="1391" w:name="_Toc496042891"/>
      <w:bookmarkStart w:id="1392" w:name="_Toc496293868"/>
      <w:bookmarkStart w:id="1393" w:name="_Toc496296116"/>
      <w:bookmarkStart w:id="1394" w:name="_Toc496296376"/>
      <w:bookmarkStart w:id="1395" w:name="_Toc496296624"/>
      <w:bookmarkStart w:id="1396" w:name="_Toc496445378"/>
      <w:bookmarkStart w:id="1397" w:name="_Toc496484794"/>
      <w:bookmarkStart w:id="1398" w:name="_Toc496485062"/>
      <w:bookmarkStart w:id="1399" w:name="_Toc496042893"/>
      <w:bookmarkStart w:id="1400" w:name="_Toc496293870"/>
      <w:bookmarkStart w:id="1401" w:name="_Toc496296118"/>
      <w:bookmarkStart w:id="1402" w:name="_Toc496296378"/>
      <w:bookmarkStart w:id="1403" w:name="_Toc496296626"/>
      <w:bookmarkStart w:id="1404" w:name="_Toc496445380"/>
      <w:bookmarkStart w:id="1405" w:name="_Toc496484796"/>
      <w:bookmarkStart w:id="1406" w:name="_Toc496485064"/>
      <w:bookmarkStart w:id="1407" w:name="_Toc509596085"/>
      <w:bookmarkStart w:id="1408" w:name="_Toc497920458"/>
      <w:bookmarkStart w:id="1409" w:name="_Toc497920504"/>
      <w:bookmarkStart w:id="1410" w:name="_Toc497920720"/>
      <w:bookmarkStart w:id="1411" w:name="_Toc497920945"/>
      <w:bookmarkStart w:id="1412" w:name="_Toc497921505"/>
      <w:bookmarkStart w:id="1413" w:name="_Toc497906523"/>
      <w:bookmarkStart w:id="1414" w:name="_Toc497913004"/>
      <w:bookmarkStart w:id="1415" w:name="_Toc497919455"/>
      <w:bookmarkStart w:id="1416" w:name="_Toc497919774"/>
      <w:bookmarkStart w:id="1417" w:name="_Toc497920459"/>
      <w:bookmarkStart w:id="1418" w:name="_Toc497921506"/>
      <w:bookmarkStart w:id="1419" w:name="_Toc497921600"/>
      <w:bookmarkStart w:id="1420" w:name="_Toc500262124"/>
      <w:bookmarkStart w:id="1421" w:name="_Toc507167035"/>
      <w:bookmarkStart w:id="1422" w:name="_Toc508297418"/>
      <w:bookmarkStart w:id="1423" w:name="_Toc508350180"/>
      <w:bookmarkStart w:id="1424" w:name="_Toc508351620"/>
      <w:bookmarkStart w:id="1425" w:name="_Toc508360034"/>
      <w:bookmarkStart w:id="1426" w:name="_Toc511220533"/>
      <w:bookmarkStart w:id="1427" w:name="_Toc511234979"/>
      <w:bookmarkStart w:id="1428" w:name="_Toc511292892"/>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Pr>
          <w:noProof/>
        </w:rPr>
        <w:t>Summary of cost and benefits of the preferred option</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pPr>
        <w:spacing w:line="276" w:lineRule="auto"/>
        <w:rPr>
          <w:noProof/>
          <w:szCs w:val="24"/>
        </w:rPr>
      </w:pPr>
      <w:r>
        <w:rPr>
          <w:noProof/>
          <w:szCs w:val="24"/>
        </w:rPr>
        <w:t>The main benefits and costs of the preferred option are summarized below</w:t>
      </w:r>
    </w:p>
    <w:tbl>
      <w:tblPr>
        <w:tblW w:w="0" w:type="auto"/>
        <w:tblLayout w:type="fixed"/>
        <w:tblCellMar>
          <w:left w:w="10" w:type="dxa"/>
          <w:right w:w="10" w:type="dxa"/>
        </w:tblCellMar>
        <w:tblLook w:val="0000" w:firstRow="0" w:lastRow="0" w:firstColumn="0" w:lastColumn="0" w:noHBand="0" w:noVBand="0"/>
      </w:tblPr>
      <w:tblGrid>
        <w:gridCol w:w="1499"/>
        <w:gridCol w:w="71"/>
        <w:gridCol w:w="3836"/>
        <w:gridCol w:w="3535"/>
      </w:tblGrid>
      <w:tr>
        <w:trPr>
          <w:trHeight w:hRule="exact" w:val="245"/>
        </w:trPr>
        <w:tc>
          <w:tcPr>
            <w:tcW w:w="8941" w:type="dxa"/>
            <w:gridSpan w:val="4"/>
            <w:tcBorders>
              <w:top w:val="single" w:sz="4" w:space="0" w:color="auto"/>
              <w:left w:val="single" w:sz="4" w:space="0" w:color="auto"/>
              <w:right w:val="single" w:sz="4" w:space="0" w:color="auto"/>
            </w:tcBorders>
            <w:shd w:val="clear" w:color="auto" w:fill="C7D9F0"/>
            <w:vAlign w:val="bottom"/>
          </w:tcPr>
          <w:p>
            <w:pPr>
              <w:widowControl w:val="0"/>
              <w:spacing w:after="0" w:line="200" w:lineRule="exact"/>
              <w:jc w:val="center"/>
              <w:rPr>
                <w:b/>
                <w:noProof/>
                <w:szCs w:val="24"/>
                <w:lang w:val="en-US" w:bidi="en-US"/>
              </w:rPr>
            </w:pPr>
            <w:r>
              <w:rPr>
                <w:b/>
                <w:bCs/>
                <w:i/>
                <w:iCs/>
                <w:noProof/>
                <w:szCs w:val="24"/>
                <w:lang w:val="en-US" w:bidi="en-US"/>
              </w:rPr>
              <w:t>I. Overview of Benefits (total for all provisions) - Preferred Option(s)</w:t>
            </w:r>
          </w:p>
        </w:tc>
      </w:tr>
      <w:tr>
        <w:trPr>
          <w:trHeight w:hRule="exact" w:val="350"/>
        </w:trPr>
        <w:tc>
          <w:tcPr>
            <w:tcW w:w="1570" w:type="dxa"/>
            <w:gridSpan w:val="2"/>
            <w:tcBorders>
              <w:top w:val="single" w:sz="4" w:space="0" w:color="auto"/>
              <w:left w:val="single" w:sz="4" w:space="0" w:color="auto"/>
            </w:tcBorders>
            <w:shd w:val="clear" w:color="auto" w:fill="C7D9F0"/>
            <w:vAlign w:val="center"/>
          </w:tcPr>
          <w:p>
            <w:pPr>
              <w:widowControl w:val="0"/>
              <w:spacing w:after="0" w:line="200" w:lineRule="exact"/>
              <w:jc w:val="center"/>
              <w:rPr>
                <w:b/>
                <w:noProof/>
                <w:szCs w:val="24"/>
                <w:lang w:val="en-US" w:bidi="en-US"/>
              </w:rPr>
            </w:pPr>
            <w:r>
              <w:rPr>
                <w:b/>
                <w:bCs/>
                <w:i/>
                <w:iCs/>
                <w:noProof/>
                <w:szCs w:val="24"/>
                <w:lang w:val="en-US" w:bidi="en-US"/>
              </w:rPr>
              <w:t>Description</w:t>
            </w:r>
          </w:p>
        </w:tc>
        <w:tc>
          <w:tcPr>
            <w:tcW w:w="3836" w:type="dxa"/>
            <w:tcBorders>
              <w:top w:val="single" w:sz="4" w:space="0" w:color="auto"/>
              <w:left w:val="single" w:sz="4" w:space="0" w:color="auto"/>
            </w:tcBorders>
            <w:shd w:val="clear" w:color="auto" w:fill="C7D9F0"/>
            <w:vAlign w:val="center"/>
          </w:tcPr>
          <w:p>
            <w:pPr>
              <w:widowControl w:val="0"/>
              <w:spacing w:after="0" w:line="200" w:lineRule="exact"/>
              <w:jc w:val="center"/>
              <w:rPr>
                <w:b/>
                <w:noProof/>
                <w:szCs w:val="24"/>
                <w:lang w:val="en-US" w:bidi="en-US"/>
              </w:rPr>
            </w:pPr>
            <w:r>
              <w:rPr>
                <w:b/>
                <w:bCs/>
                <w:i/>
                <w:iCs/>
                <w:noProof/>
                <w:szCs w:val="24"/>
                <w:lang w:val="en-US" w:bidi="en-US"/>
              </w:rPr>
              <w:t>Amount</w:t>
            </w:r>
          </w:p>
        </w:tc>
        <w:tc>
          <w:tcPr>
            <w:tcW w:w="3535" w:type="dxa"/>
            <w:tcBorders>
              <w:top w:val="single" w:sz="4" w:space="0" w:color="auto"/>
              <w:left w:val="single" w:sz="4" w:space="0" w:color="auto"/>
              <w:right w:val="single" w:sz="4" w:space="0" w:color="auto"/>
            </w:tcBorders>
            <w:shd w:val="clear" w:color="auto" w:fill="C7D9F0"/>
            <w:vAlign w:val="center"/>
          </w:tcPr>
          <w:p>
            <w:pPr>
              <w:widowControl w:val="0"/>
              <w:spacing w:after="0" w:line="200" w:lineRule="exact"/>
              <w:jc w:val="center"/>
              <w:rPr>
                <w:b/>
                <w:noProof/>
                <w:szCs w:val="24"/>
                <w:lang w:val="en-US" w:bidi="en-US"/>
              </w:rPr>
            </w:pPr>
            <w:r>
              <w:rPr>
                <w:b/>
                <w:bCs/>
                <w:i/>
                <w:iCs/>
                <w:noProof/>
                <w:szCs w:val="24"/>
                <w:lang w:val="en-US" w:bidi="en-US"/>
              </w:rPr>
              <w:t>Comments</w:t>
            </w:r>
          </w:p>
        </w:tc>
      </w:tr>
      <w:tr>
        <w:trPr>
          <w:trHeight w:hRule="exact" w:val="245"/>
        </w:trPr>
        <w:tc>
          <w:tcPr>
            <w:tcW w:w="8941" w:type="dxa"/>
            <w:gridSpan w:val="4"/>
            <w:tcBorders>
              <w:top w:val="single" w:sz="4" w:space="0" w:color="auto"/>
              <w:left w:val="single" w:sz="4" w:space="0" w:color="auto"/>
              <w:right w:val="single" w:sz="4" w:space="0" w:color="auto"/>
            </w:tcBorders>
            <w:shd w:val="clear" w:color="auto" w:fill="FFFFFF"/>
            <w:vAlign w:val="bottom"/>
          </w:tcPr>
          <w:p>
            <w:pPr>
              <w:widowControl w:val="0"/>
              <w:spacing w:after="0" w:line="200" w:lineRule="exact"/>
              <w:jc w:val="center"/>
              <w:rPr>
                <w:b/>
                <w:i/>
                <w:noProof/>
                <w:lang w:val="en-US"/>
              </w:rPr>
            </w:pPr>
            <w:r>
              <w:rPr>
                <w:b/>
                <w:i/>
                <w:noProof/>
                <w:lang w:val="en-US"/>
              </w:rPr>
              <w:t>Direct benefits</w:t>
            </w:r>
          </w:p>
        </w:tc>
      </w:tr>
      <w:tr>
        <w:trPr>
          <w:trHeight w:hRule="exact" w:val="2576"/>
        </w:trPr>
        <w:tc>
          <w:tcPr>
            <w:tcW w:w="1570" w:type="dxa"/>
            <w:gridSpan w:val="2"/>
            <w:tcBorders>
              <w:top w:val="single" w:sz="4" w:space="0" w:color="auto"/>
              <w:left w:val="single" w:sz="4" w:space="0" w:color="auto"/>
            </w:tcBorders>
            <w:shd w:val="clear" w:color="auto" w:fill="FFFFFF"/>
            <w:vAlign w:val="center"/>
          </w:tcPr>
          <w:p>
            <w:pPr>
              <w:widowControl w:val="0"/>
              <w:spacing w:after="0" w:line="221" w:lineRule="exact"/>
              <w:rPr>
                <w:b/>
                <w:noProof/>
                <w:szCs w:val="24"/>
                <w:lang w:val="en-US" w:bidi="en-US"/>
              </w:rPr>
            </w:pPr>
            <w:r>
              <w:rPr>
                <w:b/>
                <w:noProof/>
                <w:szCs w:val="24"/>
                <w:lang w:val="en-US" w:bidi="en-US"/>
              </w:rPr>
              <w:t>Additional commissions</w:t>
            </w:r>
          </w:p>
        </w:tc>
        <w:tc>
          <w:tcPr>
            <w:tcW w:w="3836" w:type="dxa"/>
            <w:tcBorders>
              <w:top w:val="single" w:sz="4" w:space="0" w:color="auto"/>
              <w:left w:val="single" w:sz="4" w:space="0" w:color="auto"/>
            </w:tcBorders>
            <w:shd w:val="clear" w:color="auto" w:fill="FFFFFF"/>
          </w:tcPr>
          <w:p>
            <w:pPr>
              <w:widowControl w:val="0"/>
              <w:spacing w:after="0"/>
              <w:jc w:val="left"/>
              <w:rPr>
                <w:noProof/>
                <w:color w:val="000000"/>
              </w:rPr>
            </w:pPr>
            <w:r>
              <w:rPr>
                <w:noProof/>
                <w:color w:val="000000"/>
              </w:rPr>
              <w:t>From EUR 38 to EUR 70.5 million</w:t>
            </w:r>
          </w:p>
          <w:p>
            <w:pPr>
              <w:widowControl w:val="0"/>
              <w:spacing w:after="0"/>
              <w:jc w:val="center"/>
              <w:rPr>
                <w:noProof/>
                <w:color w:val="000000"/>
              </w:rPr>
            </w:pPr>
            <w:r>
              <w:rPr>
                <w:noProof/>
                <w:color w:val="000000"/>
              </w:rPr>
              <w:t>OR</w:t>
            </w:r>
          </w:p>
          <w:p>
            <w:pPr>
              <w:widowControl w:val="0"/>
              <w:spacing w:after="0"/>
              <w:jc w:val="left"/>
              <w:rPr>
                <w:b/>
                <w:noProof/>
                <w:szCs w:val="24"/>
                <w:lang w:val="en-US" w:bidi="en-US"/>
              </w:rPr>
            </w:pPr>
            <w:r>
              <w:rPr>
                <w:noProof/>
                <w:color w:val="000000"/>
              </w:rPr>
              <w:t>From EUR 119 to EUR 476 million</w:t>
            </w:r>
          </w:p>
        </w:tc>
        <w:tc>
          <w:tcPr>
            <w:tcW w:w="3535" w:type="dxa"/>
            <w:tcBorders>
              <w:top w:val="single" w:sz="4" w:space="0" w:color="auto"/>
              <w:left w:val="single" w:sz="4" w:space="0" w:color="auto"/>
              <w:right w:val="single" w:sz="4" w:space="0" w:color="auto"/>
            </w:tcBorders>
            <w:shd w:val="clear" w:color="auto" w:fill="FFFFFF"/>
          </w:tcPr>
          <w:p>
            <w:pPr>
              <w:widowControl w:val="0"/>
              <w:spacing w:after="0"/>
              <w:rPr>
                <w:noProof/>
                <w:szCs w:val="24"/>
                <w:lang w:val="en-US" w:bidi="en-US"/>
              </w:rPr>
            </w:pPr>
            <w:r>
              <w:rPr>
                <w:noProof/>
                <w:szCs w:val="24"/>
                <w:lang w:val="en-US" w:bidi="en-US"/>
              </w:rPr>
              <w:t>Platforms would benefit from additional commissions due to increase in turnover realized on platforms. The two ranges depend on whether the 10% commissions are calculated on the basis of increased turn-over only or also on reversed dampening effect.</w:t>
            </w:r>
          </w:p>
        </w:tc>
      </w:tr>
      <w:tr>
        <w:trPr>
          <w:trHeight w:hRule="exact" w:val="571"/>
        </w:trPr>
        <w:tc>
          <w:tcPr>
            <w:tcW w:w="1570" w:type="dxa"/>
            <w:gridSpan w:val="2"/>
            <w:tcBorders>
              <w:top w:val="single" w:sz="4" w:space="0" w:color="auto"/>
              <w:left w:val="single" w:sz="4" w:space="0" w:color="auto"/>
            </w:tcBorders>
            <w:shd w:val="clear" w:color="auto" w:fill="FFFFFF"/>
            <w:vAlign w:val="bottom"/>
          </w:tcPr>
          <w:p>
            <w:pPr>
              <w:widowControl w:val="0"/>
              <w:spacing w:after="0" w:line="216" w:lineRule="exact"/>
              <w:rPr>
                <w:b/>
                <w:noProof/>
                <w:szCs w:val="24"/>
                <w:lang w:bidi="en-US"/>
              </w:rPr>
            </w:pPr>
            <w:r>
              <w:rPr>
                <w:b/>
                <w:noProof/>
                <w:szCs w:val="24"/>
                <w:lang w:bidi="en-US"/>
              </w:rPr>
              <w:t>Increased turn-over</w:t>
            </w:r>
          </w:p>
        </w:tc>
        <w:tc>
          <w:tcPr>
            <w:tcW w:w="3836" w:type="dxa"/>
            <w:tcBorders>
              <w:top w:val="single" w:sz="4" w:space="0" w:color="auto"/>
              <w:left w:val="single" w:sz="4" w:space="0" w:color="auto"/>
            </w:tcBorders>
            <w:shd w:val="clear" w:color="auto" w:fill="FFFFFF"/>
          </w:tcPr>
          <w:p>
            <w:pPr>
              <w:widowControl w:val="0"/>
              <w:spacing w:after="0"/>
              <w:jc w:val="left"/>
              <w:rPr>
                <w:b/>
                <w:noProof/>
                <w:szCs w:val="24"/>
                <w:lang w:val="en-US" w:bidi="en-US"/>
              </w:rPr>
            </w:pPr>
            <w:r>
              <w:rPr>
                <w:noProof/>
              </w:rPr>
              <w:t>EUR</w:t>
            </w:r>
            <w:r>
              <w:rPr>
                <w:noProof/>
                <w:color w:val="000000"/>
              </w:rPr>
              <w:t xml:space="preserve"> 0.381 billion to </w:t>
            </w:r>
            <w:r>
              <w:rPr>
                <w:noProof/>
              </w:rPr>
              <w:t>EUR</w:t>
            </w:r>
            <w:r>
              <w:rPr>
                <w:noProof/>
                <w:color w:val="000000"/>
              </w:rPr>
              <w:t xml:space="preserve"> 0.705 billion</w:t>
            </w:r>
          </w:p>
        </w:tc>
        <w:tc>
          <w:tcPr>
            <w:tcW w:w="3535" w:type="dxa"/>
            <w:tcBorders>
              <w:top w:val="single" w:sz="4" w:space="0" w:color="auto"/>
              <w:left w:val="single" w:sz="4" w:space="0" w:color="auto"/>
              <w:right w:val="single" w:sz="4" w:space="0" w:color="auto"/>
            </w:tcBorders>
            <w:shd w:val="clear" w:color="auto" w:fill="FFFFFF"/>
          </w:tcPr>
          <w:p>
            <w:pPr>
              <w:widowControl w:val="0"/>
              <w:spacing w:after="0"/>
              <w:jc w:val="left"/>
              <w:rPr>
                <w:noProof/>
                <w:szCs w:val="24"/>
                <w:lang w:val="en-US" w:bidi="en-US"/>
              </w:rPr>
            </w:pPr>
            <w:r>
              <w:rPr>
                <w:noProof/>
                <w:szCs w:val="24"/>
                <w:lang w:val="en-US" w:bidi="en-US"/>
              </w:rPr>
              <w:t>Business users would increase the turn-over realized on platforms.</w:t>
            </w:r>
          </w:p>
        </w:tc>
      </w:tr>
      <w:tr>
        <w:trPr>
          <w:trHeight w:hRule="exact" w:val="977"/>
        </w:trPr>
        <w:tc>
          <w:tcPr>
            <w:tcW w:w="1570" w:type="dxa"/>
            <w:gridSpan w:val="2"/>
            <w:tcBorders>
              <w:top w:val="single" w:sz="4" w:space="0" w:color="auto"/>
              <w:left w:val="single" w:sz="4" w:space="0" w:color="auto"/>
            </w:tcBorders>
            <w:shd w:val="clear" w:color="auto" w:fill="FFFFFF"/>
            <w:vAlign w:val="bottom"/>
          </w:tcPr>
          <w:p>
            <w:pPr>
              <w:widowControl w:val="0"/>
              <w:spacing w:after="0" w:line="216" w:lineRule="exact"/>
              <w:rPr>
                <w:b/>
                <w:noProof/>
                <w:szCs w:val="24"/>
                <w:lang w:bidi="en-US"/>
              </w:rPr>
            </w:pPr>
            <w:r>
              <w:rPr>
                <w:b/>
                <w:noProof/>
                <w:szCs w:val="24"/>
                <w:lang w:bidi="en-US"/>
              </w:rPr>
              <w:t>Reversed dampening effect</w:t>
            </w:r>
          </w:p>
        </w:tc>
        <w:tc>
          <w:tcPr>
            <w:tcW w:w="3836" w:type="dxa"/>
            <w:tcBorders>
              <w:top w:val="single" w:sz="4" w:space="0" w:color="auto"/>
              <w:left w:val="single" w:sz="4" w:space="0" w:color="auto"/>
            </w:tcBorders>
            <w:shd w:val="clear" w:color="auto" w:fill="FFFFFF"/>
          </w:tcPr>
          <w:p>
            <w:pPr>
              <w:widowControl w:val="0"/>
              <w:spacing w:after="0"/>
              <w:jc w:val="left"/>
              <w:rPr>
                <w:noProof/>
                <w:color w:val="000000"/>
              </w:rPr>
            </w:pPr>
            <w:r>
              <w:rPr>
                <w:noProof/>
              </w:rPr>
              <w:t>EUR</w:t>
            </w:r>
            <w:r>
              <w:rPr>
                <w:noProof/>
                <w:color w:val="000000"/>
              </w:rPr>
              <w:t xml:space="preserve"> 0.81 to EUR 4.05 billion per year</w:t>
            </w:r>
          </w:p>
        </w:tc>
        <w:tc>
          <w:tcPr>
            <w:tcW w:w="3535" w:type="dxa"/>
            <w:tcBorders>
              <w:top w:val="single" w:sz="4" w:space="0" w:color="auto"/>
              <w:left w:val="single" w:sz="4" w:space="0" w:color="auto"/>
              <w:right w:val="single" w:sz="4" w:space="0" w:color="auto"/>
            </w:tcBorders>
            <w:shd w:val="clear" w:color="auto" w:fill="FFFFFF"/>
          </w:tcPr>
          <w:p>
            <w:pPr>
              <w:widowControl w:val="0"/>
              <w:spacing w:after="0"/>
              <w:jc w:val="left"/>
              <w:rPr>
                <w:noProof/>
                <w:szCs w:val="24"/>
                <w:lang w:val="en-US" w:bidi="en-US"/>
              </w:rPr>
            </w:pPr>
            <w:r>
              <w:rPr>
                <w:noProof/>
                <w:szCs w:val="24"/>
                <w:lang w:val="en-US" w:bidi="en-US"/>
              </w:rPr>
              <w:t>The positive impact on the platform economy would be strengthened.</w:t>
            </w:r>
          </w:p>
        </w:tc>
      </w:tr>
      <w:tr>
        <w:trPr>
          <w:trHeight w:hRule="exact" w:val="571"/>
        </w:trPr>
        <w:tc>
          <w:tcPr>
            <w:tcW w:w="1570" w:type="dxa"/>
            <w:gridSpan w:val="2"/>
            <w:tcBorders>
              <w:top w:val="single" w:sz="4" w:space="0" w:color="auto"/>
              <w:left w:val="single" w:sz="4" w:space="0" w:color="auto"/>
            </w:tcBorders>
            <w:shd w:val="clear" w:color="auto" w:fill="FFFFFF"/>
            <w:vAlign w:val="bottom"/>
          </w:tcPr>
          <w:p>
            <w:pPr>
              <w:widowControl w:val="0"/>
              <w:spacing w:after="0" w:line="216" w:lineRule="exact"/>
              <w:rPr>
                <w:b/>
                <w:noProof/>
              </w:rPr>
            </w:pPr>
            <w:r>
              <w:rPr>
                <w:b/>
                <w:noProof/>
                <w:szCs w:val="24"/>
                <w:lang w:bidi="en-US"/>
              </w:rPr>
              <w:t>Employment</w:t>
            </w:r>
          </w:p>
        </w:tc>
        <w:tc>
          <w:tcPr>
            <w:tcW w:w="3836" w:type="dxa"/>
            <w:tcBorders>
              <w:top w:val="single" w:sz="4" w:space="0" w:color="auto"/>
              <w:left w:val="single" w:sz="4" w:space="0" w:color="auto"/>
            </w:tcBorders>
            <w:shd w:val="clear" w:color="auto" w:fill="FFFFFF"/>
          </w:tcPr>
          <w:p>
            <w:pPr>
              <w:widowControl w:val="0"/>
              <w:spacing w:after="0"/>
              <w:jc w:val="left"/>
              <w:rPr>
                <w:b/>
                <w:noProof/>
                <w:szCs w:val="24"/>
                <w:lang w:val="en-US" w:bidi="en-US"/>
              </w:rPr>
            </w:pPr>
            <w:r>
              <w:rPr>
                <w:noProof/>
                <w:color w:val="000000"/>
              </w:rPr>
              <w:t>4.7 million jobs to be maintained, with further job creations possible</w:t>
            </w:r>
          </w:p>
        </w:tc>
        <w:tc>
          <w:tcPr>
            <w:tcW w:w="3535" w:type="dxa"/>
            <w:tcBorders>
              <w:top w:val="single" w:sz="4" w:space="0" w:color="auto"/>
              <w:left w:val="single" w:sz="4" w:space="0" w:color="auto"/>
              <w:right w:val="single" w:sz="4" w:space="0" w:color="auto"/>
            </w:tcBorders>
            <w:shd w:val="clear" w:color="auto" w:fill="FFFFFF"/>
          </w:tcPr>
          <w:p>
            <w:pPr>
              <w:widowControl w:val="0"/>
              <w:spacing w:after="0"/>
              <w:jc w:val="left"/>
              <w:rPr>
                <w:noProof/>
                <w:szCs w:val="24"/>
                <w:lang w:val="en-US" w:bidi="en-US"/>
              </w:rPr>
            </w:pPr>
            <w:r>
              <w:rPr>
                <w:noProof/>
                <w:szCs w:val="24"/>
                <w:lang w:val="en-US" w:bidi="en-US"/>
              </w:rPr>
              <w:t xml:space="preserve">Estimated number of preserved jobs </w:t>
            </w:r>
          </w:p>
        </w:tc>
      </w:tr>
      <w:tr>
        <w:trPr>
          <w:trHeight w:hRule="exact" w:val="571"/>
        </w:trPr>
        <w:tc>
          <w:tcPr>
            <w:tcW w:w="1570" w:type="dxa"/>
            <w:gridSpan w:val="2"/>
            <w:tcBorders>
              <w:top w:val="single" w:sz="4" w:space="0" w:color="auto"/>
              <w:left w:val="single" w:sz="4" w:space="0" w:color="auto"/>
            </w:tcBorders>
            <w:shd w:val="clear" w:color="auto" w:fill="FFFFFF"/>
            <w:vAlign w:val="bottom"/>
          </w:tcPr>
          <w:p>
            <w:pPr>
              <w:widowControl w:val="0"/>
              <w:spacing w:after="0" w:line="216" w:lineRule="exact"/>
              <w:rPr>
                <w:b/>
                <w:noProof/>
                <w:szCs w:val="24"/>
                <w:lang w:bidi="en-US"/>
              </w:rPr>
            </w:pPr>
            <w:r>
              <w:rPr>
                <w:b/>
                <w:noProof/>
                <w:szCs w:val="24"/>
                <w:lang w:bidi="en-US"/>
              </w:rPr>
              <w:t>Administrative savings</w:t>
            </w:r>
          </w:p>
        </w:tc>
        <w:tc>
          <w:tcPr>
            <w:tcW w:w="3836" w:type="dxa"/>
            <w:tcBorders>
              <w:top w:val="single" w:sz="4" w:space="0" w:color="auto"/>
              <w:left w:val="single" w:sz="4" w:space="0" w:color="auto"/>
            </w:tcBorders>
            <w:shd w:val="clear" w:color="auto" w:fill="FFFFFF"/>
          </w:tcPr>
          <w:p>
            <w:pPr>
              <w:widowControl w:val="0"/>
              <w:spacing w:after="0"/>
              <w:jc w:val="left"/>
              <w:rPr>
                <w:noProof/>
                <w:color w:val="000000"/>
              </w:rPr>
            </w:pPr>
            <w:r>
              <w:rPr>
                <w:noProof/>
              </w:rPr>
              <w:t>EUR 7,500 per dispute</w:t>
            </w:r>
          </w:p>
        </w:tc>
        <w:tc>
          <w:tcPr>
            <w:tcW w:w="3535" w:type="dxa"/>
            <w:tcBorders>
              <w:top w:val="single" w:sz="4" w:space="0" w:color="auto"/>
              <w:left w:val="single" w:sz="4" w:space="0" w:color="auto"/>
              <w:right w:val="single" w:sz="4" w:space="0" w:color="auto"/>
            </w:tcBorders>
            <w:shd w:val="clear" w:color="auto" w:fill="FFFFFF"/>
          </w:tcPr>
          <w:p>
            <w:pPr>
              <w:widowControl w:val="0"/>
              <w:spacing w:after="0"/>
              <w:jc w:val="left"/>
              <w:rPr>
                <w:noProof/>
                <w:szCs w:val="24"/>
                <w:lang w:val="en-US" w:bidi="en-US"/>
              </w:rPr>
            </w:pPr>
            <w:r>
              <w:rPr>
                <w:noProof/>
                <w:szCs w:val="24"/>
                <w:lang w:val="en-US" w:bidi="en-US"/>
              </w:rPr>
              <w:t>Savings for business users solving disputes through mediation</w:t>
            </w:r>
          </w:p>
        </w:tc>
      </w:tr>
      <w:tr>
        <w:trPr>
          <w:trHeight w:hRule="exact" w:val="240"/>
        </w:trPr>
        <w:tc>
          <w:tcPr>
            <w:tcW w:w="8941" w:type="dxa"/>
            <w:gridSpan w:val="4"/>
            <w:tcBorders>
              <w:top w:val="single" w:sz="4" w:space="0" w:color="auto"/>
              <w:left w:val="single" w:sz="4" w:space="0" w:color="auto"/>
              <w:right w:val="single" w:sz="4" w:space="0" w:color="auto"/>
            </w:tcBorders>
            <w:shd w:val="clear" w:color="auto" w:fill="FFFFFF"/>
            <w:vAlign w:val="bottom"/>
          </w:tcPr>
          <w:p>
            <w:pPr>
              <w:widowControl w:val="0"/>
              <w:spacing w:after="0" w:line="200" w:lineRule="exact"/>
              <w:jc w:val="center"/>
              <w:rPr>
                <w:noProof/>
                <w:szCs w:val="24"/>
                <w:lang w:val="en-US" w:bidi="en-US"/>
              </w:rPr>
            </w:pPr>
            <w:r>
              <w:rPr>
                <w:b/>
                <w:i/>
                <w:noProof/>
                <w:lang w:val="en-US"/>
              </w:rPr>
              <w:t>Indirect benefits</w:t>
            </w:r>
          </w:p>
        </w:tc>
      </w:tr>
      <w:tr>
        <w:trPr>
          <w:trHeight w:hRule="exact" w:val="1009"/>
        </w:trPr>
        <w:tc>
          <w:tcPr>
            <w:tcW w:w="1499" w:type="dxa"/>
            <w:tcBorders>
              <w:top w:val="single" w:sz="4" w:space="0" w:color="auto"/>
              <w:left w:val="single" w:sz="4" w:space="0" w:color="auto"/>
            </w:tcBorders>
            <w:shd w:val="clear" w:color="auto" w:fill="FFFFFF"/>
            <w:vAlign w:val="bottom"/>
          </w:tcPr>
          <w:p>
            <w:pPr>
              <w:widowControl w:val="0"/>
              <w:spacing w:after="0"/>
              <w:jc w:val="left"/>
              <w:rPr>
                <w:b/>
                <w:noProof/>
                <w:szCs w:val="24"/>
                <w:lang w:val="en-US" w:bidi="en-US"/>
              </w:rPr>
            </w:pPr>
            <w:r>
              <w:rPr>
                <w:b/>
                <w:noProof/>
                <w:szCs w:val="24"/>
                <w:lang w:bidi="en-US"/>
              </w:rPr>
              <w:t>Consumer trust</w:t>
            </w:r>
          </w:p>
        </w:tc>
        <w:tc>
          <w:tcPr>
            <w:tcW w:w="3907" w:type="dxa"/>
            <w:gridSpan w:val="2"/>
            <w:tcBorders>
              <w:top w:val="single" w:sz="4" w:space="0" w:color="auto"/>
              <w:left w:val="single" w:sz="4" w:space="0" w:color="auto"/>
            </w:tcBorders>
            <w:shd w:val="clear" w:color="auto" w:fill="FFFFFF"/>
          </w:tcPr>
          <w:p>
            <w:pPr>
              <w:widowControl w:val="0"/>
              <w:spacing w:after="0"/>
              <w:rPr>
                <w:noProof/>
                <w:lang w:val="en-US"/>
              </w:rPr>
            </w:pPr>
            <w:r>
              <w:rPr>
                <w:noProof/>
                <w:szCs w:val="24"/>
                <w:lang w:val="en-US" w:bidi="en-US"/>
              </w:rPr>
              <w:t>Contributes to maintaining the upward trend in consumer trust.</w:t>
            </w:r>
          </w:p>
        </w:tc>
        <w:tc>
          <w:tcPr>
            <w:tcW w:w="3535" w:type="dxa"/>
            <w:tcBorders>
              <w:top w:val="single" w:sz="4" w:space="0" w:color="auto"/>
              <w:left w:val="single" w:sz="4" w:space="0" w:color="auto"/>
              <w:right w:val="single" w:sz="4" w:space="0" w:color="auto"/>
            </w:tcBorders>
            <w:shd w:val="clear" w:color="auto" w:fill="FFFFFF"/>
          </w:tcPr>
          <w:p>
            <w:pPr>
              <w:widowControl w:val="0"/>
              <w:spacing w:after="0"/>
              <w:jc w:val="left"/>
              <w:rPr>
                <w:noProof/>
                <w:szCs w:val="24"/>
                <w:lang w:val="en-US" w:bidi="en-US"/>
              </w:rPr>
            </w:pPr>
            <w:r>
              <w:rPr>
                <w:noProof/>
                <w:szCs w:val="24"/>
                <w:lang w:val="en-US" w:bidi="en-US"/>
              </w:rPr>
              <w:t>Preferred policy package will support further trust of consumers in online economy</w:t>
            </w:r>
          </w:p>
        </w:tc>
      </w:tr>
      <w:tr>
        <w:trPr>
          <w:trHeight w:hRule="exact" w:val="961"/>
        </w:trPr>
        <w:tc>
          <w:tcPr>
            <w:tcW w:w="1499" w:type="dxa"/>
            <w:tcBorders>
              <w:top w:val="single" w:sz="4" w:space="0" w:color="auto"/>
              <w:left w:val="single" w:sz="4" w:space="0" w:color="auto"/>
              <w:bottom w:val="single" w:sz="4" w:space="0" w:color="auto"/>
            </w:tcBorders>
            <w:shd w:val="clear" w:color="auto" w:fill="FFFFFF"/>
            <w:vAlign w:val="bottom"/>
          </w:tcPr>
          <w:p>
            <w:pPr>
              <w:widowControl w:val="0"/>
              <w:spacing w:after="0"/>
              <w:jc w:val="left"/>
              <w:rPr>
                <w:b/>
                <w:noProof/>
                <w:szCs w:val="24"/>
                <w:lang w:val="en-US" w:bidi="en-US"/>
              </w:rPr>
            </w:pPr>
            <w:r>
              <w:rPr>
                <w:b/>
                <w:noProof/>
                <w:szCs w:val="24"/>
                <w:lang w:bidi="en-US"/>
              </w:rPr>
              <w:t>Innovation</w:t>
            </w:r>
          </w:p>
        </w:tc>
        <w:tc>
          <w:tcPr>
            <w:tcW w:w="3907" w:type="dxa"/>
            <w:gridSpan w:val="2"/>
            <w:tcBorders>
              <w:top w:val="single" w:sz="4" w:space="0" w:color="auto"/>
              <w:left w:val="single" w:sz="4" w:space="0" w:color="auto"/>
              <w:bottom w:val="single" w:sz="4" w:space="0" w:color="auto"/>
            </w:tcBorders>
            <w:shd w:val="clear" w:color="auto" w:fill="FFFFFF"/>
          </w:tcPr>
          <w:p>
            <w:pPr>
              <w:widowControl w:val="0"/>
              <w:spacing w:after="0"/>
              <w:jc w:val="left"/>
              <w:rPr>
                <w:b/>
                <w:noProof/>
                <w:szCs w:val="24"/>
                <w:lang w:val="en-US" w:bidi="en-US"/>
              </w:rPr>
            </w:pPr>
            <w:r>
              <w:rPr>
                <w:noProof/>
                <w:szCs w:val="24"/>
                <w:lang w:val="en-US" w:bidi="en-US"/>
              </w:rPr>
              <w:t>Increase in R&amp;D&amp;I investment by platforms</w:t>
            </w:r>
          </w:p>
        </w:tc>
        <w:tc>
          <w:tcPr>
            <w:tcW w:w="3535"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after="0"/>
              <w:jc w:val="left"/>
              <w:rPr>
                <w:noProof/>
                <w:szCs w:val="24"/>
                <w:lang w:val="en-US" w:bidi="en-US"/>
              </w:rPr>
            </w:pPr>
            <w:r>
              <w:rPr>
                <w:noProof/>
                <w:szCs w:val="24"/>
                <w:lang w:val="en-US" w:bidi="en-US"/>
              </w:rPr>
              <w:t>Increased competition and ultimately number of start-ups will foster innovation</w:t>
            </w:r>
          </w:p>
        </w:tc>
      </w:tr>
    </w:tbl>
    <w:p>
      <w:pPr>
        <w:widowControl w:val="0"/>
        <w:spacing w:after="0" w:line="259" w:lineRule="exact"/>
        <w:ind w:right="860"/>
        <w:rPr>
          <w:noProof/>
          <w:szCs w:val="24"/>
        </w:rPr>
      </w:pPr>
    </w:p>
    <w:tbl>
      <w:tblPr>
        <w:tblStyle w:val="TableGrid"/>
        <w:tblW w:w="8868" w:type="dxa"/>
        <w:tblLook w:val="04A0" w:firstRow="1" w:lastRow="0" w:firstColumn="1" w:lastColumn="0" w:noHBand="0" w:noVBand="1"/>
      </w:tblPr>
      <w:tblGrid>
        <w:gridCol w:w="1510"/>
        <w:gridCol w:w="995"/>
        <w:gridCol w:w="1510"/>
        <w:gridCol w:w="1709"/>
        <w:gridCol w:w="1565"/>
        <w:gridCol w:w="1579"/>
      </w:tblGrid>
      <w:tr>
        <w:trPr>
          <w:trHeight w:val="313"/>
        </w:trPr>
        <w:tc>
          <w:tcPr>
            <w:tcW w:w="8868" w:type="dxa"/>
            <w:gridSpan w:val="6"/>
            <w:vAlign w:val="center"/>
          </w:tcPr>
          <w:p>
            <w:pPr>
              <w:widowControl w:val="0"/>
              <w:shd w:val="clear" w:color="auto" w:fill="C7D9F0"/>
              <w:spacing w:after="0" w:line="200" w:lineRule="exact"/>
              <w:jc w:val="left"/>
              <w:rPr>
                <w:b/>
                <w:i/>
                <w:noProof/>
                <w:lang w:val="en-US"/>
              </w:rPr>
            </w:pPr>
            <w:r>
              <w:rPr>
                <w:b/>
                <w:i/>
                <w:noProof/>
                <w:lang w:val="en-US"/>
              </w:rPr>
              <w:t>II. Overview of costs - Preferred option(s)</w:t>
            </w:r>
          </w:p>
        </w:tc>
      </w:tr>
      <w:tr>
        <w:trPr>
          <w:trHeight w:val="313"/>
        </w:trPr>
        <w:tc>
          <w:tcPr>
            <w:tcW w:w="1474" w:type="dxa"/>
          </w:tcPr>
          <w:p>
            <w:pPr>
              <w:spacing w:line="276" w:lineRule="auto"/>
              <w:jc w:val="center"/>
              <w:rPr>
                <w:noProof/>
                <w:lang w:val="en-US"/>
              </w:rPr>
            </w:pPr>
          </w:p>
        </w:tc>
        <w:tc>
          <w:tcPr>
            <w:tcW w:w="997" w:type="dxa"/>
          </w:tcPr>
          <w:p>
            <w:pPr>
              <w:spacing w:line="276" w:lineRule="auto"/>
              <w:rPr>
                <w:noProof/>
                <w:lang w:val="en-US"/>
              </w:rPr>
            </w:pPr>
          </w:p>
        </w:tc>
        <w:tc>
          <w:tcPr>
            <w:tcW w:w="3219" w:type="dxa"/>
            <w:gridSpan w:val="2"/>
          </w:tcPr>
          <w:p>
            <w:pPr>
              <w:spacing w:line="276" w:lineRule="auto"/>
              <w:jc w:val="center"/>
              <w:rPr>
                <w:noProof/>
                <w:szCs w:val="24"/>
                <w:lang w:val="en-US"/>
              </w:rPr>
            </w:pPr>
            <w:r>
              <w:rPr>
                <w:noProof/>
                <w:lang w:val="en-US"/>
              </w:rPr>
              <w:t>Online platforms</w:t>
            </w:r>
          </w:p>
        </w:tc>
        <w:tc>
          <w:tcPr>
            <w:tcW w:w="3178" w:type="dxa"/>
            <w:gridSpan w:val="2"/>
          </w:tcPr>
          <w:p>
            <w:pPr>
              <w:spacing w:line="276" w:lineRule="auto"/>
              <w:jc w:val="center"/>
              <w:rPr>
                <w:noProof/>
                <w:szCs w:val="24"/>
                <w:lang w:val="en-US"/>
              </w:rPr>
            </w:pPr>
            <w:r>
              <w:rPr>
                <w:noProof/>
                <w:lang w:val="en-US"/>
              </w:rPr>
              <w:t>Administrations</w:t>
            </w:r>
          </w:p>
        </w:tc>
      </w:tr>
      <w:tr>
        <w:tc>
          <w:tcPr>
            <w:tcW w:w="1474" w:type="dxa"/>
          </w:tcPr>
          <w:p>
            <w:pPr>
              <w:spacing w:line="276" w:lineRule="auto"/>
              <w:rPr>
                <w:noProof/>
                <w:lang w:val="en-US"/>
              </w:rPr>
            </w:pPr>
          </w:p>
        </w:tc>
        <w:tc>
          <w:tcPr>
            <w:tcW w:w="997" w:type="dxa"/>
            <w:vAlign w:val="center"/>
          </w:tcPr>
          <w:p>
            <w:pPr>
              <w:spacing w:line="276" w:lineRule="auto"/>
              <w:rPr>
                <w:noProof/>
                <w:lang w:val="en-US"/>
              </w:rPr>
            </w:pPr>
          </w:p>
        </w:tc>
        <w:tc>
          <w:tcPr>
            <w:tcW w:w="1510" w:type="dxa"/>
            <w:vAlign w:val="center"/>
          </w:tcPr>
          <w:p>
            <w:pPr>
              <w:spacing w:line="276" w:lineRule="auto"/>
              <w:rPr>
                <w:noProof/>
                <w:szCs w:val="24"/>
                <w:lang w:val="en-US"/>
              </w:rPr>
            </w:pPr>
            <w:r>
              <w:rPr>
                <w:noProof/>
                <w:lang w:val="en-US"/>
              </w:rPr>
              <w:t>One-off</w:t>
            </w:r>
          </w:p>
        </w:tc>
        <w:tc>
          <w:tcPr>
            <w:tcW w:w="1709" w:type="dxa"/>
            <w:vAlign w:val="center"/>
          </w:tcPr>
          <w:p>
            <w:pPr>
              <w:spacing w:line="276" w:lineRule="auto"/>
              <w:rPr>
                <w:noProof/>
                <w:szCs w:val="24"/>
                <w:lang w:val="en-US"/>
              </w:rPr>
            </w:pPr>
            <w:r>
              <w:rPr>
                <w:noProof/>
                <w:lang w:val="en-US"/>
              </w:rPr>
              <w:t>Recurrent</w:t>
            </w:r>
          </w:p>
        </w:tc>
        <w:tc>
          <w:tcPr>
            <w:tcW w:w="1589" w:type="dxa"/>
            <w:vAlign w:val="center"/>
          </w:tcPr>
          <w:p>
            <w:pPr>
              <w:spacing w:line="276" w:lineRule="auto"/>
              <w:rPr>
                <w:noProof/>
                <w:szCs w:val="24"/>
                <w:lang w:val="en-US"/>
              </w:rPr>
            </w:pPr>
            <w:r>
              <w:rPr>
                <w:noProof/>
                <w:lang w:val="en-US"/>
              </w:rPr>
              <w:t>One-off</w:t>
            </w:r>
          </w:p>
        </w:tc>
        <w:tc>
          <w:tcPr>
            <w:tcW w:w="1589" w:type="dxa"/>
            <w:vAlign w:val="center"/>
          </w:tcPr>
          <w:p>
            <w:pPr>
              <w:spacing w:line="276" w:lineRule="auto"/>
              <w:rPr>
                <w:noProof/>
                <w:szCs w:val="24"/>
                <w:lang w:val="en-US"/>
              </w:rPr>
            </w:pPr>
            <w:r>
              <w:rPr>
                <w:noProof/>
                <w:lang w:val="en-US"/>
              </w:rPr>
              <w:t>Recurrent</w:t>
            </w:r>
          </w:p>
        </w:tc>
      </w:tr>
      <w:tr>
        <w:tc>
          <w:tcPr>
            <w:tcW w:w="1474" w:type="dxa"/>
            <w:vMerge w:val="restart"/>
          </w:tcPr>
          <w:p>
            <w:pPr>
              <w:spacing w:line="276" w:lineRule="auto"/>
              <w:rPr>
                <w:noProof/>
                <w:szCs w:val="24"/>
                <w:lang w:val="en-US"/>
              </w:rPr>
            </w:pPr>
            <w:r>
              <w:rPr>
                <w:b/>
                <w:noProof/>
                <w:lang w:val="en-US"/>
              </w:rPr>
              <w:t>Internal redress mechanisms</w:t>
            </w:r>
          </w:p>
        </w:tc>
        <w:tc>
          <w:tcPr>
            <w:tcW w:w="997" w:type="dxa"/>
            <w:vAlign w:val="center"/>
          </w:tcPr>
          <w:p>
            <w:pPr>
              <w:spacing w:line="276" w:lineRule="auto"/>
              <w:jc w:val="left"/>
              <w:rPr>
                <w:noProof/>
                <w:szCs w:val="24"/>
                <w:lang w:val="en-US"/>
              </w:rPr>
            </w:pPr>
            <w:r>
              <w:rPr>
                <w:noProof/>
                <w:lang w:val="en-US"/>
              </w:rPr>
              <w:t>Direct costs</w:t>
            </w:r>
          </w:p>
        </w:tc>
        <w:tc>
          <w:tcPr>
            <w:tcW w:w="1510" w:type="dxa"/>
          </w:tcPr>
          <w:p>
            <w:pPr>
              <w:spacing w:line="276" w:lineRule="auto"/>
              <w:rPr>
                <w:noProof/>
                <w:szCs w:val="24"/>
                <w:lang w:val="en-US"/>
              </w:rPr>
            </w:pPr>
            <w:r>
              <w:rPr>
                <w:noProof/>
                <w:lang w:val="en-US"/>
              </w:rPr>
              <w:t>0.4 to 1% increase in the cost base for smaller platform companies; 0.03% of total turnover for larger ones.</w:t>
            </w:r>
          </w:p>
        </w:tc>
        <w:tc>
          <w:tcPr>
            <w:tcW w:w="1709" w:type="dxa"/>
          </w:tcPr>
          <w:p>
            <w:pPr>
              <w:spacing w:line="276" w:lineRule="auto"/>
              <w:rPr>
                <w:noProof/>
                <w:szCs w:val="24"/>
                <w:lang w:val="en-US"/>
              </w:rPr>
            </w:pPr>
            <w:r>
              <w:rPr>
                <w:noProof/>
                <w:lang w:val="en-US"/>
              </w:rPr>
              <w:t>Limited dispute-settlement costs</w:t>
            </w:r>
          </w:p>
        </w:tc>
        <w:tc>
          <w:tcPr>
            <w:tcW w:w="158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Not applicable</w:t>
            </w:r>
          </w:p>
        </w:tc>
      </w:tr>
      <w:tr>
        <w:tc>
          <w:tcPr>
            <w:tcW w:w="1474" w:type="dxa"/>
            <w:vMerge/>
          </w:tcPr>
          <w:p>
            <w:pPr>
              <w:spacing w:line="276" w:lineRule="auto"/>
              <w:rPr>
                <w:noProof/>
                <w:lang w:val="en-US"/>
              </w:rPr>
            </w:pPr>
          </w:p>
        </w:tc>
        <w:tc>
          <w:tcPr>
            <w:tcW w:w="997" w:type="dxa"/>
            <w:vAlign w:val="center"/>
          </w:tcPr>
          <w:p>
            <w:pPr>
              <w:spacing w:line="276" w:lineRule="auto"/>
              <w:rPr>
                <w:noProof/>
                <w:szCs w:val="24"/>
                <w:lang w:val="en-US"/>
              </w:rPr>
            </w:pPr>
            <w:r>
              <w:rPr>
                <w:noProof/>
                <w:lang w:val="en-US"/>
              </w:rPr>
              <w:t>Indirect costs</w:t>
            </w:r>
          </w:p>
        </w:tc>
        <w:tc>
          <w:tcPr>
            <w:tcW w:w="1510" w:type="dxa"/>
          </w:tcPr>
          <w:p>
            <w:pPr>
              <w:spacing w:line="276" w:lineRule="auto"/>
              <w:rPr>
                <w:noProof/>
                <w:szCs w:val="24"/>
                <w:lang w:val="en-US"/>
              </w:rPr>
            </w:pPr>
            <w:r>
              <w:rPr>
                <w:noProof/>
                <w:lang w:val="en-US"/>
              </w:rPr>
              <w:t>Not applicable</w:t>
            </w:r>
          </w:p>
        </w:tc>
        <w:tc>
          <w:tcPr>
            <w:tcW w:w="170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Not applicable</w:t>
            </w:r>
          </w:p>
        </w:tc>
      </w:tr>
      <w:tr>
        <w:tc>
          <w:tcPr>
            <w:tcW w:w="1474" w:type="dxa"/>
            <w:vMerge w:val="restart"/>
          </w:tcPr>
          <w:p>
            <w:pPr>
              <w:spacing w:line="276" w:lineRule="auto"/>
              <w:rPr>
                <w:noProof/>
                <w:szCs w:val="24"/>
                <w:lang w:val="en-US"/>
              </w:rPr>
            </w:pPr>
            <w:r>
              <w:rPr>
                <w:b/>
                <w:noProof/>
                <w:lang w:val="en-US"/>
              </w:rPr>
              <w:t>External redress mechanism</w:t>
            </w:r>
          </w:p>
        </w:tc>
        <w:tc>
          <w:tcPr>
            <w:tcW w:w="997" w:type="dxa"/>
            <w:vAlign w:val="center"/>
          </w:tcPr>
          <w:p>
            <w:pPr>
              <w:spacing w:line="276" w:lineRule="auto"/>
              <w:rPr>
                <w:noProof/>
                <w:szCs w:val="24"/>
                <w:lang w:val="en-US"/>
              </w:rPr>
            </w:pPr>
            <w:r>
              <w:rPr>
                <w:noProof/>
                <w:lang w:val="en-US"/>
              </w:rPr>
              <w:t>Direct costs</w:t>
            </w:r>
          </w:p>
        </w:tc>
        <w:tc>
          <w:tcPr>
            <w:tcW w:w="1510" w:type="dxa"/>
          </w:tcPr>
          <w:p>
            <w:pPr>
              <w:spacing w:line="276" w:lineRule="auto"/>
              <w:rPr>
                <w:noProof/>
                <w:szCs w:val="24"/>
                <w:lang w:val="en-US"/>
              </w:rPr>
            </w:pPr>
            <w:r>
              <w:rPr>
                <w:noProof/>
                <w:lang w:val="en-US"/>
              </w:rPr>
              <w:t>Depending on set up by platforms</w:t>
            </w:r>
          </w:p>
        </w:tc>
        <w:tc>
          <w:tcPr>
            <w:tcW w:w="1709" w:type="dxa"/>
          </w:tcPr>
          <w:p>
            <w:pPr>
              <w:spacing w:line="276" w:lineRule="auto"/>
              <w:rPr>
                <w:noProof/>
                <w:szCs w:val="24"/>
                <w:lang w:val="en-US"/>
              </w:rPr>
            </w:pPr>
            <w:r>
              <w:rPr>
                <w:noProof/>
                <w:lang w:val="en-US"/>
              </w:rPr>
              <w:t>Minimal</w:t>
            </w:r>
          </w:p>
        </w:tc>
        <w:tc>
          <w:tcPr>
            <w:tcW w:w="158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Not applicable</w:t>
            </w:r>
          </w:p>
        </w:tc>
      </w:tr>
      <w:tr>
        <w:tc>
          <w:tcPr>
            <w:tcW w:w="1474" w:type="dxa"/>
            <w:vMerge/>
          </w:tcPr>
          <w:p>
            <w:pPr>
              <w:spacing w:line="276" w:lineRule="auto"/>
              <w:rPr>
                <w:noProof/>
                <w:lang w:val="en-US"/>
              </w:rPr>
            </w:pPr>
          </w:p>
        </w:tc>
        <w:tc>
          <w:tcPr>
            <w:tcW w:w="997" w:type="dxa"/>
            <w:vAlign w:val="center"/>
          </w:tcPr>
          <w:p>
            <w:pPr>
              <w:spacing w:line="276" w:lineRule="auto"/>
              <w:rPr>
                <w:noProof/>
                <w:szCs w:val="24"/>
                <w:lang w:val="en-US"/>
              </w:rPr>
            </w:pPr>
            <w:r>
              <w:rPr>
                <w:noProof/>
                <w:lang w:val="en-US"/>
              </w:rPr>
              <w:t>Indirect costs</w:t>
            </w:r>
          </w:p>
        </w:tc>
        <w:tc>
          <w:tcPr>
            <w:tcW w:w="1510" w:type="dxa"/>
          </w:tcPr>
          <w:p>
            <w:pPr>
              <w:spacing w:line="276" w:lineRule="auto"/>
              <w:rPr>
                <w:noProof/>
                <w:szCs w:val="24"/>
                <w:lang w:val="en-US"/>
              </w:rPr>
            </w:pPr>
            <w:r>
              <w:rPr>
                <w:noProof/>
                <w:lang w:val="en-US"/>
              </w:rPr>
              <w:t>Not applicable</w:t>
            </w:r>
          </w:p>
        </w:tc>
        <w:tc>
          <w:tcPr>
            <w:tcW w:w="170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NA</w:t>
            </w:r>
          </w:p>
        </w:tc>
        <w:tc>
          <w:tcPr>
            <w:tcW w:w="1589" w:type="dxa"/>
          </w:tcPr>
          <w:p>
            <w:pPr>
              <w:spacing w:line="276" w:lineRule="auto"/>
              <w:rPr>
                <w:noProof/>
                <w:szCs w:val="24"/>
                <w:lang w:val="en-US"/>
              </w:rPr>
            </w:pPr>
            <w:r>
              <w:rPr>
                <w:noProof/>
                <w:lang w:val="en-US"/>
              </w:rPr>
              <w:t>Not applicable</w:t>
            </w:r>
          </w:p>
        </w:tc>
      </w:tr>
      <w:tr>
        <w:tc>
          <w:tcPr>
            <w:tcW w:w="1474" w:type="dxa"/>
            <w:vMerge w:val="restart"/>
          </w:tcPr>
          <w:p>
            <w:pPr>
              <w:widowControl w:val="0"/>
              <w:spacing w:after="0"/>
              <w:jc w:val="left"/>
              <w:rPr>
                <w:noProof/>
                <w:lang w:val="en-US"/>
              </w:rPr>
            </w:pPr>
            <w:r>
              <w:rPr>
                <w:b/>
                <w:noProof/>
                <w:lang w:val="en-US"/>
              </w:rPr>
              <w:t>Measures to address potential UTPs</w:t>
            </w:r>
          </w:p>
          <w:p>
            <w:pPr>
              <w:spacing w:line="276" w:lineRule="auto"/>
              <w:rPr>
                <w:noProof/>
                <w:szCs w:val="24"/>
                <w:lang w:val="en-US"/>
              </w:rPr>
            </w:pPr>
          </w:p>
        </w:tc>
        <w:tc>
          <w:tcPr>
            <w:tcW w:w="997" w:type="dxa"/>
            <w:vAlign w:val="center"/>
          </w:tcPr>
          <w:p>
            <w:pPr>
              <w:spacing w:line="276" w:lineRule="auto"/>
              <w:rPr>
                <w:noProof/>
                <w:szCs w:val="24"/>
                <w:lang w:val="en-US"/>
              </w:rPr>
            </w:pPr>
            <w:r>
              <w:rPr>
                <w:noProof/>
                <w:lang w:val="en-US"/>
              </w:rPr>
              <w:t>Direct costs</w:t>
            </w:r>
          </w:p>
        </w:tc>
        <w:tc>
          <w:tcPr>
            <w:tcW w:w="1510" w:type="dxa"/>
          </w:tcPr>
          <w:p>
            <w:pPr>
              <w:spacing w:line="276" w:lineRule="auto"/>
              <w:rPr>
                <w:noProof/>
                <w:szCs w:val="24"/>
                <w:lang w:val="en-US"/>
              </w:rPr>
            </w:pPr>
            <w:r>
              <w:rPr>
                <w:noProof/>
                <w:lang w:val="en-US"/>
              </w:rPr>
              <w:t>Limited</w:t>
            </w:r>
            <w:r>
              <w:rPr>
                <w:noProof/>
                <w:szCs w:val="24"/>
              </w:rPr>
              <w:t xml:space="preserve"> </w:t>
            </w:r>
            <w:r>
              <w:rPr>
                <w:noProof/>
                <w:lang w:val="en-US"/>
              </w:rPr>
              <w:t>one-off costs to implement and communicate changes to T&amp;Cs</w:t>
            </w:r>
          </w:p>
        </w:tc>
        <w:tc>
          <w:tcPr>
            <w:tcW w:w="1709" w:type="dxa"/>
          </w:tcPr>
          <w:p>
            <w:pPr>
              <w:spacing w:line="276" w:lineRule="auto"/>
              <w:rPr>
                <w:noProof/>
                <w:szCs w:val="24"/>
                <w:lang w:val="en-US"/>
              </w:rPr>
            </w:pPr>
            <w:r>
              <w:rPr>
                <w:noProof/>
                <w:lang w:val="en-US"/>
              </w:rPr>
              <w:t>Limited costs for communicating changes to T&amp;Cs</w:t>
            </w:r>
          </w:p>
        </w:tc>
        <w:tc>
          <w:tcPr>
            <w:tcW w:w="158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Not applicable</w:t>
            </w:r>
          </w:p>
        </w:tc>
      </w:tr>
      <w:tr>
        <w:tc>
          <w:tcPr>
            <w:tcW w:w="1474" w:type="dxa"/>
            <w:vMerge/>
          </w:tcPr>
          <w:p>
            <w:pPr>
              <w:spacing w:line="276" w:lineRule="auto"/>
              <w:rPr>
                <w:noProof/>
                <w:lang w:val="en-US"/>
              </w:rPr>
            </w:pPr>
          </w:p>
        </w:tc>
        <w:tc>
          <w:tcPr>
            <w:tcW w:w="997" w:type="dxa"/>
            <w:vAlign w:val="center"/>
          </w:tcPr>
          <w:p>
            <w:pPr>
              <w:spacing w:line="276" w:lineRule="auto"/>
              <w:rPr>
                <w:noProof/>
                <w:szCs w:val="24"/>
                <w:lang w:val="en-US"/>
              </w:rPr>
            </w:pPr>
            <w:r>
              <w:rPr>
                <w:noProof/>
                <w:lang w:val="en-US"/>
              </w:rPr>
              <w:t>Indirect costs</w:t>
            </w:r>
          </w:p>
        </w:tc>
        <w:tc>
          <w:tcPr>
            <w:tcW w:w="1510" w:type="dxa"/>
          </w:tcPr>
          <w:p>
            <w:pPr>
              <w:spacing w:line="276" w:lineRule="auto"/>
              <w:rPr>
                <w:noProof/>
                <w:szCs w:val="24"/>
                <w:lang w:val="en-US"/>
              </w:rPr>
            </w:pPr>
            <w:r>
              <w:rPr>
                <w:noProof/>
                <w:lang w:val="en-US"/>
              </w:rPr>
              <w:t>Not applicable</w:t>
            </w:r>
          </w:p>
        </w:tc>
        <w:tc>
          <w:tcPr>
            <w:tcW w:w="170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Not applicable</w:t>
            </w:r>
          </w:p>
        </w:tc>
      </w:tr>
      <w:tr>
        <w:tc>
          <w:tcPr>
            <w:tcW w:w="1474" w:type="dxa"/>
            <w:vMerge w:val="restart"/>
          </w:tcPr>
          <w:p>
            <w:pPr>
              <w:widowControl w:val="0"/>
              <w:spacing w:after="0"/>
              <w:jc w:val="left"/>
              <w:rPr>
                <w:b/>
                <w:noProof/>
                <w:lang w:val="en-US"/>
              </w:rPr>
            </w:pPr>
            <w:r>
              <w:rPr>
                <w:b/>
                <w:noProof/>
                <w:lang w:val="en-US"/>
              </w:rPr>
              <w:t>EU Observatory  and online portal</w:t>
            </w:r>
          </w:p>
          <w:p>
            <w:pPr>
              <w:spacing w:line="276" w:lineRule="auto"/>
              <w:rPr>
                <w:noProof/>
                <w:szCs w:val="24"/>
                <w:lang w:val="en-US"/>
              </w:rPr>
            </w:pPr>
          </w:p>
        </w:tc>
        <w:tc>
          <w:tcPr>
            <w:tcW w:w="997" w:type="dxa"/>
            <w:vAlign w:val="center"/>
          </w:tcPr>
          <w:p>
            <w:pPr>
              <w:spacing w:line="276" w:lineRule="auto"/>
              <w:rPr>
                <w:noProof/>
                <w:szCs w:val="24"/>
                <w:lang w:val="en-US"/>
              </w:rPr>
            </w:pPr>
            <w:r>
              <w:rPr>
                <w:noProof/>
                <w:lang w:val="en-US"/>
              </w:rPr>
              <w:t>Direct costs</w:t>
            </w:r>
          </w:p>
        </w:tc>
        <w:tc>
          <w:tcPr>
            <w:tcW w:w="1510" w:type="dxa"/>
          </w:tcPr>
          <w:p>
            <w:pPr>
              <w:spacing w:line="276" w:lineRule="auto"/>
              <w:rPr>
                <w:noProof/>
                <w:szCs w:val="24"/>
                <w:lang w:val="en-US"/>
              </w:rPr>
            </w:pPr>
            <w:r>
              <w:rPr>
                <w:noProof/>
                <w:lang w:val="en-US"/>
              </w:rPr>
              <w:t>Not applicable</w:t>
            </w:r>
          </w:p>
        </w:tc>
        <w:tc>
          <w:tcPr>
            <w:tcW w:w="1709" w:type="dxa"/>
          </w:tcPr>
          <w:p>
            <w:pPr>
              <w:spacing w:line="276" w:lineRule="auto"/>
              <w:rPr>
                <w:noProof/>
                <w:szCs w:val="24"/>
                <w:lang w:val="en-US"/>
              </w:rPr>
            </w:pPr>
            <w:r>
              <w:rPr>
                <w:noProof/>
                <w:lang w:val="en-US"/>
              </w:rPr>
              <w:t>Not applicable</w:t>
            </w:r>
          </w:p>
        </w:tc>
        <w:tc>
          <w:tcPr>
            <w:tcW w:w="3178" w:type="dxa"/>
            <w:gridSpan w:val="2"/>
          </w:tcPr>
          <w:p>
            <w:pPr>
              <w:spacing w:line="276" w:lineRule="auto"/>
              <w:rPr>
                <w:noProof/>
                <w:szCs w:val="24"/>
                <w:lang w:val="en-US"/>
              </w:rPr>
            </w:pPr>
            <w:r>
              <w:rPr>
                <w:noProof/>
                <w:lang w:val="en-US"/>
              </w:rPr>
              <w:t>Included in costs of administrative functioning of the European Commission EUR 1 Mln</w:t>
            </w:r>
          </w:p>
        </w:tc>
      </w:tr>
      <w:tr>
        <w:tc>
          <w:tcPr>
            <w:tcW w:w="1474" w:type="dxa"/>
            <w:vMerge/>
          </w:tcPr>
          <w:p>
            <w:pPr>
              <w:spacing w:line="276" w:lineRule="auto"/>
              <w:rPr>
                <w:noProof/>
                <w:lang w:val="en-US"/>
              </w:rPr>
            </w:pPr>
          </w:p>
        </w:tc>
        <w:tc>
          <w:tcPr>
            <w:tcW w:w="997" w:type="dxa"/>
            <w:vAlign w:val="center"/>
          </w:tcPr>
          <w:p>
            <w:pPr>
              <w:spacing w:line="276" w:lineRule="auto"/>
              <w:rPr>
                <w:noProof/>
                <w:szCs w:val="24"/>
                <w:lang w:val="en-US"/>
              </w:rPr>
            </w:pPr>
            <w:r>
              <w:rPr>
                <w:noProof/>
                <w:lang w:val="en-US"/>
              </w:rPr>
              <w:t>Indirect costs</w:t>
            </w:r>
          </w:p>
        </w:tc>
        <w:tc>
          <w:tcPr>
            <w:tcW w:w="1510" w:type="dxa"/>
          </w:tcPr>
          <w:p>
            <w:pPr>
              <w:spacing w:line="276" w:lineRule="auto"/>
              <w:rPr>
                <w:noProof/>
                <w:szCs w:val="24"/>
                <w:lang w:val="en-US"/>
              </w:rPr>
            </w:pPr>
            <w:r>
              <w:rPr>
                <w:noProof/>
                <w:lang w:val="en-US"/>
              </w:rPr>
              <w:t>Not applicable</w:t>
            </w:r>
          </w:p>
        </w:tc>
        <w:tc>
          <w:tcPr>
            <w:tcW w:w="170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Not applicable</w:t>
            </w:r>
          </w:p>
        </w:tc>
        <w:tc>
          <w:tcPr>
            <w:tcW w:w="1589" w:type="dxa"/>
          </w:tcPr>
          <w:p>
            <w:pPr>
              <w:spacing w:line="276" w:lineRule="auto"/>
              <w:rPr>
                <w:noProof/>
                <w:szCs w:val="24"/>
                <w:lang w:val="en-US"/>
              </w:rPr>
            </w:pPr>
            <w:r>
              <w:rPr>
                <w:noProof/>
                <w:lang w:val="en-US"/>
              </w:rPr>
              <w:t xml:space="preserve">Limited participation costs in the EU Observatory </w:t>
            </w:r>
          </w:p>
        </w:tc>
      </w:tr>
    </w:tbl>
    <w:p>
      <w:pPr>
        <w:pStyle w:val="Heading2"/>
        <w:numPr>
          <w:ilvl w:val="0"/>
          <w:numId w:val="0"/>
        </w:numPr>
        <w:ind w:left="2842"/>
        <w:rPr>
          <w:noProof/>
        </w:rPr>
      </w:pPr>
      <w:bookmarkStart w:id="1429" w:name="_Toc497827585"/>
      <w:bookmarkStart w:id="1430" w:name="_Toc497827633"/>
      <w:bookmarkStart w:id="1431" w:name="_Toc497827796"/>
      <w:bookmarkStart w:id="1432" w:name="_Toc497827976"/>
      <w:bookmarkStart w:id="1433" w:name="_Toc497903612"/>
      <w:bookmarkStart w:id="1434" w:name="_Toc497909313"/>
      <w:bookmarkStart w:id="1435" w:name="_Toc497909479"/>
      <w:bookmarkStart w:id="1436" w:name="_Toc497909911"/>
      <w:bookmarkStart w:id="1437" w:name="_Toc497914631"/>
      <w:bookmarkStart w:id="1438" w:name="_Toc497921646"/>
      <w:bookmarkStart w:id="1439" w:name="_Toc497826150"/>
      <w:bookmarkStart w:id="1440" w:name="_Toc497826314"/>
      <w:bookmarkStart w:id="1441" w:name="_Toc497826478"/>
      <w:bookmarkStart w:id="1442" w:name="_Toc497826803"/>
      <w:bookmarkStart w:id="1443" w:name="_Toc497826966"/>
      <w:bookmarkStart w:id="1444" w:name="_Toc497827094"/>
      <w:bookmarkStart w:id="1445" w:name="_Toc497827175"/>
      <w:bookmarkStart w:id="1446" w:name="_Toc497827258"/>
      <w:bookmarkStart w:id="1447" w:name="_Toc497827419"/>
      <w:bookmarkStart w:id="1448" w:name="_Toc497827587"/>
      <w:bookmarkStart w:id="1449" w:name="_Toc497827635"/>
      <w:bookmarkStart w:id="1450" w:name="_Toc497827798"/>
      <w:bookmarkStart w:id="1451" w:name="_Toc497827978"/>
      <w:bookmarkStart w:id="1452" w:name="_Toc497899168"/>
      <w:bookmarkStart w:id="1453" w:name="_Toc497901062"/>
      <w:bookmarkStart w:id="1454" w:name="_Toc497901717"/>
      <w:bookmarkStart w:id="1455" w:name="_Toc497901992"/>
      <w:bookmarkStart w:id="1456" w:name="_Toc497901486"/>
      <w:bookmarkStart w:id="1457" w:name="_Toc497903614"/>
      <w:bookmarkStart w:id="1458" w:name="_Toc497904430"/>
      <w:bookmarkStart w:id="1459" w:name="_Toc497906007"/>
      <w:bookmarkStart w:id="1460" w:name="_Toc497907375"/>
      <w:bookmarkStart w:id="1461" w:name="_Toc497907891"/>
      <w:bookmarkStart w:id="1462" w:name="_Toc497909315"/>
      <w:bookmarkStart w:id="1463" w:name="_Toc497909481"/>
      <w:bookmarkStart w:id="1464" w:name="_Toc497911751"/>
      <w:bookmarkStart w:id="1465" w:name="_Toc497913723"/>
      <w:bookmarkStart w:id="1466" w:name="_Toc497914444"/>
      <w:bookmarkStart w:id="1467" w:name="_Toc497914633"/>
      <w:bookmarkStart w:id="1468" w:name="_Toc497914806"/>
      <w:bookmarkStart w:id="1469" w:name="_Toc497914804"/>
      <w:bookmarkStart w:id="1470" w:name="_Toc500262125"/>
      <w:bookmarkStart w:id="1471" w:name="_Toc507167036"/>
      <w:bookmarkStart w:id="1472" w:name="_Toc508297419"/>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pPr>
        <w:pStyle w:val="Heading2"/>
        <w:rPr>
          <w:noProof/>
        </w:rPr>
      </w:pPr>
      <w:bookmarkStart w:id="1473" w:name="_Toc508350181"/>
      <w:bookmarkStart w:id="1474" w:name="_Toc508351621"/>
      <w:bookmarkStart w:id="1475" w:name="_Toc508360035"/>
      <w:bookmarkStart w:id="1476" w:name="_Toc511220534"/>
      <w:bookmarkStart w:id="1477" w:name="_Toc511234980"/>
      <w:bookmarkStart w:id="1478" w:name="_Toc511292893"/>
      <w:r>
        <w:rPr>
          <w:noProof/>
        </w:rPr>
        <w:t>Stakeholders' views</w:t>
      </w:r>
      <w:bookmarkEnd w:id="1469"/>
      <w:bookmarkEnd w:id="1470"/>
      <w:bookmarkEnd w:id="1471"/>
      <w:bookmarkEnd w:id="1472"/>
      <w:bookmarkEnd w:id="1473"/>
      <w:bookmarkEnd w:id="1474"/>
      <w:bookmarkEnd w:id="1475"/>
      <w:bookmarkEnd w:id="1476"/>
      <w:bookmarkEnd w:id="1477"/>
      <w:bookmarkEnd w:id="1478"/>
      <w:r>
        <w:rPr>
          <w:noProof/>
        </w:rPr>
        <w:t xml:space="preserve"> </w:t>
      </w:r>
    </w:p>
    <w:p>
      <w:pPr>
        <w:pStyle w:val="Heading3"/>
        <w:rPr>
          <w:noProof/>
        </w:rPr>
      </w:pPr>
      <w:bookmarkStart w:id="1479" w:name="_Toc497827586"/>
      <w:bookmarkStart w:id="1480" w:name="_Toc497827634"/>
      <w:bookmarkStart w:id="1481" w:name="_Toc497827797"/>
      <w:bookmarkStart w:id="1482" w:name="_Toc497827977"/>
      <w:bookmarkStart w:id="1483" w:name="_Toc497903613"/>
      <w:bookmarkStart w:id="1484" w:name="_Toc497909314"/>
      <w:bookmarkStart w:id="1485" w:name="_Toc497909480"/>
      <w:bookmarkStart w:id="1486" w:name="_Toc497914632"/>
      <w:bookmarkStart w:id="1487" w:name="_Toc497914805"/>
      <w:bookmarkStart w:id="1488" w:name="_Toc500262126"/>
      <w:bookmarkStart w:id="1489" w:name="_Toc507167037"/>
      <w:bookmarkStart w:id="1490" w:name="_Toc508297420"/>
      <w:bookmarkStart w:id="1491" w:name="_Toc508350182"/>
      <w:bookmarkStart w:id="1492" w:name="_Toc508351622"/>
      <w:bookmarkStart w:id="1493" w:name="_Toc508360036"/>
      <w:bookmarkStart w:id="1494" w:name="_Toc511220535"/>
      <w:bookmarkStart w:id="1495" w:name="_Toc511234981"/>
      <w:bookmarkStart w:id="1496" w:name="_Toc511292894"/>
      <w:r>
        <w:rPr>
          <w:noProof/>
        </w:rPr>
        <w:t>Business users</w:t>
      </w:r>
      <w:r>
        <w:rPr>
          <w:rStyle w:val="FootnoteReference"/>
          <w:noProof/>
        </w:rPr>
        <w:footnoteReference w:id="37"/>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Pr>
          <w:noProof/>
        </w:rPr>
        <w:t xml:space="preserve"> </w:t>
      </w:r>
    </w:p>
    <w:p>
      <w:pPr>
        <w:spacing w:after="120"/>
        <w:rPr>
          <w:rFonts w:ascii="Calibri" w:eastAsia="Calibri" w:hAnsi="Calibri"/>
          <w:noProof/>
          <w:sz w:val="22"/>
          <w:szCs w:val="22"/>
        </w:rPr>
      </w:pPr>
      <w:r>
        <w:rPr>
          <w:noProof/>
          <w:lang w:eastAsia="en-GB"/>
        </w:rPr>
        <w:t xml:space="preserve">Business users are generally supportive of the intervention proposed under the preferred option. As main beneficiaries of improved P2B relations, they are in favour of a stronger intervention as demonstrated during the dedicated focus group of 7 September 2017, the </w:t>
      </w:r>
      <w:r>
        <w:rPr>
          <w:noProof/>
          <w:lang w:val="en-US"/>
        </w:rPr>
        <w:t xml:space="preserve">purpose of which was to explore the potential solutions to the problems arising in relations between platforms and businesses. </w:t>
      </w:r>
    </w:p>
    <w:p>
      <w:pPr>
        <w:spacing w:after="120"/>
        <w:rPr>
          <w:rFonts w:ascii="Calibri" w:eastAsia="Calibri" w:hAnsi="Calibri"/>
          <w:noProof/>
          <w:sz w:val="22"/>
          <w:szCs w:val="22"/>
        </w:rPr>
      </w:pPr>
      <w:r>
        <w:rPr>
          <w:rFonts w:eastAsia="Calibri"/>
          <w:noProof/>
          <w:szCs w:val="24"/>
        </w:rPr>
        <w:t xml:space="preserve">Business users are in favour of setting an </w:t>
      </w:r>
      <w:r>
        <w:rPr>
          <w:rFonts w:eastAsia="Calibri"/>
          <w:b/>
          <w:noProof/>
          <w:szCs w:val="24"/>
        </w:rPr>
        <w:t>internal and external redress</w:t>
      </w:r>
      <w:r>
        <w:rPr>
          <w:rFonts w:eastAsia="Calibri"/>
          <w:noProof/>
          <w:szCs w:val="24"/>
        </w:rPr>
        <w:t xml:space="preserve"> mechanism. If the platform- internal mechanism proves insufficient, business users would like to benefit from effective external redress. According to them, they should be able to make a complaint to a 'business-protection organisation'</w:t>
      </w:r>
      <w:r>
        <w:rPr>
          <w:rStyle w:val="FootnoteReference"/>
          <w:rFonts w:eastAsia="Calibri"/>
          <w:noProof/>
          <w:szCs w:val="24"/>
        </w:rPr>
        <w:footnoteReference w:id="38"/>
      </w:r>
      <w:r>
        <w:rPr>
          <w:rFonts w:eastAsia="Calibri"/>
          <w:noProof/>
          <w:szCs w:val="24"/>
        </w:rPr>
        <w:t>, go to mediation or arbitration, and resort to the civil courts in case of inefficient mediation/arbitration process.</w:t>
      </w:r>
    </w:p>
    <w:p>
      <w:pPr>
        <w:spacing w:after="120"/>
        <w:rPr>
          <w:rFonts w:eastAsia="Calibri"/>
          <w:noProof/>
          <w:szCs w:val="24"/>
        </w:rPr>
      </w:pPr>
      <w:r>
        <w:rPr>
          <w:rFonts w:eastAsia="Calibri"/>
          <w:noProof/>
        </w:rPr>
        <w:t>Business users</w:t>
      </w:r>
      <w:r>
        <w:rPr>
          <w:rFonts w:eastAsia="Calibri"/>
          <w:noProof/>
          <w:szCs w:val="24"/>
        </w:rPr>
        <w:t xml:space="preserve"> generally argue that transparency in the </w:t>
      </w:r>
      <w:r>
        <w:rPr>
          <w:rFonts w:eastAsia="Calibri"/>
          <w:b/>
          <w:noProof/>
        </w:rPr>
        <w:t>delisting</w:t>
      </w:r>
      <w:r>
        <w:rPr>
          <w:rFonts w:eastAsia="Calibri"/>
          <w:noProof/>
          <w:szCs w:val="24"/>
        </w:rPr>
        <w:t xml:space="preserve"> process would address many of the issues raised. Once the reasons for delisting are understood and a chance is given to business users to address the problems, disputes with online platforms could quickly be settled. Business users' general concern is that the platforms' terms and conditions are often vague as to the grounds for delisting. Moreover, frequently business users are either not informed that their content has been delisted or the information is vague and does not allow them to take action to remedy the situation. Business users express therefore the view that transparency coupled with an effective internal dispute resolution should address the vast majority of cases. Quick, external dispute resolution would in their view be useful in cases related to the legality of content, e.g. copyright, and in those rare cases where internal dispute resolution will not work. </w:t>
      </w:r>
    </w:p>
    <w:p>
      <w:pPr>
        <w:spacing w:after="120"/>
        <w:rPr>
          <w:rFonts w:eastAsia="Calibri"/>
          <w:noProof/>
          <w:szCs w:val="24"/>
          <w:lang w:val="en-US"/>
        </w:rPr>
      </w:pPr>
      <w:r>
        <w:rPr>
          <w:rFonts w:eastAsia="Calibri"/>
          <w:noProof/>
        </w:rPr>
        <w:t xml:space="preserve">Business users favour greater transparency of platforms' </w:t>
      </w:r>
      <w:r>
        <w:rPr>
          <w:rFonts w:eastAsia="Calibri"/>
          <w:b/>
          <w:noProof/>
        </w:rPr>
        <w:t xml:space="preserve">ranking </w:t>
      </w:r>
      <w:r>
        <w:rPr>
          <w:rFonts w:eastAsia="Calibri"/>
          <w:noProof/>
        </w:rPr>
        <w:t>practices. The d</w:t>
      </w:r>
      <w:r>
        <w:rPr>
          <w:rFonts w:eastAsia="Calibri"/>
          <w:noProof/>
          <w:szCs w:val="24"/>
          <w:lang w:val="en-US"/>
        </w:rPr>
        <w:t xml:space="preserve">efinition of clear ranking criteria was stressed in this respect. Also, business users suggested the establishment of competitive ranking sites. This would allow comparing different platforms’ ranking methodologies and defining industry-agreed clear ranking criteria. In addition, business users are of the view that platforms should inform their business users of the reasons having led to their de-ranking, when this occurs, and a </w:t>
      </w:r>
      <w:r>
        <w:rPr>
          <w:noProof/>
          <w:szCs w:val="24"/>
          <w:lang w:eastAsia="fr-FR"/>
        </w:rPr>
        <w:t xml:space="preserve">procedure to challenge the correctness of the ranking. Some business users suggested legislation would need to set up a contact. Support function </w:t>
      </w:r>
      <w:r>
        <w:rPr>
          <w:rFonts w:eastAsia="Calibri"/>
          <w:noProof/>
          <w:szCs w:val="24"/>
          <w:lang w:val="en-US"/>
        </w:rPr>
        <w:t xml:space="preserve">to deal with errors in rankings on the platform. </w:t>
      </w:r>
    </w:p>
    <w:p>
      <w:pPr>
        <w:spacing w:after="120"/>
        <w:rPr>
          <w:rFonts w:eastAsia="Calibri"/>
          <w:noProof/>
          <w:szCs w:val="24"/>
        </w:rPr>
      </w:pPr>
      <w:r>
        <w:rPr>
          <w:rFonts w:eastAsia="Calibri"/>
          <w:noProof/>
        </w:rPr>
        <w:t xml:space="preserve">Regarding MFN, and in particular </w:t>
      </w:r>
      <w:r>
        <w:rPr>
          <w:rFonts w:eastAsia="Calibri"/>
          <w:b/>
          <w:noProof/>
        </w:rPr>
        <w:t xml:space="preserve">price parity </w:t>
      </w:r>
      <w:r>
        <w:rPr>
          <w:rFonts w:eastAsia="Calibri"/>
          <w:noProof/>
        </w:rPr>
        <w:t xml:space="preserve">clauses business users concerned are generally in favour of </w:t>
      </w:r>
      <w:r>
        <w:rPr>
          <w:rFonts w:eastAsia="Calibri"/>
          <w:noProof/>
          <w:szCs w:val="24"/>
          <w:lang w:val="en-US"/>
        </w:rPr>
        <w:t>a legal ban. Some enterprises are of the view however that a ban on price parity clauses would be an inefficient measure since businesses would still fear retaliation for refusing to comply with the price parity requirement, i.e. platforms using practices such as de-ranking, 'dimming' etc. Therefore, business users are generally supportive of a transparency principle as an accompanying measure to legal bans. Business users consider that such transparency obligation would clearly show the extent to which commissions influence the ranking results displayed by platforms. In addition, some business users see the need for an education campaign aimed at the final customer to raise awareness about the existence of the issue and the platforms' role and benefits. As to redress possibilities, b</w:t>
      </w:r>
      <w:r>
        <w:rPr>
          <w:rFonts w:eastAsia="Calibri"/>
          <w:noProof/>
          <w:szCs w:val="24"/>
        </w:rPr>
        <w:t>usinesses expressed the view that for those instances in which price parity issues can't be solved on a bilateral P2B basis (internal escalation mechanism) an external body should be created. While smaller enterprises would not know what the specificities of such a body would be, more staffed business users generally support the establishment of a body meeting some effectiveness criteria. Such body would ideally be independent, affordable in terms of costs, accessible, confidential; have a clear and transparent (accountable) functioning. The body would be a newly created one, as the issues it would deal with are themselves new, and have a light structure to be able to efficiently concentrate on specific P2B issues</w:t>
      </w:r>
      <w:r>
        <w:rPr>
          <w:rStyle w:val="FootnoteReference"/>
          <w:rFonts w:eastAsia="Calibri"/>
          <w:noProof/>
          <w:szCs w:val="24"/>
        </w:rPr>
        <w:footnoteReference w:id="39"/>
      </w:r>
      <w:r>
        <w:rPr>
          <w:rFonts w:eastAsia="Calibri"/>
          <w:noProof/>
          <w:szCs w:val="24"/>
        </w:rPr>
        <w:t>. In addition to acting upon received complaints, an external redress body should, in business users' view also monitor the market and be able to start its own research/investigation. According to some business users, such external redress mechanism should be set by the European Commission and financed by platforms.</w:t>
      </w:r>
    </w:p>
    <w:p>
      <w:pPr>
        <w:spacing w:after="120"/>
        <w:rPr>
          <w:rFonts w:eastAsia="Calibri"/>
          <w:noProof/>
          <w:szCs w:val="24"/>
        </w:rPr>
      </w:pPr>
      <w:r>
        <w:rPr>
          <w:rFonts w:eastAsia="Calibri"/>
          <w:noProof/>
          <w:szCs w:val="24"/>
        </w:rPr>
        <w:t xml:space="preserve">Most business users are supportive of further clarity on </w:t>
      </w:r>
      <w:r>
        <w:rPr>
          <w:rFonts w:eastAsia="Calibri"/>
          <w:b/>
          <w:noProof/>
          <w:szCs w:val="24"/>
        </w:rPr>
        <w:t>access to data</w:t>
      </w:r>
      <w:r>
        <w:rPr>
          <w:rFonts w:eastAsia="Calibri"/>
          <w:noProof/>
          <w:szCs w:val="24"/>
        </w:rPr>
        <w:t xml:space="preserve">. Some argue for access to more data, such as customer details. </w:t>
      </w:r>
    </w:p>
    <w:p>
      <w:pPr>
        <w:pStyle w:val="Heading3"/>
        <w:rPr>
          <w:noProof/>
        </w:rPr>
      </w:pPr>
      <w:bookmarkStart w:id="1497" w:name="_Toc497827588"/>
      <w:bookmarkStart w:id="1498" w:name="_Toc497827636"/>
      <w:bookmarkStart w:id="1499" w:name="_Toc497827799"/>
      <w:bookmarkStart w:id="1500" w:name="_Toc497827979"/>
      <w:bookmarkStart w:id="1501" w:name="_Toc497903615"/>
      <w:bookmarkStart w:id="1502" w:name="_Toc497909316"/>
      <w:bookmarkStart w:id="1503" w:name="_Toc497909482"/>
      <w:bookmarkStart w:id="1504" w:name="_Toc497914634"/>
      <w:bookmarkStart w:id="1505" w:name="_Toc497914807"/>
      <w:bookmarkStart w:id="1506" w:name="_Toc500262127"/>
      <w:bookmarkStart w:id="1507" w:name="_Toc507167038"/>
      <w:bookmarkStart w:id="1508" w:name="_Toc508297421"/>
      <w:bookmarkStart w:id="1509" w:name="_Toc508350183"/>
      <w:bookmarkStart w:id="1510" w:name="_Toc508351623"/>
      <w:bookmarkStart w:id="1511" w:name="_Toc508360037"/>
      <w:bookmarkStart w:id="1512" w:name="_Toc511220536"/>
      <w:bookmarkStart w:id="1513" w:name="_Toc511234982"/>
      <w:bookmarkStart w:id="1514" w:name="_Toc511292895"/>
      <w:r>
        <w:rPr>
          <w:noProof/>
        </w:rPr>
        <w:t>Platforms</w:t>
      </w:r>
      <w:r>
        <w:rPr>
          <w:rStyle w:val="FootnoteReference"/>
          <w:noProof/>
        </w:rPr>
        <w:footnoteReference w:id="40"/>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Pr>
          <w:noProof/>
        </w:rPr>
        <w:t xml:space="preserve"> </w:t>
      </w:r>
    </w:p>
    <w:p>
      <w:pPr>
        <w:pStyle w:val="Text3"/>
        <w:ind w:left="0"/>
        <w:rPr>
          <w:noProof/>
        </w:rPr>
      </w:pPr>
      <w:r>
        <w:rPr>
          <w:noProof/>
          <w:lang w:eastAsia="en-GB"/>
        </w:rPr>
        <w:t xml:space="preserve">Most operators of online platforms would agree that providing an explanation to a business user upon delisting or take-down of an offer seems to be a reasonable legal obligation. A number of online platforms already do so. However, platforms do not support the imposition of any measures that would interfere with their obligations under the E-commerce Directive to expeditiously remove content signalled as illegal. They are also concerned that in certain circumstances (for example in criminal cases) transparency about grounds for removal may interfere with investigations by authorities. </w:t>
      </w:r>
    </w:p>
    <w:p>
      <w:pPr>
        <w:pStyle w:val="Text3"/>
        <w:ind w:left="0"/>
        <w:rPr>
          <w:noProof/>
        </w:rPr>
      </w:pPr>
      <w:r>
        <w:rPr>
          <w:noProof/>
          <w:lang w:eastAsia="en-GB"/>
        </w:rPr>
        <w:t xml:space="preserve">Online platforms do not see the value added of external dispute resolution because they trust their own internal dispute resolution systems. </w:t>
      </w:r>
    </w:p>
    <w:p>
      <w:pPr>
        <w:pStyle w:val="Text3"/>
        <w:ind w:left="0"/>
        <w:rPr>
          <w:noProof/>
        </w:rPr>
      </w:pPr>
      <w:r>
        <w:rPr>
          <w:noProof/>
          <w:lang w:eastAsia="en-GB"/>
        </w:rPr>
        <w:t>Regarding changes of terms and conditions, platforms do not see in general a problem with implementing notice periods. They consider that they already largely do so. Platform operators consider however that rigid notice periods may be a problem if immediate changes are required as a result of amendments to applicable law or recommendations of regulators. Platforms usually point to the "notification fatigue" of some users who do not wish to receive too many notifications. However, industry representatives seem open to look at possibilities of addressing these issues through self-regulation.</w:t>
      </w:r>
    </w:p>
    <w:p>
      <w:pPr>
        <w:pStyle w:val="Text3"/>
        <w:ind w:left="0"/>
        <w:rPr>
          <w:noProof/>
        </w:rPr>
      </w:pPr>
      <w:r>
        <w:rPr>
          <w:noProof/>
          <w:lang w:eastAsia="en-GB"/>
        </w:rPr>
        <w:t xml:space="preserve">Regarding transparency around rankings and data use, platforms having expressed their views, claim that they are already implementing best practices which can serve as general requirements. </w:t>
      </w:r>
    </w:p>
    <w:p>
      <w:pPr>
        <w:pStyle w:val="Text3"/>
        <w:ind w:left="0"/>
        <w:rPr>
          <w:noProof/>
        </w:rPr>
      </w:pPr>
      <w:r>
        <w:rPr>
          <w:noProof/>
          <w:lang w:eastAsia="en-GB"/>
        </w:rPr>
        <w:t xml:space="preserve">Online platforms expressed their interest in working with the Commission on raising awareness among business users about the legal framework already applicable to P2B relations. They would also welcome the establishment by the Commission of a repository of best practices and an initiative which would bring different platform work streams - from within the Commission and from other fora - together. </w:t>
      </w:r>
    </w:p>
    <w:p>
      <w:pPr>
        <w:pStyle w:val="Text3"/>
        <w:ind w:left="0"/>
        <w:rPr>
          <w:noProof/>
        </w:rPr>
      </w:pPr>
      <w:r>
        <w:rPr>
          <w:noProof/>
          <w:lang w:eastAsia="en-GB"/>
        </w:rPr>
        <w:t>Generally platforms appear supportive of the idea to monitor the platform economy provided that such monitoring is not intrusive in their trade secret policies.</w:t>
      </w:r>
    </w:p>
    <w:p>
      <w:pPr>
        <w:pStyle w:val="Heading3"/>
        <w:rPr>
          <w:noProof/>
        </w:rPr>
      </w:pPr>
      <w:bookmarkStart w:id="1515" w:name="_Toc497827589"/>
      <w:bookmarkStart w:id="1516" w:name="_Toc497827800"/>
      <w:bookmarkStart w:id="1517" w:name="_Toc497827980"/>
      <w:bookmarkStart w:id="1518" w:name="_Toc497903616"/>
      <w:bookmarkStart w:id="1519" w:name="_Toc497909317"/>
      <w:bookmarkStart w:id="1520" w:name="_Toc497909483"/>
      <w:bookmarkStart w:id="1521" w:name="_Toc497914808"/>
      <w:bookmarkStart w:id="1522" w:name="_Toc497827637"/>
      <w:bookmarkStart w:id="1523" w:name="_Toc497914635"/>
      <w:bookmarkStart w:id="1524" w:name="_Toc500262128"/>
      <w:bookmarkStart w:id="1525" w:name="_Toc507167039"/>
      <w:bookmarkStart w:id="1526" w:name="_Toc508297422"/>
      <w:bookmarkStart w:id="1527" w:name="_Toc508350184"/>
      <w:bookmarkStart w:id="1528" w:name="_Toc508351624"/>
      <w:bookmarkStart w:id="1529" w:name="_Toc508360038"/>
      <w:bookmarkStart w:id="1530" w:name="_Toc511220537"/>
      <w:bookmarkStart w:id="1531" w:name="_Toc511234983"/>
      <w:bookmarkStart w:id="1532" w:name="_Toc511292896"/>
      <w:r>
        <w:rPr>
          <w:noProof/>
        </w:rPr>
        <w:t>National authorities</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pPr>
        <w:rPr>
          <w:noProof/>
        </w:rPr>
      </w:pPr>
      <w:r>
        <w:rPr>
          <w:noProof/>
        </w:rPr>
        <w:t>A questionnaire was sent to national authorities in preparation of the 18</w:t>
      </w:r>
      <w:r>
        <w:rPr>
          <w:noProof/>
          <w:vertAlign w:val="superscript"/>
        </w:rPr>
        <w:t>th</w:t>
      </w:r>
      <w:r>
        <w:rPr>
          <w:noProof/>
        </w:rPr>
        <w:t xml:space="preserve"> e-commerce expert group meeting. The latter meeting held on 24 October was dedicated to testing the preferred option with experts representing Member States. The main views on possible solutions around the issues of T&amp;C, delisting, ranking, emerging issues (data, non-discrimination, MFNs), redress, and monitoring. are summarised below</w:t>
      </w:r>
      <w:r>
        <w:rPr>
          <w:rStyle w:val="FootnoteReference"/>
          <w:iCs/>
          <w:noProof/>
        </w:rPr>
        <w:footnoteReference w:id="41"/>
      </w:r>
      <w:r>
        <w:rPr>
          <w:noProof/>
        </w:rPr>
        <w:t>.</w:t>
      </w:r>
    </w:p>
    <w:p>
      <w:pPr>
        <w:rPr>
          <w:noProof/>
          <w:lang w:val="en-US"/>
        </w:rPr>
      </w:pPr>
      <w:r>
        <w:rPr>
          <w:noProof/>
          <w:lang w:val="en-US"/>
        </w:rPr>
        <w:t xml:space="preserve">Many national experts are of the view that addressing issues around </w:t>
      </w:r>
      <w:r>
        <w:rPr>
          <w:b/>
          <w:noProof/>
          <w:lang w:val="en-US"/>
        </w:rPr>
        <w:t>T&amp;C</w:t>
      </w:r>
      <w:r>
        <w:rPr>
          <w:noProof/>
          <w:lang w:val="en-US"/>
        </w:rPr>
        <w:t xml:space="preserve"> is core to the entire P2B issue. Clear T&amp;C and transparent changes to them could help address also the lack of redress issue. National representatives (expert level) consider that the proportionality of a transparency obligation would depend on the precise wording and on the size of the platform. Views strongly diverge depending on the experience at national level: while some experts consider that no regulation is needed, others are of the view that changes to terms and conditions should not only be announced with a prior notice but also that (i) such prior notice period should be specified (depending on the nature of the change to T&amp;C),  and that (ii) it was important to ensure the effectiveness of the means of announcing the change (in a way that it reaches the business user). Some national experts are also of the view that T&amp;C should be simplified in order to make them transparent and user-friendly for businesses (link was made with B2C legislation). </w:t>
      </w:r>
    </w:p>
    <w:p>
      <w:pPr>
        <w:rPr>
          <w:noProof/>
          <w:lang w:val="en-US"/>
        </w:rPr>
      </w:pPr>
      <w:r>
        <w:rPr>
          <w:noProof/>
          <w:lang w:val="en-US"/>
        </w:rPr>
        <w:t xml:space="preserve">National experts supporting a legal transparency obligation find legitimate the requirement on platforms to provide a statement of reasons for </w:t>
      </w:r>
      <w:r>
        <w:rPr>
          <w:b/>
          <w:noProof/>
          <w:lang w:val="en-US"/>
        </w:rPr>
        <w:t>delisting</w:t>
      </w:r>
      <w:r>
        <w:rPr>
          <w:noProof/>
          <w:lang w:val="en-US"/>
        </w:rPr>
        <w:t>. Some national experts are of the view that such statement should comprise an explanation on the procedure how to re-establish the user on the platform. Other experts are of the view that evidence around the occurrence of the issue and the definition of the scope of the initiative are needed to decide whether the proposed transparency requirement is proportionate. National experts share the general view that delisting-related requirements should be aligned with illegal content/N&amp;A procedure. Some experts consider that the criteria for delisting should be specified in the T&amp;C, which could also allow for automated responses thus limiting the burden of the transparency requirements.</w:t>
      </w:r>
    </w:p>
    <w:p>
      <w:pPr>
        <w:rPr>
          <w:noProof/>
          <w:lang w:val="en-US"/>
        </w:rPr>
      </w:pPr>
      <w:r>
        <w:rPr>
          <w:noProof/>
          <w:lang w:val="en-US"/>
        </w:rPr>
        <w:t xml:space="preserve">A transparency obligation on </w:t>
      </w:r>
      <w:r>
        <w:rPr>
          <w:b/>
          <w:noProof/>
          <w:lang w:val="en-US"/>
        </w:rPr>
        <w:t>ranking</w:t>
      </w:r>
      <w:r>
        <w:rPr>
          <w:noProof/>
          <w:lang w:val="en-US"/>
        </w:rPr>
        <w:t xml:space="preserve"> criteria is overall considered proportionate and legitimate. The experts with more experience on ranking issues are supportive of measures which would solve the problems encountered in a timely manner. Two experts from national authorities are of the view that ranking should not be covered by the initiative since this would equal intervention in the B2B space and should be left to commercial and COMP law. While most national experts have no strong views whether only paid-for ranking should be concerned, there is a general preference to (i) opt for a transparency obligation covering ranking practices in general, and (ii) work towards identifying best practices in ranking. </w:t>
      </w:r>
    </w:p>
    <w:p>
      <w:pPr>
        <w:rPr>
          <w:noProof/>
        </w:rPr>
      </w:pPr>
      <w:r>
        <w:rPr>
          <w:noProof/>
          <w:lang w:val="en-US"/>
        </w:rPr>
        <w:t xml:space="preserve">further reflection is needed on emerging issues such as </w:t>
      </w:r>
      <w:r>
        <w:rPr>
          <w:b/>
          <w:noProof/>
          <w:lang w:val="en-US"/>
        </w:rPr>
        <w:t>data, non-discrimination and MFN</w:t>
      </w:r>
      <w:r>
        <w:rPr>
          <w:noProof/>
          <w:lang w:val="en-US"/>
        </w:rPr>
        <w:t xml:space="preserve">s before imposing heavy legal obligations in these fields. Some experts stress the importance to ensure coherence, to avoid that a monitoring body on P2B would issue recommendations conflicting with other bodies. </w:t>
      </w:r>
      <w:r>
        <w:rPr>
          <w:noProof/>
        </w:rPr>
        <w:t xml:space="preserve">Some experts consider that issues like discrimination, data, bundling, price parity clauses were not platform specific. Data portability is usually identified as a specific issue for further analysis. A few national experts support the view that there was no evidence of problematic practices that could not be tackled by competition law. </w:t>
      </w:r>
    </w:p>
    <w:p>
      <w:pPr>
        <w:rPr>
          <w:b/>
          <w:noProof/>
        </w:rPr>
      </w:pPr>
      <w:r>
        <w:rPr>
          <w:noProof/>
        </w:rPr>
        <w:t xml:space="preserve">There is an overall agreement among experts on the </w:t>
      </w:r>
      <w:r>
        <w:rPr>
          <w:b/>
          <w:noProof/>
        </w:rPr>
        <w:t>importance of redress</w:t>
      </w:r>
      <w:r>
        <w:rPr>
          <w:noProof/>
        </w:rPr>
        <w:t xml:space="preserve">. Some concerns exist that internal complaints mechanisms could be burdensome for SMEs. Some national experts are in favour of promoting existing best practices (possibly as part of a self-regulatory measure). A number of experts support the view that there is a clear link between transparency on T&amp;C and delisting on the one hand, and internal complaints systems on the other: greater clarity on the former would lead to less complaints. The following incentives for non-mandatory mediation seem to be important for national experts: naming and shaming, threat of easier access to EU courts; easy, fast and cheap mediation mechanism (online mediation), encouragement measures (as the present initiative) to use mediation. Collective interest redress is generally perceived positively by national experts, also in terms of overcoming the fear factor. While improved 'access to EU Courts' is generally considered positively, some experts have doubts as to how many SMEs would find this a feasible option (in terms of costs, fear factor, etc). There seems to be an agreement, overall, that the 'threat of easier access to EU Courts' might be as important as the access itself, as it would make platforms take mediation more seriously. </w:t>
      </w:r>
    </w:p>
    <w:p>
      <w:pPr>
        <w:rPr>
          <w:noProof/>
        </w:rPr>
      </w:pPr>
      <w:r>
        <w:rPr>
          <w:noProof/>
        </w:rPr>
        <w:t xml:space="preserve">Experts representing national authorities overall recognise the interest of the </w:t>
      </w:r>
      <w:r>
        <w:rPr>
          <w:b/>
          <w:noProof/>
        </w:rPr>
        <w:t>monitoring</w:t>
      </w:r>
      <w:r>
        <w:rPr>
          <w:noProof/>
        </w:rPr>
        <w:t xml:space="preserve"> exercise. They are however generally opposed to the creation of a new body or European Agency created for that purpose. As regards the competencies of the monitoring organism, many experts consider that its activity should be linked to the proposal itself: i.e. to monitor the progress of the areas concerned by the text and the effect on the market players. Experts refer in particular to data gathering and analysis, with the possibility for the body to propose policy recommendations based on its findings. Experts also find important that the body  liaise with national structures, to possibly benefit from already existing national-level data. Monitoring of data relating to redress mechanisms (number of cases filed, solved, satisfaction levels, etc.) is also considered important.</w:t>
      </w:r>
    </w:p>
    <w:p>
      <w:pPr>
        <w:pStyle w:val="Heading3"/>
        <w:rPr>
          <w:noProof/>
        </w:rPr>
      </w:pPr>
      <w:bookmarkStart w:id="1533" w:name="_Toc497827590"/>
      <w:bookmarkStart w:id="1534" w:name="_Toc497827638"/>
      <w:bookmarkStart w:id="1535" w:name="_Toc497827801"/>
      <w:bookmarkStart w:id="1536" w:name="_Toc497827981"/>
      <w:bookmarkStart w:id="1537" w:name="_Toc497903617"/>
      <w:bookmarkStart w:id="1538" w:name="_Toc497909318"/>
      <w:bookmarkStart w:id="1539" w:name="_Toc497909484"/>
      <w:bookmarkStart w:id="1540" w:name="_Toc497914636"/>
      <w:bookmarkStart w:id="1541" w:name="_Toc497914809"/>
      <w:bookmarkStart w:id="1542" w:name="_Toc500262129"/>
      <w:bookmarkStart w:id="1543" w:name="_Toc507167040"/>
      <w:bookmarkStart w:id="1544" w:name="_Toc508297423"/>
      <w:bookmarkStart w:id="1545" w:name="_Toc508350185"/>
      <w:bookmarkStart w:id="1546" w:name="_Toc508351625"/>
      <w:bookmarkStart w:id="1547" w:name="_Toc508360039"/>
      <w:bookmarkStart w:id="1548" w:name="_Toc511220538"/>
      <w:bookmarkStart w:id="1549" w:name="_Toc511234984"/>
      <w:bookmarkStart w:id="1550" w:name="_Toc511292897"/>
      <w:r>
        <w:rPr>
          <w:noProof/>
        </w:rPr>
        <w:t>Consumers</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pPr>
        <w:pStyle w:val="Text3"/>
        <w:ind w:left="0"/>
        <w:rPr>
          <w:noProof/>
        </w:rPr>
      </w:pPr>
      <w:r>
        <w:rPr>
          <w:noProof/>
        </w:rPr>
        <w:t xml:space="preserve">As explained in Section 2 on the Problem Definition frictions in the P2B relations lead business users to limit their presence on platforms for reasons of fear or lack of trust. This could result in a situation where less business users would be present on platforms. This would in turn translate (especially in long term) in reduced competition and choice for consumers - especially for cross-border sales - as compared to a situation where business users would be able and prepared to reap the full potential of the platform economy. </w:t>
      </w:r>
    </w:p>
    <w:p>
      <w:pPr>
        <w:pStyle w:val="Text3"/>
        <w:ind w:left="0"/>
        <w:rPr>
          <w:noProof/>
        </w:rPr>
      </w:pPr>
      <w:r>
        <w:rPr>
          <w:noProof/>
        </w:rPr>
        <w:t xml:space="preserve">This is the reason why consumers are expected to be supportive of the preferred option despite the high-quality products/services they are currently benefitting from. Longer term competition- and choice-related considerations have been put forward by a consumer association in one of the Commission's workshops. A representative of this association has in particular argued in favour of some stricter non-discrimination measures more in line with the telecommunications regulatory framework. </w:t>
      </w:r>
    </w:p>
    <w:p>
      <w:pPr>
        <w:pStyle w:val="Heading1"/>
        <w:numPr>
          <w:ilvl w:val="0"/>
          <w:numId w:val="12"/>
        </w:numPr>
        <w:rPr>
          <w:noProof/>
        </w:rPr>
      </w:pPr>
      <w:bookmarkStart w:id="1551" w:name="_Toc496042919"/>
      <w:bookmarkStart w:id="1552" w:name="_Toc497920460"/>
      <w:bookmarkStart w:id="1553" w:name="_Toc497920506"/>
      <w:bookmarkStart w:id="1554" w:name="_Toc497920722"/>
      <w:bookmarkStart w:id="1555" w:name="_Toc497920947"/>
      <w:bookmarkStart w:id="1556" w:name="_Toc497921507"/>
      <w:bookmarkStart w:id="1557" w:name="_Toc497861479"/>
      <w:bookmarkStart w:id="1558" w:name="_Toc497862154"/>
      <w:bookmarkStart w:id="1559" w:name="_Toc497862335"/>
      <w:bookmarkStart w:id="1560" w:name="_Toc497900235"/>
      <w:bookmarkStart w:id="1561" w:name="_Toc497900294"/>
      <w:bookmarkStart w:id="1562" w:name="_Toc497902384"/>
      <w:bookmarkStart w:id="1563" w:name="_Toc497906091"/>
      <w:bookmarkStart w:id="1564" w:name="_Toc497906236"/>
      <w:bookmarkStart w:id="1565" w:name="_Toc497906381"/>
      <w:bookmarkStart w:id="1566" w:name="_Toc497906526"/>
      <w:bookmarkStart w:id="1567" w:name="_Toc497907262"/>
      <w:bookmarkStart w:id="1568" w:name="_Toc497907924"/>
      <w:bookmarkStart w:id="1569" w:name="_Toc497909977"/>
      <w:bookmarkStart w:id="1570" w:name="_Toc497912709"/>
      <w:bookmarkStart w:id="1571" w:name="_Toc497912887"/>
      <w:bookmarkStart w:id="1572" w:name="_Toc497913114"/>
      <w:bookmarkStart w:id="1573" w:name="_Toc497914841"/>
      <w:bookmarkStart w:id="1574" w:name="_Toc497915272"/>
      <w:bookmarkStart w:id="1575" w:name="_Toc497915642"/>
      <w:bookmarkStart w:id="1576" w:name="_Toc497915768"/>
      <w:bookmarkStart w:id="1577" w:name="_Toc497916045"/>
      <w:bookmarkStart w:id="1578" w:name="_Toc497916658"/>
      <w:bookmarkStart w:id="1579" w:name="_Toc497916966"/>
      <w:bookmarkStart w:id="1580" w:name="_Toc497917299"/>
      <w:bookmarkStart w:id="1581" w:name="_Toc497918723"/>
      <w:bookmarkStart w:id="1582" w:name="_Toc497861482"/>
      <w:bookmarkStart w:id="1583" w:name="_Toc497862157"/>
      <w:bookmarkStart w:id="1584" w:name="_Toc497862338"/>
      <w:bookmarkStart w:id="1585" w:name="_Toc497900297"/>
      <w:bookmarkStart w:id="1586" w:name="_Toc497902387"/>
      <w:bookmarkStart w:id="1587" w:name="_Toc497906094"/>
      <w:bookmarkStart w:id="1588" w:name="_Toc497906239"/>
      <w:bookmarkStart w:id="1589" w:name="_Toc497906384"/>
      <w:bookmarkStart w:id="1590" w:name="_Toc497906529"/>
      <w:bookmarkStart w:id="1591" w:name="_Toc497907265"/>
      <w:bookmarkStart w:id="1592" w:name="_Toc497907927"/>
      <w:bookmarkStart w:id="1593" w:name="_Toc497909980"/>
      <w:bookmarkStart w:id="1594" w:name="_Toc497912712"/>
      <w:bookmarkStart w:id="1595" w:name="_Toc497912890"/>
      <w:bookmarkStart w:id="1596" w:name="_Toc497913117"/>
      <w:bookmarkStart w:id="1597" w:name="_Toc497914844"/>
      <w:bookmarkStart w:id="1598" w:name="_Toc497915275"/>
      <w:bookmarkStart w:id="1599" w:name="_Toc497915645"/>
      <w:bookmarkStart w:id="1600" w:name="_Toc497915771"/>
      <w:bookmarkStart w:id="1601" w:name="_Toc497916048"/>
      <w:bookmarkStart w:id="1602" w:name="_Toc497916661"/>
      <w:bookmarkStart w:id="1603" w:name="_Toc497916969"/>
      <w:bookmarkStart w:id="1604" w:name="_Toc497917302"/>
      <w:bookmarkStart w:id="1605" w:name="_Toc497918726"/>
      <w:bookmarkStart w:id="1606" w:name="_Toc497861488"/>
      <w:bookmarkStart w:id="1607" w:name="_Toc497862163"/>
      <w:bookmarkStart w:id="1608" w:name="_Toc497862344"/>
      <w:bookmarkStart w:id="1609" w:name="_Toc497900303"/>
      <w:bookmarkStart w:id="1610" w:name="_Toc497902393"/>
      <w:bookmarkStart w:id="1611" w:name="_Toc497906100"/>
      <w:bookmarkStart w:id="1612" w:name="_Toc497906245"/>
      <w:bookmarkStart w:id="1613" w:name="_Toc497906390"/>
      <w:bookmarkStart w:id="1614" w:name="_Toc497906535"/>
      <w:bookmarkStart w:id="1615" w:name="_Toc497907271"/>
      <w:bookmarkStart w:id="1616" w:name="_Toc497907933"/>
      <w:bookmarkStart w:id="1617" w:name="_Toc497909986"/>
      <w:bookmarkStart w:id="1618" w:name="_Toc497912718"/>
      <w:bookmarkStart w:id="1619" w:name="_Toc497912896"/>
      <w:bookmarkStart w:id="1620" w:name="_Toc497913123"/>
      <w:bookmarkStart w:id="1621" w:name="_Toc497914850"/>
      <w:bookmarkStart w:id="1622" w:name="_Toc497915281"/>
      <w:bookmarkStart w:id="1623" w:name="_Toc497915651"/>
      <w:bookmarkStart w:id="1624" w:name="_Toc497915777"/>
      <w:bookmarkStart w:id="1625" w:name="_Toc497916054"/>
      <w:bookmarkStart w:id="1626" w:name="_Toc497916667"/>
      <w:bookmarkStart w:id="1627" w:name="_Toc497916975"/>
      <w:bookmarkStart w:id="1628" w:name="_Toc497917308"/>
      <w:bookmarkStart w:id="1629" w:name="_Toc497918732"/>
      <w:bookmarkStart w:id="1630" w:name="_Toc486857691"/>
      <w:bookmarkStart w:id="1631" w:name="_Toc486926967"/>
      <w:bookmarkStart w:id="1632" w:name="_Toc487796391"/>
      <w:bookmarkStart w:id="1633" w:name="_Toc487796500"/>
      <w:bookmarkStart w:id="1634" w:name="_Toc489013111"/>
      <w:bookmarkStart w:id="1635" w:name="_Toc489279713"/>
      <w:bookmarkStart w:id="1636" w:name="_Toc492048413"/>
      <w:bookmarkStart w:id="1637" w:name="_Toc492557190"/>
      <w:bookmarkStart w:id="1638" w:name="_Toc497906536"/>
      <w:bookmarkStart w:id="1639" w:name="_Toc497913005"/>
      <w:bookmarkStart w:id="1640" w:name="_Toc497919456"/>
      <w:bookmarkStart w:id="1641" w:name="_Toc497919775"/>
      <w:bookmarkStart w:id="1642" w:name="_Toc497920461"/>
      <w:bookmarkStart w:id="1643" w:name="_Toc497921508"/>
      <w:bookmarkStart w:id="1644" w:name="_Toc497921601"/>
      <w:bookmarkStart w:id="1645" w:name="_Toc500262130"/>
      <w:bookmarkStart w:id="1646" w:name="_Toc507167041"/>
      <w:bookmarkStart w:id="1647" w:name="_Toc508297424"/>
      <w:bookmarkStart w:id="1648" w:name="_Toc508350186"/>
      <w:bookmarkStart w:id="1649" w:name="_Toc508351626"/>
      <w:bookmarkStart w:id="1650" w:name="_Toc508360040"/>
      <w:bookmarkStart w:id="1651" w:name="_Toc511220539"/>
      <w:bookmarkStart w:id="1652" w:name="_Toc511234985"/>
      <w:bookmarkStart w:id="1653" w:name="_Toc511292898"/>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Pr>
          <w:noProof/>
        </w:rPr>
        <w:t>Analytical Models Used in Preparing the Impact Assessment</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pPr>
        <w:rPr>
          <w:b/>
          <w:noProof/>
        </w:rPr>
      </w:pPr>
      <w:r>
        <w:rPr>
          <w:b/>
          <w:noProof/>
        </w:rPr>
        <w:t>Model of economic loss</w:t>
      </w:r>
    </w:p>
    <w:p>
      <w:pPr>
        <w:spacing w:after="120"/>
        <w:rPr>
          <w:noProof/>
        </w:rPr>
      </w:pPr>
      <w:r>
        <w:rPr>
          <w:noProof/>
        </w:rPr>
        <w:t>The teams at DG CNECT and DG GROW as well as the JRC conducted separate calculations to estimate the negative impact of the problematic trading practices employed by online platforms. The methodology consisted in estimating the size of the various segments of the online platform ecosystem and calculating the impact of the different types of problematic practices depending on how often they occur.</w:t>
      </w:r>
    </w:p>
    <w:p>
      <w:pPr>
        <w:spacing w:after="120"/>
        <w:rPr>
          <w:noProof/>
          <w:lang w:eastAsia="en-GB"/>
        </w:rPr>
      </w:pPr>
      <w:r>
        <w:rPr>
          <w:noProof/>
          <w:lang w:eastAsia="en-GB"/>
        </w:rPr>
        <w:t xml:space="preserve">These simple calculations are useful to understand the magnitude of the effects unfair practices may produce in the European economy. </w:t>
      </w:r>
    </w:p>
    <w:p>
      <w:pPr>
        <w:spacing w:after="120"/>
        <w:rPr>
          <w:noProof/>
          <w:lang w:eastAsia="en-GB"/>
        </w:rPr>
      </w:pPr>
      <w:r>
        <w:rPr>
          <w:noProof/>
          <w:lang w:eastAsia="en-GB"/>
        </w:rPr>
        <w:t>Methodologically, the calculations below follow the same structure. From an estimated value of turnover in a given activity in the EU economy, the size of the current dampening effect is calculated that the uncertainty deriving from harmful trading practices and the general lack of available redress has on turnover generated via online platforms. This dampening effect is estimated by the JRC to be in the range of between 1% and 10%, which is conservative in light of the fact that some business users have identified significant negative effects currently occurring including impacts on their turnover or their innovation potential.</w:t>
      </w:r>
      <w:r>
        <w:rPr>
          <w:rStyle w:val="FootnoteReference"/>
          <w:noProof/>
          <w:lang w:eastAsia="en-GB"/>
        </w:rPr>
        <w:footnoteReference w:id="42"/>
      </w:r>
      <w:r>
        <w:rPr>
          <w:noProof/>
          <w:lang w:eastAsia="en-GB"/>
        </w:rPr>
        <w:t xml:space="preserve"> It is assumed that this effect is derived from the operations of the platform in terms of search costs and better matching between users, and not related to industry characteristics. </w:t>
      </w:r>
    </w:p>
    <w:p>
      <w:pPr>
        <w:spacing w:after="120"/>
        <w:rPr>
          <w:b/>
          <w:noProof/>
          <w:lang w:eastAsia="en-GB"/>
        </w:rPr>
      </w:pPr>
      <w:r>
        <w:rPr>
          <w:b/>
          <w:noProof/>
          <w:lang w:eastAsia="en-GB"/>
        </w:rPr>
        <w:t>Marketplaces</w:t>
      </w:r>
    </w:p>
    <w:p>
      <w:pPr>
        <w:pStyle w:val="p1"/>
        <w:spacing w:after="120"/>
        <w:jc w:val="both"/>
        <w:rPr>
          <w:rFonts w:ascii="Times New Roman" w:hAnsi="Times New Roman"/>
          <w:noProof/>
          <w:color w:val="auto"/>
          <w:sz w:val="24"/>
          <w:szCs w:val="24"/>
        </w:rPr>
      </w:pPr>
      <w:r>
        <w:rPr>
          <w:rFonts w:ascii="Times New Roman" w:hAnsi="Times New Roman"/>
          <w:noProof/>
          <w:color w:val="auto"/>
          <w:sz w:val="24"/>
          <w:szCs w:val="24"/>
        </w:rPr>
        <w:t>According to Euromonitor</w:t>
      </w:r>
      <w:r>
        <w:rPr>
          <w:rStyle w:val="FootnoteReference"/>
          <w:rFonts w:ascii="Times New Roman" w:hAnsi="Times New Roman"/>
          <w:noProof/>
          <w:color w:val="auto"/>
          <w:sz w:val="24"/>
          <w:szCs w:val="24"/>
        </w:rPr>
        <w:footnoteReference w:id="43"/>
      </w:r>
      <w:r>
        <w:rPr>
          <w:rFonts w:ascii="Times New Roman" w:hAnsi="Times New Roman"/>
          <w:noProof/>
          <w:color w:val="auto"/>
          <w:sz w:val="24"/>
          <w:szCs w:val="24"/>
        </w:rPr>
        <w:t xml:space="preserve">, the online retail value generated by 3rd party sellers in the EU in 2016 was €54.566,5 Million, representing 22% of total online retail. </w:t>
      </w:r>
    </w:p>
    <w:p>
      <w:pPr>
        <w:pStyle w:val="p1"/>
        <w:spacing w:after="120"/>
        <w:jc w:val="both"/>
        <w:rPr>
          <w:rFonts w:ascii="Times New Roman" w:hAnsi="Times New Roman"/>
          <w:noProof/>
          <w:color w:val="auto"/>
          <w:sz w:val="24"/>
          <w:szCs w:val="24"/>
        </w:rPr>
      </w:pPr>
      <w:r>
        <w:rPr>
          <w:rFonts w:ascii="Times New Roman" w:hAnsi="Times New Roman"/>
          <w:noProof/>
          <w:color w:val="auto"/>
          <w:sz w:val="24"/>
          <w:szCs w:val="24"/>
        </w:rPr>
        <w:t>Using information about sellers’ sales volumes and using data from Webretailer</w:t>
      </w:r>
      <w:r>
        <w:rPr>
          <w:rStyle w:val="FootnoteReference"/>
          <w:rFonts w:ascii="Times New Roman" w:hAnsi="Times New Roman"/>
          <w:noProof/>
          <w:color w:val="auto"/>
          <w:sz w:val="24"/>
          <w:szCs w:val="24"/>
        </w:rPr>
        <w:footnoteReference w:id="44"/>
      </w:r>
      <w:r>
        <w:rPr>
          <w:rFonts w:ascii="Times New Roman" w:hAnsi="Times New Roman"/>
          <w:noProof/>
          <w:color w:val="auto"/>
          <w:sz w:val="24"/>
          <w:szCs w:val="24"/>
        </w:rPr>
        <w:t xml:space="preserve"> and our own surveys (Ecorys), the average size of a 3rd party seller using platforms is estimated to be between € 250k and 1M. This would imply that, according to these figures, there are between 54.566 and 218.266 3rd party sellers operating with platforms in the EU in 2016. </w:t>
      </w:r>
    </w:p>
    <w:p>
      <w:pPr>
        <w:pStyle w:val="p1"/>
        <w:spacing w:after="120"/>
        <w:jc w:val="both"/>
        <w:rPr>
          <w:rFonts w:ascii="Times New Roman" w:hAnsi="Times New Roman"/>
          <w:noProof/>
          <w:color w:val="auto"/>
          <w:sz w:val="24"/>
          <w:szCs w:val="24"/>
        </w:rPr>
      </w:pPr>
      <w:r>
        <w:rPr>
          <w:rFonts w:ascii="Times New Roman" w:hAnsi="Times New Roman"/>
          <w:noProof/>
          <w:color w:val="auto"/>
          <w:sz w:val="24"/>
          <w:szCs w:val="24"/>
        </w:rPr>
        <w:t>According to Webretailer, 60% of sellers fear of being banned by platforms. Assuming that effectively 60% of sellers were banned from online marketplaces, that would amount to around € 30 billion lost sales by 3rd party sellers.</w:t>
      </w:r>
    </w:p>
    <w:p>
      <w:pPr>
        <w:pStyle w:val="p1"/>
        <w:spacing w:after="120"/>
        <w:jc w:val="both"/>
        <w:rPr>
          <w:rFonts w:ascii="Times New Roman" w:hAnsi="Times New Roman"/>
          <w:noProof/>
          <w:color w:val="auto"/>
          <w:sz w:val="24"/>
          <w:szCs w:val="24"/>
        </w:rPr>
      </w:pPr>
      <w:r>
        <w:rPr>
          <w:rFonts w:ascii="Times New Roman" w:hAnsi="Times New Roman"/>
          <w:noProof/>
          <w:color w:val="auto"/>
          <w:sz w:val="24"/>
          <w:szCs w:val="24"/>
        </w:rPr>
        <w:t xml:space="preserve">In addition, it is known from the surveys (Ecorys) that a large proportion of sellers have faced problems with platforms. If we assume that these problems have the effect of reducing revenue by a conservative range between 1% and 10%, we are talking about values between </w:t>
      </w:r>
      <w:r>
        <w:rPr>
          <w:rFonts w:ascii="Times New Roman" w:hAnsi="Times New Roman"/>
          <w:b/>
          <w:noProof/>
          <w:color w:val="auto"/>
          <w:sz w:val="24"/>
          <w:szCs w:val="24"/>
        </w:rPr>
        <w:t>€ 0.6 billion</w:t>
      </w:r>
      <w:r>
        <w:rPr>
          <w:rFonts w:ascii="Times New Roman" w:hAnsi="Times New Roman"/>
          <w:noProof/>
          <w:color w:val="auto"/>
          <w:sz w:val="24"/>
          <w:szCs w:val="24"/>
        </w:rPr>
        <w:t xml:space="preserve"> and </w:t>
      </w:r>
      <w:r>
        <w:rPr>
          <w:rFonts w:ascii="Times New Roman" w:hAnsi="Times New Roman"/>
          <w:b/>
          <w:noProof/>
          <w:color w:val="auto"/>
          <w:sz w:val="24"/>
          <w:szCs w:val="24"/>
        </w:rPr>
        <w:t>€ 5.5 billion</w:t>
      </w:r>
      <w:r>
        <w:rPr>
          <w:rFonts w:ascii="Times New Roman" w:hAnsi="Times New Roman"/>
          <w:noProof/>
          <w:color w:val="auto"/>
          <w:sz w:val="24"/>
          <w:szCs w:val="24"/>
        </w:rPr>
        <w:t xml:space="preserve"> in lost revenue for sellers. This is a deadweight loss (ie, a net welfare reduction for the society as a whole) since this is not captured by the platforms, it is simply the cost of the inefficiency/low quality.</w:t>
      </w:r>
    </w:p>
    <w:p>
      <w:pPr>
        <w:pStyle w:val="p1"/>
        <w:spacing w:after="120"/>
        <w:jc w:val="both"/>
        <w:rPr>
          <w:rFonts w:ascii="Times New Roman" w:hAnsi="Times New Roman"/>
          <w:noProof/>
          <w:color w:val="auto"/>
          <w:sz w:val="24"/>
          <w:szCs w:val="24"/>
        </w:rPr>
      </w:pPr>
      <w:r>
        <w:rPr>
          <w:rFonts w:ascii="Times New Roman" w:hAnsi="Times New Roman"/>
          <w:noProof/>
          <w:color w:val="auto"/>
          <w:sz w:val="24"/>
          <w:szCs w:val="24"/>
        </w:rPr>
        <w:t>This is only ecommerce marketplaces. If we add, for instance, online travel intermediaries, the figures above can reach much higher numbers.</w:t>
      </w:r>
    </w:p>
    <w:p>
      <w:pPr>
        <w:pStyle w:val="p1"/>
        <w:spacing w:after="120"/>
        <w:jc w:val="both"/>
        <w:rPr>
          <w:rFonts w:ascii="Times New Roman" w:hAnsi="Times New Roman"/>
          <w:noProof/>
          <w:color w:val="auto"/>
          <w:sz w:val="24"/>
          <w:szCs w:val="24"/>
        </w:rPr>
      </w:pPr>
      <w:r>
        <w:rPr>
          <w:rFonts w:ascii="Times New Roman" w:hAnsi="Times New Roman"/>
          <w:noProof/>
          <w:color w:val="auto"/>
          <w:sz w:val="24"/>
          <w:szCs w:val="24"/>
        </w:rPr>
        <w:t>Again, according to Euromonitor, the retail value of online travel intermediaries (including air, attractions, hotel, other lodging and short term rentals, car rental and other transportation intermediaries) in 22 EU countries</w:t>
      </w:r>
      <w:r>
        <w:rPr>
          <w:rStyle w:val="FootnoteReference"/>
          <w:rFonts w:ascii="Times New Roman" w:hAnsi="Times New Roman"/>
          <w:noProof/>
          <w:color w:val="auto"/>
          <w:sz w:val="24"/>
          <w:szCs w:val="24"/>
        </w:rPr>
        <w:footnoteReference w:id="45"/>
      </w:r>
      <w:r>
        <w:rPr>
          <w:rFonts w:ascii="Times New Roman" w:hAnsi="Times New Roman"/>
          <w:noProof/>
          <w:color w:val="auto"/>
          <w:sz w:val="24"/>
          <w:szCs w:val="24"/>
        </w:rPr>
        <w:t xml:space="preserve"> was € 73.4 billion in 2015. Applying again the assumption of a range between 1% and 10% of unmet potential additional turnover in a scenario without UTPs, this would amount to an additional </w:t>
      </w:r>
      <w:r>
        <w:rPr>
          <w:rFonts w:ascii="Times New Roman" w:hAnsi="Times New Roman"/>
          <w:b/>
          <w:noProof/>
          <w:color w:val="auto"/>
          <w:sz w:val="24"/>
          <w:szCs w:val="24"/>
        </w:rPr>
        <w:t>€ 0.7 billion</w:t>
      </w:r>
      <w:r>
        <w:rPr>
          <w:rFonts w:ascii="Times New Roman" w:hAnsi="Times New Roman"/>
          <w:noProof/>
          <w:color w:val="auto"/>
          <w:sz w:val="24"/>
          <w:szCs w:val="24"/>
        </w:rPr>
        <w:t xml:space="preserve"> to </w:t>
      </w:r>
      <w:r>
        <w:rPr>
          <w:rFonts w:ascii="Times New Roman" w:hAnsi="Times New Roman"/>
          <w:b/>
          <w:noProof/>
          <w:color w:val="auto"/>
          <w:sz w:val="24"/>
          <w:szCs w:val="24"/>
        </w:rPr>
        <w:t>€ 7.3 billion</w:t>
      </w:r>
      <w:r>
        <w:rPr>
          <w:rFonts w:ascii="Times New Roman" w:hAnsi="Times New Roman"/>
          <w:noProof/>
          <w:color w:val="auto"/>
          <w:sz w:val="24"/>
          <w:szCs w:val="24"/>
        </w:rPr>
        <w:t xml:space="preserve"> in retail value in online travel intermediation per year.</w:t>
      </w:r>
    </w:p>
    <w:p>
      <w:pPr>
        <w:pStyle w:val="p1"/>
        <w:spacing w:after="120"/>
        <w:jc w:val="both"/>
        <w:rPr>
          <w:rFonts w:ascii="Times New Roman" w:hAnsi="Times New Roman"/>
          <w:b/>
          <w:noProof/>
          <w:color w:val="auto"/>
          <w:sz w:val="24"/>
          <w:szCs w:val="24"/>
        </w:rPr>
      </w:pPr>
      <w:r>
        <w:rPr>
          <w:rFonts w:ascii="Times New Roman" w:hAnsi="Times New Roman"/>
          <w:b/>
          <w:noProof/>
          <w:color w:val="auto"/>
          <w:sz w:val="24"/>
          <w:szCs w:val="24"/>
        </w:rPr>
        <w:t>App stores</w:t>
      </w:r>
    </w:p>
    <w:p>
      <w:pPr>
        <w:pStyle w:val="p1"/>
        <w:spacing w:after="120"/>
        <w:jc w:val="both"/>
        <w:rPr>
          <w:rFonts w:ascii="Times New Roman" w:hAnsi="Times New Roman"/>
          <w:noProof/>
          <w:color w:val="auto"/>
          <w:sz w:val="24"/>
          <w:szCs w:val="24"/>
        </w:rPr>
      </w:pPr>
      <w:r>
        <w:rPr>
          <w:rFonts w:ascii="Times New Roman" w:hAnsi="Times New Roman"/>
          <w:noProof/>
          <w:color w:val="auto"/>
          <w:sz w:val="24"/>
          <w:szCs w:val="24"/>
        </w:rPr>
        <w:t>According to Vision Mobile</w:t>
      </w:r>
      <w:r>
        <w:rPr>
          <w:rStyle w:val="FootnoteReference"/>
          <w:rFonts w:ascii="Times New Roman" w:hAnsi="Times New Roman"/>
          <w:noProof/>
          <w:color w:val="auto"/>
          <w:sz w:val="24"/>
          <w:szCs w:val="24"/>
        </w:rPr>
        <w:footnoteReference w:id="46"/>
      </w:r>
      <w:r>
        <w:rPr>
          <w:rFonts w:ascii="Times New Roman" w:hAnsi="Times New Roman"/>
          <w:noProof/>
          <w:color w:val="auto"/>
          <w:sz w:val="24"/>
          <w:szCs w:val="24"/>
        </w:rPr>
        <w:t>, in 2014 there were in Europe 406 thousand professional app developers, with an aggregated revenue of € 16.5 billion. These developers supported 667 thousand direct jobs and around 1 million total jobs (including indirect jobs). In a survey of 673 app developers by the Application Developers Alliance</w:t>
      </w:r>
      <w:r>
        <w:rPr>
          <w:rStyle w:val="FootnoteReference"/>
          <w:rFonts w:ascii="Times New Roman" w:hAnsi="Times New Roman"/>
          <w:noProof/>
          <w:color w:val="auto"/>
          <w:sz w:val="24"/>
          <w:szCs w:val="24"/>
        </w:rPr>
        <w:footnoteReference w:id="47"/>
      </w:r>
      <w:r>
        <w:rPr>
          <w:rFonts w:ascii="Times New Roman" w:hAnsi="Times New Roman"/>
          <w:noProof/>
          <w:color w:val="auto"/>
          <w:sz w:val="24"/>
          <w:szCs w:val="24"/>
        </w:rPr>
        <w:t>, 25% of respondents view the app stores themselves as their greatest threat.</w:t>
      </w:r>
    </w:p>
    <w:p>
      <w:pPr>
        <w:spacing w:after="120"/>
        <w:rPr>
          <w:noProof/>
        </w:rPr>
      </w:pPr>
      <w:r>
        <w:rPr>
          <w:noProof/>
        </w:rPr>
        <w:t xml:space="preserve">Using the same approach as before, we can assume that the uncertainty generated by opaque practices by the most important app stores undermines the full potential of the EU app economy. In this case, the missed range of 1% to 10% of turnover would generate and additional </w:t>
      </w:r>
      <w:r>
        <w:rPr>
          <w:b/>
          <w:noProof/>
        </w:rPr>
        <w:t>€ 0.2 billion</w:t>
      </w:r>
      <w:r>
        <w:rPr>
          <w:noProof/>
        </w:rPr>
        <w:t xml:space="preserve"> to </w:t>
      </w:r>
      <w:r>
        <w:rPr>
          <w:b/>
          <w:noProof/>
        </w:rPr>
        <w:t>€ 1.7 billion</w:t>
      </w:r>
      <w:r>
        <w:rPr>
          <w:noProof/>
        </w:rPr>
        <w:t xml:space="preserve"> in additional turnover. This figure is conservative because the data refers to 2014</w:t>
      </w:r>
      <w:r>
        <w:rPr>
          <w:rStyle w:val="FootnoteReference"/>
          <w:noProof/>
        </w:rPr>
        <w:footnoteReference w:id="48"/>
      </w:r>
      <w:r>
        <w:rPr>
          <w:noProof/>
        </w:rPr>
        <w:t>, and although we do not have more precise figures, turnover in the industry has been growing at high rates.</w:t>
      </w:r>
    </w:p>
    <w:p>
      <w:pPr>
        <w:spacing w:after="120"/>
        <w:rPr>
          <w:noProof/>
        </w:rPr>
      </w:pPr>
      <w:r>
        <w:rPr>
          <w:noProof/>
        </w:rPr>
        <w:t>In this case, this would imply, if the average size of a professional developer remains unchanged, an increase of about 40 thousand new app developers, along with 50 thousand additional direct jobs and more than 100 thousand total jobs.</w:t>
      </w:r>
    </w:p>
    <w:p>
      <w:pPr>
        <w:spacing w:after="120"/>
        <w:rPr>
          <w:b/>
          <w:noProof/>
        </w:rPr>
      </w:pPr>
      <w:r>
        <w:rPr>
          <w:b/>
          <w:noProof/>
        </w:rPr>
        <w:t>Social networks</w:t>
      </w:r>
    </w:p>
    <w:p>
      <w:pPr>
        <w:spacing w:after="120"/>
        <w:rPr>
          <w:noProof/>
        </w:rPr>
      </w:pPr>
      <w:r>
        <w:rPr>
          <w:noProof/>
        </w:rPr>
        <w:t>Finally, the role of social networks is more difficult to assess. This is so because from a business perspective, social networks are used to increase brand awareness, to expand the potential customer base, to promote sales, both offline and online, and stimulate app usage, for instance. Hence, social networks have a horizontal and indirect effect over the other three categories</w:t>
      </w:r>
      <w:r>
        <w:rPr>
          <w:rStyle w:val="FootnoteReference"/>
          <w:noProof/>
        </w:rPr>
        <w:footnoteReference w:id="49"/>
      </w:r>
      <w:r>
        <w:rPr>
          <w:noProof/>
        </w:rPr>
        <w:t>.</w:t>
      </w:r>
    </w:p>
    <w:p>
      <w:pPr>
        <w:spacing w:after="120"/>
        <w:rPr>
          <w:noProof/>
        </w:rPr>
      </w:pPr>
      <w:r>
        <w:rPr>
          <w:noProof/>
        </w:rPr>
        <w:t>In this case, the assumption is that there is going to be an additional impulse to marketplaces through the impact of social networks on the promotion of online sales; an effect on app stores due to its use in the promotion of apps; and an impact on online advertising through their role on brand awareness and on the engagement and expansion of the customer base.</w:t>
      </w:r>
    </w:p>
    <w:p>
      <w:pPr>
        <w:spacing w:after="120"/>
        <w:rPr>
          <w:noProof/>
        </w:rPr>
      </w:pPr>
      <w:r>
        <w:rPr>
          <w:noProof/>
        </w:rPr>
        <w:t>The assumption is that the three impacts computed before would be magnified again by a range between 1% to 10% if trust towards social networks would increase. However, the impact would not be direct, since the effect of social networks is likely to be more pronounced for online advertising, then for marketplaces and finally for app stores. In this case, we compute a weighted measure of the likely impact of social networks when the impact goes though the other categories of platforms. In order to determine the effect of social networks on the other categories of platforms, we computed the proportion of internet traffic from social networks to the other categories. Implicitly, our assumption is that there is a correlation between traffic and the economic impact of social networks. Using data from Similarweb</w:t>
      </w:r>
      <w:r>
        <w:rPr>
          <w:rStyle w:val="FootnoteReference"/>
          <w:noProof/>
        </w:rPr>
        <w:footnoteReference w:id="50"/>
      </w:r>
      <w:r>
        <w:rPr>
          <w:noProof/>
        </w:rPr>
        <w:t>, we found the following weights: 0.55 for online advertising, 0.3 for marketplaces, and 0.15 for app stores.</w:t>
      </w:r>
    </w:p>
    <w:p>
      <w:pPr>
        <w:spacing w:after="120"/>
        <w:rPr>
          <w:noProof/>
        </w:rPr>
      </w:pPr>
      <w:r>
        <w:rPr>
          <w:noProof/>
        </w:rPr>
        <w:t xml:space="preserve">Using these proportions and the range of impacts from 1% to 19%, we compute the resulting impact of social networks as: (1.3*0.3)+(0.2*0.15)+(0.06*0.55) and (12.8*0.3)+(1.7*0.15)+(0.6*0.55) , resulting in an estimated impact of social networks of </w:t>
      </w:r>
      <w:r>
        <w:rPr>
          <w:b/>
          <w:noProof/>
        </w:rPr>
        <w:t>€ 0.4 billion</w:t>
      </w:r>
      <w:r>
        <w:rPr>
          <w:noProof/>
        </w:rPr>
        <w:t xml:space="preserve"> to </w:t>
      </w:r>
      <w:r>
        <w:rPr>
          <w:b/>
          <w:noProof/>
        </w:rPr>
        <w:t>€ 4.4 billion</w:t>
      </w:r>
      <w:r>
        <w:rPr>
          <w:noProof/>
        </w:rPr>
        <w:t xml:space="preserve">. </w:t>
      </w:r>
    </w:p>
    <w:p>
      <w:pPr>
        <w:spacing w:after="120"/>
        <w:rPr>
          <w:b/>
          <w:noProof/>
        </w:rPr>
      </w:pPr>
      <w:r>
        <w:rPr>
          <w:b/>
          <w:noProof/>
        </w:rPr>
        <w:t>Summary</w:t>
      </w:r>
    </w:p>
    <w:p>
      <w:pPr>
        <w:spacing w:after="120"/>
        <w:rPr>
          <w:noProof/>
        </w:rPr>
      </w:pPr>
      <w:r>
        <w:rPr>
          <w:noProof/>
        </w:rPr>
        <w:t xml:space="preserve">If we sum all the figures calculated above, we have an aggregated impact in the EU economy due to the uncertainty derived from opaque practices by online platforms in the range of </w:t>
      </w:r>
      <w:r>
        <w:rPr>
          <w:b/>
          <w:noProof/>
        </w:rPr>
        <w:t>€ 2.0 billion</w:t>
      </w:r>
      <w:r>
        <w:rPr>
          <w:noProof/>
        </w:rPr>
        <w:t xml:space="preserve"> and </w:t>
      </w:r>
      <w:r>
        <w:rPr>
          <w:b/>
          <w:noProof/>
        </w:rPr>
        <w:t>€ 19.5 billion per year</w:t>
      </w:r>
      <w:r>
        <w:rPr>
          <w:noProof/>
        </w:rPr>
        <w:t>. These calculations are rough and only intended to give an approximate figure of the impact. More detailed data and more precise methodologies would be required in order to produce more accurate estimations.</w:t>
      </w:r>
    </w:p>
    <w:p>
      <w:pPr>
        <w:spacing w:after="120"/>
        <w:rPr>
          <w:noProof/>
        </w:rPr>
      </w:pPr>
      <w:r>
        <w:rPr>
          <w:noProof/>
        </w:rPr>
        <w:t xml:space="preserve">Separate calculations undertaken by the Commission staff arrived at a similar figure by adding the direct loss calculated based on the survey data (occurrence of each type of practice multiplied by the impact on turnover and the total turnover on platforms in a given segment) and the dampening effect (applying an assumption of platform sales being 1-5% lower due to business users concerns about problematic platform practices). </w:t>
      </w:r>
    </w:p>
    <w:p>
      <w:pPr>
        <w:autoSpaceDE w:val="0"/>
        <w:autoSpaceDN w:val="0"/>
        <w:adjustRightInd w:val="0"/>
        <w:spacing w:after="0"/>
        <w:rPr>
          <w:noProof/>
        </w:rPr>
      </w:pPr>
      <w:r>
        <w:rPr>
          <w:noProof/>
        </w:rPr>
        <w:t xml:space="preserve">The direct reduction of sales through platforms for EU business users caused by the practices at stake was estimated to amount to between </w:t>
      </w:r>
      <w:r>
        <w:rPr>
          <w:b/>
          <w:noProof/>
        </w:rPr>
        <w:t>€ 1.27</w:t>
      </w:r>
      <w:r>
        <w:rPr>
          <w:noProof/>
        </w:rPr>
        <w:t xml:space="preserve"> and </w:t>
      </w:r>
      <w:r>
        <w:rPr>
          <w:b/>
          <w:noProof/>
        </w:rPr>
        <w:t>€ 2.35 billion per year</w:t>
      </w:r>
      <w:r>
        <w:rPr>
          <w:noProof/>
        </w:rPr>
        <w:t xml:space="preserve"> and the dampening effect estimated to amount to between</w:t>
      </w:r>
      <w:r>
        <w:rPr>
          <w:b/>
          <w:noProof/>
        </w:rPr>
        <w:t xml:space="preserve"> € 2.7 </w:t>
      </w:r>
      <w:r>
        <w:rPr>
          <w:noProof/>
        </w:rPr>
        <w:t>and</w:t>
      </w:r>
      <w:r>
        <w:rPr>
          <w:b/>
          <w:noProof/>
        </w:rPr>
        <w:t xml:space="preserve"> € 13.5 billion per year </w:t>
      </w:r>
      <w:r>
        <w:rPr>
          <w:noProof/>
        </w:rPr>
        <w:t>amounting to a total of</w:t>
      </w:r>
      <w:r>
        <w:rPr>
          <w:b/>
          <w:noProof/>
        </w:rPr>
        <w:t xml:space="preserve"> </w:t>
      </w:r>
      <w:r>
        <w:rPr>
          <w:noProof/>
        </w:rPr>
        <w:t>between</w:t>
      </w:r>
      <w:r>
        <w:rPr>
          <w:b/>
          <w:noProof/>
        </w:rPr>
        <w:t xml:space="preserve"> € 3.97</w:t>
      </w:r>
      <w:r>
        <w:rPr>
          <w:noProof/>
        </w:rPr>
        <w:t xml:space="preserve"> and </w:t>
      </w:r>
      <w:r>
        <w:rPr>
          <w:b/>
          <w:noProof/>
        </w:rPr>
        <w:t>€ 15.85</w:t>
      </w:r>
      <w:r>
        <w:rPr>
          <w:noProof/>
        </w:rPr>
        <w:t xml:space="preserve"> billion per year. </w:t>
      </w:r>
    </w:p>
    <w:p>
      <w:pPr>
        <w:spacing w:after="200" w:line="276" w:lineRule="auto"/>
        <w:jc w:val="left"/>
        <w:rPr>
          <w:noProof/>
        </w:rPr>
      </w:pPr>
    </w:p>
    <w:p>
      <w:pPr>
        <w:pStyle w:val="Heading1"/>
        <w:numPr>
          <w:ilvl w:val="0"/>
          <w:numId w:val="12"/>
        </w:numPr>
        <w:rPr>
          <w:noProof/>
        </w:rPr>
      </w:pPr>
      <w:bookmarkStart w:id="1654" w:name="_Toc497919457"/>
      <w:bookmarkStart w:id="1655" w:name="_Toc497919776"/>
      <w:bookmarkStart w:id="1656" w:name="_Toc497920462"/>
      <w:bookmarkStart w:id="1657" w:name="_Toc497921509"/>
      <w:bookmarkStart w:id="1658" w:name="_Toc497921602"/>
      <w:bookmarkStart w:id="1659" w:name="_Toc500262131"/>
      <w:bookmarkStart w:id="1660" w:name="_Toc507167042"/>
      <w:bookmarkStart w:id="1661" w:name="_Toc508297425"/>
      <w:bookmarkStart w:id="1662" w:name="_Toc508350187"/>
      <w:bookmarkStart w:id="1663" w:name="_Toc508351627"/>
      <w:bookmarkStart w:id="1664" w:name="_Toc508360041"/>
      <w:bookmarkStart w:id="1665" w:name="_Toc511220540"/>
      <w:bookmarkStart w:id="1666" w:name="_Toc511234986"/>
      <w:bookmarkStart w:id="1667" w:name="_Toc511292899"/>
      <w:r>
        <w:rPr>
          <w:noProof/>
        </w:rPr>
        <w:t>Synthesis of JRC economic research papers</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pPr>
        <w:pStyle w:val="ListParagraph"/>
        <w:ind w:left="0"/>
        <w:rPr>
          <w:noProof/>
          <w:szCs w:val="24"/>
        </w:rPr>
      </w:pPr>
      <w:r>
        <w:rPr>
          <w:noProof/>
          <w:szCs w:val="24"/>
        </w:rPr>
        <w:t xml:space="preserve">The Impact Assessment was informed by two reports authored by economic experts at the Joint Research Center in Sevilla.  </w:t>
      </w:r>
    </w:p>
    <w:p>
      <w:pPr>
        <w:pStyle w:val="ListParagraph"/>
        <w:ind w:left="0"/>
        <w:rPr>
          <w:noProof/>
          <w:szCs w:val="24"/>
        </w:rPr>
      </w:pPr>
    </w:p>
    <w:p>
      <w:pPr>
        <w:pStyle w:val="ListParagraph"/>
        <w:ind w:left="0"/>
        <w:rPr>
          <w:noProof/>
          <w:szCs w:val="24"/>
        </w:rPr>
      </w:pPr>
      <w:r>
        <w:rPr>
          <w:noProof/>
          <w:szCs w:val="24"/>
        </w:rPr>
        <w:t>The first report, entitled "Quality discrimination in multi-sided markets", explains the incentives that platform operators have to provide a better standard of support to consumers than to business users.  Its aim is to explain evidence of unfair practices by online platforms towards business users, particularly SME's. First, using survey data, it shows that sellers operating with four different categories of platforms multi-home (marketplaces, app stores, social networks and online advertising). Hence, the appropriate competitive framework is the "competitive bottleneck" model. Second, it develops an empirical model of platform competition adding service quality as an additional dimension. The results indicate that the costs of providing quality to sellers are higher than the costs of providing quality to buyers. These differences may reflect different needs or preferences across groups. While buyers would require simple functionalities sellers would need more sophisticated services. When sellers' multi-home, platforms care more about buyers than sellers and while buyers will get an efficient level of quality, quality to sellers will be "degraded". The authors argue that this service quality degradation explains unfair trading practices simply because platforms are not willing to invest to take care of sellers</w:t>
      </w:r>
      <w:r>
        <w:rPr>
          <w:rStyle w:val="FootnoteReference"/>
          <w:noProof/>
          <w:szCs w:val="24"/>
        </w:rPr>
        <w:footnoteReference w:id="51"/>
      </w:r>
      <w:r>
        <w:rPr>
          <w:noProof/>
          <w:szCs w:val="24"/>
        </w:rPr>
        <w:t>.</w:t>
      </w:r>
    </w:p>
    <w:p>
      <w:pPr>
        <w:pStyle w:val="ListParagraph"/>
        <w:ind w:left="0"/>
        <w:rPr>
          <w:noProof/>
          <w:szCs w:val="24"/>
        </w:rPr>
      </w:pPr>
    </w:p>
    <w:p>
      <w:pPr>
        <w:pStyle w:val="ListParagraph"/>
        <w:ind w:left="0"/>
        <w:rPr>
          <w:noProof/>
          <w:szCs w:val="24"/>
        </w:rPr>
      </w:pPr>
      <w:r>
        <w:rPr>
          <w:noProof/>
          <w:szCs w:val="24"/>
        </w:rPr>
        <w:t xml:space="preserve">The second report, entitled "Platform to business relations in online ecosystem", presents evidence on the relationship between online platforms and businesses using these platforms to reach consumers or conduct their operations. It reviews the literature on vertical relationships both from a classic approach and from a multi-sided market perspective. Second, it uses survey data to explain the factors behind firms’ choice of online channel. Third, it explores the results of a survey passed to firms using platforms to understand their concerns about the behaviour of some of these online gatekeepers. It concludes that </w:t>
      </w:r>
      <w:r>
        <w:rPr>
          <w:noProof/>
        </w:rPr>
        <w:t>companies using online marketplaces that consider that the terms and conditions for online marketplaces are clear will use platforms more intensively. It concludes that the aggregated impact in the EU economy due to the uncertainty derived from opaque practices by online platforms can be in the range from € 2.0 billion to € 19.5 billion per year</w:t>
      </w:r>
      <w:r>
        <w:rPr>
          <w:rStyle w:val="FootnoteReference"/>
          <w:noProof/>
        </w:rPr>
        <w:footnoteReference w:id="52"/>
      </w:r>
      <w:r>
        <w:rPr>
          <w:noProof/>
        </w:rPr>
        <w:t xml:space="preserve">. </w:t>
      </w:r>
    </w:p>
    <w:p>
      <w:pPr>
        <w:pStyle w:val="ListParagraph"/>
        <w:ind w:left="480"/>
        <w:rPr>
          <w:noProof/>
          <w:szCs w:val="24"/>
        </w:rPr>
      </w:pPr>
      <w:r>
        <w:rPr>
          <w:noProof/>
          <w:szCs w:val="24"/>
        </w:rPr>
        <w:t xml:space="preserve">  </w:t>
      </w:r>
    </w:p>
    <w:p>
      <w:pPr>
        <w:spacing w:line="300" w:lineRule="auto"/>
        <w:rPr>
          <w:noProof/>
        </w:rPr>
      </w:pPr>
    </w:p>
    <w:p>
      <w:pPr>
        <w:spacing w:after="200" w:line="276" w:lineRule="auto"/>
        <w:jc w:val="left"/>
        <w:rPr>
          <w:rFonts w:eastAsiaTheme="minorHAnsi"/>
          <w:b/>
          <w:noProof/>
          <w:lang w:val="en"/>
        </w:rPr>
      </w:pPr>
    </w:p>
    <w:p>
      <w:pPr>
        <w:pStyle w:val="Heading1"/>
        <w:numPr>
          <w:ilvl w:val="0"/>
          <w:numId w:val="12"/>
        </w:numPr>
        <w:rPr>
          <w:noProof/>
        </w:rPr>
      </w:pPr>
      <w:r>
        <w:rPr>
          <w:noProof/>
        </w:rPr>
        <w:br w:type="page"/>
      </w:r>
      <w:bookmarkStart w:id="1668" w:name="_Toc497861490"/>
      <w:bookmarkStart w:id="1669" w:name="_Toc497862165"/>
      <w:bookmarkStart w:id="1670" w:name="_Toc497862346"/>
      <w:bookmarkStart w:id="1671" w:name="_Toc497900305"/>
      <w:bookmarkStart w:id="1672" w:name="_Toc497902395"/>
      <w:bookmarkStart w:id="1673" w:name="_Toc497906102"/>
      <w:bookmarkStart w:id="1674" w:name="_Toc497906247"/>
      <w:bookmarkStart w:id="1675" w:name="_Toc497906392"/>
      <w:bookmarkStart w:id="1676" w:name="_Toc497906537"/>
      <w:bookmarkStart w:id="1677" w:name="_Toc497907273"/>
      <w:bookmarkStart w:id="1678" w:name="_Toc497907935"/>
      <w:bookmarkStart w:id="1679" w:name="_Toc497909988"/>
      <w:bookmarkStart w:id="1680" w:name="_Toc497912720"/>
      <w:bookmarkStart w:id="1681" w:name="_Toc497912898"/>
      <w:bookmarkStart w:id="1682" w:name="_Toc497913125"/>
      <w:bookmarkStart w:id="1683" w:name="_Toc497914852"/>
      <w:bookmarkStart w:id="1684" w:name="_Toc497915283"/>
      <w:bookmarkStart w:id="1685" w:name="_Toc497915653"/>
      <w:bookmarkStart w:id="1686" w:name="_Toc497915780"/>
      <w:bookmarkStart w:id="1687" w:name="_Toc497916056"/>
      <w:bookmarkStart w:id="1688" w:name="_Toc497916669"/>
      <w:bookmarkStart w:id="1689" w:name="_Toc497916978"/>
      <w:bookmarkStart w:id="1690" w:name="_Toc497917311"/>
      <w:bookmarkStart w:id="1691" w:name="_Toc497918735"/>
      <w:bookmarkStart w:id="1692" w:name="_Toc492048414"/>
      <w:bookmarkStart w:id="1693" w:name="_Toc492557191"/>
      <w:bookmarkStart w:id="1694" w:name="_Toc497906538"/>
      <w:bookmarkStart w:id="1695" w:name="_Toc497913006"/>
      <w:bookmarkStart w:id="1696" w:name="_Toc497919458"/>
      <w:bookmarkStart w:id="1697" w:name="_Toc497919777"/>
      <w:bookmarkStart w:id="1698" w:name="_Toc497920463"/>
      <w:bookmarkStart w:id="1699" w:name="_Toc497921510"/>
      <w:bookmarkStart w:id="1700" w:name="_Toc497921603"/>
      <w:bookmarkStart w:id="1701" w:name="_Toc500262132"/>
      <w:bookmarkStart w:id="1702" w:name="_Toc507167043"/>
      <w:bookmarkStart w:id="1703" w:name="_Toc508297426"/>
      <w:bookmarkStart w:id="1704" w:name="_Toc508350188"/>
      <w:bookmarkStart w:id="1705" w:name="_Toc508351628"/>
      <w:bookmarkStart w:id="1706" w:name="_Toc508360042"/>
      <w:bookmarkStart w:id="1707" w:name="_Toc511220541"/>
      <w:bookmarkStart w:id="1708" w:name="_Toc511234987"/>
      <w:bookmarkStart w:id="1709" w:name="_Toc511292900"/>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Pr>
          <w:noProof/>
        </w:rPr>
        <w:t xml:space="preserve">Description of Main Market </w:t>
      </w:r>
      <w:bookmarkEnd w:id="1692"/>
      <w:bookmarkEnd w:id="1693"/>
      <w:bookmarkEnd w:id="1694"/>
      <w:bookmarkEnd w:id="1695"/>
      <w:bookmarkEnd w:id="1696"/>
      <w:bookmarkEnd w:id="1697"/>
      <w:r>
        <w:rPr>
          <w:noProof/>
        </w:rPr>
        <w:t>Players and Analysis</w:t>
      </w:r>
      <w:bookmarkEnd w:id="1698"/>
      <w:bookmarkEnd w:id="1699"/>
      <w:bookmarkEnd w:id="1700"/>
      <w:bookmarkEnd w:id="1701"/>
      <w:bookmarkEnd w:id="1702"/>
      <w:bookmarkEnd w:id="1703"/>
      <w:bookmarkEnd w:id="1704"/>
      <w:bookmarkEnd w:id="1705"/>
      <w:bookmarkEnd w:id="1706"/>
      <w:bookmarkEnd w:id="1707"/>
      <w:bookmarkEnd w:id="1708"/>
      <w:bookmarkEnd w:id="1709"/>
    </w:p>
    <w:p>
      <w:pPr>
        <w:pStyle w:val="Heading2"/>
        <w:rPr>
          <w:noProof/>
        </w:rPr>
      </w:pPr>
      <w:bookmarkStart w:id="1710" w:name="_Toc490228744"/>
      <w:bookmarkStart w:id="1711" w:name="_Toc490234904"/>
      <w:bookmarkStart w:id="1712" w:name="_Toc490476738"/>
      <w:bookmarkStart w:id="1713" w:name="_Toc497919778"/>
      <w:bookmarkStart w:id="1714" w:name="_Toc497920464"/>
      <w:bookmarkStart w:id="1715" w:name="_Toc497921511"/>
      <w:bookmarkStart w:id="1716" w:name="_Toc497921604"/>
      <w:bookmarkStart w:id="1717" w:name="_Toc500262133"/>
      <w:bookmarkStart w:id="1718" w:name="_Toc507167044"/>
      <w:bookmarkStart w:id="1719" w:name="_Toc508297427"/>
      <w:bookmarkStart w:id="1720" w:name="_Toc508350189"/>
      <w:bookmarkStart w:id="1721" w:name="_Toc508351629"/>
      <w:bookmarkStart w:id="1722" w:name="_Toc508360043"/>
      <w:bookmarkStart w:id="1723" w:name="_Toc511220542"/>
      <w:bookmarkStart w:id="1724" w:name="_Toc511234988"/>
      <w:bookmarkStart w:id="1725" w:name="_Toc511292901"/>
      <w:bookmarkStart w:id="1726" w:name="_Toc490501926"/>
      <w:bookmarkStart w:id="1727" w:name="_Toc492048416"/>
      <w:bookmarkStart w:id="1728" w:name="_Toc492557193"/>
      <w:bookmarkStart w:id="1729" w:name="_Toc497906540"/>
      <w:bookmarkStart w:id="1730" w:name="_Toc497913008"/>
      <w:bookmarkStart w:id="1731" w:name="_Toc490494828"/>
      <w:bookmarkStart w:id="1732" w:name="_Toc490494404"/>
      <w:bookmarkStart w:id="1733" w:name="_Toc497919460"/>
      <w:r>
        <w:rPr>
          <w:noProof/>
        </w:rPr>
        <w:t>Growing digital trade is increasingly intermediated by online platforms</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Pr>
          <w:noProof/>
        </w:rPr>
        <w:t xml:space="preserve"> </w:t>
      </w:r>
      <w:bookmarkEnd w:id="1726"/>
      <w:bookmarkEnd w:id="1727"/>
      <w:bookmarkEnd w:id="1728"/>
      <w:bookmarkEnd w:id="1729"/>
      <w:bookmarkEnd w:id="1730"/>
    </w:p>
    <w:bookmarkEnd w:id="1731"/>
    <w:bookmarkEnd w:id="1732"/>
    <w:bookmarkEnd w:id="1733"/>
    <w:p>
      <w:pPr>
        <w:rPr>
          <w:noProof/>
        </w:rPr>
      </w:pPr>
      <w:r>
        <w:rPr>
          <w:noProof/>
        </w:rPr>
        <w:t>In 2016, 85% of EU households had access to the internet from home - up from 55% in 2007</w:t>
      </w:r>
      <w:r>
        <w:rPr>
          <w:rStyle w:val="FootnoteReference"/>
          <w:noProof/>
        </w:rPr>
        <w:footnoteReference w:id="53"/>
      </w:r>
      <w:r>
        <w:rPr>
          <w:noProof/>
        </w:rPr>
        <w:t>. Internet connectivity drives digital trade; for example, online retail has been growing by 15-20% per year over the last years in Europe. Already in 2015, EU companies generated 17.5% of the turnover online and 61% of EU SMEs rely on social media to promote their products and services. As regards the business user respondents to a recent survey on P2B practices, 90% use social media for business purposes.</w:t>
      </w:r>
      <w:r>
        <w:rPr>
          <w:rStyle w:val="FootnoteReference"/>
          <w:noProof/>
        </w:rPr>
        <w:footnoteReference w:id="54"/>
      </w:r>
    </w:p>
    <w:p>
      <w:pPr>
        <w:tabs>
          <w:tab w:val="left" w:pos="2302"/>
        </w:tabs>
        <w:rPr>
          <w:noProof/>
        </w:rPr>
      </w:pPr>
      <w:r>
        <w:rPr>
          <w:noProof/>
          <w:lang w:eastAsia="en-GB"/>
        </w:rPr>
        <w:t>The Commission's fact-finding shows that online platforms have become central to the businesses using them: almost half (42%) of SME respondents to a recent Eurobarometer survey on online platforms use online marketplaces</w:t>
      </w:r>
      <w:r>
        <w:rPr>
          <w:noProof/>
          <w:vertAlign w:val="superscript"/>
          <w:lang w:eastAsia="en-GB"/>
        </w:rPr>
        <w:footnoteReference w:id="55"/>
      </w:r>
      <w:r>
        <w:rPr>
          <w:noProof/>
          <w:lang w:eastAsia="en-GB"/>
        </w:rPr>
        <w:t xml:space="preserve"> to sell their products and services. 82% rely on search engines to promote products and/or services online and 66% indicate that their position in the search results has a significant impact on their sales. Indeed, </w:t>
      </w:r>
      <w:r>
        <w:rPr>
          <w:noProof/>
        </w:rPr>
        <w:t xml:space="preserve">20.56% of business user respondents to the </w:t>
      </w:r>
      <w:sdt>
        <w:sdtPr>
          <w:rPr>
            <w:noProof/>
          </w:rPr>
          <w:id w:val="-1316951990"/>
          <w:citation/>
        </w:sdtPr>
        <w:sdtContent>
          <w:r>
            <w:rPr>
              <w:noProof/>
            </w:rPr>
            <w:fldChar w:fldCharType="begin"/>
          </w:r>
          <w:r>
            <w:rPr>
              <w:noProof/>
            </w:rPr>
            <w:instrText xml:space="preserve"> CITATION ECOng \l 2060 </w:instrText>
          </w:r>
          <w:r>
            <w:rPr>
              <w:noProof/>
            </w:rPr>
            <w:fldChar w:fldCharType="separate"/>
          </w:r>
          <w:r>
            <w:rPr>
              <w:noProof/>
            </w:rPr>
            <w:t>(ECORYS, 2017 - forthcoming)</w:t>
          </w:r>
          <w:r>
            <w:rPr>
              <w:noProof/>
            </w:rPr>
            <w:fldChar w:fldCharType="end"/>
          </w:r>
        </w:sdtContent>
      </w:sdt>
      <w:r>
        <w:rPr>
          <w:noProof/>
        </w:rPr>
        <w:t xml:space="preserve"> P2B surveys generate more than half of their total turnover through online platforms.</w:t>
      </w:r>
      <w:r>
        <w:rPr>
          <w:rStyle w:val="FootnoteReference"/>
          <w:noProof/>
        </w:rPr>
        <w:footnoteReference w:id="56"/>
      </w:r>
    </w:p>
    <w:p>
      <w:pPr>
        <w:tabs>
          <w:tab w:val="left" w:pos="2302"/>
        </w:tabs>
        <w:rPr>
          <w:noProof/>
          <w:lang w:eastAsia="en-GB"/>
        </w:rPr>
      </w:pPr>
      <w:r>
        <w:rPr>
          <w:noProof/>
          <w:lang w:eastAsia="en-GB"/>
        </w:rPr>
        <w:t>Online platforms have also become enablers for cross-border trade: a developer can reach billions of potential buyers globally through Google Play and Apple's App Store, an SME can sell goods to many more potential buyers that are outside of their country of origin. In fact, according to a study, the effect of distance is on average 65% smaller due to reduction in search costs.</w:t>
      </w:r>
      <w:r>
        <w:rPr>
          <w:noProof/>
          <w:vertAlign w:val="superscript"/>
          <w:lang w:eastAsia="en-GB"/>
        </w:rPr>
        <w:footnoteReference w:id="57"/>
      </w:r>
      <w:r>
        <w:rPr>
          <w:noProof/>
          <w:lang w:eastAsia="en-GB"/>
        </w:rPr>
        <w:t xml:space="preserve"> </w:t>
      </w:r>
    </w:p>
    <w:p>
      <w:pPr>
        <w:tabs>
          <w:tab w:val="left" w:pos="2302"/>
        </w:tabs>
        <w:rPr>
          <w:noProof/>
          <w:lang w:eastAsia="en-GB"/>
        </w:rPr>
      </w:pPr>
      <w:r>
        <w:rPr>
          <w:noProof/>
          <w:lang w:eastAsia="en-GB"/>
        </w:rPr>
        <w:t>This tendency is exacerbated by the typical balance of power in a business user – platform relationship. Because of the existence of indirect network effects and their superior access to data</w:t>
      </w:r>
      <w:r>
        <w:rPr>
          <w:rStyle w:val="FootnoteReference"/>
          <w:noProof/>
          <w:lang w:eastAsia="en-GB"/>
        </w:rPr>
        <w:footnoteReference w:id="58"/>
      </w:r>
      <w:r>
        <w:rPr>
          <w:noProof/>
          <w:lang w:eastAsia="en-GB"/>
        </w:rPr>
        <w:t xml:space="preserve">, online platform ecosystems are prone to the appearance of a limited number of successful players capturing entire specialised 'segments' – which can be either wide or narrow in scope. Their position as central intermediary is in this regard, from a business user's perspective, complementary to that of other online platforms (i.e. business users need to be present on all successful platforms within certain segments).  </w:t>
      </w:r>
    </w:p>
    <w:p>
      <w:pPr>
        <w:tabs>
          <w:tab w:val="left" w:pos="2302"/>
        </w:tabs>
        <w:rPr>
          <w:noProof/>
        </w:rPr>
      </w:pPr>
      <w:r>
        <w:rPr>
          <w:noProof/>
          <w:lang w:eastAsia="en-GB"/>
        </w:rPr>
        <w:t>Conversely, the platforms' business users tend to be rather fragmented. For example, in December 2016, there were 724 000 active developers developing for Google Play, 494 000 for iOS App Store and 69 000 for Amazon Appstore, i.e. almost 1 million three hundred developers for three app stores. In 2016, more than 412 thousand new developers released their first app. Roughly 60% of those new developers released apps for Google Play with the rest releasing their apps on the iOS App Store</w:t>
      </w:r>
      <w:r>
        <w:rPr>
          <w:noProof/>
          <w:vertAlign w:val="superscript"/>
          <w:lang w:eastAsia="en-GB"/>
        </w:rPr>
        <w:footnoteReference w:id="59"/>
      </w:r>
      <w:r>
        <w:rPr>
          <w:noProof/>
          <w:lang w:eastAsia="en-GB"/>
        </w:rPr>
        <w:t>. Also the hotel industry is highly fragmented. 200 000 hotels and 1.8 million cafés in Europe are selling their services on platforms,</w:t>
      </w:r>
      <w:r>
        <w:rPr>
          <w:noProof/>
          <w:vertAlign w:val="superscript"/>
          <w:lang w:eastAsia="en-GB"/>
        </w:rPr>
        <w:footnoteReference w:id="60"/>
      </w:r>
      <w:r>
        <w:rPr>
          <w:noProof/>
          <w:lang w:eastAsia="en-GB"/>
        </w:rPr>
        <w:t xml:space="preserve"> where the three biggest Online Travel Agents held 83% of market share in worldwide OTA bookings in 2015</w:t>
      </w:r>
      <w:r>
        <w:rPr>
          <w:rStyle w:val="FootnoteReference"/>
          <w:noProof/>
          <w:lang w:eastAsia="en-GB"/>
        </w:rPr>
        <w:footnoteReference w:id="61"/>
      </w:r>
      <w:r>
        <w:rPr>
          <w:noProof/>
          <w:lang w:eastAsia="en-GB"/>
        </w:rPr>
        <w:t>. 92% of hotels and cafés also employ less than 10 people</w:t>
      </w:r>
      <w:r>
        <w:rPr>
          <w:noProof/>
          <w:vertAlign w:val="superscript"/>
          <w:lang w:eastAsia="en-GB"/>
        </w:rPr>
        <w:footnoteReference w:id="62"/>
      </w:r>
      <w:r>
        <w:rPr>
          <w:noProof/>
          <w:lang w:eastAsia="en-GB"/>
        </w:rPr>
        <w:t>, while around 60% of hotels have less than 25 rooms</w:t>
      </w:r>
      <w:r>
        <w:rPr>
          <w:noProof/>
          <w:vertAlign w:val="superscript"/>
          <w:lang w:eastAsia="en-GB"/>
        </w:rPr>
        <w:footnoteReference w:id="63"/>
      </w:r>
      <w:r>
        <w:rPr>
          <w:noProof/>
          <w:lang w:eastAsia="en-GB"/>
        </w:rPr>
        <w:t>. The Commission's e-commerce sector inquiry revealed that, in 2014, the overwhelming majority (89% for the EU as a whole) of businesses selling via online marketplaces generated an annual turnover lower or equal to EUR 50 000 irrespective of the Member State in which they were established.</w:t>
      </w:r>
      <w:r>
        <w:rPr>
          <w:rStyle w:val="FootnoteReference"/>
          <w:noProof/>
          <w:lang w:eastAsia="en-GB"/>
        </w:rPr>
        <w:footnoteReference w:id="64"/>
      </w:r>
      <w:r>
        <w:rPr>
          <w:noProof/>
          <w:lang w:eastAsia="en-GB"/>
        </w:rPr>
        <w:t xml:space="preserve"> </w:t>
      </w:r>
    </w:p>
    <w:p>
      <w:pPr>
        <w:spacing w:after="0"/>
        <w:rPr>
          <w:noProof/>
        </w:rPr>
      </w:pPr>
      <w:r>
        <w:rPr>
          <w:noProof/>
        </w:rPr>
        <w:t>This growing digital trade is increasingly intermediated by online platforms. Some estimates</w:t>
      </w:r>
      <w:r>
        <w:rPr>
          <w:noProof/>
          <w:vertAlign w:val="superscript"/>
        </w:rPr>
        <w:footnoteReference w:id="65"/>
      </w:r>
      <w:r>
        <w:rPr>
          <w:noProof/>
        </w:rPr>
        <w:t xml:space="preserve"> suggest that around 60% of private consumption and 30% of public consumption of digital goods and services (i.e. related to the total Internet economy) go via online intermediaries. According to another estimation, 40% of retail online sales will be conducted through online marketplaces by 2020</w:t>
      </w:r>
      <w:r>
        <w:rPr>
          <w:rStyle w:val="FootnoteReference"/>
          <w:noProof/>
        </w:rPr>
        <w:footnoteReference w:id="66"/>
      </w:r>
      <w:r>
        <w:rPr>
          <w:noProof/>
        </w:rPr>
        <w:t>. Specifically regarding the hospitality industry, one study shows that independent hotels make up 67% of total room supply in the EU and that 71% of their online bookings are made through online platforms.</w:t>
      </w:r>
      <w:r>
        <w:rPr>
          <w:rStyle w:val="FootnoteReference"/>
          <w:noProof/>
        </w:rPr>
        <w:footnoteReference w:id="67"/>
      </w:r>
      <w:r>
        <w:rPr>
          <w:noProof/>
        </w:rPr>
        <w:t xml:space="preserve"> In the US, already today 45% of online retail purchases is carried through platforms and 55% through branded stores. That means platforms' business users increasingly have to reach their customers through a digital middleman. In some cases, this digital intermediated relationship replaces an offline direct relationship (for instance in e-commerce). In other cases, the digital intermediation has created a whole new business model, e.g. app stores or user review platforms.</w:t>
      </w:r>
    </w:p>
    <w:p>
      <w:pPr>
        <w:spacing w:after="0"/>
        <w:rPr>
          <w:noProof/>
        </w:rPr>
      </w:pPr>
    </w:p>
    <w:p>
      <w:pPr>
        <w:spacing w:after="0"/>
        <w:rPr>
          <w:noProof/>
          <w:vertAlign w:val="superscript"/>
        </w:rPr>
      </w:pPr>
      <w:r>
        <w:rPr>
          <w:noProof/>
        </w:rPr>
        <w:t>Intermediation also exists in the offline economy, but its scale in the digital economy is unprecedented for several reasons. First, the digital economy provides consumers with such vast a choice of products and services that there is increasingly scope for intermediaries which assist consumers in making the right choice. Second, the business model of offline "intermediaries" such as supermarkets as a middleman between consumers and suppliers is not virtually endlessly scalable as is platform intermediation. Unlike most digital intermediaries, supermarkets deal with physical goods that they resell, which puts a limit to how many suppliers' products they can stock and how many customers they can serve without making considerable investments. Conversely, the online platform business model allows companies to scale quickly and at little marginal cost because additional customers, products and services do not require investment in production of the content, goods, services or other forms of capital they give access to. These resources are provided by other users, in some cases including professional users, of the platform.</w:t>
      </w:r>
      <w:r>
        <w:rPr>
          <w:noProof/>
          <w:vertAlign w:val="superscript"/>
        </w:rPr>
        <w:footnoteReference w:id="68"/>
      </w:r>
      <w:r>
        <w:rPr>
          <w:noProof/>
        </w:rPr>
        <w:t xml:space="preserve"> Third, online platforms have created new (intermediation) business models in the digital economy that simply do not exist in the offline world.</w:t>
      </w:r>
      <w:r>
        <w:rPr>
          <w:noProof/>
          <w:vertAlign w:val="superscript"/>
        </w:rPr>
        <w:t xml:space="preserve"> </w:t>
      </w:r>
      <w:bookmarkStart w:id="1734" w:name="_Toc488321010"/>
      <w:bookmarkStart w:id="1735" w:name="_Toc489013030"/>
      <w:bookmarkStart w:id="1736" w:name="_Toc490145011"/>
      <w:bookmarkStart w:id="1737" w:name="_Toc490228745"/>
      <w:bookmarkStart w:id="1738" w:name="_Toc490234905"/>
      <w:bookmarkStart w:id="1739" w:name="_Toc490476739"/>
      <w:bookmarkStart w:id="1740" w:name="_Toc490494405"/>
      <w:bookmarkStart w:id="1741" w:name="_Toc490494829"/>
      <w:bookmarkStart w:id="1742" w:name="_Toc490501927"/>
      <w:bookmarkStart w:id="1743" w:name="_Toc492048417"/>
      <w:bookmarkStart w:id="1744" w:name="_Toc492557194"/>
      <w:bookmarkStart w:id="1745" w:name="_Toc497901291"/>
    </w:p>
    <w:p>
      <w:pPr>
        <w:spacing w:after="0"/>
        <w:rPr>
          <w:noProof/>
        </w:rPr>
      </w:pPr>
      <w:bookmarkStart w:id="1746" w:name="_Toc497919779"/>
      <w:bookmarkStart w:id="1747" w:name="_Toc497920465"/>
      <w:bookmarkStart w:id="1748" w:name="_Toc497921512"/>
      <w:bookmarkStart w:id="1749" w:name="_Toc497921605"/>
      <w:bookmarkStart w:id="1750" w:name="_Toc500262134"/>
      <w:bookmarkStart w:id="1751" w:name="_Toc507167045"/>
      <w:bookmarkStart w:id="1752" w:name="_Toc508297428"/>
      <w:bookmarkStart w:id="1753" w:name="_Toc508350190"/>
      <w:bookmarkStart w:id="1754" w:name="_Toc508351630"/>
      <w:bookmarkStart w:id="1755" w:name="_Toc497919461"/>
    </w:p>
    <w:p>
      <w:pPr>
        <w:pStyle w:val="Heading2"/>
        <w:rPr>
          <w:noProof/>
        </w:rPr>
      </w:pPr>
      <w:bookmarkStart w:id="1756" w:name="_Toc508360044"/>
      <w:bookmarkStart w:id="1757" w:name="_Toc511220543"/>
      <w:bookmarkStart w:id="1758" w:name="_Toc511234989"/>
      <w:bookmarkStart w:id="1759" w:name="_Toc511292902"/>
      <w:r>
        <w:rPr>
          <w:noProof/>
        </w:rPr>
        <w:t>Market dynamics</w:t>
      </w:r>
      <w:bookmarkEnd w:id="1746"/>
      <w:bookmarkEnd w:id="1747"/>
      <w:bookmarkEnd w:id="1748"/>
      <w:bookmarkEnd w:id="1749"/>
      <w:bookmarkEnd w:id="1750"/>
      <w:bookmarkEnd w:id="1751"/>
      <w:bookmarkEnd w:id="1752"/>
      <w:bookmarkEnd w:id="1753"/>
      <w:bookmarkEnd w:id="1754"/>
      <w:bookmarkEnd w:id="1756"/>
      <w:bookmarkEnd w:id="1757"/>
      <w:bookmarkEnd w:id="1758"/>
      <w:bookmarkEnd w:id="1759"/>
    </w:p>
    <w:p>
      <w:pPr>
        <w:pStyle w:val="Heading3"/>
        <w:rPr>
          <w:noProof/>
        </w:rPr>
      </w:pPr>
      <w:bookmarkStart w:id="1760" w:name="_Toc497919462"/>
      <w:bookmarkStart w:id="1761" w:name="_Toc497919780"/>
      <w:bookmarkStart w:id="1762" w:name="_Toc497920466"/>
      <w:bookmarkStart w:id="1763" w:name="_Toc497921513"/>
      <w:bookmarkStart w:id="1764" w:name="_Toc497921606"/>
      <w:bookmarkStart w:id="1765" w:name="_Toc500262135"/>
      <w:bookmarkStart w:id="1766" w:name="_Toc507167046"/>
      <w:bookmarkStart w:id="1767" w:name="_Toc508297429"/>
      <w:bookmarkStart w:id="1768" w:name="_Toc508350191"/>
      <w:bookmarkStart w:id="1769" w:name="_Toc508351631"/>
      <w:bookmarkStart w:id="1770" w:name="_Toc508360045"/>
      <w:bookmarkStart w:id="1771" w:name="_Toc511220544"/>
      <w:bookmarkStart w:id="1772" w:name="_Toc511234990"/>
      <w:bookmarkStart w:id="1773" w:name="_Toc511292903"/>
      <w:bookmarkEnd w:id="1755"/>
      <w:r>
        <w:rPr>
          <w:noProof/>
          <w:lang w:val="en"/>
        </w:rPr>
        <w:t>Online market places</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pPr>
        <w:autoSpaceDE w:val="0"/>
        <w:autoSpaceDN w:val="0"/>
        <w:adjustRightInd w:val="0"/>
        <w:spacing w:after="0"/>
        <w:rPr>
          <w:noProof/>
          <w:lang w:eastAsia="en-GB"/>
        </w:rPr>
      </w:pPr>
      <w:bookmarkStart w:id="1774" w:name="_Toc497900315"/>
      <w:bookmarkStart w:id="1775" w:name="_Toc497902405"/>
      <w:bookmarkStart w:id="1776" w:name="_Toc497906112"/>
      <w:bookmarkStart w:id="1777" w:name="_Toc497906257"/>
      <w:bookmarkStart w:id="1778" w:name="_Toc497906402"/>
      <w:bookmarkStart w:id="1779" w:name="_Toc497906547"/>
      <w:bookmarkStart w:id="1780" w:name="_Toc497907283"/>
      <w:bookmarkStart w:id="1781" w:name="_Toc497907945"/>
      <w:bookmarkStart w:id="1782" w:name="_Toc497909998"/>
      <w:bookmarkStart w:id="1783" w:name="_Toc497913135"/>
      <w:bookmarkStart w:id="1784" w:name="_Toc497915790"/>
      <w:bookmarkStart w:id="1785" w:name="_Toc497916066"/>
      <w:bookmarkStart w:id="1786" w:name="_Toc497916679"/>
      <w:bookmarkStart w:id="1787" w:name="_Toc497900318"/>
      <w:bookmarkStart w:id="1788" w:name="_Toc497901051"/>
      <w:bookmarkStart w:id="1789" w:name="_Toc497902408"/>
      <w:bookmarkStart w:id="1790" w:name="_Toc497906115"/>
      <w:bookmarkStart w:id="1791" w:name="_Toc497906260"/>
      <w:bookmarkStart w:id="1792" w:name="_Toc497906405"/>
      <w:bookmarkStart w:id="1793" w:name="_Toc497906550"/>
      <w:bookmarkStart w:id="1794" w:name="_Toc497907286"/>
      <w:bookmarkStart w:id="1795" w:name="_Toc497907948"/>
      <w:bookmarkStart w:id="1796" w:name="_Toc497910001"/>
      <w:bookmarkStart w:id="1797" w:name="_Toc497913138"/>
      <w:bookmarkStart w:id="1798" w:name="_Toc497915793"/>
      <w:bookmarkStart w:id="1799" w:name="_Toc497916069"/>
      <w:bookmarkStart w:id="1800" w:name="_Toc497916682"/>
      <w:bookmarkStart w:id="1801" w:name="_Toc497900320"/>
      <w:bookmarkStart w:id="1802" w:name="_Toc497901053"/>
      <w:bookmarkStart w:id="1803" w:name="_Toc497902410"/>
      <w:bookmarkStart w:id="1804" w:name="_Toc497906117"/>
      <w:bookmarkStart w:id="1805" w:name="_Toc497906262"/>
      <w:bookmarkStart w:id="1806" w:name="_Toc497906407"/>
      <w:bookmarkStart w:id="1807" w:name="_Toc497906552"/>
      <w:bookmarkStart w:id="1808" w:name="_Toc497907288"/>
      <w:bookmarkStart w:id="1809" w:name="_Toc497907950"/>
      <w:bookmarkStart w:id="1810" w:name="_Toc497910003"/>
      <w:bookmarkStart w:id="1811" w:name="_Toc497913140"/>
      <w:bookmarkStart w:id="1812" w:name="_Toc497915795"/>
      <w:bookmarkStart w:id="1813" w:name="_Toc497916071"/>
      <w:bookmarkStart w:id="1814" w:name="_Toc497916684"/>
      <w:bookmarkStart w:id="1815" w:name="_Toc497900322"/>
      <w:bookmarkStart w:id="1816" w:name="_Toc497901055"/>
      <w:bookmarkStart w:id="1817" w:name="_Toc497902412"/>
      <w:bookmarkStart w:id="1818" w:name="_Toc497906119"/>
      <w:bookmarkStart w:id="1819" w:name="_Toc497906264"/>
      <w:bookmarkStart w:id="1820" w:name="_Toc497906409"/>
      <w:bookmarkStart w:id="1821" w:name="_Toc497906554"/>
      <w:bookmarkStart w:id="1822" w:name="_Toc497907290"/>
      <w:bookmarkStart w:id="1823" w:name="_Toc497907952"/>
      <w:bookmarkStart w:id="1824" w:name="_Toc497910005"/>
      <w:bookmarkStart w:id="1825" w:name="_Toc497913142"/>
      <w:bookmarkStart w:id="1826" w:name="_Toc497915797"/>
      <w:bookmarkStart w:id="1827" w:name="_Toc497916073"/>
      <w:bookmarkStart w:id="1828" w:name="_Toc497916686"/>
      <w:bookmarkStart w:id="1829" w:name="_Toc497900324"/>
      <w:bookmarkStart w:id="1830" w:name="_Toc497902414"/>
      <w:bookmarkStart w:id="1831" w:name="_Toc497906121"/>
      <w:bookmarkStart w:id="1832" w:name="_Toc497906266"/>
      <w:bookmarkStart w:id="1833" w:name="_Toc497906411"/>
      <w:bookmarkStart w:id="1834" w:name="_Toc497906556"/>
      <w:bookmarkStart w:id="1835" w:name="_Toc497907292"/>
      <w:bookmarkStart w:id="1836" w:name="_Toc497907954"/>
      <w:bookmarkStart w:id="1837" w:name="_Toc497910007"/>
      <w:bookmarkStart w:id="1838" w:name="_Toc497913144"/>
      <w:bookmarkStart w:id="1839" w:name="_Toc497915799"/>
      <w:bookmarkStart w:id="1840" w:name="_Toc497916075"/>
      <w:bookmarkStart w:id="1841" w:name="_Toc497916688"/>
      <w:bookmarkStart w:id="1842" w:name="_Toc497900327"/>
      <w:bookmarkStart w:id="1843" w:name="_Toc497902417"/>
      <w:bookmarkStart w:id="1844" w:name="_Toc497906124"/>
      <w:bookmarkStart w:id="1845" w:name="_Toc497906269"/>
      <w:bookmarkStart w:id="1846" w:name="_Toc497906414"/>
      <w:bookmarkStart w:id="1847" w:name="_Toc497906559"/>
      <w:bookmarkStart w:id="1848" w:name="_Toc497907295"/>
      <w:bookmarkStart w:id="1849" w:name="_Toc497907957"/>
      <w:bookmarkStart w:id="1850" w:name="_Toc497910010"/>
      <w:bookmarkStart w:id="1851" w:name="_Toc497913147"/>
      <w:bookmarkStart w:id="1852" w:name="_Toc497915802"/>
      <w:bookmarkStart w:id="1853" w:name="_Toc497916078"/>
      <w:bookmarkStart w:id="1854" w:name="_Toc497916691"/>
      <w:bookmarkStart w:id="1855" w:name="_Toc497861497"/>
      <w:bookmarkStart w:id="1856" w:name="_Toc497862172"/>
      <w:bookmarkStart w:id="1857" w:name="_Toc497862353"/>
      <w:bookmarkStart w:id="1858" w:name="_Toc497900331"/>
      <w:bookmarkStart w:id="1859" w:name="_Toc497901048"/>
      <w:bookmarkStart w:id="1860" w:name="_Toc497902421"/>
      <w:bookmarkStart w:id="1861" w:name="_Toc497906128"/>
      <w:bookmarkStart w:id="1862" w:name="_Toc497906273"/>
      <w:bookmarkStart w:id="1863" w:name="_Toc497906418"/>
      <w:bookmarkStart w:id="1864" w:name="_Toc497906563"/>
      <w:bookmarkStart w:id="1865" w:name="_Toc497907299"/>
      <w:bookmarkStart w:id="1866" w:name="_Toc497907961"/>
      <w:bookmarkStart w:id="1867" w:name="_Toc497910014"/>
      <w:bookmarkStart w:id="1868" w:name="_Toc497913151"/>
      <w:bookmarkStart w:id="1869" w:name="_Toc497915806"/>
      <w:bookmarkStart w:id="1870" w:name="_Toc497916082"/>
      <w:bookmarkStart w:id="1871" w:name="_Toc497916695"/>
      <w:bookmarkStart w:id="1872" w:name="_Toc490145002"/>
      <w:bookmarkStart w:id="1873" w:name="_Toc490228734"/>
      <w:bookmarkStart w:id="1874" w:name="_Toc490234894"/>
      <w:bookmarkStart w:id="1875" w:name="_Toc490476728"/>
      <w:bookmarkStart w:id="1876" w:name="_Toc490494394"/>
      <w:bookmarkStart w:id="1877" w:name="_Toc490494818"/>
      <w:bookmarkStart w:id="1878" w:name="_Toc490501916"/>
      <w:bookmarkStart w:id="1879" w:name="_Toc492048421"/>
      <w:bookmarkStart w:id="1880" w:name="_Toc492557198"/>
      <w:bookmarkEnd w:id="1734"/>
      <w:bookmarkEnd w:id="1735"/>
      <w:bookmarkEnd w:id="1736"/>
      <w:bookmarkEnd w:id="1737"/>
      <w:bookmarkEnd w:id="1738"/>
      <w:bookmarkEnd w:id="1739"/>
      <w:bookmarkEnd w:id="1740"/>
      <w:bookmarkEnd w:id="1741"/>
      <w:bookmarkEnd w:id="1742"/>
      <w:bookmarkEnd w:id="1743"/>
      <w:bookmarkEnd w:id="1744"/>
      <w:bookmarkEnd w:id="1745"/>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r>
        <w:rPr>
          <w:noProof/>
          <w:lang w:eastAsia="en-GB"/>
        </w:rPr>
        <w:t xml:space="preserve">There is </w:t>
      </w:r>
      <w:r>
        <w:rPr>
          <w:b/>
          <w:noProof/>
          <w:lang w:eastAsia="en-GB"/>
        </w:rPr>
        <w:t>a large variety of online marketplace</w:t>
      </w:r>
      <w:r>
        <w:rPr>
          <w:noProof/>
          <w:lang w:eastAsia="en-GB"/>
        </w:rPr>
        <w:t xml:space="preserve"> business models in the EU. Marketplaces, from one side, enable online retailers to offset inherent issues in online retailing, i.e. small margins and insufficient profitability, from the other, they enable many businesses to sell goods and services online. With online marketplaces, online retailers are able to charge commission of between 7-25%, while also avoiding the cost of maintaining an inventory of products.</w:t>
      </w:r>
      <w:r>
        <w:rPr>
          <w:rStyle w:val="FootnoteReference"/>
          <w:noProof/>
          <w:lang w:eastAsia="en-GB"/>
        </w:rPr>
        <w:footnoteReference w:id="69"/>
      </w:r>
      <w:r>
        <w:rPr>
          <w:noProof/>
          <w:lang w:eastAsia="en-GB"/>
        </w:rPr>
        <w:t xml:space="preserve"> They also provide an opportunity for companies to engage in the concept of long tail, while offering consumers more choice in terms of products, prices and services.</w:t>
      </w:r>
    </w:p>
    <w:p>
      <w:pPr>
        <w:autoSpaceDE w:val="0"/>
        <w:autoSpaceDN w:val="0"/>
        <w:adjustRightInd w:val="0"/>
        <w:spacing w:after="0"/>
        <w:rPr>
          <w:noProof/>
          <w:lang w:eastAsia="en-GB"/>
        </w:rPr>
      </w:pPr>
      <w:r>
        <w:rPr>
          <w:noProof/>
          <w:lang w:eastAsia="en-GB"/>
        </w:rPr>
        <w:t>Some online marketplaces specialise in certain types of products or services (e.g. travel, taxi, food, wellness, dining, finance, energy, health, jobs, cars, homes, fashion, domestic services, education etc.), other cover many products and/or services at the same time. Marketplaces also vary in terms of the extent of control they exercise over the transactions carried out on their platform. The spectrum ranges from comparison services, to classifieds platforms charging a listing fee, or transaction-based marketplaces charging a commission on transactions to so-called "full-stack" marketplaces controlling the price, presentation, insurance and other parameters of the transaction</w:t>
      </w:r>
      <w:r>
        <w:rPr>
          <w:rStyle w:val="FootnoteReference"/>
          <w:noProof/>
          <w:lang w:eastAsia="en-GB"/>
        </w:rPr>
        <w:footnoteReference w:id="70"/>
      </w:r>
      <w:r>
        <w:rPr>
          <w:noProof/>
          <w:lang w:eastAsia="en-GB"/>
        </w:rPr>
        <w:t xml:space="preserve">. Some online marketplaces are also merchants on their own platform and thus compete on their own platforms with business users. </w:t>
      </w:r>
      <w:r>
        <w:rPr>
          <w:noProof/>
        </w:rPr>
        <w:t>In the retail segment alone, over 50 online platform operators (including Amazon and EBay) offer more than 220 retail marketplaces within Europe</w:t>
      </w:r>
      <w:r>
        <w:rPr>
          <w:rStyle w:val="FootnoteReference"/>
          <w:noProof/>
        </w:rPr>
        <w:footnoteReference w:id="71"/>
      </w:r>
      <w:r>
        <w:rPr>
          <w:noProof/>
        </w:rPr>
        <w:t>. There are approximately 150,000 – 200,000 business users selling goods through those marketplaces</w:t>
      </w:r>
      <w:r>
        <w:rPr>
          <w:rStyle w:val="FootnoteReference"/>
          <w:noProof/>
        </w:rPr>
        <w:footnoteReference w:id="72"/>
      </w:r>
      <w:r>
        <w:rPr>
          <w:noProof/>
        </w:rPr>
        <w:t xml:space="preserve">. </w:t>
      </w:r>
      <w:r>
        <w:rPr>
          <w:noProof/>
          <w:lang w:eastAsia="en-GB"/>
        </w:rPr>
        <w:t>Amazon has an important position in many national electronic marketplace markets, in particular Germany (40.8% of market share), UK (26.5%) and France (10.7%) (see the table below)..</w:t>
      </w:r>
    </w:p>
    <w:p>
      <w:pPr>
        <w:autoSpaceDE w:val="0"/>
        <w:autoSpaceDN w:val="0"/>
        <w:adjustRightInd w:val="0"/>
        <w:spacing w:after="0"/>
        <w:rPr>
          <w:noProof/>
          <w:lang w:eastAsia="en-GB"/>
        </w:rPr>
      </w:pPr>
      <w:r>
        <w:rPr>
          <w:noProof/>
        </w:rPr>
        <w:t xml:space="preserve">According to Euromonitor, the retail value generated by 3rd party sellers on online marketplaces in the EU in 2016 was over €54 billion, i.e. 22% of total online retail, however the situation varies across Member States. </w:t>
      </w:r>
      <w:r>
        <w:rPr>
          <w:noProof/>
          <w:lang w:eastAsia="en-GB"/>
        </w:rPr>
        <w:t>In 2016, in Germany, 3</w:t>
      </w:r>
      <w:r>
        <w:rPr>
          <w:noProof/>
          <w:vertAlign w:val="superscript"/>
          <w:lang w:eastAsia="en-GB"/>
        </w:rPr>
        <w:t>rd</w:t>
      </w:r>
      <w:r>
        <w:rPr>
          <w:noProof/>
          <w:lang w:eastAsia="en-GB"/>
        </w:rPr>
        <w:t xml:space="preserve"> party sellers on online marketplaces accounted for almost over 37% of total internet sales (up from 32% in 2011), in UK 27% (up from 12% in 2011), in France 21% (up from 12% in 2011), in Croatia over 38% (up from 17% in 2011), and in Italy 29% (up from 22% in 2011).</w:t>
      </w:r>
      <w:r>
        <w:rPr>
          <w:rStyle w:val="FootnoteReference"/>
          <w:noProof/>
          <w:lang w:eastAsia="en-GB"/>
        </w:rPr>
        <w:footnoteReference w:id="73"/>
      </w:r>
      <w:r>
        <w:rPr>
          <w:noProof/>
          <w:lang w:eastAsia="en-GB"/>
        </w:rPr>
        <w:t xml:space="preserve"> Globally, Amazon and eBay represented 90.2% of the segment in 2015, up from 88.5% in 2006.</w:t>
      </w:r>
      <w:r>
        <w:rPr>
          <w:noProof/>
          <w:vertAlign w:val="superscript"/>
          <w:lang w:eastAsia="en-GB"/>
        </w:rPr>
        <w:footnoteReference w:id="74"/>
      </w:r>
      <w:r>
        <w:rPr>
          <w:noProof/>
          <w:lang w:eastAsia="en-GB"/>
        </w:rPr>
        <w:t xml:space="preserve"> Other examples of online marketplaces active within the European Economic Area include Allegro, Spartoo</w:t>
      </w:r>
      <w:r>
        <w:rPr>
          <w:noProof/>
          <w:vertAlign w:val="superscript"/>
          <w:lang w:eastAsia="en-GB"/>
        </w:rPr>
        <w:footnoteReference w:id="75"/>
      </w:r>
      <w:r>
        <w:rPr>
          <w:noProof/>
          <w:lang w:eastAsia="en-GB"/>
        </w:rPr>
        <w:t>, Zalando</w:t>
      </w:r>
      <w:r>
        <w:rPr>
          <w:noProof/>
          <w:vertAlign w:val="superscript"/>
          <w:lang w:eastAsia="en-GB"/>
        </w:rPr>
        <w:footnoteReference w:id="76"/>
      </w:r>
      <w:r>
        <w:rPr>
          <w:noProof/>
          <w:lang w:eastAsia="en-GB"/>
        </w:rPr>
        <w:t>, Alibaba and Vente-privee.com.</w:t>
      </w:r>
    </w:p>
    <w:p>
      <w:pPr>
        <w:autoSpaceDE w:val="0"/>
        <w:autoSpaceDN w:val="0"/>
        <w:adjustRightInd w:val="0"/>
        <w:spacing w:after="0"/>
        <w:rPr>
          <w:noProof/>
          <w:lang w:eastAsia="en-GB"/>
        </w:rPr>
      </w:pPr>
    </w:p>
    <w:p>
      <w:pPr>
        <w:autoSpaceDE w:val="0"/>
        <w:autoSpaceDN w:val="0"/>
        <w:adjustRightInd w:val="0"/>
        <w:spacing w:after="0"/>
        <w:rPr>
          <w:i/>
          <w:noProof/>
          <w:lang w:eastAsia="en-GB"/>
        </w:rPr>
      </w:pPr>
      <w:r>
        <w:rPr>
          <w:i/>
          <w:noProof/>
          <w:lang w:eastAsia="en-GB"/>
        </w:rPr>
        <w:t>E-commerce market by selected Member States (% of market share in 2016, retail value RSP excluding VAT)</w:t>
      </w:r>
    </w:p>
    <w:p>
      <w:pPr>
        <w:autoSpaceDE w:val="0"/>
        <w:autoSpaceDN w:val="0"/>
        <w:adjustRightInd w:val="0"/>
        <w:spacing w:after="0"/>
        <w:rPr>
          <w:noProof/>
          <w:lang w:eastAsia="en-GB"/>
        </w:rPr>
      </w:pPr>
    </w:p>
    <w:tbl>
      <w:tblPr>
        <w:tblStyle w:val="TableGrid"/>
        <w:tblW w:w="0" w:type="auto"/>
        <w:tblInd w:w="360" w:type="dxa"/>
        <w:tblLook w:val="04A0" w:firstRow="1" w:lastRow="0" w:firstColumn="1" w:lastColumn="0" w:noHBand="0" w:noVBand="1"/>
      </w:tblPr>
      <w:tblGrid>
        <w:gridCol w:w="1798"/>
        <w:gridCol w:w="1827"/>
        <w:gridCol w:w="1766"/>
        <w:gridCol w:w="1758"/>
        <w:gridCol w:w="1779"/>
      </w:tblGrid>
      <w:tr>
        <w:tc>
          <w:tcPr>
            <w:tcW w:w="1857" w:type="dxa"/>
          </w:tcPr>
          <w:p>
            <w:pPr>
              <w:rPr>
                <w:b/>
                <w:noProof/>
              </w:rPr>
            </w:pPr>
            <w:r>
              <w:rPr>
                <w:b/>
                <w:noProof/>
              </w:rPr>
              <w:t>Member State</w:t>
            </w:r>
          </w:p>
        </w:tc>
        <w:tc>
          <w:tcPr>
            <w:tcW w:w="1857" w:type="dxa"/>
          </w:tcPr>
          <w:p>
            <w:pPr>
              <w:rPr>
                <w:b/>
                <w:noProof/>
              </w:rPr>
            </w:pPr>
            <w:r>
              <w:rPr>
                <w:b/>
                <w:noProof/>
              </w:rPr>
              <w:t>Top 1</w:t>
            </w:r>
          </w:p>
        </w:tc>
        <w:tc>
          <w:tcPr>
            <w:tcW w:w="1858" w:type="dxa"/>
          </w:tcPr>
          <w:p>
            <w:pPr>
              <w:rPr>
                <w:b/>
                <w:noProof/>
              </w:rPr>
            </w:pPr>
            <w:r>
              <w:rPr>
                <w:b/>
                <w:noProof/>
              </w:rPr>
              <w:t>Top 2</w:t>
            </w:r>
          </w:p>
        </w:tc>
        <w:tc>
          <w:tcPr>
            <w:tcW w:w="1858" w:type="dxa"/>
          </w:tcPr>
          <w:p>
            <w:pPr>
              <w:rPr>
                <w:b/>
                <w:noProof/>
              </w:rPr>
            </w:pPr>
            <w:r>
              <w:rPr>
                <w:b/>
                <w:noProof/>
              </w:rPr>
              <w:t>Top 3</w:t>
            </w:r>
          </w:p>
        </w:tc>
        <w:tc>
          <w:tcPr>
            <w:tcW w:w="1858" w:type="dxa"/>
          </w:tcPr>
          <w:p>
            <w:pPr>
              <w:rPr>
                <w:b/>
                <w:noProof/>
              </w:rPr>
            </w:pPr>
            <w:r>
              <w:rPr>
                <w:b/>
                <w:noProof/>
              </w:rPr>
              <w:t>Top 4</w:t>
            </w:r>
          </w:p>
        </w:tc>
      </w:tr>
      <w:tr>
        <w:tc>
          <w:tcPr>
            <w:tcW w:w="1857" w:type="dxa"/>
          </w:tcPr>
          <w:p>
            <w:pPr>
              <w:rPr>
                <w:noProof/>
              </w:rPr>
            </w:pPr>
            <w:r>
              <w:rPr>
                <w:noProof/>
              </w:rPr>
              <w:t>United Kingdom</w:t>
            </w:r>
          </w:p>
        </w:tc>
        <w:tc>
          <w:tcPr>
            <w:tcW w:w="1857" w:type="dxa"/>
          </w:tcPr>
          <w:p>
            <w:pPr>
              <w:rPr>
                <w:noProof/>
              </w:rPr>
            </w:pPr>
            <w:r>
              <w:rPr>
                <w:noProof/>
              </w:rPr>
              <w:t>Amazon.co.uk 26.5%</w:t>
            </w:r>
          </w:p>
        </w:tc>
        <w:tc>
          <w:tcPr>
            <w:tcW w:w="1858" w:type="dxa"/>
          </w:tcPr>
          <w:p>
            <w:pPr>
              <w:rPr>
                <w:noProof/>
              </w:rPr>
            </w:pPr>
            <w:r>
              <w:rPr>
                <w:noProof/>
              </w:rPr>
              <w:t>eBay 10.1%</w:t>
            </w:r>
          </w:p>
        </w:tc>
        <w:tc>
          <w:tcPr>
            <w:tcW w:w="1858" w:type="dxa"/>
          </w:tcPr>
          <w:p>
            <w:pPr>
              <w:rPr>
                <w:noProof/>
              </w:rPr>
            </w:pPr>
            <w:r>
              <w:rPr>
                <w:noProof/>
              </w:rPr>
              <w:t>Tesco 6.6%</w:t>
            </w:r>
          </w:p>
        </w:tc>
        <w:tc>
          <w:tcPr>
            <w:tcW w:w="1858" w:type="dxa"/>
          </w:tcPr>
          <w:p>
            <w:pPr>
              <w:rPr>
                <w:noProof/>
              </w:rPr>
            </w:pPr>
            <w:r>
              <w:rPr>
                <w:noProof/>
              </w:rPr>
              <w:t>Home Retail Group 4.1%</w:t>
            </w:r>
          </w:p>
        </w:tc>
      </w:tr>
      <w:tr>
        <w:tc>
          <w:tcPr>
            <w:tcW w:w="1857" w:type="dxa"/>
          </w:tcPr>
          <w:p>
            <w:pPr>
              <w:rPr>
                <w:noProof/>
              </w:rPr>
            </w:pPr>
            <w:r>
              <w:rPr>
                <w:noProof/>
              </w:rPr>
              <w:t>Germany</w:t>
            </w:r>
          </w:p>
        </w:tc>
        <w:tc>
          <w:tcPr>
            <w:tcW w:w="1857" w:type="dxa"/>
          </w:tcPr>
          <w:p>
            <w:pPr>
              <w:rPr>
                <w:noProof/>
              </w:rPr>
            </w:pPr>
            <w:r>
              <w:rPr>
                <w:noProof/>
              </w:rPr>
              <w:t>Amazon.de 40.8%</w:t>
            </w:r>
          </w:p>
        </w:tc>
        <w:tc>
          <w:tcPr>
            <w:tcW w:w="1858" w:type="dxa"/>
          </w:tcPr>
          <w:p>
            <w:pPr>
              <w:rPr>
                <w:noProof/>
              </w:rPr>
            </w:pPr>
            <w:r>
              <w:rPr>
                <w:noProof/>
              </w:rPr>
              <w:t>eBay 15%</w:t>
            </w:r>
          </w:p>
        </w:tc>
        <w:tc>
          <w:tcPr>
            <w:tcW w:w="1858" w:type="dxa"/>
          </w:tcPr>
          <w:p>
            <w:pPr>
              <w:rPr>
                <w:noProof/>
              </w:rPr>
            </w:pPr>
            <w:r>
              <w:rPr>
                <w:noProof/>
              </w:rPr>
              <w:t>Otto Group 11.2%</w:t>
            </w:r>
          </w:p>
        </w:tc>
        <w:tc>
          <w:tcPr>
            <w:tcW w:w="1858" w:type="dxa"/>
          </w:tcPr>
          <w:p>
            <w:pPr>
              <w:rPr>
                <w:noProof/>
              </w:rPr>
            </w:pPr>
            <w:r>
              <w:rPr>
                <w:noProof/>
              </w:rPr>
              <w:t>Apple 3.6%</w:t>
            </w:r>
          </w:p>
        </w:tc>
      </w:tr>
      <w:tr>
        <w:tc>
          <w:tcPr>
            <w:tcW w:w="1857" w:type="dxa"/>
          </w:tcPr>
          <w:p>
            <w:pPr>
              <w:rPr>
                <w:noProof/>
              </w:rPr>
            </w:pPr>
            <w:r>
              <w:rPr>
                <w:noProof/>
              </w:rPr>
              <w:t>France</w:t>
            </w:r>
          </w:p>
        </w:tc>
        <w:tc>
          <w:tcPr>
            <w:tcW w:w="1857" w:type="dxa"/>
          </w:tcPr>
          <w:p>
            <w:pPr>
              <w:rPr>
                <w:noProof/>
              </w:rPr>
            </w:pPr>
            <w:r>
              <w:rPr>
                <w:noProof/>
              </w:rPr>
              <w:t>Amazon.fr 10.7%</w:t>
            </w:r>
          </w:p>
        </w:tc>
        <w:tc>
          <w:tcPr>
            <w:tcW w:w="1858" w:type="dxa"/>
          </w:tcPr>
          <w:p>
            <w:pPr>
              <w:rPr>
                <w:noProof/>
              </w:rPr>
            </w:pPr>
            <w:r>
              <w:rPr>
                <w:noProof/>
              </w:rPr>
              <w:t>Casino 9.9%</w:t>
            </w:r>
          </w:p>
        </w:tc>
        <w:tc>
          <w:tcPr>
            <w:tcW w:w="1858" w:type="dxa"/>
          </w:tcPr>
          <w:p>
            <w:pPr>
              <w:rPr>
                <w:noProof/>
              </w:rPr>
            </w:pPr>
            <w:r>
              <w:rPr>
                <w:noProof/>
              </w:rPr>
              <w:t>E Leclerc 7.5%</w:t>
            </w:r>
          </w:p>
        </w:tc>
        <w:tc>
          <w:tcPr>
            <w:tcW w:w="1858" w:type="dxa"/>
          </w:tcPr>
          <w:p>
            <w:pPr>
              <w:rPr>
                <w:noProof/>
              </w:rPr>
            </w:pPr>
            <w:r>
              <w:rPr>
                <w:noProof/>
              </w:rPr>
              <w:t>Vente-privee 5.3%</w:t>
            </w:r>
          </w:p>
        </w:tc>
      </w:tr>
      <w:tr>
        <w:tc>
          <w:tcPr>
            <w:tcW w:w="1857" w:type="dxa"/>
          </w:tcPr>
          <w:p>
            <w:pPr>
              <w:rPr>
                <w:noProof/>
              </w:rPr>
            </w:pPr>
            <w:r>
              <w:rPr>
                <w:noProof/>
              </w:rPr>
              <w:t>Netherlands</w:t>
            </w:r>
          </w:p>
        </w:tc>
        <w:tc>
          <w:tcPr>
            <w:tcW w:w="1857" w:type="dxa"/>
          </w:tcPr>
          <w:p>
            <w:pPr>
              <w:rPr>
                <w:noProof/>
              </w:rPr>
            </w:pPr>
            <w:r>
              <w:rPr>
                <w:noProof/>
              </w:rPr>
              <w:t>Ahold 15.9%</w:t>
            </w:r>
          </w:p>
        </w:tc>
        <w:tc>
          <w:tcPr>
            <w:tcW w:w="1858" w:type="dxa"/>
          </w:tcPr>
          <w:p>
            <w:pPr>
              <w:rPr>
                <w:noProof/>
              </w:rPr>
            </w:pPr>
            <w:r>
              <w:rPr>
                <w:noProof/>
              </w:rPr>
              <w:t>Coolblue 7.2%</w:t>
            </w:r>
          </w:p>
        </w:tc>
        <w:tc>
          <w:tcPr>
            <w:tcW w:w="1858" w:type="dxa"/>
          </w:tcPr>
          <w:p>
            <w:pPr>
              <w:rPr>
                <w:noProof/>
              </w:rPr>
            </w:pPr>
            <w:r>
              <w:rPr>
                <w:noProof/>
              </w:rPr>
              <w:t>RFS 7.1%</w:t>
            </w:r>
          </w:p>
        </w:tc>
        <w:tc>
          <w:tcPr>
            <w:tcW w:w="1858" w:type="dxa"/>
          </w:tcPr>
          <w:p>
            <w:pPr>
              <w:rPr>
                <w:noProof/>
              </w:rPr>
            </w:pPr>
            <w:r>
              <w:rPr>
                <w:noProof/>
              </w:rPr>
              <w:t>eBay 2.1%</w:t>
            </w:r>
          </w:p>
        </w:tc>
      </w:tr>
      <w:tr>
        <w:tc>
          <w:tcPr>
            <w:tcW w:w="1857" w:type="dxa"/>
          </w:tcPr>
          <w:p>
            <w:pPr>
              <w:rPr>
                <w:noProof/>
              </w:rPr>
            </w:pPr>
            <w:r>
              <w:rPr>
                <w:noProof/>
              </w:rPr>
              <w:t>Italy</w:t>
            </w:r>
          </w:p>
        </w:tc>
        <w:tc>
          <w:tcPr>
            <w:tcW w:w="1857" w:type="dxa"/>
          </w:tcPr>
          <w:p>
            <w:pPr>
              <w:rPr>
                <w:noProof/>
              </w:rPr>
            </w:pPr>
            <w:r>
              <w:rPr>
                <w:noProof/>
              </w:rPr>
              <w:t>eBay 23,6%</w:t>
            </w:r>
          </w:p>
        </w:tc>
        <w:tc>
          <w:tcPr>
            <w:tcW w:w="1858" w:type="dxa"/>
          </w:tcPr>
          <w:p>
            <w:pPr>
              <w:rPr>
                <w:noProof/>
              </w:rPr>
            </w:pPr>
            <w:r>
              <w:rPr>
                <w:noProof/>
              </w:rPr>
              <w:t>Amazon 14,4%</w:t>
            </w:r>
          </w:p>
        </w:tc>
        <w:tc>
          <w:tcPr>
            <w:tcW w:w="1858" w:type="dxa"/>
          </w:tcPr>
          <w:p>
            <w:pPr>
              <w:rPr>
                <w:noProof/>
              </w:rPr>
            </w:pPr>
            <w:r>
              <w:rPr>
                <w:noProof/>
              </w:rPr>
              <w:t>Apple 4.5%</w:t>
            </w:r>
          </w:p>
        </w:tc>
        <w:tc>
          <w:tcPr>
            <w:tcW w:w="1858" w:type="dxa"/>
          </w:tcPr>
          <w:p>
            <w:pPr>
              <w:rPr>
                <w:noProof/>
              </w:rPr>
            </w:pPr>
            <w:r>
              <w:rPr>
                <w:noProof/>
              </w:rPr>
              <w:t>Esselunga 4.2%</w:t>
            </w:r>
          </w:p>
        </w:tc>
      </w:tr>
      <w:tr>
        <w:tc>
          <w:tcPr>
            <w:tcW w:w="1857" w:type="dxa"/>
          </w:tcPr>
          <w:p>
            <w:pPr>
              <w:rPr>
                <w:noProof/>
              </w:rPr>
            </w:pPr>
            <w:r>
              <w:rPr>
                <w:noProof/>
              </w:rPr>
              <w:t>Spain</w:t>
            </w:r>
          </w:p>
        </w:tc>
        <w:tc>
          <w:tcPr>
            <w:tcW w:w="1857" w:type="dxa"/>
          </w:tcPr>
          <w:p>
            <w:pPr>
              <w:rPr>
                <w:noProof/>
              </w:rPr>
            </w:pPr>
            <w:r>
              <w:rPr>
                <w:noProof/>
              </w:rPr>
              <w:t>Amazon 7.9%</w:t>
            </w:r>
          </w:p>
        </w:tc>
        <w:tc>
          <w:tcPr>
            <w:tcW w:w="1858" w:type="dxa"/>
          </w:tcPr>
          <w:p>
            <w:pPr>
              <w:rPr>
                <w:noProof/>
              </w:rPr>
            </w:pPr>
            <w:r>
              <w:rPr>
                <w:noProof/>
              </w:rPr>
              <w:t>Vente-privee 5.7%</w:t>
            </w:r>
          </w:p>
        </w:tc>
        <w:tc>
          <w:tcPr>
            <w:tcW w:w="1858" w:type="dxa"/>
          </w:tcPr>
          <w:p>
            <w:pPr>
              <w:rPr>
                <w:noProof/>
              </w:rPr>
            </w:pPr>
            <w:r>
              <w:rPr>
                <w:noProof/>
              </w:rPr>
              <w:t>eBay 4.2%</w:t>
            </w:r>
          </w:p>
        </w:tc>
        <w:tc>
          <w:tcPr>
            <w:tcW w:w="1858" w:type="dxa"/>
          </w:tcPr>
          <w:p>
            <w:pPr>
              <w:rPr>
                <w:noProof/>
              </w:rPr>
            </w:pPr>
            <w:r>
              <w:rPr>
                <w:noProof/>
              </w:rPr>
              <w:t>Apple 3.9%</w:t>
            </w:r>
          </w:p>
        </w:tc>
      </w:tr>
      <w:tr>
        <w:tc>
          <w:tcPr>
            <w:tcW w:w="1857" w:type="dxa"/>
          </w:tcPr>
          <w:p>
            <w:pPr>
              <w:rPr>
                <w:noProof/>
              </w:rPr>
            </w:pPr>
            <w:r>
              <w:rPr>
                <w:noProof/>
              </w:rPr>
              <w:t>Poland</w:t>
            </w:r>
          </w:p>
        </w:tc>
        <w:tc>
          <w:tcPr>
            <w:tcW w:w="1857" w:type="dxa"/>
          </w:tcPr>
          <w:p>
            <w:pPr>
              <w:rPr>
                <w:noProof/>
              </w:rPr>
            </w:pPr>
            <w:r>
              <w:rPr>
                <w:noProof/>
              </w:rPr>
              <w:t>Allegro 37.4%</w:t>
            </w:r>
          </w:p>
        </w:tc>
        <w:tc>
          <w:tcPr>
            <w:tcW w:w="1858" w:type="dxa"/>
          </w:tcPr>
          <w:p>
            <w:pPr>
              <w:rPr>
                <w:noProof/>
              </w:rPr>
            </w:pPr>
            <w:r>
              <w:rPr>
                <w:noProof/>
              </w:rPr>
              <w:t>eBay 3.1%</w:t>
            </w:r>
          </w:p>
        </w:tc>
        <w:tc>
          <w:tcPr>
            <w:tcW w:w="1858" w:type="dxa"/>
          </w:tcPr>
          <w:p>
            <w:pPr>
              <w:rPr>
                <w:noProof/>
              </w:rPr>
            </w:pPr>
            <w:r>
              <w:rPr>
                <w:noProof/>
              </w:rPr>
              <w:t>Amazon 3.0%</w:t>
            </w:r>
          </w:p>
        </w:tc>
        <w:tc>
          <w:tcPr>
            <w:tcW w:w="1858" w:type="dxa"/>
          </w:tcPr>
          <w:p>
            <w:pPr>
              <w:rPr>
                <w:noProof/>
              </w:rPr>
            </w:pPr>
            <w:r>
              <w:rPr>
                <w:noProof/>
              </w:rPr>
              <w:t>Ottogroup 1.7%</w:t>
            </w:r>
          </w:p>
        </w:tc>
      </w:tr>
    </w:tbl>
    <w:p>
      <w:pPr>
        <w:autoSpaceDE w:val="0"/>
        <w:autoSpaceDN w:val="0"/>
        <w:adjustRightInd w:val="0"/>
        <w:spacing w:after="0"/>
        <w:rPr>
          <w:noProof/>
          <w:lang w:eastAsia="en-GB"/>
        </w:rPr>
      </w:pPr>
      <w:r>
        <w:rPr>
          <w:noProof/>
          <w:lang w:eastAsia="en-GB"/>
        </w:rPr>
        <w:t>Source: Euromonitor</w:t>
      </w:r>
    </w:p>
    <w:p>
      <w:pPr>
        <w:autoSpaceDE w:val="0"/>
        <w:autoSpaceDN w:val="0"/>
        <w:adjustRightInd w:val="0"/>
        <w:spacing w:after="0"/>
        <w:jc w:val="left"/>
        <w:rPr>
          <w:noProof/>
          <w:lang w:eastAsia="en-GB"/>
        </w:rPr>
      </w:pPr>
    </w:p>
    <w:p>
      <w:pPr>
        <w:autoSpaceDE w:val="0"/>
        <w:autoSpaceDN w:val="0"/>
        <w:adjustRightInd w:val="0"/>
        <w:spacing w:after="0"/>
        <w:jc w:val="left"/>
        <w:rPr>
          <w:noProof/>
          <w:lang w:eastAsia="en-GB"/>
        </w:rPr>
      </w:pPr>
    </w:p>
    <w:p>
      <w:pPr>
        <w:pStyle w:val="Heading3"/>
        <w:rPr>
          <w:noProof/>
          <w:lang w:val="en"/>
        </w:rPr>
      </w:pPr>
      <w:bookmarkStart w:id="1881" w:name="_Toc497919463"/>
      <w:bookmarkStart w:id="1882" w:name="_Toc497919781"/>
      <w:bookmarkStart w:id="1883" w:name="_Toc497920467"/>
      <w:bookmarkStart w:id="1884" w:name="_Toc497921514"/>
      <w:bookmarkStart w:id="1885" w:name="_Toc497921607"/>
      <w:bookmarkStart w:id="1886" w:name="_Toc500262136"/>
      <w:bookmarkStart w:id="1887" w:name="_Toc507167047"/>
      <w:bookmarkStart w:id="1888" w:name="_Toc508297430"/>
      <w:bookmarkStart w:id="1889" w:name="_Toc508350192"/>
      <w:bookmarkStart w:id="1890" w:name="_Toc508351632"/>
      <w:bookmarkStart w:id="1891" w:name="_Toc508360046"/>
      <w:bookmarkStart w:id="1892" w:name="_Toc511220545"/>
      <w:bookmarkStart w:id="1893" w:name="_Toc511234991"/>
      <w:bookmarkStart w:id="1894" w:name="_Toc511292904"/>
      <w:bookmarkStart w:id="1895" w:name="_Toc491707753"/>
      <w:bookmarkStart w:id="1896" w:name="_Toc497906566"/>
      <w:bookmarkStart w:id="1897" w:name="_Toc497913011"/>
      <w:r>
        <w:rPr>
          <w:noProof/>
          <w:lang w:val="en"/>
        </w:rPr>
        <w:t>App stores</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bookmarkEnd w:id="1895"/>
    <w:bookmarkEnd w:id="1896"/>
    <w:bookmarkEnd w:id="1897"/>
    <w:p>
      <w:pPr>
        <w:tabs>
          <w:tab w:val="left" w:pos="2302"/>
        </w:tabs>
        <w:rPr>
          <w:noProof/>
          <w:lang w:eastAsia="en-GB"/>
        </w:rPr>
      </w:pPr>
      <w:r>
        <w:rPr>
          <w:noProof/>
          <w:lang w:eastAsia="en-GB"/>
        </w:rPr>
        <w:t>App stores are online platforms which enable users to download particular software-enabled services – known as apps – to mobile devices. It is estimated that there are currently more than 5 million different apps available to consumers on the two major app stores, Google Play and Apple's App Store.</w:t>
      </w:r>
      <w:r>
        <w:rPr>
          <w:noProof/>
          <w:vertAlign w:val="superscript"/>
          <w:lang w:eastAsia="en-GB"/>
        </w:rPr>
        <w:footnoteReference w:id="77"/>
      </w:r>
      <w:r>
        <w:rPr>
          <w:noProof/>
          <w:lang w:eastAsia="en-GB"/>
        </w:rPr>
        <w:t xml:space="preserve"> </w:t>
      </w:r>
    </w:p>
    <w:p>
      <w:pPr>
        <w:tabs>
          <w:tab w:val="left" w:pos="2302"/>
        </w:tabs>
        <w:rPr>
          <w:noProof/>
          <w:szCs w:val="24"/>
          <w:lang w:eastAsia="en-GB"/>
        </w:rPr>
      </w:pPr>
      <w:r>
        <w:rPr>
          <w:noProof/>
          <w:lang w:eastAsia="en-GB"/>
        </w:rPr>
        <w:t>App stores</w:t>
      </w:r>
      <w:r>
        <w:rPr>
          <w:b/>
          <w:noProof/>
          <w:lang w:eastAsia="en-GB"/>
        </w:rPr>
        <w:t xml:space="preserve"> </w:t>
      </w:r>
      <w:r>
        <w:rPr>
          <w:noProof/>
          <w:lang w:eastAsia="en-GB"/>
        </w:rPr>
        <w:t>have been registering dramatic growth, as users have been shifting online activity patterns from PCs to smartphones and tablets. Currently, smartphone devices are outselling PCs 5 to 1, and this ratio is predicted to rise to 10 to 1 in the next few years.</w:t>
      </w:r>
      <w:r>
        <w:rPr>
          <w:noProof/>
          <w:vertAlign w:val="superscript"/>
          <w:lang w:eastAsia="en-GB"/>
        </w:rPr>
        <w:footnoteReference w:id="78"/>
      </w:r>
      <w:r>
        <w:rPr>
          <w:noProof/>
          <w:lang w:eastAsia="en-GB"/>
        </w:rPr>
        <w:t xml:space="preserve"> Analysts forecast the number of smartphone users will reach almost 3 billion users by 2020, and consumers will increasingly spend more time on their mobile devices - </w:t>
      </w:r>
      <w:r>
        <w:rPr>
          <w:noProof/>
          <w:szCs w:val="24"/>
          <w:lang w:eastAsia="en-GB"/>
        </w:rPr>
        <w:t>between 2008 and 2015 the proportion of time spent online using mobile devices increased from 12.7% to 54.6%</w:t>
      </w:r>
      <w:r>
        <w:rPr>
          <w:noProof/>
          <w:szCs w:val="24"/>
          <w:vertAlign w:val="superscript"/>
          <w:lang w:eastAsia="en-GB"/>
        </w:rPr>
        <w:footnoteReference w:id="79"/>
      </w:r>
      <w:r>
        <w:rPr>
          <w:noProof/>
          <w:szCs w:val="24"/>
          <w:lang w:eastAsia="en-GB"/>
        </w:rPr>
        <w:t xml:space="preserve">. </w:t>
      </w:r>
    </w:p>
    <w:p>
      <w:pPr>
        <w:tabs>
          <w:tab w:val="left" w:pos="2302"/>
        </w:tabs>
        <w:rPr>
          <w:noProof/>
          <w:szCs w:val="24"/>
          <w:lang w:eastAsia="en-GB"/>
        </w:rPr>
      </w:pPr>
      <w:r>
        <w:rPr>
          <w:noProof/>
          <w:szCs w:val="24"/>
          <w:lang w:eastAsia="en-GB"/>
        </w:rPr>
        <w:t xml:space="preserve">In line with this trend, mobile app revenues have been increasing rapidly in the past years. In 2015, global mobile app revenues amounted to $69.7 billion, projected to almost triple by 2020. The industry is likely to experience further dynamic growth as app stores move beyond smartphones and mobile operating systems or their adapted versions are increasingly used to run other devices from smart TVs to in-car systems and smart wearable devices. </w:t>
      </w:r>
    </w:p>
    <w:p>
      <w:pPr>
        <w:tabs>
          <w:tab w:val="left" w:pos="2302"/>
        </w:tabs>
        <w:rPr>
          <w:noProof/>
          <w:lang w:eastAsia="en-GB"/>
        </w:rPr>
      </w:pPr>
      <w:r>
        <w:rPr>
          <w:noProof/>
          <w:lang w:eastAsia="en-GB"/>
        </w:rPr>
        <w:t>Currently Google's Android and Apple's iOS operating systems are used on respectively 86.1% and 13.7% of all smartphones sold in Q1 2017, with the implication that the two major app stores divide the total sales of apps between them.</w:t>
      </w:r>
      <w:r>
        <w:rPr>
          <w:noProof/>
          <w:vertAlign w:val="superscript"/>
          <w:lang w:eastAsia="en-GB"/>
        </w:rPr>
        <w:footnoteReference w:id="80"/>
      </w:r>
      <w:r>
        <w:rPr>
          <w:noProof/>
          <w:lang w:eastAsia="en-GB"/>
        </w:rPr>
        <w:t xml:space="preserve"> </w:t>
      </w:r>
    </w:p>
    <w:p>
      <w:pPr>
        <w:tabs>
          <w:tab w:val="left" w:pos="2302"/>
        </w:tabs>
        <w:rPr>
          <w:noProof/>
          <w:lang w:eastAsia="en-GB"/>
        </w:rPr>
      </w:pPr>
      <w:r>
        <w:rPr>
          <w:noProof/>
          <w:lang w:eastAsia="en-GB"/>
        </w:rPr>
        <w:t>A study by Gigaom for the European Commission found that in 2013 EU developers took in €17.5 billion in revenue and it was forecasted to increase to €63 billion in 2018. In addition to €6 billion from in app sales, in-app spending for virtual goods and advertising, EU developers recognized €11.5 billion in 2013 from contract labour.</w:t>
      </w:r>
      <w:r>
        <w:rPr>
          <w:rStyle w:val="FootnoteReference"/>
          <w:noProof/>
          <w:lang w:eastAsia="en-GB"/>
        </w:rPr>
        <w:footnoteReference w:id="81"/>
      </w:r>
      <w:r>
        <w:rPr>
          <w:noProof/>
          <w:lang w:eastAsia="en-GB"/>
        </w:rPr>
        <w:t xml:space="preserve"> The global mobile apps revenue is estimated to increase from $69.7 billion in 2015 to $188.9 billion in 2020.</w:t>
      </w:r>
      <w:r>
        <w:rPr>
          <w:rStyle w:val="FootnoteReference"/>
          <w:noProof/>
          <w:lang w:eastAsia="en-GB"/>
        </w:rPr>
        <w:footnoteReference w:id="82"/>
      </w:r>
      <w:r>
        <w:rPr>
          <w:noProof/>
          <w:lang w:eastAsia="en-GB"/>
        </w:rPr>
        <w:t xml:space="preserve"> </w:t>
      </w:r>
    </w:p>
    <w:p>
      <w:pPr>
        <w:tabs>
          <w:tab w:val="left" w:pos="2302"/>
        </w:tabs>
        <w:rPr>
          <w:noProof/>
          <w:lang w:eastAsia="en-GB"/>
        </w:rPr>
      </w:pPr>
      <w:r>
        <w:rPr>
          <w:noProof/>
          <w:lang w:eastAsia="en-GB"/>
        </w:rPr>
        <w:t>The study estimated that the EU app-developer workforce would grow from 1 million in 2013 to 2.8 million in 2018 with additional support and marketing staff resulting in total app economy jobs of 1,8 million in 2013, growing to 4.8 million in 2018. By comparison, the European film industry employs over 373 000 people, and reached revenues of some €60 billion in 2011. A recent study from Plum Consulting shows that App store revenues attributable to European developers are 30% of the global total.</w:t>
      </w:r>
      <w:r>
        <w:rPr>
          <w:noProof/>
          <w:vertAlign w:val="superscript"/>
          <w:lang w:eastAsia="en-GB"/>
        </w:rPr>
        <w:footnoteReference w:id="83"/>
      </w:r>
    </w:p>
    <w:p>
      <w:pPr>
        <w:tabs>
          <w:tab w:val="left" w:pos="2302"/>
        </w:tabs>
        <w:rPr>
          <w:noProof/>
          <w:lang w:eastAsia="en-GB"/>
        </w:rPr>
      </w:pPr>
    </w:p>
    <w:p>
      <w:pPr>
        <w:pStyle w:val="Heading3"/>
        <w:rPr>
          <w:noProof/>
          <w:lang w:val="en"/>
        </w:rPr>
      </w:pPr>
      <w:bookmarkStart w:id="1898" w:name="_Toc491707754"/>
      <w:bookmarkStart w:id="1899" w:name="_Toc497906567"/>
      <w:bookmarkStart w:id="1900" w:name="_Toc497913012"/>
      <w:bookmarkStart w:id="1901" w:name="_Toc497919464"/>
      <w:bookmarkStart w:id="1902" w:name="_Toc497919782"/>
      <w:bookmarkStart w:id="1903" w:name="_Toc497920468"/>
      <w:bookmarkStart w:id="1904" w:name="_Toc497921515"/>
      <w:bookmarkStart w:id="1905" w:name="_Toc497921608"/>
      <w:bookmarkStart w:id="1906" w:name="_Toc500262137"/>
      <w:bookmarkStart w:id="1907" w:name="_Toc507167048"/>
      <w:bookmarkStart w:id="1908" w:name="_Toc508297431"/>
      <w:bookmarkStart w:id="1909" w:name="_Toc508350193"/>
      <w:bookmarkStart w:id="1910" w:name="_Toc508351633"/>
      <w:bookmarkStart w:id="1911" w:name="_Toc508360047"/>
      <w:bookmarkStart w:id="1912" w:name="_Toc511220546"/>
      <w:bookmarkStart w:id="1913" w:name="_Toc511234992"/>
      <w:bookmarkStart w:id="1914" w:name="_Toc511292905"/>
      <w:r>
        <w:rPr>
          <w:noProof/>
          <w:lang w:val="en"/>
        </w:rPr>
        <w:t>Social media, content and communication platforms</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pPr>
        <w:rPr>
          <w:noProof/>
        </w:rPr>
      </w:pPr>
      <w:r>
        <w:rPr>
          <w:noProof/>
        </w:rPr>
        <w:t>This category has experienced a significant growth in consumer users, as well as business users that see it as a tool to reach consumers in particular through online advertising. Currently, there are around 2.5 billion of people using social networks worldwide, or around 30% of the world's population, forecast to reach ~3 billion by 2020.</w:t>
      </w:r>
      <w:r>
        <w:rPr>
          <w:noProof/>
          <w:vertAlign w:val="superscript"/>
        </w:rPr>
        <w:footnoteReference w:id="84"/>
      </w:r>
      <w:r>
        <w:rPr>
          <w:noProof/>
        </w:rPr>
        <w:t xml:space="preserve"> At present, the average social media user spends 2 hours and 25 minutes per day using social networks and microblogs.</w:t>
      </w:r>
    </w:p>
    <w:p>
      <w:pPr>
        <w:rPr>
          <w:noProof/>
        </w:rPr>
      </w:pPr>
      <w:r>
        <w:rPr>
          <w:noProof/>
        </w:rPr>
        <w:t>At a global level, Facebook has a clear market lead in this category, claiming over 2 billion active users (in June 2017). While regional services such as the Russian service VKontakte or Chinese social networks such as Qzone and Renren have also garnered mainstream appeal in their regions due to local context and content with many hundreds of millions of users</w:t>
      </w:r>
      <w:r>
        <w:rPr>
          <w:noProof/>
          <w:vertAlign w:val="superscript"/>
        </w:rPr>
        <w:footnoteReference w:id="85"/>
      </w:r>
      <w:r>
        <w:rPr>
          <w:noProof/>
        </w:rPr>
        <w:t>. Within the EEA, Facebook would similarly be the largest social media platform, with ~333 million users (data from April 2016).</w:t>
      </w:r>
      <w:r>
        <w:rPr>
          <w:noProof/>
          <w:vertAlign w:val="superscript"/>
        </w:rPr>
        <w:footnoteReference w:id="86"/>
      </w:r>
      <w:r>
        <w:rPr>
          <w:noProof/>
        </w:rPr>
        <w:t xml:space="preserve">  </w:t>
      </w:r>
    </w:p>
    <w:p>
      <w:pPr>
        <w:rPr>
          <w:noProof/>
        </w:rPr>
      </w:pPr>
      <w:r>
        <w:rPr>
          <w:noProof/>
        </w:rPr>
        <w:t>Other major EEA players are video-sharing platforms such as YouTube (with over one billion users worldwide) and Wordpress (which is used by around 25% of all websites present on the worldwide web). According to the Future of Business Survey</w:t>
      </w:r>
      <w:r>
        <w:rPr>
          <w:noProof/>
          <w:vertAlign w:val="superscript"/>
        </w:rPr>
        <w:footnoteReference w:id="87"/>
      </w:r>
      <w:r>
        <w:rPr>
          <w:noProof/>
        </w:rPr>
        <w:t>, over 60 million of SMEs are using Facebook to market directly to potential customers, 35% of which on a cross-border scale. In line with the overall market trends, platforms such as Facebook continue to expand its functionalities facilitating not only advertising and marketing, but also e-Commerce functions such as sales, customer support and payments.</w:t>
      </w:r>
    </w:p>
    <w:p>
      <w:pPr>
        <w:pStyle w:val="Heading3"/>
        <w:rPr>
          <w:noProof/>
          <w:lang w:val="en"/>
        </w:rPr>
      </w:pPr>
      <w:bookmarkStart w:id="1915" w:name="_Toc497919465"/>
      <w:bookmarkStart w:id="1916" w:name="_Toc497919783"/>
      <w:bookmarkStart w:id="1917" w:name="_Toc497920469"/>
      <w:bookmarkStart w:id="1918" w:name="_Toc497921516"/>
      <w:bookmarkStart w:id="1919" w:name="_Toc497921609"/>
      <w:bookmarkStart w:id="1920" w:name="_Toc500262138"/>
      <w:bookmarkStart w:id="1921" w:name="_Toc507167049"/>
      <w:bookmarkStart w:id="1922" w:name="_Toc508297432"/>
      <w:bookmarkStart w:id="1923" w:name="_Toc508350194"/>
      <w:bookmarkStart w:id="1924" w:name="_Toc508351634"/>
      <w:bookmarkStart w:id="1925" w:name="_Toc508360048"/>
      <w:bookmarkStart w:id="1926" w:name="_Toc511220547"/>
      <w:bookmarkStart w:id="1927" w:name="_Toc511234993"/>
      <w:bookmarkStart w:id="1928" w:name="_Toc511292906"/>
      <w:bookmarkStart w:id="1929" w:name="_Toc491707756"/>
      <w:bookmarkStart w:id="1930" w:name="_Toc497906568"/>
      <w:bookmarkStart w:id="1931" w:name="_Toc497913013"/>
      <w:r>
        <w:rPr>
          <w:noProof/>
          <w:lang w:val="en"/>
        </w:rPr>
        <w:t>Online travel and hospitality platforms</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bookmarkEnd w:id="1929"/>
    <w:bookmarkEnd w:id="1930"/>
    <w:bookmarkEnd w:id="1931"/>
    <w:p>
      <w:pPr>
        <w:rPr>
          <w:noProof/>
        </w:rPr>
      </w:pPr>
      <w:r>
        <w:rPr>
          <w:noProof/>
        </w:rPr>
        <w:t>There are a number of platforms in the hospitality and travel sector that facilitate the interaction between hotels, airlines, car rental companies etc. on the one side and consumers on the other side, such as Online Travel Agencies (OTAs) and fare aggregators or metasearch engines.</w:t>
      </w:r>
    </w:p>
    <w:p>
      <w:pPr>
        <w:rPr>
          <w:noProof/>
        </w:rPr>
      </w:pPr>
      <w:r>
        <w:rPr>
          <w:noProof/>
        </w:rPr>
        <w:t xml:space="preserve">OTAs specialise in offering online services to find and book hotel rooms, flight tickets, car rentals, cruises etc. In general, OTAs generate revenues by charging hotels and other business users commissions for rooms, car rental and flights sold. </w:t>
      </w:r>
    </w:p>
    <w:p>
      <w:pPr>
        <w:rPr>
          <w:noProof/>
        </w:rPr>
      </w:pPr>
      <w:r>
        <w:rPr>
          <w:noProof/>
        </w:rPr>
        <w:t>So-called fare aggregators and metasearch engines can also search or scrape</w:t>
      </w:r>
      <w:r>
        <w:rPr>
          <w:noProof/>
          <w:vertAlign w:val="superscript"/>
        </w:rPr>
        <w:footnoteReference w:id="88"/>
      </w:r>
      <w:r>
        <w:rPr>
          <w:noProof/>
        </w:rPr>
        <w:t xml:space="preserve"> for information across multiple search engines (also online travel agents) to get up-to-date availability and pricing of flights. Fare aggregators then redirect the consumer to an OTA, airline, hotel website or car rental website for the final purchase. The business models of aggregators include getting feeds from major OTAs, then displaying to the users all of the results on one screen, while the OTA then fulfils the ticket. </w:t>
      </w:r>
    </w:p>
    <w:p>
      <w:pPr>
        <w:rPr>
          <w:noProof/>
        </w:rPr>
      </w:pPr>
      <w:r>
        <w:rPr>
          <w:noProof/>
        </w:rPr>
        <w:t>Aggregators generate revenues through advertising and similar models of charging OTAs for referring clients.</w:t>
      </w:r>
      <w:r>
        <w:rPr>
          <w:noProof/>
          <w:vertAlign w:val="superscript"/>
        </w:rPr>
        <w:footnoteReference w:id="89"/>
      </w:r>
      <w:r>
        <w:rPr>
          <w:noProof/>
        </w:rPr>
        <w:t xml:space="preserve"> Examples of such services include Kayak, Skyscanner, Momondo, Google Flights etc. </w:t>
      </w:r>
    </w:p>
    <w:p>
      <w:pPr>
        <w:rPr>
          <w:noProof/>
        </w:rPr>
      </w:pPr>
      <w:r>
        <w:rPr>
          <w:noProof/>
        </w:rPr>
        <w:t>The importance of OTAs, fare aggregators and metasearch engines is growing, in line with overall trends for increased online e-Commerce. For instance, the share of hotel booking revenue coming from bookings made through online travel agencies in Europe grew from 16.4% in 2012 to 22.7% in 2016.</w:t>
      </w:r>
      <w:r>
        <w:rPr>
          <w:noProof/>
          <w:vertAlign w:val="superscript"/>
        </w:rPr>
        <w:footnoteReference w:id="90"/>
      </w:r>
      <w:r>
        <w:rPr>
          <w:noProof/>
        </w:rPr>
        <w:t xml:space="preserve"> In 2016, online booking channels captured 49% of all travel bookings in Europe. By 2020, the online share of travel bookings is expected to increase to 58%, while both OTAs and direct online supplier bookings are expected to gain significant market share.</w:t>
      </w:r>
      <w:r>
        <w:rPr>
          <w:noProof/>
          <w:vertAlign w:val="superscript"/>
        </w:rPr>
        <w:footnoteReference w:id="91"/>
      </w:r>
      <w:r>
        <w:rPr>
          <w:noProof/>
        </w:rPr>
        <w:t xml:space="preserve"> </w:t>
      </w:r>
      <w:r>
        <w:rPr>
          <w:noProof/>
          <w:lang w:eastAsia="en-GB"/>
        </w:rPr>
        <w:t>The hotel booking segment in Europe valued at €75 billion is dominated by two large platforms which service 250,000 hotels</w:t>
      </w:r>
      <w:r>
        <w:rPr>
          <w:noProof/>
          <w:vertAlign w:val="superscript"/>
        </w:rPr>
        <w:footnoteReference w:id="92"/>
      </w:r>
      <w:r>
        <w:rPr>
          <w:noProof/>
          <w:lang w:eastAsia="en-GB"/>
        </w:rPr>
        <w:t>. Priceline and Expedia now have over 60% European market share of Online Travel Agents (OTAs)</w:t>
      </w:r>
      <w:r>
        <w:rPr>
          <w:rStyle w:val="FootnoteReference"/>
          <w:noProof/>
          <w:lang w:eastAsia="en-GB"/>
        </w:rPr>
        <w:footnoteReference w:id="93"/>
      </w:r>
      <w:r>
        <w:rPr>
          <w:noProof/>
          <w:lang w:eastAsia="en-GB"/>
        </w:rPr>
        <w:t>.</w:t>
      </w:r>
    </w:p>
    <w:p>
      <w:pPr>
        <w:rPr>
          <w:noProof/>
        </w:rPr>
      </w:pPr>
      <w:r>
        <w:rPr>
          <w:noProof/>
        </w:rPr>
        <w:t xml:space="preserve">Other platforms in the hospitality and travel category include restaurant booking and food delivery platforms. The restaurant booking market size is estimated at ~ </w:t>
      </w:r>
      <w:r>
        <w:rPr>
          <w:noProof/>
          <w:lang w:eastAsia="en-GB"/>
        </w:rPr>
        <w:t>€</w:t>
      </w:r>
      <w:r>
        <w:rPr>
          <w:noProof/>
        </w:rPr>
        <w:t>425 billion EUR and includes about 500,000 restaurants. Online penetration in this segment amounts to about16% at present. Like many other vertical online platform markets, this online segment is highly concentrated and dominated by a limited number of major players (OpenTable, Quandoo, Bookatable, Resdiary)</w:t>
      </w:r>
      <w:r>
        <w:rPr>
          <w:rStyle w:val="FootnoteReference"/>
          <w:noProof/>
        </w:rPr>
        <w:footnoteReference w:id="94"/>
      </w:r>
      <w:r>
        <w:rPr>
          <w:noProof/>
        </w:rPr>
        <w:t xml:space="preserve"> who intermediate online access to the many restaurants.   </w:t>
      </w:r>
    </w:p>
    <w:p>
      <w:pPr>
        <w:pStyle w:val="Heading3"/>
        <w:rPr>
          <w:noProof/>
        </w:rPr>
      </w:pPr>
      <w:bookmarkStart w:id="1932" w:name="_Toc507167050"/>
      <w:bookmarkStart w:id="1933" w:name="_Toc508297433"/>
      <w:bookmarkStart w:id="1934" w:name="_Toc508350195"/>
      <w:bookmarkStart w:id="1935" w:name="_Toc508351635"/>
      <w:bookmarkStart w:id="1936" w:name="_Toc508360049"/>
      <w:bookmarkStart w:id="1937" w:name="_Toc511220548"/>
      <w:bookmarkStart w:id="1938" w:name="_Toc511234994"/>
      <w:bookmarkStart w:id="1939" w:name="_Toc511292907"/>
      <w:bookmarkStart w:id="1940" w:name="_Toc500262139"/>
      <w:r>
        <w:rPr>
          <w:noProof/>
        </w:rPr>
        <w:t>Search engines</w:t>
      </w:r>
      <w:bookmarkEnd w:id="1932"/>
      <w:bookmarkEnd w:id="1933"/>
      <w:bookmarkEnd w:id="1934"/>
      <w:bookmarkEnd w:id="1935"/>
      <w:bookmarkEnd w:id="1936"/>
      <w:bookmarkEnd w:id="1937"/>
      <w:bookmarkEnd w:id="1938"/>
      <w:bookmarkEnd w:id="1939"/>
    </w:p>
    <w:p>
      <w:pPr>
        <w:rPr>
          <w:noProof/>
        </w:rPr>
      </w:pPr>
      <w:r>
        <w:rPr>
          <w:noProof/>
        </w:rPr>
        <w:t>Internet search engines are services that help Internet users find the relevant answers to their search requests from among tens of billions of web pages on the internet. They facilitate direct interaction between internet users seeking information, website operators seeking an audience for their content, and online advertisers targeting potential customers. The fundamental purpose of a search engine is to make it easier for users to find information on the internet. Given the fact that the number of web pages is constantly increasing (approximately 46 billion indexed and searchable pages in March 2016</w:t>
      </w:r>
      <w:r>
        <w:rPr>
          <w:noProof/>
          <w:vertAlign w:val="superscript"/>
        </w:rPr>
        <w:footnoteReference w:id="95"/>
      </w:r>
      <w:r>
        <w:rPr>
          <w:noProof/>
        </w:rPr>
        <w:t xml:space="preserve">) and that the random assignment of web addresses (URLs) does not provide any practical way of identifying their contents, a search for information would be impossible without technical assistance.  </w:t>
      </w:r>
    </w:p>
    <w:p>
      <w:pPr>
        <w:rPr>
          <w:noProof/>
        </w:rPr>
      </w:pPr>
      <w:r>
        <w:rPr>
          <w:noProof/>
        </w:rPr>
        <w:t>Currently, most of the main general search services are free of charge and general search services earn money through advertising. In the case of Google, the main search engine used in the EU, advertising has contributed to more than 90 percent of Google’s total revenue within the last decade.</w:t>
      </w:r>
    </w:p>
    <w:p>
      <w:pPr>
        <w:rPr>
          <w:noProof/>
        </w:rPr>
      </w:pPr>
      <w:r>
        <w:rPr>
          <w:noProof/>
        </w:rPr>
        <w:t xml:space="preserve">In a "pay per click" model adopted by the main general search engines advertisers pay each time a user clicks on the link to their web page. Advertised links can be displayed, for example, above or below organic search on the search results page. The price paid by advertisers in this model is the product of the number of times users click on the ad times the price per click, which is determined in a competitive bidding process. </w:t>
      </w:r>
    </w:p>
    <w:p>
      <w:pPr>
        <w:rPr>
          <w:noProof/>
        </w:rPr>
      </w:pPr>
      <w:r>
        <w:rPr>
          <w:noProof/>
        </w:rPr>
        <w:t>As of October 2017, Google is leading search engine – it has 86.87% of worldwide desktop market share, with other search engines (such as Yahoo!, bing and Baidu) sharing the remaining part of the market</w:t>
      </w:r>
      <w:r>
        <w:rPr>
          <w:rStyle w:val="FootnoteReference"/>
          <w:noProof/>
        </w:rPr>
        <w:footnoteReference w:id="96"/>
      </w:r>
      <w:r>
        <w:rPr>
          <w:noProof/>
        </w:rPr>
        <w:t>. As illustrated below, Google's market share was stable since 2010. In Europe, Google's market share was 92,5%, bing 3.3% in May 2017.</w:t>
      </w:r>
      <w:r>
        <w:rPr>
          <w:rStyle w:val="FootnoteReference"/>
          <w:noProof/>
        </w:rPr>
        <w:footnoteReference w:id="97"/>
      </w:r>
      <w:r>
        <w:rPr>
          <w:noProof/>
        </w:rPr>
        <w:t xml:space="preserve"> Furthermore, according to Alexa, a source of web statistics data, there are three search engines among the top five most visited web sites.</w:t>
      </w:r>
      <w:r>
        <w:rPr>
          <w:noProof/>
          <w:vertAlign w:val="superscript"/>
        </w:rPr>
        <w:footnoteReference w:id="98"/>
      </w:r>
      <w:r>
        <w:rPr>
          <w:noProof/>
        </w:rPr>
        <w:t xml:space="preserve"> Google is the most visited site, followed by Yahoo, YouTube, Facebook, and Bing. </w:t>
      </w:r>
    </w:p>
    <w:p>
      <w:pPr>
        <w:rPr>
          <w:noProof/>
        </w:rPr>
      </w:pPr>
      <w:r>
        <w:rPr>
          <w:noProof/>
        </w:rPr>
        <w:t xml:space="preserve">In terms of distribution of internet traffic, after direct traffic (users inserting directly in the navigation bar the url of the desired website), the second most relevant source of internet traffic in eight EU countries is organic search. As indicated by figure 1, it represents, on average, 17% of all traffic – varying from 14.6 in NL to 20.3 in IT. </w:t>
      </w:r>
    </w:p>
    <w:p>
      <w:pPr>
        <w:rPr>
          <w:noProof/>
        </w:rPr>
      </w:pPr>
      <w:r>
        <w:rPr>
          <w:noProof/>
        </w:rPr>
        <w:t>Figure X: Distribution of internet traffic on desktops, by source (total in %)</w:t>
      </w:r>
    </w:p>
    <w:p>
      <w:pPr>
        <w:rPr>
          <w:noProof/>
        </w:rPr>
      </w:pPr>
      <w:r>
        <w:rPr>
          <w:noProof/>
          <w:lang w:val="en-US"/>
        </w:rPr>
        <w:drawing>
          <wp:inline distT="0" distB="0" distL="0" distR="0">
            <wp:extent cx="5731510" cy="3247243"/>
            <wp:effectExtent l="0" t="0" r="2159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rPr>
          <w:noProof/>
        </w:rPr>
      </w:pPr>
      <w:r>
        <w:rPr>
          <w:noProof/>
          <w:lang w:eastAsia="en-GB"/>
        </w:rPr>
        <w:t>Figure based on Similarweb's index of the top 100 websites for December 2017.</w:t>
      </w:r>
    </w:p>
    <w:p>
      <w:pPr>
        <w:rPr>
          <w:noProof/>
        </w:rPr>
      </w:pPr>
    </w:p>
    <w:p>
      <w:pPr>
        <w:rPr>
          <w:noProof/>
        </w:rPr>
      </w:pPr>
      <w:r>
        <w:rPr>
          <w:noProof/>
          <w:lang w:eastAsia="en-GB"/>
        </w:rPr>
        <w:t>When taking into account different categories of websites, the relevance of organic search as a source of traffic grows. In the case of (i) accommodation and hotels, one quarter of all traffic is generated by organic search results, (ii) online retail, 28.6% is generated by organic search results, while (iii) for government sites, 43% of all traffic comes from organic search.</w:t>
      </w:r>
      <w:r>
        <w:rPr>
          <w:rStyle w:val="FootnoteReference"/>
          <w:noProof/>
          <w:lang w:eastAsia="en-GB"/>
        </w:rPr>
        <w:footnoteReference w:id="99"/>
      </w:r>
      <w:r>
        <w:rPr>
          <w:noProof/>
          <w:lang w:eastAsia="en-GB"/>
        </w:rPr>
        <w:t xml:space="preserve"> </w:t>
      </w:r>
    </w:p>
    <w:p>
      <w:pPr>
        <w:rPr>
          <w:noProof/>
        </w:rPr>
      </w:pPr>
    </w:p>
    <w:p>
      <w:pPr>
        <w:rPr>
          <w:noProof/>
        </w:rPr>
      </w:pPr>
      <w:r>
        <w:rPr>
          <w:noProof/>
          <w:lang w:eastAsia="en-GB"/>
        </w:rPr>
        <w:t>Moreover, there is a correlation between the page rank and the average traffic share. Data shows that websites ranked on the first page, receive 32.5% of average traffic, while those positioned on the second and third, 17.6% and 11.4% respectively. The average traffic share drops to only 0.4% when a website finds itself on 15</w:t>
      </w:r>
      <w:r>
        <w:rPr>
          <w:noProof/>
          <w:vertAlign w:val="superscript"/>
          <w:lang w:eastAsia="en-GB"/>
        </w:rPr>
        <w:t>th</w:t>
      </w:r>
      <w:r>
        <w:rPr>
          <w:noProof/>
          <w:lang w:eastAsia="en-GB"/>
        </w:rPr>
        <w:t xml:space="preserve"> page of search results. Websites that are located on the first page of Google Search are also much more dependent on traffic coming from Google Search – 92% of all traffic in this case comes from a search. When the website drops from page one to page two, the traffic drops by 95%, and by 79% and 58% for the subsequent pages.</w:t>
      </w:r>
      <w:r>
        <w:rPr>
          <w:rStyle w:val="FootnoteReference"/>
          <w:noProof/>
          <w:lang w:eastAsia="en-GB"/>
        </w:rPr>
        <w:footnoteReference w:id="100"/>
      </w:r>
    </w:p>
    <w:p>
      <w:pPr>
        <w:rPr>
          <w:noProof/>
        </w:rPr>
      </w:pPr>
      <w:r>
        <w:rPr>
          <w:noProof/>
          <w:lang w:eastAsia="en-GB"/>
        </w:rPr>
        <w:t>When considering sources of internet traffic for the online retail platforms, the retail sector shows a high degree of dependency. For example in Germany, 43% of total Internet traffic related to eCommerce goes to the top 10 online platforms in this space. Notwithstanding, organic search still does constitute a major source of traffic, including for online platforms – in France, over 33% of total traffic of the top 10 online retail platforms is referred by organic search (see the table below).</w:t>
      </w:r>
    </w:p>
    <w:p>
      <w:pPr>
        <w:rPr>
          <w:b/>
          <w:noProof/>
          <w:lang w:eastAsia="en-GB"/>
        </w:rPr>
      </w:pPr>
      <w:r>
        <w:rPr>
          <w:b/>
          <w:noProof/>
          <w:lang w:eastAsia="en-GB"/>
        </w:rPr>
        <w:t>Figure X: Top 10 online retail platforms internet traffic</w:t>
      </w:r>
    </w:p>
    <w:p>
      <w:pPr>
        <w:rPr>
          <w:noProof/>
          <w:lang w:eastAsia="en-GB"/>
        </w:rPr>
      </w:pPr>
      <w:r>
        <w:rPr>
          <w:noProof/>
          <w:lang w:val="en-US"/>
        </w:rPr>
        <w:drawing>
          <wp:inline distT="0" distB="0" distL="0" distR="0">
            <wp:extent cx="5752800" cy="3420000"/>
            <wp:effectExtent l="0" t="0" r="63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rPr>
          <w:noProof/>
        </w:rPr>
      </w:pPr>
      <w:r>
        <w:rPr>
          <w:noProof/>
          <w:lang w:eastAsia="en-GB"/>
        </w:rPr>
        <w:t xml:space="preserve">Note: </w:t>
      </w:r>
      <w:r>
        <w:rPr>
          <w:b/>
          <w:noProof/>
          <w:lang w:eastAsia="en-GB"/>
        </w:rPr>
        <w:t>Top 10 platforms</w:t>
      </w:r>
      <w:r>
        <w:rPr>
          <w:noProof/>
          <w:lang w:eastAsia="en-GB"/>
        </w:rPr>
        <w:t xml:space="preserve"> refer to the share of total traffic represented by the top 10 platforms. </w:t>
      </w:r>
      <w:r>
        <w:rPr>
          <w:b/>
          <w:noProof/>
          <w:lang w:eastAsia="en-GB"/>
        </w:rPr>
        <w:t>Organic share</w:t>
      </w:r>
      <w:r>
        <w:rPr>
          <w:noProof/>
          <w:lang w:eastAsia="en-GB"/>
        </w:rPr>
        <w:t xml:space="preserve"> represents the share of the top 10 platforms accounted for by organic search results. Source: JRC.</w:t>
      </w:r>
    </w:p>
    <w:p>
      <w:pPr>
        <w:rPr>
          <w:noProof/>
        </w:rPr>
      </w:pPr>
      <w:r>
        <w:rPr>
          <w:noProof/>
        </w:rPr>
        <w:t>The share of traffic of top 10 online accommodation services platforms is even higher. In Spain and Italy, over 50% of total traffic to online accommodation services’ websites goes to one of the top 10 online platforms in this sector. Whereas, respectively 27% and 25% of traffic is referred by organic search.</w:t>
      </w:r>
    </w:p>
    <w:p>
      <w:pPr>
        <w:contextualSpacing/>
        <w:rPr>
          <w:b/>
          <w:noProof/>
        </w:rPr>
      </w:pPr>
      <w:r>
        <w:rPr>
          <w:b/>
          <w:noProof/>
        </w:rPr>
        <w:t>Figure X: Top 10 online accommodation services platforms internet traffic</w:t>
      </w:r>
    </w:p>
    <w:p>
      <w:pPr>
        <w:contextualSpacing/>
        <w:rPr>
          <w:noProof/>
        </w:rPr>
      </w:pPr>
      <w:r>
        <w:rPr>
          <w:noProof/>
          <w:lang w:val="en-US"/>
        </w:rPr>
        <w:drawing>
          <wp:inline distT="0" distB="0" distL="0" distR="0">
            <wp:extent cx="5753735" cy="2534970"/>
            <wp:effectExtent l="0" t="0" r="1841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contextualSpacing/>
        <w:rPr>
          <w:noProof/>
        </w:rPr>
      </w:pPr>
      <w:r>
        <w:rPr>
          <w:noProof/>
        </w:rPr>
        <w:t xml:space="preserve">Note: </w:t>
      </w:r>
      <w:r>
        <w:rPr>
          <w:b/>
          <w:noProof/>
        </w:rPr>
        <w:t>Top 10 platforms</w:t>
      </w:r>
      <w:r>
        <w:rPr>
          <w:noProof/>
        </w:rPr>
        <w:t xml:space="preserve"> refer to the share of total traffic represented by the top 10 platforms. </w:t>
      </w:r>
      <w:r>
        <w:rPr>
          <w:b/>
          <w:noProof/>
        </w:rPr>
        <w:t>Organic share</w:t>
      </w:r>
      <w:r>
        <w:rPr>
          <w:noProof/>
        </w:rPr>
        <w:t xml:space="preserve"> represents the share of the top 10 platforms accounted for by organic search results. Source: JRC.</w:t>
      </w:r>
    </w:p>
    <w:p>
      <w:pPr>
        <w:rPr>
          <w:noProof/>
        </w:rPr>
      </w:pPr>
      <w:r>
        <w:rPr>
          <w:noProof/>
        </w:rPr>
        <w:t xml:space="preserve">On the other hand, according to a Google barometer, between 80% and 90% of people use a search engine when looking for local information. </w:t>
      </w:r>
    </w:p>
    <w:p>
      <w:pPr>
        <w:rPr>
          <w:noProof/>
        </w:rPr>
      </w:pPr>
    </w:p>
    <w:p>
      <w:pPr>
        <w:rPr>
          <w:b/>
          <w:noProof/>
        </w:rPr>
      </w:pPr>
      <w:r>
        <w:rPr>
          <w:b/>
          <w:noProof/>
        </w:rPr>
        <w:t xml:space="preserve">Figure X: Google barometer on </w:t>
      </w:r>
      <w:r>
        <w:rPr>
          <w:b/>
          <w:noProof/>
          <w:u w:val="single"/>
        </w:rPr>
        <w:t>What online sources did people use to find local information? Selected sources only</w:t>
      </w:r>
    </w:p>
    <w:p>
      <w:pPr>
        <w:keepLines/>
        <w:rPr>
          <w:noProof/>
        </w:rPr>
      </w:pPr>
      <w:r>
        <w:rPr>
          <w:noProof/>
          <w:lang w:val="en-US"/>
        </w:rPr>
        <w:drawing>
          <wp:inline distT="0" distB="0" distL="0" distR="0">
            <wp:extent cx="5752465" cy="4619625"/>
            <wp:effectExtent l="0" t="0" r="63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keepLines/>
        <w:rPr>
          <w:noProof/>
        </w:rPr>
      </w:pPr>
      <w:r>
        <w:rPr>
          <w:noProof/>
        </w:rPr>
        <w:t>Source: Google, JRC.</w:t>
      </w:r>
    </w:p>
    <w:p>
      <w:pPr>
        <w:rPr>
          <w:noProof/>
        </w:rPr>
      </w:pPr>
    </w:p>
    <w:p>
      <w:pPr>
        <w:pStyle w:val="Heading3"/>
        <w:rPr>
          <w:noProof/>
        </w:rPr>
      </w:pPr>
      <w:bookmarkStart w:id="1941" w:name="_Toc507167054"/>
      <w:bookmarkStart w:id="1942" w:name="_Toc508297435"/>
      <w:bookmarkStart w:id="1943" w:name="_Toc508350197"/>
      <w:bookmarkStart w:id="1944" w:name="_Toc508351637"/>
      <w:bookmarkStart w:id="1945" w:name="_Toc508360050"/>
      <w:bookmarkStart w:id="1946" w:name="_Toc511220549"/>
      <w:bookmarkStart w:id="1947" w:name="_Toc511234995"/>
      <w:bookmarkStart w:id="1948" w:name="_Toc511292908"/>
      <w:r>
        <w:rPr>
          <w:noProof/>
        </w:rPr>
        <w:t>Overview of main market players</w:t>
      </w:r>
      <w:bookmarkEnd w:id="1941"/>
      <w:bookmarkEnd w:id="1942"/>
      <w:bookmarkEnd w:id="1943"/>
      <w:bookmarkEnd w:id="1944"/>
      <w:bookmarkEnd w:id="1945"/>
      <w:bookmarkEnd w:id="1946"/>
      <w:bookmarkEnd w:id="1947"/>
      <w:bookmarkEnd w:id="1948"/>
    </w:p>
    <w:tbl>
      <w:tblPr>
        <w:tblStyle w:val="TableGrid"/>
        <w:tblW w:w="0" w:type="auto"/>
        <w:tblLook w:val="04A0" w:firstRow="1" w:lastRow="0" w:firstColumn="1" w:lastColumn="0" w:noHBand="0" w:noVBand="1"/>
      </w:tblPr>
      <w:tblGrid>
        <w:gridCol w:w="1897"/>
        <w:gridCol w:w="1922"/>
        <w:gridCol w:w="1947"/>
        <w:gridCol w:w="1895"/>
      </w:tblGrid>
      <w:tr>
        <w:tc>
          <w:tcPr>
            <w:tcW w:w="1897" w:type="dxa"/>
          </w:tcPr>
          <w:p>
            <w:pPr>
              <w:spacing w:after="0"/>
              <w:jc w:val="center"/>
              <w:rPr>
                <w:b/>
                <w:noProof/>
              </w:rPr>
            </w:pPr>
            <w:r>
              <w:rPr>
                <w:b/>
                <w:noProof/>
              </w:rPr>
              <w:t>Name of the company</w:t>
            </w:r>
          </w:p>
        </w:tc>
        <w:tc>
          <w:tcPr>
            <w:tcW w:w="1922" w:type="dxa"/>
          </w:tcPr>
          <w:p>
            <w:pPr>
              <w:spacing w:after="0"/>
              <w:jc w:val="center"/>
              <w:rPr>
                <w:b/>
                <w:noProof/>
              </w:rPr>
            </w:pPr>
            <w:r>
              <w:rPr>
                <w:b/>
                <w:noProof/>
              </w:rPr>
              <w:t>Estimated market share/number of users</w:t>
            </w:r>
          </w:p>
        </w:tc>
        <w:tc>
          <w:tcPr>
            <w:tcW w:w="1947" w:type="dxa"/>
          </w:tcPr>
          <w:p>
            <w:pPr>
              <w:spacing w:after="0"/>
              <w:jc w:val="center"/>
              <w:rPr>
                <w:b/>
                <w:noProof/>
              </w:rPr>
            </w:pPr>
            <w:r>
              <w:rPr>
                <w:b/>
                <w:noProof/>
              </w:rPr>
              <w:t>Number of employees (2016)</w:t>
            </w:r>
          </w:p>
        </w:tc>
        <w:tc>
          <w:tcPr>
            <w:tcW w:w="1895" w:type="dxa"/>
          </w:tcPr>
          <w:p>
            <w:pPr>
              <w:spacing w:after="0"/>
              <w:jc w:val="center"/>
              <w:rPr>
                <w:b/>
                <w:noProof/>
              </w:rPr>
            </w:pPr>
            <w:r>
              <w:rPr>
                <w:b/>
                <w:noProof/>
              </w:rPr>
              <w:t>Annual Revenue (2016)</w:t>
            </w:r>
          </w:p>
        </w:tc>
      </w:tr>
      <w:tr>
        <w:tc>
          <w:tcPr>
            <w:tcW w:w="1897" w:type="dxa"/>
          </w:tcPr>
          <w:p>
            <w:pPr>
              <w:spacing w:after="0"/>
              <w:rPr>
                <w:noProof/>
              </w:rPr>
            </w:pPr>
            <w:r>
              <w:rPr>
                <w:noProof/>
              </w:rPr>
              <w:t>Amazon</w:t>
            </w:r>
          </w:p>
        </w:tc>
        <w:tc>
          <w:tcPr>
            <w:tcW w:w="1922" w:type="dxa"/>
          </w:tcPr>
          <w:p>
            <w:pPr>
              <w:spacing w:after="0"/>
              <w:rPr>
                <w:noProof/>
              </w:rPr>
            </w:pPr>
            <w:r>
              <w:rPr>
                <w:noProof/>
              </w:rPr>
              <w:t>See section 6.2.1.</w:t>
            </w:r>
          </w:p>
        </w:tc>
        <w:tc>
          <w:tcPr>
            <w:tcW w:w="1947" w:type="dxa"/>
          </w:tcPr>
          <w:p>
            <w:pPr>
              <w:spacing w:after="0"/>
              <w:rPr>
                <w:noProof/>
              </w:rPr>
            </w:pPr>
            <w:r>
              <w:rPr>
                <w:noProof/>
              </w:rPr>
              <w:t>341.400</w:t>
            </w:r>
          </w:p>
        </w:tc>
        <w:tc>
          <w:tcPr>
            <w:tcW w:w="1895" w:type="dxa"/>
          </w:tcPr>
          <w:p>
            <w:pPr>
              <w:spacing w:after="0"/>
              <w:rPr>
                <w:noProof/>
              </w:rPr>
            </w:pPr>
            <w:r>
              <w:rPr>
                <w:noProof/>
              </w:rPr>
              <w:t>$136 bn</w:t>
            </w:r>
          </w:p>
        </w:tc>
      </w:tr>
      <w:tr>
        <w:tc>
          <w:tcPr>
            <w:tcW w:w="1897" w:type="dxa"/>
          </w:tcPr>
          <w:p>
            <w:pPr>
              <w:spacing w:after="0"/>
              <w:rPr>
                <w:noProof/>
              </w:rPr>
            </w:pPr>
            <w:r>
              <w:rPr>
                <w:noProof/>
              </w:rPr>
              <w:t>eBay</w:t>
            </w:r>
          </w:p>
        </w:tc>
        <w:tc>
          <w:tcPr>
            <w:tcW w:w="1922" w:type="dxa"/>
          </w:tcPr>
          <w:p>
            <w:pPr>
              <w:spacing w:after="0"/>
              <w:rPr>
                <w:noProof/>
              </w:rPr>
            </w:pPr>
            <w:r>
              <w:rPr>
                <w:noProof/>
              </w:rPr>
              <w:t>See section 6.2.1.</w:t>
            </w:r>
          </w:p>
        </w:tc>
        <w:tc>
          <w:tcPr>
            <w:tcW w:w="1947" w:type="dxa"/>
          </w:tcPr>
          <w:p>
            <w:pPr>
              <w:spacing w:after="0"/>
              <w:rPr>
                <w:noProof/>
              </w:rPr>
            </w:pPr>
            <w:r>
              <w:rPr>
                <w:noProof/>
              </w:rPr>
              <w:t>12.600 (2017)</w:t>
            </w:r>
          </w:p>
        </w:tc>
        <w:tc>
          <w:tcPr>
            <w:tcW w:w="1895" w:type="dxa"/>
          </w:tcPr>
          <w:p>
            <w:pPr>
              <w:spacing w:after="0"/>
              <w:rPr>
                <w:noProof/>
              </w:rPr>
            </w:pPr>
            <w:r>
              <w:rPr>
                <w:noProof/>
              </w:rPr>
              <w:t>$8.98 bn</w:t>
            </w:r>
          </w:p>
        </w:tc>
      </w:tr>
      <w:tr>
        <w:tc>
          <w:tcPr>
            <w:tcW w:w="1897" w:type="dxa"/>
          </w:tcPr>
          <w:p>
            <w:pPr>
              <w:spacing w:after="0"/>
              <w:rPr>
                <w:noProof/>
              </w:rPr>
            </w:pPr>
            <w:r>
              <w:rPr>
                <w:noProof/>
              </w:rPr>
              <w:t>Zalando</w:t>
            </w:r>
          </w:p>
        </w:tc>
        <w:tc>
          <w:tcPr>
            <w:tcW w:w="1922" w:type="dxa"/>
          </w:tcPr>
          <w:p>
            <w:pPr>
              <w:spacing w:after="0"/>
              <w:rPr>
                <w:noProof/>
              </w:rPr>
            </w:pPr>
            <w:r>
              <w:rPr>
                <w:noProof/>
              </w:rPr>
              <w:t>See section 6.2.1.</w:t>
            </w:r>
          </w:p>
        </w:tc>
        <w:tc>
          <w:tcPr>
            <w:tcW w:w="1947" w:type="dxa"/>
          </w:tcPr>
          <w:p>
            <w:pPr>
              <w:spacing w:after="0"/>
              <w:rPr>
                <w:noProof/>
              </w:rPr>
            </w:pPr>
            <w:r>
              <w:rPr>
                <w:noProof/>
              </w:rPr>
              <w:t>11.998</w:t>
            </w:r>
          </w:p>
        </w:tc>
        <w:tc>
          <w:tcPr>
            <w:tcW w:w="1895" w:type="dxa"/>
          </w:tcPr>
          <w:p>
            <w:pPr>
              <w:spacing w:after="0"/>
              <w:rPr>
                <w:noProof/>
              </w:rPr>
            </w:pPr>
            <w:r>
              <w:rPr>
                <w:noProof/>
              </w:rPr>
              <w:t>€3.64 bn</w:t>
            </w:r>
          </w:p>
        </w:tc>
      </w:tr>
      <w:tr>
        <w:tc>
          <w:tcPr>
            <w:tcW w:w="1897" w:type="dxa"/>
          </w:tcPr>
          <w:p>
            <w:pPr>
              <w:spacing w:after="0"/>
              <w:rPr>
                <w:noProof/>
              </w:rPr>
            </w:pPr>
            <w:r>
              <w:rPr>
                <w:noProof/>
              </w:rPr>
              <w:t>Apple</w:t>
            </w:r>
          </w:p>
        </w:tc>
        <w:tc>
          <w:tcPr>
            <w:tcW w:w="1922" w:type="dxa"/>
          </w:tcPr>
          <w:p>
            <w:pPr>
              <w:spacing w:after="0"/>
              <w:rPr>
                <w:noProof/>
              </w:rPr>
            </w:pPr>
            <w:r>
              <w:rPr>
                <w:noProof/>
              </w:rPr>
              <w:t>13,7%* (2017)</w:t>
            </w:r>
          </w:p>
        </w:tc>
        <w:tc>
          <w:tcPr>
            <w:tcW w:w="1947" w:type="dxa"/>
          </w:tcPr>
          <w:p>
            <w:pPr>
              <w:spacing w:after="0"/>
              <w:rPr>
                <w:noProof/>
              </w:rPr>
            </w:pPr>
            <w:r>
              <w:rPr>
                <w:noProof/>
              </w:rPr>
              <w:t>123.000 (2017)</w:t>
            </w:r>
          </w:p>
        </w:tc>
        <w:tc>
          <w:tcPr>
            <w:tcW w:w="1895" w:type="dxa"/>
          </w:tcPr>
          <w:p>
            <w:pPr>
              <w:spacing w:after="0"/>
              <w:rPr>
                <w:noProof/>
              </w:rPr>
            </w:pPr>
            <w:r>
              <w:rPr>
                <w:noProof/>
              </w:rPr>
              <w:t>$216 bn</w:t>
            </w:r>
          </w:p>
        </w:tc>
      </w:tr>
      <w:tr>
        <w:tc>
          <w:tcPr>
            <w:tcW w:w="1897" w:type="dxa"/>
          </w:tcPr>
          <w:p>
            <w:pPr>
              <w:spacing w:after="0"/>
              <w:rPr>
                <w:noProof/>
              </w:rPr>
            </w:pPr>
            <w:r>
              <w:rPr>
                <w:noProof/>
              </w:rPr>
              <w:t>Alphabet (incl. Google)</w:t>
            </w:r>
          </w:p>
        </w:tc>
        <w:tc>
          <w:tcPr>
            <w:tcW w:w="1922" w:type="dxa"/>
          </w:tcPr>
          <w:p>
            <w:pPr>
              <w:spacing w:after="0"/>
              <w:rPr>
                <w:noProof/>
              </w:rPr>
            </w:pPr>
            <w:r>
              <w:rPr>
                <w:noProof/>
              </w:rPr>
              <w:t>86,9%* (2017)</w:t>
            </w:r>
          </w:p>
        </w:tc>
        <w:tc>
          <w:tcPr>
            <w:tcW w:w="1947" w:type="dxa"/>
          </w:tcPr>
          <w:p>
            <w:pPr>
              <w:spacing w:after="0"/>
              <w:rPr>
                <w:noProof/>
              </w:rPr>
            </w:pPr>
            <w:r>
              <w:rPr>
                <w:noProof/>
              </w:rPr>
              <w:t>88.110 (2017)</w:t>
            </w:r>
          </w:p>
        </w:tc>
        <w:tc>
          <w:tcPr>
            <w:tcW w:w="1895" w:type="dxa"/>
          </w:tcPr>
          <w:p>
            <w:pPr>
              <w:spacing w:after="0"/>
              <w:rPr>
                <w:noProof/>
              </w:rPr>
            </w:pPr>
            <w:r>
              <w:rPr>
                <w:noProof/>
              </w:rPr>
              <w:t>$110.9 bn (2017)</w:t>
            </w:r>
          </w:p>
        </w:tc>
      </w:tr>
      <w:tr>
        <w:tc>
          <w:tcPr>
            <w:tcW w:w="1897" w:type="dxa"/>
            <w:tcBorders>
              <w:bottom w:val="single" w:sz="4" w:space="0" w:color="auto"/>
            </w:tcBorders>
          </w:tcPr>
          <w:p>
            <w:pPr>
              <w:spacing w:after="0"/>
              <w:rPr>
                <w:noProof/>
              </w:rPr>
            </w:pPr>
            <w:r>
              <w:rPr>
                <w:noProof/>
              </w:rPr>
              <w:t>Facebook</w:t>
            </w:r>
          </w:p>
        </w:tc>
        <w:tc>
          <w:tcPr>
            <w:tcW w:w="1922" w:type="dxa"/>
            <w:tcBorders>
              <w:bottom w:val="single" w:sz="4" w:space="0" w:color="auto"/>
            </w:tcBorders>
          </w:tcPr>
          <w:p>
            <w:pPr>
              <w:spacing w:after="0"/>
              <w:jc w:val="left"/>
              <w:rPr>
                <w:noProof/>
              </w:rPr>
            </w:pPr>
            <w:r>
              <w:rPr>
                <w:noProof/>
              </w:rPr>
              <w:t>2 bn active users (2017)</w:t>
            </w:r>
          </w:p>
        </w:tc>
        <w:tc>
          <w:tcPr>
            <w:tcW w:w="1947" w:type="dxa"/>
            <w:tcBorders>
              <w:bottom w:val="single" w:sz="4" w:space="0" w:color="auto"/>
            </w:tcBorders>
          </w:tcPr>
          <w:p>
            <w:pPr>
              <w:spacing w:after="0"/>
              <w:jc w:val="left"/>
              <w:rPr>
                <w:noProof/>
              </w:rPr>
            </w:pPr>
            <w:r>
              <w:rPr>
                <w:noProof/>
              </w:rPr>
              <w:t xml:space="preserve">17.048 </w:t>
            </w:r>
          </w:p>
        </w:tc>
        <w:tc>
          <w:tcPr>
            <w:tcW w:w="1895" w:type="dxa"/>
            <w:tcBorders>
              <w:bottom w:val="single" w:sz="4" w:space="0" w:color="auto"/>
            </w:tcBorders>
          </w:tcPr>
          <w:p>
            <w:pPr>
              <w:spacing w:after="0"/>
              <w:jc w:val="left"/>
              <w:rPr>
                <w:noProof/>
              </w:rPr>
            </w:pPr>
            <w:r>
              <w:rPr>
                <w:noProof/>
              </w:rPr>
              <w:t>$27.6 bn</w:t>
            </w:r>
          </w:p>
        </w:tc>
      </w:tr>
      <w:tr>
        <w:tc>
          <w:tcPr>
            <w:tcW w:w="1897" w:type="dxa"/>
            <w:tcBorders>
              <w:bottom w:val="single" w:sz="4" w:space="0" w:color="auto"/>
            </w:tcBorders>
          </w:tcPr>
          <w:p>
            <w:pPr>
              <w:spacing w:after="0"/>
              <w:rPr>
                <w:noProof/>
              </w:rPr>
            </w:pPr>
            <w:r>
              <w:rPr>
                <w:noProof/>
              </w:rPr>
              <w:t>YouTube (part of Alphabet)</w:t>
            </w:r>
          </w:p>
        </w:tc>
        <w:tc>
          <w:tcPr>
            <w:tcW w:w="1922" w:type="dxa"/>
            <w:tcBorders>
              <w:bottom w:val="single" w:sz="4" w:space="0" w:color="auto"/>
            </w:tcBorders>
          </w:tcPr>
          <w:p>
            <w:pPr>
              <w:spacing w:after="0"/>
              <w:jc w:val="left"/>
              <w:rPr>
                <w:noProof/>
              </w:rPr>
            </w:pPr>
            <w:r>
              <w:rPr>
                <w:noProof/>
              </w:rPr>
              <w:t>1.5 bn active users (2017)</w:t>
            </w:r>
          </w:p>
        </w:tc>
        <w:tc>
          <w:tcPr>
            <w:tcW w:w="1947" w:type="dxa"/>
            <w:tcBorders>
              <w:bottom w:val="single" w:sz="4" w:space="0" w:color="auto"/>
            </w:tcBorders>
          </w:tcPr>
          <w:p>
            <w:pPr>
              <w:spacing w:after="0"/>
              <w:jc w:val="left"/>
              <w:rPr>
                <w:noProof/>
              </w:rPr>
            </w:pPr>
            <w:r>
              <w:rPr>
                <w:noProof/>
              </w:rPr>
              <w:t>n/a</w:t>
            </w:r>
          </w:p>
        </w:tc>
        <w:tc>
          <w:tcPr>
            <w:tcW w:w="1895" w:type="dxa"/>
            <w:tcBorders>
              <w:bottom w:val="single" w:sz="4" w:space="0" w:color="auto"/>
            </w:tcBorders>
          </w:tcPr>
          <w:p>
            <w:pPr>
              <w:spacing w:after="0"/>
              <w:jc w:val="left"/>
              <w:rPr>
                <w:noProof/>
              </w:rPr>
            </w:pPr>
            <w:r>
              <w:rPr>
                <w:noProof/>
              </w:rPr>
              <w:t>$12 bn</w:t>
            </w:r>
          </w:p>
        </w:tc>
      </w:tr>
      <w:tr>
        <w:tc>
          <w:tcPr>
            <w:tcW w:w="1897" w:type="dxa"/>
            <w:tcBorders>
              <w:bottom w:val="single" w:sz="4" w:space="0" w:color="auto"/>
            </w:tcBorders>
          </w:tcPr>
          <w:p>
            <w:pPr>
              <w:spacing w:after="0"/>
              <w:rPr>
                <w:noProof/>
              </w:rPr>
            </w:pPr>
            <w:r>
              <w:rPr>
                <w:noProof/>
              </w:rPr>
              <w:t>WhatsApp (part of Facebook)</w:t>
            </w:r>
          </w:p>
        </w:tc>
        <w:tc>
          <w:tcPr>
            <w:tcW w:w="1922" w:type="dxa"/>
            <w:tcBorders>
              <w:bottom w:val="single" w:sz="4" w:space="0" w:color="auto"/>
            </w:tcBorders>
          </w:tcPr>
          <w:p>
            <w:pPr>
              <w:spacing w:after="0"/>
              <w:jc w:val="left"/>
              <w:rPr>
                <w:noProof/>
              </w:rPr>
            </w:pPr>
            <w:r>
              <w:rPr>
                <w:noProof/>
              </w:rPr>
              <w:t>1.3 bn active users</w:t>
            </w:r>
          </w:p>
        </w:tc>
        <w:tc>
          <w:tcPr>
            <w:tcW w:w="1947" w:type="dxa"/>
            <w:tcBorders>
              <w:bottom w:val="single" w:sz="4" w:space="0" w:color="auto"/>
            </w:tcBorders>
          </w:tcPr>
          <w:p>
            <w:pPr>
              <w:spacing w:after="0"/>
              <w:jc w:val="left"/>
              <w:rPr>
                <w:noProof/>
              </w:rPr>
            </w:pPr>
            <w:r>
              <w:rPr>
                <w:noProof/>
              </w:rPr>
              <w:t>n/a</w:t>
            </w:r>
          </w:p>
        </w:tc>
        <w:tc>
          <w:tcPr>
            <w:tcW w:w="1895" w:type="dxa"/>
            <w:tcBorders>
              <w:bottom w:val="single" w:sz="4" w:space="0" w:color="auto"/>
            </w:tcBorders>
          </w:tcPr>
          <w:p>
            <w:pPr>
              <w:spacing w:after="0"/>
              <w:jc w:val="left"/>
              <w:rPr>
                <w:noProof/>
              </w:rPr>
            </w:pPr>
            <w:r>
              <w:rPr>
                <w:noProof/>
              </w:rPr>
              <w:t>$0.7 bn (estimated)</w:t>
            </w:r>
          </w:p>
        </w:tc>
      </w:tr>
      <w:tr>
        <w:tc>
          <w:tcPr>
            <w:tcW w:w="1897" w:type="dxa"/>
          </w:tcPr>
          <w:p>
            <w:pPr>
              <w:spacing w:after="0"/>
              <w:rPr>
                <w:noProof/>
              </w:rPr>
            </w:pPr>
            <w:r>
              <w:rPr>
                <w:noProof/>
              </w:rPr>
              <w:t>Priceline (incl. Booking.com, Kayak, Agoda, Rentalcars)</w:t>
            </w:r>
          </w:p>
        </w:tc>
        <w:tc>
          <w:tcPr>
            <w:tcW w:w="1922" w:type="dxa"/>
          </w:tcPr>
          <w:p>
            <w:pPr>
              <w:spacing w:after="0"/>
              <w:rPr>
                <w:noProof/>
              </w:rPr>
            </w:pPr>
            <w:r>
              <w:rPr>
                <w:noProof/>
              </w:rPr>
              <w:t>$68 bn of gross bookings (2016)</w:t>
            </w:r>
          </w:p>
        </w:tc>
        <w:tc>
          <w:tcPr>
            <w:tcW w:w="1947" w:type="dxa"/>
          </w:tcPr>
          <w:p>
            <w:pPr>
              <w:spacing w:after="0"/>
              <w:rPr>
                <w:noProof/>
              </w:rPr>
            </w:pPr>
            <w:r>
              <w:rPr>
                <w:noProof/>
              </w:rPr>
              <w:t>18.500</w:t>
            </w:r>
          </w:p>
        </w:tc>
        <w:tc>
          <w:tcPr>
            <w:tcW w:w="1895" w:type="dxa"/>
          </w:tcPr>
          <w:p>
            <w:pPr>
              <w:spacing w:after="0"/>
              <w:rPr>
                <w:noProof/>
              </w:rPr>
            </w:pPr>
            <w:r>
              <w:rPr>
                <w:noProof/>
              </w:rPr>
              <w:t>$10.74 bn</w:t>
            </w:r>
          </w:p>
        </w:tc>
      </w:tr>
      <w:tr>
        <w:tc>
          <w:tcPr>
            <w:tcW w:w="1897" w:type="dxa"/>
          </w:tcPr>
          <w:p>
            <w:pPr>
              <w:spacing w:after="0"/>
              <w:rPr>
                <w:noProof/>
              </w:rPr>
            </w:pPr>
            <w:r>
              <w:rPr>
                <w:noProof/>
              </w:rPr>
              <w:t>Expedia (incl. HomeAway, Trivago, Orbitz, Travelocity, Hotels.com)</w:t>
            </w:r>
          </w:p>
        </w:tc>
        <w:tc>
          <w:tcPr>
            <w:tcW w:w="1922" w:type="dxa"/>
          </w:tcPr>
          <w:p>
            <w:pPr>
              <w:spacing w:after="0"/>
              <w:rPr>
                <w:noProof/>
              </w:rPr>
            </w:pPr>
            <w:r>
              <w:rPr>
                <w:noProof/>
              </w:rPr>
              <w:t>$72.5 bn of gross bookings (2016)</w:t>
            </w:r>
          </w:p>
        </w:tc>
        <w:tc>
          <w:tcPr>
            <w:tcW w:w="1947" w:type="dxa"/>
          </w:tcPr>
          <w:p>
            <w:pPr>
              <w:spacing w:after="0"/>
              <w:rPr>
                <w:noProof/>
              </w:rPr>
            </w:pPr>
            <w:r>
              <w:rPr>
                <w:noProof/>
              </w:rPr>
              <w:t>20.000</w:t>
            </w:r>
          </w:p>
        </w:tc>
        <w:tc>
          <w:tcPr>
            <w:tcW w:w="1895" w:type="dxa"/>
          </w:tcPr>
          <w:p>
            <w:pPr>
              <w:spacing w:after="0"/>
              <w:rPr>
                <w:noProof/>
              </w:rPr>
            </w:pPr>
            <w:r>
              <w:rPr>
                <w:noProof/>
              </w:rPr>
              <w:t>$8.77 bn</w:t>
            </w:r>
          </w:p>
        </w:tc>
      </w:tr>
      <w:tr>
        <w:tc>
          <w:tcPr>
            <w:tcW w:w="1897" w:type="dxa"/>
          </w:tcPr>
          <w:p>
            <w:pPr>
              <w:spacing w:after="0"/>
              <w:rPr>
                <w:noProof/>
              </w:rPr>
            </w:pPr>
            <w:r>
              <w:rPr>
                <w:noProof/>
              </w:rPr>
              <w:t>Ctrip (incl. Skyscanner)</w:t>
            </w:r>
          </w:p>
        </w:tc>
        <w:tc>
          <w:tcPr>
            <w:tcW w:w="1922" w:type="dxa"/>
          </w:tcPr>
          <w:p>
            <w:pPr>
              <w:spacing w:after="0"/>
              <w:rPr>
                <w:noProof/>
              </w:rPr>
            </w:pPr>
            <w:r>
              <w:rPr>
                <w:noProof/>
              </w:rPr>
              <w:t>$26.8 bn of gross bookings (2015)</w:t>
            </w:r>
          </w:p>
        </w:tc>
        <w:tc>
          <w:tcPr>
            <w:tcW w:w="1947" w:type="dxa"/>
          </w:tcPr>
          <w:p>
            <w:pPr>
              <w:spacing w:after="0"/>
              <w:rPr>
                <w:noProof/>
              </w:rPr>
            </w:pPr>
            <w:r>
              <w:rPr>
                <w:noProof/>
              </w:rPr>
              <w:t>30.000</w:t>
            </w:r>
          </w:p>
        </w:tc>
        <w:tc>
          <w:tcPr>
            <w:tcW w:w="1895" w:type="dxa"/>
          </w:tcPr>
          <w:p>
            <w:pPr>
              <w:spacing w:after="0"/>
              <w:rPr>
                <w:noProof/>
              </w:rPr>
            </w:pPr>
            <w:r>
              <w:rPr>
                <w:noProof/>
              </w:rPr>
              <w:t>$2.91 bn</w:t>
            </w:r>
          </w:p>
        </w:tc>
      </w:tr>
      <w:tr>
        <w:tc>
          <w:tcPr>
            <w:tcW w:w="1897" w:type="dxa"/>
          </w:tcPr>
          <w:p>
            <w:pPr>
              <w:spacing w:after="0"/>
              <w:rPr>
                <w:noProof/>
              </w:rPr>
            </w:pPr>
            <w:r>
              <w:rPr>
                <w:noProof/>
              </w:rPr>
              <w:t>AirBNB</w:t>
            </w:r>
          </w:p>
        </w:tc>
        <w:tc>
          <w:tcPr>
            <w:tcW w:w="1922" w:type="dxa"/>
          </w:tcPr>
          <w:p>
            <w:pPr>
              <w:spacing w:after="0"/>
              <w:rPr>
                <w:noProof/>
              </w:rPr>
            </w:pPr>
            <w:r>
              <w:rPr>
                <w:noProof/>
              </w:rPr>
              <w:t>$9.64 bn of gross bookings (2015)</w:t>
            </w:r>
          </w:p>
        </w:tc>
        <w:tc>
          <w:tcPr>
            <w:tcW w:w="1947" w:type="dxa"/>
          </w:tcPr>
          <w:p>
            <w:pPr>
              <w:spacing w:after="0"/>
              <w:rPr>
                <w:noProof/>
              </w:rPr>
            </w:pPr>
            <w:r>
              <w:rPr>
                <w:noProof/>
              </w:rPr>
              <w:t>3.100</w:t>
            </w:r>
          </w:p>
        </w:tc>
        <w:tc>
          <w:tcPr>
            <w:tcW w:w="1895" w:type="dxa"/>
          </w:tcPr>
          <w:p>
            <w:pPr>
              <w:spacing w:after="0"/>
              <w:rPr>
                <w:noProof/>
              </w:rPr>
            </w:pPr>
            <w:r>
              <w:rPr>
                <w:noProof/>
              </w:rPr>
              <w:t>$2.8 bn (est. 2017)</w:t>
            </w:r>
          </w:p>
        </w:tc>
      </w:tr>
      <w:tr>
        <w:tc>
          <w:tcPr>
            <w:tcW w:w="1897" w:type="dxa"/>
          </w:tcPr>
          <w:p>
            <w:pPr>
              <w:spacing w:after="0"/>
              <w:rPr>
                <w:noProof/>
              </w:rPr>
            </w:pPr>
            <w:r>
              <w:rPr>
                <w:noProof/>
              </w:rPr>
              <w:t>eDreams (incl. Opodo, eDreams, GoVoyages)</w:t>
            </w:r>
          </w:p>
        </w:tc>
        <w:tc>
          <w:tcPr>
            <w:tcW w:w="1922" w:type="dxa"/>
          </w:tcPr>
          <w:p>
            <w:pPr>
              <w:spacing w:after="0"/>
              <w:rPr>
                <w:noProof/>
              </w:rPr>
            </w:pPr>
            <w:r>
              <w:rPr>
                <w:noProof/>
              </w:rPr>
              <w:t>$5.12 bn of gross bokings (2015)</w:t>
            </w:r>
          </w:p>
        </w:tc>
        <w:tc>
          <w:tcPr>
            <w:tcW w:w="1947" w:type="dxa"/>
          </w:tcPr>
          <w:p>
            <w:pPr>
              <w:spacing w:after="0"/>
              <w:rPr>
                <w:noProof/>
              </w:rPr>
            </w:pPr>
            <w:r>
              <w:rPr>
                <w:noProof/>
              </w:rPr>
              <w:t>1.700</w:t>
            </w:r>
          </w:p>
        </w:tc>
        <w:tc>
          <w:tcPr>
            <w:tcW w:w="1895" w:type="dxa"/>
          </w:tcPr>
          <w:p>
            <w:pPr>
              <w:spacing w:after="0"/>
              <w:rPr>
                <w:noProof/>
              </w:rPr>
            </w:pPr>
            <w:r>
              <w:rPr>
                <w:noProof/>
              </w:rPr>
              <w:t>$463 m</w:t>
            </w:r>
          </w:p>
        </w:tc>
      </w:tr>
      <w:tr>
        <w:tc>
          <w:tcPr>
            <w:tcW w:w="1897" w:type="dxa"/>
          </w:tcPr>
          <w:p>
            <w:pPr>
              <w:spacing w:after="0"/>
              <w:rPr>
                <w:noProof/>
              </w:rPr>
            </w:pPr>
            <w:r>
              <w:rPr>
                <w:noProof/>
              </w:rPr>
              <w:t>Bing</w:t>
            </w:r>
          </w:p>
        </w:tc>
        <w:tc>
          <w:tcPr>
            <w:tcW w:w="1922" w:type="dxa"/>
          </w:tcPr>
          <w:p>
            <w:pPr>
              <w:spacing w:after="0"/>
              <w:rPr>
                <w:noProof/>
              </w:rPr>
            </w:pPr>
            <w:r>
              <w:rPr>
                <w:noProof/>
              </w:rPr>
              <w:t>5,11% (Oct 2017)</w:t>
            </w:r>
          </w:p>
        </w:tc>
        <w:tc>
          <w:tcPr>
            <w:tcW w:w="1947" w:type="dxa"/>
          </w:tcPr>
          <w:p>
            <w:pPr>
              <w:spacing w:after="0"/>
              <w:rPr>
                <w:noProof/>
              </w:rPr>
            </w:pPr>
            <w:r>
              <w:rPr>
                <w:noProof/>
              </w:rPr>
              <w:t>see Microsoft</w:t>
            </w:r>
          </w:p>
        </w:tc>
        <w:tc>
          <w:tcPr>
            <w:tcW w:w="1895" w:type="dxa"/>
          </w:tcPr>
          <w:p>
            <w:pPr>
              <w:spacing w:after="0"/>
              <w:rPr>
                <w:noProof/>
              </w:rPr>
            </w:pPr>
            <w:r>
              <w:rPr>
                <w:noProof/>
              </w:rPr>
              <w:t>see Microsoft</w:t>
            </w:r>
          </w:p>
        </w:tc>
      </w:tr>
      <w:tr>
        <w:tc>
          <w:tcPr>
            <w:tcW w:w="1897" w:type="dxa"/>
          </w:tcPr>
          <w:p>
            <w:pPr>
              <w:spacing w:after="0"/>
              <w:rPr>
                <w:noProof/>
              </w:rPr>
            </w:pPr>
            <w:r>
              <w:rPr>
                <w:noProof/>
              </w:rPr>
              <w:t>Microsoft</w:t>
            </w:r>
          </w:p>
        </w:tc>
        <w:tc>
          <w:tcPr>
            <w:tcW w:w="1922" w:type="dxa"/>
          </w:tcPr>
          <w:p>
            <w:pPr>
              <w:spacing w:after="0"/>
              <w:rPr>
                <w:noProof/>
              </w:rPr>
            </w:pPr>
            <w:r>
              <w:rPr>
                <w:noProof/>
              </w:rPr>
              <w:t>-</w:t>
            </w:r>
          </w:p>
        </w:tc>
        <w:tc>
          <w:tcPr>
            <w:tcW w:w="1947" w:type="dxa"/>
          </w:tcPr>
          <w:p>
            <w:pPr>
              <w:spacing w:after="0"/>
              <w:rPr>
                <w:noProof/>
              </w:rPr>
            </w:pPr>
            <w:r>
              <w:rPr>
                <w:noProof/>
              </w:rPr>
              <w:t>124.000 (2017)</w:t>
            </w:r>
          </w:p>
        </w:tc>
        <w:tc>
          <w:tcPr>
            <w:tcW w:w="1895" w:type="dxa"/>
          </w:tcPr>
          <w:p>
            <w:pPr>
              <w:spacing w:after="0"/>
              <w:rPr>
                <w:noProof/>
              </w:rPr>
            </w:pPr>
            <w:r>
              <w:rPr>
                <w:noProof/>
              </w:rPr>
              <w:t>$89.95 bn (2017)</w:t>
            </w:r>
          </w:p>
        </w:tc>
      </w:tr>
      <w:tr>
        <w:tc>
          <w:tcPr>
            <w:tcW w:w="1897" w:type="dxa"/>
          </w:tcPr>
          <w:p>
            <w:pPr>
              <w:spacing w:after="0"/>
              <w:rPr>
                <w:noProof/>
              </w:rPr>
            </w:pPr>
            <w:r>
              <w:rPr>
                <w:noProof/>
              </w:rPr>
              <w:t xml:space="preserve">Yahoo </w:t>
            </w:r>
          </w:p>
        </w:tc>
        <w:tc>
          <w:tcPr>
            <w:tcW w:w="1922" w:type="dxa"/>
          </w:tcPr>
          <w:p>
            <w:pPr>
              <w:spacing w:after="0"/>
              <w:rPr>
                <w:noProof/>
              </w:rPr>
            </w:pPr>
            <w:r>
              <w:rPr>
                <w:noProof/>
              </w:rPr>
              <w:t xml:space="preserve">3,94 % ( Oct 2017) </w:t>
            </w:r>
          </w:p>
        </w:tc>
        <w:tc>
          <w:tcPr>
            <w:tcW w:w="1947" w:type="dxa"/>
          </w:tcPr>
          <w:p>
            <w:pPr>
              <w:spacing w:after="0"/>
              <w:rPr>
                <w:noProof/>
              </w:rPr>
            </w:pPr>
            <w:r>
              <w:rPr>
                <w:noProof/>
              </w:rPr>
              <w:t>8.500</w:t>
            </w:r>
          </w:p>
        </w:tc>
        <w:tc>
          <w:tcPr>
            <w:tcW w:w="1895" w:type="dxa"/>
          </w:tcPr>
          <w:p>
            <w:pPr>
              <w:spacing w:after="0"/>
              <w:rPr>
                <w:noProof/>
              </w:rPr>
            </w:pPr>
            <w:r>
              <w:rPr>
                <w:noProof/>
              </w:rPr>
              <w:t>$5.17 bn</w:t>
            </w:r>
          </w:p>
        </w:tc>
      </w:tr>
      <w:tr>
        <w:tc>
          <w:tcPr>
            <w:tcW w:w="1897" w:type="dxa"/>
          </w:tcPr>
          <w:p>
            <w:pPr>
              <w:spacing w:after="0"/>
              <w:rPr>
                <w:noProof/>
              </w:rPr>
            </w:pPr>
            <w:r>
              <w:rPr>
                <w:noProof/>
              </w:rPr>
              <w:t>Baidu</w:t>
            </w:r>
          </w:p>
        </w:tc>
        <w:tc>
          <w:tcPr>
            <w:tcW w:w="1922" w:type="dxa"/>
          </w:tcPr>
          <w:p>
            <w:pPr>
              <w:spacing w:after="0"/>
              <w:rPr>
                <w:noProof/>
              </w:rPr>
            </w:pPr>
            <w:r>
              <w:rPr>
                <w:noProof/>
              </w:rPr>
              <w:t>0,87 % ( Oct 2017)</w:t>
            </w:r>
          </w:p>
        </w:tc>
        <w:tc>
          <w:tcPr>
            <w:tcW w:w="1947" w:type="dxa"/>
          </w:tcPr>
          <w:p>
            <w:pPr>
              <w:spacing w:after="0"/>
              <w:rPr>
                <w:noProof/>
              </w:rPr>
            </w:pPr>
            <w:r>
              <w:rPr>
                <w:noProof/>
              </w:rPr>
              <w:t>45.887</w:t>
            </w:r>
          </w:p>
        </w:tc>
        <w:tc>
          <w:tcPr>
            <w:tcW w:w="1895" w:type="dxa"/>
          </w:tcPr>
          <w:p>
            <w:pPr>
              <w:spacing w:after="0"/>
              <w:rPr>
                <w:noProof/>
              </w:rPr>
            </w:pPr>
            <w:r>
              <w:rPr>
                <w:noProof/>
              </w:rPr>
              <w:t>$10,16 bn</w:t>
            </w:r>
          </w:p>
        </w:tc>
      </w:tr>
    </w:tbl>
    <w:p>
      <w:pPr>
        <w:rPr>
          <w:noProof/>
        </w:rPr>
      </w:pPr>
    </w:p>
    <w:p>
      <w:pPr>
        <w:pStyle w:val="Heading2"/>
        <w:rPr>
          <w:noProof/>
        </w:rPr>
      </w:pPr>
      <w:bookmarkStart w:id="1949" w:name="_Toc506981185"/>
      <w:bookmarkStart w:id="1950" w:name="_Toc507167051"/>
      <w:bookmarkStart w:id="1951" w:name="_Toc507168044"/>
      <w:bookmarkStart w:id="1952" w:name="_Toc506981186"/>
      <w:bookmarkStart w:id="1953" w:name="_Toc507167052"/>
      <w:bookmarkStart w:id="1954" w:name="_Toc507168045"/>
      <w:bookmarkStart w:id="1955" w:name="_Toc508360051"/>
      <w:bookmarkStart w:id="1956" w:name="_Toc511220550"/>
      <w:bookmarkStart w:id="1957" w:name="_Toc511234996"/>
      <w:bookmarkStart w:id="1958" w:name="_Toc511292909"/>
      <w:bookmarkStart w:id="1959" w:name="_Toc507167053"/>
      <w:bookmarkStart w:id="1960" w:name="_Toc508297434"/>
      <w:bookmarkStart w:id="1961" w:name="_Toc508350196"/>
      <w:bookmarkStart w:id="1962" w:name="_Toc508351636"/>
      <w:bookmarkEnd w:id="1949"/>
      <w:bookmarkEnd w:id="1950"/>
      <w:bookmarkEnd w:id="1951"/>
      <w:bookmarkEnd w:id="1952"/>
      <w:bookmarkEnd w:id="1953"/>
      <w:bookmarkEnd w:id="1954"/>
      <w:r>
        <w:rPr>
          <w:noProof/>
        </w:rPr>
        <w:t>Transparency of online general search engines</w:t>
      </w:r>
      <w:bookmarkEnd w:id="1955"/>
      <w:bookmarkEnd w:id="1956"/>
      <w:bookmarkEnd w:id="1957"/>
      <w:bookmarkEnd w:id="1958"/>
      <w:r>
        <w:rPr>
          <w:noProof/>
        </w:rPr>
        <w:t xml:space="preserve"> </w:t>
      </w:r>
      <w:bookmarkEnd w:id="1959"/>
      <w:bookmarkEnd w:id="1960"/>
      <w:bookmarkEnd w:id="1961"/>
      <w:bookmarkEnd w:id="1962"/>
    </w:p>
    <w:p>
      <w:pPr>
        <w:autoSpaceDE w:val="0"/>
        <w:autoSpaceDN w:val="0"/>
        <w:adjustRightInd w:val="0"/>
        <w:spacing w:after="0"/>
        <w:rPr>
          <w:rFonts w:eastAsiaTheme="minorHAnsi"/>
          <w:noProof/>
        </w:rPr>
      </w:pPr>
      <w:r>
        <w:rPr>
          <w:rFonts w:eastAsiaTheme="minorHAnsi"/>
          <w:noProof/>
        </w:rPr>
        <w:t>The most well-known online general search engines already provide some transparency on ranking by displaying information on their webpages about the criteria they use for ranking.</w:t>
      </w:r>
    </w:p>
    <w:p>
      <w:pPr>
        <w:spacing w:after="0" w:line="276" w:lineRule="auto"/>
        <w:jc w:val="left"/>
        <w:rPr>
          <w:rFonts w:eastAsiaTheme="minorHAnsi"/>
          <w:b/>
          <w:i/>
          <w:noProof/>
        </w:rPr>
      </w:pPr>
    </w:p>
    <w:p>
      <w:pPr>
        <w:spacing w:after="200" w:line="276" w:lineRule="auto"/>
        <w:jc w:val="left"/>
        <w:rPr>
          <w:rFonts w:eastAsiaTheme="minorHAnsi"/>
          <w:b/>
          <w:i/>
          <w:noProof/>
        </w:rPr>
      </w:pPr>
      <w:r>
        <w:rPr>
          <w:rFonts w:eastAsiaTheme="minorHAnsi"/>
          <w:b/>
          <w:i/>
          <w:noProof/>
        </w:rPr>
        <w:t>Google</w:t>
      </w:r>
    </w:p>
    <w:p>
      <w:pPr>
        <w:spacing w:after="200" w:line="276" w:lineRule="auto"/>
        <w:rPr>
          <w:rFonts w:eastAsiaTheme="minorHAnsi"/>
          <w:noProof/>
        </w:rPr>
      </w:pPr>
      <w:r>
        <w:rPr>
          <w:rFonts w:eastAsiaTheme="minorHAnsi"/>
          <w:noProof/>
        </w:rPr>
        <w:t>Google's business users can use Google's Webmaster Guidelines to better understand how the search engine functions and to increase the likelihood to appear higher in search results. Google's Webmaster Guidelines provide general design, technical, and quality guidelines. Google's General Guidelines help find, index, and rank a business site. The Quality guidelines outline some of the illicit practices that may lead to a site being removed entirely from the Google index or otherwise affected by an algorithmic or manual spam action. The Guidelines also outline some best practices that can help webmasters avoid common pitfalls and improve site's ranking.</w:t>
      </w:r>
    </w:p>
    <w:p>
      <w:pPr>
        <w:autoSpaceDE w:val="0"/>
        <w:autoSpaceDN w:val="0"/>
        <w:adjustRightInd w:val="0"/>
        <w:spacing w:after="0"/>
        <w:rPr>
          <w:rFonts w:eastAsiaTheme="minorHAnsi"/>
          <w:noProof/>
        </w:rPr>
      </w:pPr>
      <w:r>
        <w:rPr>
          <w:rFonts w:eastAsiaTheme="minorHAnsi"/>
          <w:noProof/>
        </w:rPr>
        <w:t>Under its Content Guidelines, Google explains what steps webmasters can take to help Google find the high-quality, in-depth content and best present it to users in the search results page. This would allow appearing in the "In-depth articles" feature. Google also provides more detailed tips for creating a Google-friendly site: things to do and/or avoid, on how to make a site easily accessible and how to make sure that other sites link to yours. Google Search Console is a free service offered by Google that helps you monitor and maintain your site's presence in Google Search results. You don't have to sign up for Search Console for your site to be included in Google's search results, but doing so can help you understand how Google views your site and optimize its performance in search results. Google has also published a 32 p. Search Engine Optimization Starter Guide</w:t>
      </w:r>
      <w:r>
        <w:rPr>
          <w:rFonts w:eastAsiaTheme="minorHAnsi"/>
          <w:i/>
          <w:noProof/>
        </w:rPr>
        <w:t xml:space="preserve">; </w:t>
      </w:r>
      <w:r>
        <w:rPr>
          <w:rFonts w:eastAsiaTheme="minorHAnsi"/>
          <w:noProof/>
        </w:rPr>
        <w:t>a document which Google explains "first began as an effort to help teams within Google". The optimization topics covered in the guide are intended to apply to sites of all sizes and types. Questions, feedback, and success stories are proposed to be discussed in the Google Webmaster Help Forum. Topics cover SEO basics, SEO for mobile, improving site structure, optimising content, dealing with crawlers, promotion and analysis (including use of free webmaster tools).</w:t>
      </w:r>
    </w:p>
    <w:p>
      <w:pPr>
        <w:spacing w:after="200" w:line="276" w:lineRule="auto"/>
        <w:jc w:val="left"/>
        <w:rPr>
          <w:noProof/>
          <w:szCs w:val="24"/>
          <w:lang w:eastAsia="en-GB"/>
        </w:rPr>
      </w:pPr>
      <w:hyperlink r:id="rId50" w:history="1">
        <w:r>
          <w:rPr>
            <w:noProof/>
            <w:color w:val="0000FF" w:themeColor="hyperlink"/>
            <w:u w:val="single"/>
            <w:shd w:val="clear" w:color="auto" w:fill="FFFFFF"/>
            <w:lang w:eastAsia="en-GB"/>
          </w:rPr>
          <w:t>www.google.com/webmasters/.../search-engine-optimization-starte</w:t>
        </w:r>
      </w:hyperlink>
      <w:r>
        <w:rPr>
          <w:noProof/>
          <w:color w:val="006621"/>
          <w:shd w:val="clear" w:color="auto" w:fill="FFFFFF"/>
          <w:lang w:eastAsia="en-GB"/>
        </w:rPr>
        <w:t xml:space="preserve">... </w:t>
      </w:r>
    </w:p>
    <w:p>
      <w:pPr>
        <w:spacing w:after="0" w:line="276" w:lineRule="auto"/>
        <w:rPr>
          <w:rFonts w:eastAsiaTheme="minorHAnsi"/>
          <w:noProof/>
        </w:rPr>
      </w:pPr>
      <w:r>
        <w:rPr>
          <w:rFonts w:eastAsiaTheme="minorHAnsi"/>
          <w:noProof/>
        </w:rPr>
        <w:t>Google also explains the three key processes in delivering search results:</w:t>
      </w:r>
    </w:p>
    <w:p>
      <w:pPr>
        <w:pStyle w:val="ListParagraph"/>
        <w:numPr>
          <w:ilvl w:val="0"/>
          <w:numId w:val="137"/>
        </w:numPr>
        <w:spacing w:after="0" w:line="276" w:lineRule="auto"/>
        <w:rPr>
          <w:rFonts w:eastAsiaTheme="minorHAnsi"/>
          <w:noProof/>
        </w:rPr>
      </w:pPr>
      <w:r>
        <w:rPr>
          <w:rFonts w:eastAsiaTheme="minorHAnsi"/>
          <w:noProof/>
        </w:rPr>
        <w:t>Crawling: Does Google know about a site? Can it find it?</w:t>
      </w:r>
    </w:p>
    <w:p>
      <w:pPr>
        <w:pStyle w:val="ListParagraph"/>
        <w:numPr>
          <w:ilvl w:val="0"/>
          <w:numId w:val="137"/>
        </w:numPr>
        <w:spacing w:after="0" w:line="276" w:lineRule="auto"/>
        <w:rPr>
          <w:rFonts w:eastAsiaTheme="minorHAnsi"/>
          <w:noProof/>
        </w:rPr>
      </w:pPr>
      <w:r>
        <w:rPr>
          <w:rFonts w:eastAsiaTheme="minorHAnsi"/>
          <w:noProof/>
        </w:rPr>
        <w:t>Indexing: Can Google index a site?</w:t>
      </w:r>
    </w:p>
    <w:p>
      <w:pPr>
        <w:pStyle w:val="ListParagraph"/>
        <w:numPr>
          <w:ilvl w:val="0"/>
          <w:numId w:val="137"/>
        </w:numPr>
        <w:spacing w:after="0" w:line="276" w:lineRule="auto"/>
        <w:rPr>
          <w:rFonts w:eastAsiaTheme="minorHAnsi"/>
          <w:noProof/>
        </w:rPr>
      </w:pPr>
      <w:r>
        <w:rPr>
          <w:rFonts w:eastAsiaTheme="minorHAnsi"/>
          <w:noProof/>
        </w:rPr>
        <w:t xml:space="preserve">Serving: Does the site have good and useful content that is relevant to the user's search? </w:t>
      </w:r>
    </w:p>
    <w:p>
      <w:pPr>
        <w:spacing w:after="0" w:line="276" w:lineRule="auto"/>
        <w:rPr>
          <w:rFonts w:eastAsiaTheme="minorHAnsi"/>
          <w:noProof/>
        </w:rPr>
      </w:pPr>
    </w:p>
    <w:p>
      <w:pPr>
        <w:spacing w:after="200" w:line="276" w:lineRule="auto"/>
        <w:rPr>
          <w:rFonts w:eastAsiaTheme="minorHAnsi"/>
          <w:noProof/>
        </w:rPr>
      </w:pPr>
      <w:r>
        <w:rPr>
          <w:rFonts w:eastAsiaTheme="minorHAnsi"/>
          <w:noProof/>
        </w:rPr>
        <w:t>How does delivery of search results work? Crawling is the process by which Googlebot discovers new and updated pages to be added to the Google index. Googlebot processes each of the pages it crawls in order to compile a massive index of all the words it sees and their location on each page. When a user enters a query, Google machines search the index for matching pages and return the results Google believes are the most relevant to the user. Relevancy is determined by over 200 factors, one of which is the PageRank</w:t>
      </w:r>
      <w:r>
        <w:rPr>
          <w:rFonts w:eastAsiaTheme="minorHAnsi"/>
          <w:noProof/>
          <w:vertAlign w:val="superscript"/>
        </w:rPr>
        <w:footnoteReference w:id="101"/>
      </w:r>
      <w:r>
        <w:rPr>
          <w:rFonts w:eastAsiaTheme="minorHAnsi"/>
          <w:noProof/>
        </w:rPr>
        <w:t xml:space="preserve"> for a given page. PageRank is the measure of the importance of a page based on the incoming links from other pages. In simple terms, each link to a page on your site from another site adds to your site's PageRank. Not all links are equal: Google works to improve the user experience by identifying spam links and other practices that negatively impact search results. The best types of links are those that are given based on the quality of content.</w:t>
      </w:r>
    </w:p>
    <w:p>
      <w:pPr>
        <w:spacing w:after="0" w:line="276" w:lineRule="auto"/>
        <w:rPr>
          <w:rFonts w:eastAsiaTheme="minorHAnsi"/>
          <w:noProof/>
        </w:rPr>
      </w:pPr>
      <w:r>
        <w:rPr>
          <w:rFonts w:eastAsiaTheme="minorHAnsi"/>
          <w:noProof/>
        </w:rPr>
        <w:t xml:space="preserve">In addition, Google tools ask a number of questions to webmasters to allow them optimising relevant pages, e.g. </w:t>
      </w:r>
    </w:p>
    <w:p>
      <w:pPr>
        <w:pStyle w:val="ListParagraph"/>
        <w:numPr>
          <w:ilvl w:val="0"/>
          <w:numId w:val="137"/>
        </w:numPr>
        <w:spacing w:after="0" w:line="276" w:lineRule="auto"/>
        <w:rPr>
          <w:rFonts w:eastAsiaTheme="minorHAnsi"/>
          <w:noProof/>
        </w:rPr>
      </w:pPr>
      <w:r>
        <w:rPr>
          <w:rFonts w:eastAsiaTheme="minorHAnsi"/>
          <w:noProof/>
        </w:rPr>
        <w:t>Is my website showing up on Google?</w:t>
      </w:r>
    </w:p>
    <w:p>
      <w:pPr>
        <w:pStyle w:val="ListParagraph"/>
        <w:numPr>
          <w:ilvl w:val="0"/>
          <w:numId w:val="137"/>
        </w:numPr>
        <w:spacing w:after="0" w:line="276" w:lineRule="auto"/>
        <w:rPr>
          <w:rFonts w:eastAsiaTheme="minorHAnsi"/>
          <w:noProof/>
        </w:rPr>
      </w:pPr>
      <w:r>
        <w:rPr>
          <w:rFonts w:eastAsiaTheme="minorHAnsi"/>
          <w:noProof/>
        </w:rPr>
        <w:t>Do I serve high-quality content to users?</w:t>
      </w:r>
    </w:p>
    <w:p>
      <w:pPr>
        <w:pStyle w:val="ListParagraph"/>
        <w:numPr>
          <w:ilvl w:val="0"/>
          <w:numId w:val="137"/>
        </w:numPr>
        <w:spacing w:after="0" w:line="276" w:lineRule="auto"/>
        <w:rPr>
          <w:rFonts w:eastAsiaTheme="minorHAnsi"/>
          <w:noProof/>
        </w:rPr>
      </w:pPr>
      <w:r>
        <w:rPr>
          <w:rFonts w:eastAsiaTheme="minorHAnsi"/>
          <w:noProof/>
        </w:rPr>
        <w:t>Is my local business showing up on Google?</w:t>
      </w:r>
    </w:p>
    <w:p>
      <w:pPr>
        <w:pStyle w:val="ListParagraph"/>
        <w:numPr>
          <w:ilvl w:val="0"/>
          <w:numId w:val="137"/>
        </w:numPr>
        <w:spacing w:after="0" w:line="276" w:lineRule="auto"/>
        <w:rPr>
          <w:rFonts w:eastAsiaTheme="minorHAnsi"/>
          <w:noProof/>
        </w:rPr>
      </w:pPr>
      <w:r>
        <w:rPr>
          <w:rFonts w:eastAsiaTheme="minorHAnsi"/>
          <w:noProof/>
        </w:rPr>
        <w:t>Is my content fast and easy to access on all devices?</w:t>
      </w:r>
    </w:p>
    <w:p>
      <w:pPr>
        <w:pStyle w:val="ListParagraph"/>
        <w:numPr>
          <w:ilvl w:val="0"/>
          <w:numId w:val="137"/>
        </w:numPr>
        <w:spacing w:after="0" w:line="276" w:lineRule="auto"/>
        <w:rPr>
          <w:rFonts w:eastAsiaTheme="minorHAnsi"/>
          <w:noProof/>
        </w:rPr>
      </w:pPr>
      <w:r>
        <w:rPr>
          <w:rFonts w:eastAsiaTheme="minorHAnsi"/>
          <w:noProof/>
        </w:rPr>
        <w:t>Is my website secure?</w:t>
      </w:r>
    </w:p>
    <w:p>
      <w:pPr>
        <w:spacing w:after="200" w:line="276" w:lineRule="auto"/>
        <w:rPr>
          <w:rFonts w:eastAsiaTheme="minorHAnsi"/>
          <w:noProof/>
        </w:rPr>
      </w:pPr>
      <w:r>
        <w:rPr>
          <w:rFonts w:eastAsiaTheme="minorHAnsi"/>
          <w:noProof/>
        </w:rPr>
        <w:t>In addition, Google explains in its Search Engine Optimisation (SEO) Starter Guide a number of technical parameter influencing ranking such as the readiness of the site for mobile and the better presentation of images.</w:t>
      </w:r>
    </w:p>
    <w:p>
      <w:pPr>
        <w:spacing w:after="0" w:line="276" w:lineRule="auto"/>
        <w:jc w:val="left"/>
        <w:rPr>
          <w:noProof/>
        </w:rPr>
      </w:pPr>
      <w:r>
        <w:rPr>
          <w:rFonts w:eastAsiaTheme="minorHAnsi"/>
          <w:noProof/>
        </w:rPr>
        <w:t xml:space="preserve">Regarding demotion and removal of websites from the search results Google explains that those are done by via its algorithm and also manually. Regarding automatic demotion and removal Google uses dedicated algorithms to identify and demote automatically websites that do not comply with its Webmaster Guidelines. The reasons set out in the Webmaster Guidelines are not exhaustive. For instance, Google indicates in its Quality Guidelines that those only enumerate </w:t>
      </w:r>
      <w:r>
        <w:rPr>
          <w:rFonts w:eastAsiaTheme="minorHAnsi"/>
          <w:b/>
          <w:i/>
          <w:noProof/>
        </w:rPr>
        <w:t>some of the illicit practices</w:t>
      </w:r>
      <w:r>
        <w:rPr>
          <w:rFonts w:eastAsiaTheme="minorHAnsi"/>
          <w:noProof/>
        </w:rPr>
        <w:t xml:space="preserve"> that may lead to a site being removed entirely from the Google index or otherwise affected by an algorithmic or manual spam action</w:t>
      </w:r>
      <w:r>
        <w:rPr>
          <w:rStyle w:val="FootnoteReference"/>
          <w:rFonts w:eastAsiaTheme="minorHAnsi"/>
          <w:noProof/>
        </w:rPr>
        <w:footnoteReference w:id="102"/>
      </w:r>
      <w:r>
        <w:rPr>
          <w:rFonts w:eastAsiaTheme="minorHAnsi"/>
          <w:noProof/>
        </w:rPr>
        <w:t>.  Google also explains the scope of manual demotions and removal of websites and the internal redress, explaining for instance that this covers:  "</w:t>
      </w:r>
      <w:r>
        <w:rPr>
          <w:rFonts w:eastAsiaTheme="minorHAnsi"/>
          <w:i/>
          <w:noProof/>
        </w:rPr>
        <w:t>h</w:t>
      </w:r>
      <w:r>
        <w:rPr>
          <w:i/>
          <w:noProof/>
        </w:rPr>
        <w:t xml:space="preserve">acked site, user-generated spam, spammy freehosts spammy structured markup; Unnatural links to your site, thin content with little or no added value, cloaking and/or sneaky redirects, subscription and paywalled content, unnatural links from your site, pure spam, cloaked images, hidden text </w:t>
      </w:r>
      <w:r>
        <w:rPr>
          <w:rFonts w:eastAsiaTheme="minorHAnsi"/>
          <w:b/>
          <w:i/>
          <w:noProof/>
        </w:rPr>
        <w:t>and</w:t>
      </w:r>
      <w:r>
        <w:rPr>
          <w:i/>
          <w:noProof/>
        </w:rPr>
        <w:t>/or keyword stuffing".</w:t>
      </w:r>
      <w:r>
        <w:rPr>
          <w:noProof/>
        </w:rPr>
        <w:t xml:space="preserve"> </w:t>
      </w:r>
      <w:r>
        <w:rPr>
          <w:rStyle w:val="FootnoteReference"/>
          <w:rFonts w:eastAsiaTheme="minorHAnsi"/>
          <w:noProof/>
          <w:lang w:val="fr-CH"/>
        </w:rPr>
        <w:footnoteReference w:id="103"/>
      </w:r>
    </w:p>
    <w:p>
      <w:pPr>
        <w:spacing w:after="0" w:line="276" w:lineRule="auto"/>
        <w:jc w:val="left"/>
        <w:rPr>
          <w:noProof/>
        </w:rPr>
      </w:pPr>
    </w:p>
    <w:p>
      <w:pPr>
        <w:spacing w:after="200" w:line="276" w:lineRule="auto"/>
        <w:jc w:val="left"/>
        <w:rPr>
          <w:rFonts w:eastAsiaTheme="minorHAnsi"/>
          <w:b/>
          <w:i/>
          <w:noProof/>
        </w:rPr>
      </w:pPr>
      <w:r>
        <w:rPr>
          <w:rFonts w:eastAsiaTheme="minorHAnsi"/>
          <w:b/>
          <w:i/>
          <w:noProof/>
        </w:rPr>
        <w:t>Yahoo</w:t>
      </w:r>
    </w:p>
    <w:p>
      <w:pPr>
        <w:spacing w:after="200" w:line="276" w:lineRule="auto"/>
        <w:jc w:val="left"/>
        <w:rPr>
          <w:rFonts w:eastAsiaTheme="minorHAnsi"/>
          <w:noProof/>
        </w:rPr>
      </w:pPr>
      <w:r>
        <w:rPr>
          <w:rFonts w:eastAsiaTheme="minorHAnsi"/>
          <w:noProof/>
        </w:rPr>
        <w:t>In terms of optimisation, Yahoo has developed two pages – "Search Content Quality Guidelines" and "Get a higher website rank".</w:t>
      </w:r>
    </w:p>
    <w:p>
      <w:pPr>
        <w:spacing w:after="0" w:line="276" w:lineRule="auto"/>
        <w:rPr>
          <w:rFonts w:eastAsiaTheme="minorHAnsi"/>
          <w:noProof/>
        </w:rPr>
      </w:pPr>
      <w:r>
        <w:rPr>
          <w:rFonts w:eastAsiaTheme="minorHAnsi"/>
          <w:noProof/>
        </w:rPr>
        <w:t>The "Get a higher website rank" page starts with the explanation that the best way to improve a website's ranking is to publish unique content targeted to a given audience. It is mentioned that following the guidelines would help a web pages to be more easily found. The list of best practices is however preceded by an Advertise box on search advertising: "Advertise! – Target your high-value audience with search advertising…."</w:t>
      </w:r>
    </w:p>
    <w:p>
      <w:pPr>
        <w:spacing w:after="0" w:line="276" w:lineRule="auto"/>
        <w:rPr>
          <w:rFonts w:eastAsiaTheme="minorHAnsi"/>
          <w:noProof/>
        </w:rPr>
      </w:pPr>
      <w:r>
        <w:rPr>
          <w:rFonts w:eastAsiaTheme="minorHAnsi"/>
          <w:noProof/>
        </w:rPr>
        <w:t>The advanced tips include a suggestion for users to familiarize with the tools available in the Bing Webmaster Center (see Section on Bing) since the organic search listings on Yahoo Search are powered in part by Bing.</w:t>
      </w:r>
    </w:p>
    <w:p>
      <w:pPr>
        <w:spacing w:after="0" w:line="276" w:lineRule="auto"/>
        <w:rPr>
          <w:rFonts w:eastAsiaTheme="minorHAnsi"/>
          <w:b/>
          <w:i/>
          <w:noProof/>
        </w:rPr>
      </w:pPr>
    </w:p>
    <w:p>
      <w:pPr>
        <w:spacing w:after="0" w:line="276" w:lineRule="auto"/>
        <w:rPr>
          <w:rFonts w:eastAsiaTheme="minorHAnsi"/>
          <w:noProof/>
        </w:rPr>
      </w:pPr>
      <w:r>
        <w:rPr>
          <w:rFonts w:eastAsiaTheme="minorHAnsi"/>
          <w:noProof/>
        </w:rPr>
        <w:t xml:space="preserve">The Search Content Quality Guidelines specify that Yahoo is focused on delivering relevant, high-quality content. The Guidelines include short explanations/examples of high- and low-quality content and redirects to a page where more can be learnt about using robots metadata. </w:t>
      </w:r>
    </w:p>
    <w:p>
      <w:pPr>
        <w:spacing w:after="0" w:line="276" w:lineRule="auto"/>
        <w:rPr>
          <w:rFonts w:eastAsiaTheme="minorHAnsi"/>
          <w:noProof/>
        </w:rPr>
      </w:pPr>
    </w:p>
    <w:p>
      <w:pPr>
        <w:spacing w:after="0" w:line="276" w:lineRule="auto"/>
        <w:rPr>
          <w:rFonts w:eastAsiaTheme="minorHAnsi"/>
          <w:noProof/>
        </w:rPr>
      </w:pPr>
      <w:r>
        <w:rPr>
          <w:rFonts w:eastAsiaTheme="minorHAnsi"/>
          <w:noProof/>
        </w:rPr>
        <w:t xml:space="preserve">There is also a webmaster resources page where Yahoo redirects to pages to learn how to dispute a SearchScan warning for a website, on how to get the rundown and on how redirects are handled in the Yahoo Search Index. This page also contains a disclaimer that "Yahoo is unable to provide any status updates or assistance regarding organic listings that are powered by Bing. </w:t>
      </w:r>
    </w:p>
    <w:p>
      <w:pPr>
        <w:spacing w:after="0" w:line="276" w:lineRule="auto"/>
        <w:rPr>
          <w:rFonts w:eastAsiaTheme="minorHAnsi"/>
          <w:noProof/>
        </w:rPr>
      </w:pPr>
    </w:p>
    <w:p>
      <w:pPr>
        <w:pStyle w:val="PlainText"/>
        <w:rPr>
          <w:rFonts w:ascii="Times New Roman" w:hAnsi="Times New Roman"/>
          <w:noProof/>
          <w:sz w:val="24"/>
          <w:lang w:val="en-GB"/>
        </w:rPr>
      </w:pPr>
      <w:r>
        <w:rPr>
          <w:rFonts w:ascii="Times New Roman" w:hAnsi="Times New Roman"/>
          <w:noProof/>
          <w:sz w:val="24"/>
          <w:lang w:val="en-GB"/>
        </w:rPr>
        <w:t xml:space="preserve">Regarding demotion and delisting the Guidelines indicate that the search engine does not want low quality websites to appear in the search results </w:t>
      </w:r>
      <w:r>
        <w:rPr>
          <w:rStyle w:val="FootnoteReference"/>
          <w:rFonts w:ascii="Times New Roman" w:hAnsi="Times New Roman"/>
          <w:noProof/>
          <w:sz w:val="24"/>
          <w:lang w:val="en-GB"/>
        </w:rPr>
        <w:footnoteReference w:id="104"/>
      </w:r>
    </w:p>
    <w:p>
      <w:pPr>
        <w:spacing w:after="0" w:line="276" w:lineRule="auto"/>
        <w:jc w:val="left"/>
        <w:rPr>
          <w:rFonts w:eastAsiaTheme="minorHAnsi"/>
          <w:b/>
          <w:i/>
          <w:noProof/>
        </w:rPr>
      </w:pPr>
    </w:p>
    <w:p>
      <w:pPr>
        <w:spacing w:after="200" w:line="276" w:lineRule="auto"/>
        <w:jc w:val="left"/>
        <w:rPr>
          <w:rFonts w:eastAsiaTheme="minorHAnsi"/>
          <w:b/>
          <w:i/>
          <w:noProof/>
        </w:rPr>
      </w:pPr>
      <w:r>
        <w:rPr>
          <w:rFonts w:eastAsiaTheme="minorHAnsi"/>
          <w:b/>
          <w:i/>
          <w:noProof/>
        </w:rPr>
        <w:t>Bing</w:t>
      </w:r>
    </w:p>
    <w:p>
      <w:pPr>
        <w:spacing w:after="200" w:line="276" w:lineRule="auto"/>
        <w:jc w:val="left"/>
        <w:rPr>
          <w:rFonts w:eastAsiaTheme="minorHAnsi"/>
          <w:noProof/>
        </w:rPr>
      </w:pPr>
      <w:r>
        <w:rPr>
          <w:rFonts w:eastAsiaTheme="minorHAnsi"/>
          <w:noProof/>
        </w:rPr>
        <w:t>The Bing Webmaster Guidelines cover a number of topics and are intended to help content to be found and indexed within Bing. The Bing Webmaster tools include SEO Reports and SEO Analyser. Both tools are based on a set of approximately 15 best practices. The SEO reports tool provides with bulk reports for the entire site. The guidelines allow for understanding the SEO reports. Checking these reports would allow the webmaster/user to identify what should be looked at and improved. The reports include SEO Suggestions based on items found by Bing as non-compliant. The SEO analyser is an on-demand tool which can scan a single page at a time, thus allowing checking and improving new pages. The tool is intended to fetch the page from the site, analyse it against best practices and display a compliance report. The guidelines also explain that unlike Bingbot, SEO analyser ignores any robots.txt directives in place for a site and fetch the page. This allows the webmaster to also check the compliance of pages which are not allowed to be crawled by Bing normal crawler.</w:t>
      </w:r>
    </w:p>
    <w:p>
      <w:pPr>
        <w:spacing w:after="0" w:line="276" w:lineRule="auto"/>
        <w:rPr>
          <w:rFonts w:eastAsiaTheme="minorHAnsi"/>
          <w:noProof/>
        </w:rPr>
      </w:pPr>
    </w:p>
    <w:p>
      <w:pPr>
        <w:spacing w:after="0" w:line="276" w:lineRule="auto"/>
        <w:rPr>
          <w:rFonts w:eastAsiaTheme="minorHAnsi"/>
          <w:noProof/>
        </w:rPr>
      </w:pPr>
      <w:r>
        <w:rPr>
          <w:rFonts w:eastAsiaTheme="minorHAnsi"/>
          <w:noProof/>
        </w:rPr>
        <w:t>The SEO section clarifies that performing SEO-related work is no guarantee of improving rankings or receiving more traffic from Bing. The SEO section lists a number of optimisation areas to focus on. The Section on "Abuse and Examples of Things to Avoid" explains that sites which engage in abuse such as the practices outlined by Bing are considered to be low quality. As a result these sites can incur ranking penalties, have mark-up ignored, or not be selected for the index. These Bing Webmaster Guidelines describe only some of the most widespread forms of inappropriate, manipulative or misleading behaviours. It is set out that Microsoft may take action against the content provider or the respective site for any other inappropriate or deceptive practices not described in the SEO section. If a webmaster feels action has been taken against his site the webmaster tools could be used to contact Bing's support. In addition users can report abuse of any of these practices using the feedback link in the footer of bing.com after doing a search which reproduces the issue.</w:t>
      </w:r>
    </w:p>
    <w:p>
      <w:pPr>
        <w:spacing w:after="0" w:line="276" w:lineRule="auto"/>
        <w:rPr>
          <w:rFonts w:eastAsiaTheme="minorHAnsi"/>
          <w:noProof/>
        </w:rPr>
      </w:pPr>
    </w:p>
    <w:p>
      <w:pPr>
        <w:spacing w:after="0" w:line="276" w:lineRule="auto"/>
        <w:rPr>
          <w:rFonts w:eastAsiaTheme="minorHAnsi"/>
          <w:noProof/>
        </w:rPr>
      </w:pPr>
      <w:r>
        <w:rPr>
          <w:rFonts w:eastAsiaTheme="minorHAnsi"/>
          <w:noProof/>
        </w:rPr>
        <w:t xml:space="preserve">Regarding demotion and removal, Bing indicates that "keywork stuffing" would be a reason for demotion. The Webmaster Guidelines do however neither provide a list of reasons for demotion and  removal nor do they indicate whether the criteria listed for ranking/demotion/removal are exhaustive or not. </w:t>
      </w:r>
    </w:p>
    <w:bookmarkEnd w:id="1940"/>
    <w:p>
      <w:pPr>
        <w:rPr>
          <w:noProof/>
        </w:rPr>
      </w:pPr>
    </w:p>
    <w:p>
      <w:pPr>
        <w:pStyle w:val="Heading2"/>
        <w:rPr>
          <w:noProof/>
        </w:rPr>
      </w:pPr>
      <w:bookmarkStart w:id="1963" w:name="_Toc506981189"/>
      <w:bookmarkStart w:id="1964" w:name="_Toc507167055"/>
      <w:bookmarkStart w:id="1965" w:name="_Toc507168048"/>
      <w:bookmarkStart w:id="1966" w:name="_Toc497900337"/>
      <w:bookmarkStart w:id="1967" w:name="_Toc497902427"/>
      <w:bookmarkStart w:id="1968" w:name="_Toc497906134"/>
      <w:bookmarkStart w:id="1969" w:name="_Toc497906279"/>
      <w:bookmarkStart w:id="1970" w:name="_Toc497906424"/>
      <w:bookmarkStart w:id="1971" w:name="_Toc497906569"/>
      <w:bookmarkStart w:id="1972" w:name="_Toc497907305"/>
      <w:bookmarkStart w:id="1973" w:name="_Toc497907967"/>
      <w:bookmarkStart w:id="1974" w:name="_Toc497910020"/>
      <w:bookmarkStart w:id="1975" w:name="_Toc497913157"/>
      <w:bookmarkStart w:id="1976" w:name="_Toc497915812"/>
      <w:bookmarkStart w:id="1977" w:name="_Toc497919466"/>
      <w:bookmarkStart w:id="1978" w:name="_Toc497919784"/>
      <w:bookmarkStart w:id="1979" w:name="_Toc497920470"/>
      <w:bookmarkStart w:id="1980" w:name="_Toc497921517"/>
      <w:bookmarkStart w:id="1981" w:name="_Toc497921610"/>
      <w:bookmarkStart w:id="1982" w:name="_Toc500262140"/>
      <w:bookmarkStart w:id="1983" w:name="_Toc507167056"/>
      <w:bookmarkStart w:id="1984" w:name="_Toc508297436"/>
      <w:bookmarkStart w:id="1985" w:name="_Toc508350198"/>
      <w:bookmarkStart w:id="1986" w:name="_Toc508351638"/>
      <w:bookmarkStart w:id="1987" w:name="_Toc508360052"/>
      <w:bookmarkStart w:id="1988" w:name="_Toc511220551"/>
      <w:bookmarkStart w:id="1989" w:name="_Toc511234997"/>
      <w:bookmarkStart w:id="1990" w:name="_Toc511292910"/>
      <w:bookmarkEnd w:id="1872"/>
      <w:bookmarkEnd w:id="1873"/>
      <w:bookmarkEnd w:id="1874"/>
      <w:bookmarkEnd w:id="1875"/>
      <w:bookmarkEnd w:id="1876"/>
      <w:bookmarkEnd w:id="1877"/>
      <w:bookmarkEnd w:id="1878"/>
      <w:bookmarkEnd w:id="1879"/>
      <w:bookmarkEnd w:id="1880"/>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r>
        <w:rPr>
          <w:noProof/>
        </w:rPr>
        <w:t>Benefits of B2C online platforms for consumers, businesses and the economy as a whole</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pPr>
        <w:pStyle w:val="Text2"/>
        <w:ind w:left="0"/>
        <w:rPr>
          <w:noProof/>
        </w:rPr>
      </w:pPr>
      <w:bookmarkStart w:id="1991" w:name="_Toc497916088"/>
      <w:bookmarkStart w:id="1992" w:name="_Toc497916701"/>
      <w:bookmarkEnd w:id="1991"/>
      <w:bookmarkEnd w:id="1992"/>
      <w:r>
        <w:rPr>
          <w:noProof/>
        </w:rPr>
        <w:t>B2C online platforms benefit greatly all sides of the market(s) they serve. They increase consumer choice and consumer convenience. They increase price competition among suppliers, to the benefit of consumers</w:t>
      </w:r>
      <w:r>
        <w:rPr>
          <w:rStyle w:val="FootnoteReference"/>
          <w:noProof/>
        </w:rPr>
        <w:footnoteReference w:id="105"/>
      </w:r>
      <w:r>
        <w:rPr>
          <w:noProof/>
        </w:rPr>
        <w:t>. Beyond the general advantages of e-commerce (accessibility at any hour of the day, home delivery), they save time by facilitating comparisons, offering personalised services and simplifying transaction systems. It is estimated that, when comparing time spent on physical and online searches and extending this value to the European consumer base, online search platforms alone generate EUR 140 billion in time saved for European consumers</w:t>
      </w:r>
      <w:r>
        <w:rPr>
          <w:rStyle w:val="FootnoteReference"/>
          <w:noProof/>
        </w:rPr>
        <w:footnoteReference w:id="106"/>
      </w:r>
      <w:r>
        <w:rPr>
          <w:noProof/>
        </w:rPr>
        <w:t>. Online platforms also reduce information asymmetries between consumers and suppliers/manufacturers through rating systems, user reviews and comparison tools. Many platforms provide free services to consumers, e.g. Facebook, Youtube, Wikipedia, LinkedIn and Craigslist. The overall consumer welfare gain from such free platform services was estimated in 2015 to amount to EUR 135 billion per year.</w:t>
      </w:r>
      <w:r>
        <w:rPr>
          <w:noProof/>
          <w:vertAlign w:val="superscript"/>
        </w:rPr>
        <w:footnoteReference w:id="107"/>
      </w:r>
    </w:p>
    <w:p>
      <w:pPr>
        <w:tabs>
          <w:tab w:val="left" w:pos="2302"/>
        </w:tabs>
        <w:rPr>
          <w:noProof/>
          <w:lang w:eastAsia="en-GB"/>
        </w:rPr>
      </w:pPr>
      <w:r>
        <w:rPr>
          <w:noProof/>
          <w:lang w:eastAsia="en-GB"/>
        </w:rPr>
        <w:t>B2C online platforms also create new market opportunities for business users, especially for SMEs by offering easy, borderless access to millions of potential customers. For example, information gathered for the Commission's sector inquiry into e-commerce (E-commerce Sector Inquiry) indicates that online marketplaces are particularly useful for small and very small retailers. In 2014, the overwhelming majority (89% for the EU as a whole) of businesses selling via these marketplaces generated an annual turnover lower than or equal to EUR 50 000 irrespective of the Member State in which they were established. Small sellers are attracted by the low initial investment required for being active on platforms. For example, it spares them the cost of having to set up an own website, enabling them to first scale up through platform sales. B2C online platforms also reduce other costs borne by businesses. For example, a study shows that online platforms can reduce the search costs for employers by 75% as compared to commissioning external recruiters.</w:t>
      </w:r>
      <w:r>
        <w:rPr>
          <w:noProof/>
          <w:vertAlign w:val="superscript"/>
          <w:lang w:eastAsia="en-GB"/>
        </w:rPr>
        <w:footnoteReference w:id="108"/>
      </w:r>
    </w:p>
    <w:p>
      <w:pPr>
        <w:tabs>
          <w:tab w:val="left" w:pos="2302"/>
        </w:tabs>
        <w:rPr>
          <w:noProof/>
        </w:rPr>
      </w:pPr>
      <w:r>
        <w:rPr>
          <w:noProof/>
          <w:lang w:eastAsia="en-GB"/>
        </w:rPr>
        <w:t>More generally, online platforms drive innovation and growth in the digital economy. They invest massively in R&amp;D</w:t>
      </w:r>
      <w:r>
        <w:rPr>
          <w:rStyle w:val="FootnoteReference"/>
          <w:noProof/>
          <w:lang w:eastAsia="en-GB"/>
        </w:rPr>
        <w:footnoteReference w:id="109"/>
      </w:r>
      <w:r>
        <w:rPr>
          <w:noProof/>
          <w:lang w:eastAsia="en-GB"/>
        </w:rPr>
        <w:t>. They are also a magnet for innovation. For example, new apps are constantly being developed and made available in app stores. In March 2017, there were 2.8 million apps available in Google Play, 2.2 million in the Apple App Store, 669 000 in the Windows Store and 600 000 in the Amazon Appstore.</w:t>
      </w:r>
      <w:r>
        <w:rPr>
          <w:noProof/>
          <w:vertAlign w:val="superscript"/>
          <w:lang w:eastAsia="en-GB"/>
        </w:rPr>
        <w:footnoteReference w:id="110"/>
      </w:r>
      <w:r>
        <w:rPr>
          <w:noProof/>
          <w:lang w:eastAsia="en-GB"/>
        </w:rPr>
        <w:t xml:space="preserve"> S</w:t>
      </w:r>
      <w:r>
        <w:rPr>
          <w:noProof/>
        </w:rPr>
        <w:t>ome studies estimate that the EU app industry will amount to EUR 63 billion by 2018.</w:t>
      </w:r>
      <w:r>
        <w:rPr>
          <w:rStyle w:val="FootnoteReference"/>
          <w:noProof/>
        </w:rPr>
        <w:footnoteReference w:id="111"/>
      </w:r>
    </w:p>
    <w:p>
      <w:pPr>
        <w:pStyle w:val="Heading1"/>
        <w:numPr>
          <w:ilvl w:val="0"/>
          <w:numId w:val="12"/>
        </w:numPr>
        <w:rPr>
          <w:noProof/>
        </w:rPr>
      </w:pPr>
      <w:bookmarkStart w:id="1993" w:name="_Toc497901060"/>
      <w:bookmarkStart w:id="1994" w:name="_Toc492046809"/>
      <w:bookmarkStart w:id="1995" w:name="_Toc492048749"/>
      <w:bookmarkStart w:id="1996" w:name="_Toc492049422"/>
      <w:bookmarkStart w:id="1997" w:name="_Toc492056894"/>
      <w:bookmarkStart w:id="1998" w:name="_Toc492056991"/>
      <w:bookmarkStart w:id="1999" w:name="_Toc492557211"/>
      <w:bookmarkStart w:id="2000" w:name="_Toc495420831"/>
      <w:bookmarkStart w:id="2001" w:name="_Toc492048427"/>
      <w:bookmarkStart w:id="2002" w:name="_Toc492557212"/>
      <w:bookmarkStart w:id="2003" w:name="_Toc497906631"/>
      <w:bookmarkStart w:id="2004" w:name="_Toc497913022"/>
      <w:bookmarkStart w:id="2005" w:name="_Toc497919467"/>
      <w:bookmarkStart w:id="2006" w:name="_Toc497919785"/>
      <w:bookmarkStart w:id="2007" w:name="_Toc497920471"/>
      <w:bookmarkStart w:id="2008" w:name="_Toc497921518"/>
      <w:bookmarkStart w:id="2009" w:name="_Toc497921611"/>
      <w:bookmarkStart w:id="2010" w:name="_Toc500262141"/>
      <w:bookmarkStart w:id="2011" w:name="_Toc507167057"/>
      <w:bookmarkStart w:id="2012" w:name="_Toc508297437"/>
      <w:bookmarkStart w:id="2013" w:name="_Toc508350199"/>
      <w:bookmarkStart w:id="2014" w:name="_Toc508351639"/>
      <w:bookmarkStart w:id="2015" w:name="_Toc508360053"/>
      <w:bookmarkStart w:id="2016" w:name="_Toc511220552"/>
      <w:bookmarkStart w:id="2017" w:name="_Toc511234998"/>
      <w:bookmarkStart w:id="2018" w:name="_Toc511292911"/>
      <w:bookmarkEnd w:id="1993"/>
      <w:bookmarkEnd w:id="1994"/>
      <w:bookmarkEnd w:id="1995"/>
      <w:bookmarkEnd w:id="1996"/>
      <w:bookmarkEnd w:id="1997"/>
      <w:bookmarkEnd w:id="1998"/>
      <w:bookmarkEnd w:id="1999"/>
      <w:bookmarkEnd w:id="2000"/>
      <w:r>
        <w:rPr>
          <w:noProof/>
        </w:rPr>
        <w:t>Regulatory Analysis: status quo</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pPr>
        <w:rPr>
          <w:noProof/>
        </w:rPr>
      </w:pPr>
      <w:r>
        <w:rPr>
          <w:noProof/>
        </w:rPr>
        <w:t>This Annex sets out in detail why the existing legal framework at both EU and Member State-level cannot be used to address the problem statement described in this Impact Assessment. In doing so, it also confirms the consistency of the present policy initiative with the relevant EU acquis. Finally, it addresses the issue of emerging regulatory fragmentation in the specific area of online platforms and its likely development in the absence of any policy intervention by the EU.</w:t>
      </w:r>
    </w:p>
    <w:p>
      <w:pPr>
        <w:pStyle w:val="Heading2"/>
        <w:numPr>
          <w:ilvl w:val="0"/>
          <w:numId w:val="0"/>
        </w:numPr>
        <w:rPr>
          <w:noProof/>
        </w:rPr>
      </w:pPr>
      <w:bookmarkStart w:id="2019" w:name="_Toc506981192"/>
      <w:bookmarkStart w:id="2020" w:name="_Toc507167058"/>
      <w:bookmarkStart w:id="2021" w:name="_Toc507168051"/>
      <w:bookmarkStart w:id="2022" w:name="_Toc507426715"/>
      <w:bookmarkStart w:id="2023" w:name="_Toc506981193"/>
      <w:bookmarkStart w:id="2024" w:name="_Toc507167059"/>
      <w:bookmarkStart w:id="2025" w:name="_Toc507168052"/>
      <w:bookmarkStart w:id="2026" w:name="_Toc507426716"/>
      <w:bookmarkStart w:id="2027" w:name="_Toc506981194"/>
      <w:bookmarkStart w:id="2028" w:name="_Toc507167060"/>
      <w:bookmarkStart w:id="2029" w:name="_Toc507168053"/>
      <w:bookmarkStart w:id="2030" w:name="_Toc507426717"/>
      <w:bookmarkStart w:id="2031" w:name="_Toc506981195"/>
      <w:bookmarkStart w:id="2032" w:name="_Toc507167061"/>
      <w:bookmarkStart w:id="2033" w:name="_Toc507168054"/>
      <w:bookmarkStart w:id="2034" w:name="_Toc507426718"/>
      <w:bookmarkStart w:id="2035" w:name="_Toc506981196"/>
      <w:bookmarkStart w:id="2036" w:name="_Toc507167062"/>
      <w:bookmarkStart w:id="2037" w:name="_Toc507168055"/>
      <w:bookmarkStart w:id="2038" w:name="_Toc507426719"/>
      <w:bookmarkStart w:id="2039" w:name="_Toc506981197"/>
      <w:bookmarkStart w:id="2040" w:name="_Toc507167063"/>
      <w:bookmarkStart w:id="2041" w:name="_Toc507168056"/>
      <w:bookmarkStart w:id="2042" w:name="_Toc507426720"/>
      <w:bookmarkStart w:id="2043" w:name="_Toc506981198"/>
      <w:bookmarkStart w:id="2044" w:name="_Toc507167064"/>
      <w:bookmarkStart w:id="2045" w:name="_Toc507168057"/>
      <w:bookmarkStart w:id="2046" w:name="_Toc507426721"/>
      <w:bookmarkStart w:id="2047" w:name="_Toc506981199"/>
      <w:bookmarkStart w:id="2048" w:name="_Toc507167065"/>
      <w:bookmarkStart w:id="2049" w:name="_Toc507168058"/>
      <w:bookmarkStart w:id="2050" w:name="_Toc507426722"/>
      <w:bookmarkStart w:id="2051" w:name="_Toc506981200"/>
      <w:bookmarkStart w:id="2052" w:name="_Toc507167066"/>
      <w:bookmarkStart w:id="2053" w:name="_Toc507168059"/>
      <w:bookmarkStart w:id="2054" w:name="_Toc507426723"/>
      <w:bookmarkStart w:id="2055" w:name="_Toc491701908"/>
      <w:bookmarkStart w:id="2056" w:name="_Toc492048428"/>
      <w:bookmarkStart w:id="2057" w:name="_Toc492557213"/>
      <w:bookmarkStart w:id="2058" w:name="_Toc497906632"/>
      <w:bookmarkStart w:id="2059" w:name="_Toc497913023"/>
      <w:bookmarkStart w:id="2060" w:name="_Toc497919468"/>
      <w:bookmarkStart w:id="2061" w:name="_Toc497919786"/>
      <w:bookmarkStart w:id="2062" w:name="_Toc497920472"/>
      <w:bookmarkStart w:id="2063" w:name="_Toc497921519"/>
      <w:bookmarkStart w:id="2064" w:name="_Toc497921612"/>
      <w:bookmarkStart w:id="2065" w:name="_Toc500262142"/>
      <w:bookmarkStart w:id="2066" w:name="_Toc507167067"/>
      <w:bookmarkStart w:id="2067" w:name="_Toc508297438"/>
      <w:bookmarkStart w:id="2068" w:name="_Toc508350200"/>
      <w:bookmarkStart w:id="2069" w:name="_Toc508351640"/>
      <w:bookmarkStart w:id="2070" w:name="_Toc508360054"/>
      <w:bookmarkStart w:id="2071" w:name="_Toc511220553"/>
      <w:bookmarkStart w:id="2072" w:name="_Toc511234999"/>
      <w:bookmarkStart w:id="2073" w:name="_Toc511292912"/>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Pr>
          <w:noProof/>
        </w:rPr>
        <w:t>8.1</w:t>
      </w:r>
      <w:r>
        <w:rPr>
          <w:noProof/>
        </w:rPr>
        <w:tab/>
        <w:t>EU competition law</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p>
    <w:p>
      <w:pPr>
        <w:rPr>
          <w:noProof/>
        </w:rPr>
      </w:pPr>
      <w:bookmarkStart w:id="2074" w:name="_Toc497919469"/>
      <w:bookmarkStart w:id="2075" w:name="_Toc497919787"/>
      <w:bookmarkStart w:id="2076" w:name="_Toc497920473"/>
      <w:bookmarkStart w:id="2077" w:name="_Toc497921520"/>
      <w:bookmarkStart w:id="2078" w:name="_Toc497921613"/>
      <w:bookmarkStart w:id="2079" w:name="_Toc500262143"/>
      <w:bookmarkStart w:id="2080" w:name="_Toc507167068"/>
      <w:r>
        <w:rPr>
          <w:noProof/>
        </w:rPr>
        <w:t xml:space="preserve">The problem statement formulated in the present Impact Assessment goes beyond the remit of EU competition law. </w:t>
      </w:r>
    </w:p>
    <w:p>
      <w:pPr>
        <w:rPr>
          <w:noProof/>
        </w:rPr>
      </w:pPr>
      <w:r>
        <w:rPr>
          <w:noProof/>
        </w:rPr>
        <w:t xml:space="preserve">Competition law focuses on anticompetitive behaviour and mergers. The EU antitrust rules are aimed at tackling anticompetitive agreements (Article 101 TFEU) or abuses of dominant position (Article 102 TFEU). However, the trading practices described in Section 2.1.1 do not necessarily have an anticompetitive object or effect under Article 101 TFEU. As regards the applicability of Article 102 TFEU, the existence of a dominant position in the relevant market would need to be established. However, these trading practices are common to the wider online platform-business model and can result in significant harm to individual businesses also in situations where the platform cannot be considered dominant. </w:t>
      </w:r>
    </w:p>
    <w:p>
      <w:pPr>
        <w:pStyle w:val="Heading2"/>
        <w:numPr>
          <w:ilvl w:val="0"/>
          <w:numId w:val="0"/>
        </w:numPr>
        <w:rPr>
          <w:noProof/>
        </w:rPr>
      </w:pPr>
      <w:bookmarkStart w:id="2081" w:name="_Toc508297439"/>
      <w:bookmarkStart w:id="2082" w:name="_Toc508350201"/>
      <w:bookmarkStart w:id="2083" w:name="_Toc508351641"/>
      <w:bookmarkStart w:id="2084" w:name="_Toc508360055"/>
      <w:bookmarkStart w:id="2085" w:name="_Toc511220554"/>
      <w:bookmarkStart w:id="2086" w:name="_Toc511235000"/>
      <w:bookmarkStart w:id="2087" w:name="_Toc511292913"/>
      <w:r>
        <w:rPr>
          <w:noProof/>
        </w:rPr>
        <w:t>8.2</w:t>
      </w:r>
      <w:r>
        <w:rPr>
          <w:noProof/>
        </w:rPr>
        <w:tab/>
        <w:t>Jurisdiction of courts and applicable law: diverging national approaches</w:t>
      </w:r>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pPr>
        <w:pStyle w:val="Text2"/>
        <w:ind w:left="0"/>
        <w:rPr>
          <w:noProof/>
        </w:rPr>
      </w:pPr>
      <w:r>
        <w:rPr>
          <w:noProof/>
        </w:rPr>
        <w:t xml:space="preserve">The use by online platforms of exclusive jurisdiction and choice of law clauses in their contractual relations with business users in principle falls under the freedom to contract. This freedom to contract is reflected inter alia in </w:t>
      </w:r>
      <w:r>
        <w:rPr>
          <w:noProof/>
          <w:szCs w:val="24"/>
        </w:rPr>
        <w:t xml:space="preserve">Article 3 of Regulation (EC) </w:t>
      </w:r>
      <w:r>
        <w:rPr>
          <w:noProof/>
          <w:color w:val="444444"/>
          <w:szCs w:val="24"/>
          <w:lang w:val="en"/>
        </w:rPr>
        <w:t>593/2008 (the "Rome 1 Regulation"</w:t>
      </w:r>
      <w:r>
        <w:rPr>
          <w:noProof/>
          <w:color w:val="444444"/>
          <w:sz w:val="27"/>
          <w:szCs w:val="27"/>
          <w:lang w:val="en"/>
        </w:rPr>
        <w:t xml:space="preserve">) and </w:t>
      </w:r>
      <w:r>
        <w:rPr>
          <w:noProof/>
        </w:rPr>
        <w:t>Article 14(1)(b) of Regulation (EC) 864/2007 (the "Rome II Regulation") .</w:t>
      </w:r>
    </w:p>
    <w:p>
      <w:pPr>
        <w:pStyle w:val="Text2"/>
        <w:ind w:left="0"/>
        <w:rPr>
          <w:noProof/>
        </w:rPr>
      </w:pPr>
      <w:r>
        <w:rPr>
          <w:noProof/>
        </w:rPr>
        <w:t>The harmful P2B trading practices described in the present Impact Assessment largely arise within an existing contractual relationship between online platforms and their business users, and such commercial conflicts should therefore in principle be (i) brought before the court or arbitrator selected in the applicable terms and conditions, and (ii) reviewed on the basis of the law that has been rendered applicable to them. Choice of law, including third country law is covered by the Rome I Regulation and Rome II Regulation</w:t>
      </w:r>
      <w:r>
        <w:rPr>
          <w:rStyle w:val="FootnoteReference"/>
          <w:noProof/>
        </w:rPr>
        <w:footnoteReference w:id="112"/>
      </w:r>
      <w:r>
        <w:rPr>
          <w:noProof/>
        </w:rPr>
        <w:t>. Choice of jurisdiction however, is covered by the BXL Ibis Regulation only where an EU court has been designated. Choice of jurisdiction of third countries is covered by the international private law of the Member States. Some EU Member States that have B2B unfair commercial practices legislation in place</w:t>
      </w:r>
      <w:r>
        <w:rPr>
          <w:rStyle w:val="FootnoteReference"/>
          <w:noProof/>
        </w:rPr>
        <w:footnoteReference w:id="113"/>
      </w:r>
      <w:r>
        <w:rPr>
          <w:noProof/>
        </w:rPr>
        <w:t xml:space="preserve"> appear to have provisions banning the use of exclusive jurisdiction</w:t>
      </w:r>
      <w:r>
        <w:rPr>
          <w:rStyle w:val="FootnoteReference"/>
          <w:noProof/>
        </w:rPr>
        <w:footnoteReference w:id="114"/>
      </w:r>
      <w:r>
        <w:rPr>
          <w:noProof/>
        </w:rPr>
        <w:t xml:space="preserve"> .</w:t>
      </w:r>
    </w:p>
    <w:p>
      <w:pPr>
        <w:pStyle w:val="Text2"/>
        <w:ind w:left="0"/>
        <w:rPr>
          <w:noProof/>
        </w:rPr>
      </w:pPr>
      <w:r>
        <w:rPr>
          <w:noProof/>
        </w:rPr>
        <w:t>This means that business users of online platforms will - in the absence of any specific national legal provision on which they can rely - have to risk bringing an unsuccessful case before their national courts to establish on a case-by-case basis the validity of the exclusive jurisdiction and/or choice of law clauses included in their terms and conditions with online platforms. This is only a first step that can take many months and is required before a case on substance in their home Member State could potentially proceed.</w:t>
      </w:r>
    </w:p>
    <w:p>
      <w:pPr>
        <w:pStyle w:val="Text2"/>
        <w:ind w:left="0"/>
        <w:rPr>
          <w:noProof/>
        </w:rPr>
      </w:pPr>
      <w:r>
        <w:rPr>
          <w:noProof/>
        </w:rPr>
        <w:t>The inherent cross-border nature of most online platforms also means that exclusive jurisdiction and choice of law clauses for example in favour of the online platforms' home Member State are not necessarily invalid or unfair assuming the status quo – even if these have been imposed unilaterally.</w:t>
      </w:r>
    </w:p>
    <w:p>
      <w:pPr>
        <w:pStyle w:val="Text2"/>
        <w:ind w:left="0"/>
        <w:rPr>
          <w:noProof/>
        </w:rPr>
      </w:pPr>
      <w:r>
        <w:rPr>
          <w:noProof/>
        </w:rPr>
        <w:t>Member States' authorities could nonetheless attempt to enforce national B2B unfair commercial practices legislation against national as well as foreign online platform operators regardless of the law these firms have applied to their commercial relations with their business users. Such enforcement actions however equally suffer from the lack of clarity of existing B2B unfair commercial practices legislation as well as from the cross-border operation of platforms. To the extent specific enforcement bodies have been appointed (rather than Member States relying on civil enforcement), these authorities would namely have to ultimately prove in court that the P2B trading practices fall within the scope of their general B2B unfairness legislation, as well as that they constitute non-contractual acts of quasi-delict or potentially unfair competition that occurred on their territory – or resorted an actual effect on their national market in the case of unfair competition – such that have jurisdiction over them in accordance with Article 4(1) or Article 6(1) of the Rome II Regulation. As regards non-EU platforms having selected extra-EU courts, the situation is even more complicated, as international law is silent on how to deal with such choice of jurisdiction clauses. The relevant Hague Convention on Choice of Courts does not namely contain explicit rules dealing with jurisdiction for B2B unfair commercial practices. Such practices could be covered under "tort" which is however explicitly excluded from the scope of the Hague Convention on Choice of Courts</w:t>
      </w:r>
      <w:r>
        <w:rPr>
          <w:rStyle w:val="FootnoteReference"/>
          <w:noProof/>
        </w:rPr>
        <w:footnoteReference w:id="115"/>
      </w:r>
      <w:r>
        <w:rPr>
          <w:noProof/>
        </w:rPr>
        <w:t>. It will therefore depend on the legislation and the courts of the Member State deciding on jurisdiction whether or not the terms and conditions providing for the choice of the jurisdiction of a third country will be upheld. The same applies where the third country the jurisdiction of which has been chosen has not ratified the Hague Convention on Choice of Courts. Member States have taken different approaches to choice jurisdictions of third countries in B2B relationships. Some national courts have annulled such clauses</w:t>
      </w:r>
      <w:r>
        <w:rPr>
          <w:rStyle w:val="FootnoteReference"/>
          <w:noProof/>
        </w:rPr>
        <w:footnoteReference w:id="116"/>
      </w:r>
      <w:r>
        <w:rPr>
          <w:noProof/>
        </w:rPr>
        <w:t>, however following the questionable logic that, inter alia, Article 25 Regulation (EU) 2015/2012 (the "Brussels I bis Regulation") does not apply to choice of third country jurisdictions and that therefore the default jurisdiction under Article 7.2 BXL Ibis applies.</w:t>
      </w:r>
      <w:r>
        <w:rPr>
          <w:rStyle w:val="FootnoteReference"/>
          <w:noProof/>
        </w:rPr>
        <w:footnoteReference w:id="117"/>
      </w:r>
      <w:r>
        <w:rPr>
          <w:noProof/>
        </w:rPr>
        <w:t xml:space="preserve"> This is questionable in light of the fact that the Brussels I bis Regulation constitutes EU law that is without prejudice to international private law as well as EU Member States' obligations deriving from international conventions, and it cannot therefore be assumed that courts in other Member States will follow this approach. Rather, for some other EU Member States it seems that, a priori, choice of jurisdiction clauses favouring extra-EU courts in a B2B relationship are likely to be upheld</w:t>
      </w:r>
      <w:r>
        <w:rPr>
          <w:rStyle w:val="FootnoteReference"/>
          <w:noProof/>
        </w:rPr>
        <w:footnoteReference w:id="118"/>
      </w:r>
      <w:r>
        <w:rPr>
          <w:noProof/>
        </w:rPr>
        <w:t xml:space="preserve">. </w:t>
      </w:r>
    </w:p>
    <w:p>
      <w:pPr>
        <w:pStyle w:val="Text2"/>
        <w:ind w:left="0"/>
        <w:rPr>
          <w:noProof/>
        </w:rPr>
      </w:pPr>
      <w:r>
        <w:rPr>
          <w:noProof/>
        </w:rPr>
        <w:t>In light of the foregoing, existing provisions of EU and international law do not provide business users of online platforms with sufficient certainty to be able to effectively bring court proceedings to challenge online platforms' decisions</w:t>
      </w:r>
      <w:r>
        <w:rPr>
          <w:rStyle w:val="FootnoteReference"/>
          <w:noProof/>
        </w:rPr>
        <w:footnoteReference w:id="119"/>
      </w:r>
      <w:r>
        <w:rPr>
          <w:noProof/>
        </w:rPr>
        <w:t xml:space="preserve"> – even if the business users in question were to be domiciled in EU Member States that have some form of legal protections against B2B unfairness. </w:t>
      </w:r>
    </w:p>
    <w:p>
      <w:pPr>
        <w:pStyle w:val="Heading2"/>
        <w:numPr>
          <w:ilvl w:val="0"/>
          <w:numId w:val="0"/>
        </w:numPr>
        <w:rPr>
          <w:noProof/>
        </w:rPr>
      </w:pPr>
      <w:bookmarkStart w:id="2088" w:name="_Toc497919470"/>
      <w:bookmarkStart w:id="2089" w:name="_Toc497919788"/>
      <w:bookmarkStart w:id="2090" w:name="_Toc497920474"/>
      <w:bookmarkStart w:id="2091" w:name="_Toc497921521"/>
      <w:bookmarkStart w:id="2092" w:name="_Toc497921614"/>
      <w:bookmarkStart w:id="2093" w:name="_Toc500262144"/>
      <w:bookmarkStart w:id="2094" w:name="_Toc507167069"/>
      <w:bookmarkStart w:id="2095" w:name="_Toc508297440"/>
      <w:bookmarkStart w:id="2096" w:name="_Toc508350202"/>
      <w:bookmarkStart w:id="2097" w:name="_Toc508351642"/>
      <w:bookmarkStart w:id="2098" w:name="_Toc508360056"/>
      <w:bookmarkStart w:id="2099" w:name="_Toc511220555"/>
      <w:bookmarkStart w:id="2100" w:name="_Toc511235001"/>
      <w:bookmarkStart w:id="2101" w:name="_Toc511292914"/>
      <w:bookmarkStart w:id="2102" w:name="_Toc492048431"/>
      <w:bookmarkStart w:id="2103" w:name="_Toc492557216"/>
      <w:bookmarkStart w:id="2104" w:name="_Toc497906633"/>
      <w:bookmarkStart w:id="2105" w:name="_Toc497913024"/>
      <w:r>
        <w:rPr>
          <w:noProof/>
        </w:rPr>
        <w:t>8.3</w:t>
      </w:r>
      <w:r>
        <w:rPr>
          <w:noProof/>
        </w:rPr>
        <w:tab/>
        <w:t>EU acquis: other relevant acts</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pPr>
        <w:rPr>
          <w:noProof/>
        </w:rPr>
      </w:pPr>
      <w:bookmarkStart w:id="2106" w:name="_Toc492048432"/>
      <w:bookmarkStart w:id="2107" w:name="_Toc492557217"/>
      <w:bookmarkStart w:id="2108" w:name="_Toc497906634"/>
      <w:bookmarkStart w:id="2109" w:name="_Toc497913025"/>
      <w:bookmarkEnd w:id="2102"/>
      <w:bookmarkEnd w:id="2103"/>
      <w:bookmarkEnd w:id="2104"/>
      <w:bookmarkEnd w:id="2105"/>
      <w:r>
        <w:rPr>
          <w:b/>
          <w:noProof/>
        </w:rPr>
        <w:t>Directive 31/2000/EC: intermediary liability</w:t>
      </w:r>
      <w:bookmarkEnd w:id="2106"/>
      <w:bookmarkEnd w:id="2107"/>
      <w:bookmarkEnd w:id="2108"/>
      <w:bookmarkEnd w:id="2109"/>
    </w:p>
    <w:p>
      <w:pPr>
        <w:rPr>
          <w:noProof/>
          <w:lang w:eastAsia="en-GB"/>
        </w:rPr>
      </w:pPr>
      <w:r>
        <w:rPr>
          <w:noProof/>
          <w:lang w:eastAsia="en-GB"/>
        </w:rPr>
        <w:t xml:space="preserve">The delisting, suspension or suppression of business users' accounts (or services/products) can result from the need for certain online platforms (i.e. those that constitute hosting services providers as understood in Article 14 of the E-commerce Directive 31/2000/EC) to expeditiously remove or disable access to content once they become aware of the illegal nature thereof, in order to maintain their exemption from intermediary liability. </w:t>
      </w:r>
    </w:p>
    <w:p>
      <w:pPr>
        <w:rPr>
          <w:noProof/>
          <w:lang w:eastAsia="en-GB"/>
        </w:rPr>
      </w:pPr>
      <w:r>
        <w:rPr>
          <w:noProof/>
          <w:lang w:eastAsia="en-GB"/>
        </w:rPr>
        <w:t>However, the illegal nature of content is not the only reason why online platforms decide to remove content; sometimes this is due to infringement of the platforms' own terms and conditions (e.g. on undesirable content), technical failure or as a result of unilateral decisions by the platform</w:t>
      </w:r>
      <w:r>
        <w:rPr>
          <w:rStyle w:val="FootnoteReference"/>
          <w:noProof/>
          <w:lang w:eastAsia="en-GB"/>
        </w:rPr>
        <w:footnoteReference w:id="120"/>
      </w:r>
      <w:r>
        <w:rPr>
          <w:noProof/>
          <w:lang w:eastAsia="en-GB"/>
        </w:rPr>
        <w:t xml:space="preserve">. This concerns content uploaded on the platform by all types of users – both natural persons and business users. </w:t>
      </w:r>
    </w:p>
    <w:p>
      <w:pPr>
        <w:rPr>
          <w:noProof/>
          <w:lang w:eastAsia="en-GB"/>
        </w:rPr>
      </w:pPr>
      <w:r>
        <w:rPr>
          <w:noProof/>
          <w:lang w:eastAsia="en-GB"/>
        </w:rPr>
        <w:t>Insofar as delisting practices involve alleged illegal content, no harmonised counter-notice procedures currently exist that could be used by users of online platforms to effectively and quickly challenge takedown decisions. Rather, the Commission has identified a degree of fragmentation existing in this respect, as only a limited number of Member States have introduced in their legislation the possibility to issue counter-notices, generally with regards to copyrighted content and applying different procedural rules.</w:t>
      </w:r>
    </w:p>
    <w:p>
      <w:pPr>
        <w:rPr>
          <w:noProof/>
          <w:lang w:eastAsia="en-GB"/>
        </w:rPr>
      </w:pPr>
      <w:r>
        <w:rPr>
          <w:noProof/>
          <w:lang w:eastAsia="en-GB"/>
        </w:rPr>
        <w:t>When consumers are concerned by the content take-down, under the Consumer Protection Cooperation Regulation (2006/2004/EC) the CPC authorities have clarified that social media online platforms cannot have unlimited and discretionary powers over the user-generated content and that standard terms and conditions should clearly state the main grounds on which content can be removed and how consumers are informed about and how they can appeal the removal. The 2017 revision of the  CPC Regulation (EU) 2017/2394</w:t>
      </w:r>
      <w:r>
        <w:rPr>
          <w:rStyle w:val="FootnoteReference"/>
          <w:noProof/>
          <w:lang w:eastAsia="en-GB"/>
        </w:rPr>
        <w:footnoteReference w:id="121"/>
      </w:r>
      <w:r>
        <w:rPr>
          <w:noProof/>
          <w:color w:val="333333"/>
          <w:shd w:val="clear" w:color="auto" w:fill="FFFFFF"/>
        </w:rPr>
        <w:t xml:space="preserve"> addresses the need to better enforce EU consumer law, especially in the fast evolving digital sphere, but given its scope does not touch upon </w:t>
      </w:r>
      <w:r>
        <w:rPr>
          <w:noProof/>
          <w:lang w:eastAsia="en-GB"/>
        </w:rPr>
        <w:t xml:space="preserve">the problems identified in a P2B relationship. </w:t>
      </w:r>
    </w:p>
    <w:p>
      <w:pPr>
        <w:rPr>
          <w:noProof/>
          <w:lang w:eastAsia="en-GB"/>
        </w:rPr>
      </w:pPr>
      <w:r>
        <w:rPr>
          <w:noProof/>
          <w:lang w:eastAsia="en-GB"/>
        </w:rPr>
        <w:t xml:space="preserve">The Guidelines issued by the Commission on 28 September 2017 through the Communication on </w:t>
      </w:r>
      <w:r>
        <w:rPr>
          <w:i/>
          <w:noProof/>
          <w:lang w:eastAsia="en-GB"/>
        </w:rPr>
        <w:t xml:space="preserve">Tackling Illegal Content Online. Towards an enhanced responsibility of online platforms </w:t>
      </w:r>
      <w:r>
        <w:rPr>
          <w:noProof/>
          <w:lang w:eastAsia="en-GB"/>
        </w:rPr>
        <w:t>COM(2017) 555</w:t>
      </w:r>
      <w:r>
        <w:rPr>
          <w:rStyle w:val="FootnoteReference"/>
          <w:noProof/>
          <w:lang w:eastAsia="en-GB"/>
        </w:rPr>
        <w:footnoteReference w:id="122"/>
      </w:r>
      <w:r>
        <w:rPr>
          <w:noProof/>
          <w:lang w:eastAsia="en-GB"/>
        </w:rPr>
        <w:t xml:space="preserve"> request further transparency on the platforms' content removal policy. This includes clearer general conditions, as well as the rights of the users to contest or appeal a content removal decision and the need for platforms to give a clear explanation to the user on the exact grounds for removal of their content.</w:t>
      </w:r>
    </w:p>
    <w:p>
      <w:pPr>
        <w:rPr>
          <w:noProof/>
          <w:lang w:eastAsia="en-GB"/>
        </w:rPr>
      </w:pPr>
      <w:r>
        <w:rPr>
          <w:noProof/>
          <w:lang w:eastAsia="en-GB"/>
        </w:rPr>
        <w:t>As such, while there is no overlap in between the preferred option in the Impact Assessment and the provisions of the E-Commerce Directive on the intermediary liability regime, nor with the Commission's guidelines on illegal content removal, the design of the preferred option with regards to delisting of business users and their content was conceived not to create contradicting incentives for the platforms for over-removal of content (assumed to be illegal), or for restraining from voluntary actions to identify and remove content deemed illegal.</w:t>
      </w:r>
    </w:p>
    <w:p>
      <w:pPr>
        <w:rPr>
          <w:noProof/>
        </w:rPr>
      </w:pPr>
      <w:bookmarkStart w:id="2110" w:name="_Toc492048433"/>
      <w:bookmarkStart w:id="2111" w:name="_Toc492557218"/>
      <w:bookmarkStart w:id="2112" w:name="_Toc497906635"/>
      <w:bookmarkStart w:id="2113" w:name="_Toc497913026"/>
      <w:r>
        <w:rPr>
          <w:b/>
          <w:noProof/>
        </w:rPr>
        <w:t>Directive 2011/7/EU: fairness in payments</w:t>
      </w:r>
      <w:bookmarkEnd w:id="2110"/>
      <w:bookmarkEnd w:id="2111"/>
      <w:bookmarkEnd w:id="2112"/>
      <w:bookmarkEnd w:id="2113"/>
    </w:p>
    <w:p>
      <w:pPr>
        <w:rPr>
          <w:noProof/>
        </w:rPr>
      </w:pPr>
      <w:r>
        <w:rPr>
          <w:noProof/>
        </w:rPr>
        <w:t>Directive 2011/7/EU on combating late payment in commercial transactions introduced a standard for fairness in B2B relations based on the academic Draft Common Frame of Reference. The application of this fairness standard is however explicitly limited to the area of late payments and therefore does not harmonise wider B2B fairness legislation within the EU's internal market.</w:t>
      </w:r>
      <w:r>
        <w:rPr>
          <w:rStyle w:val="FootnoteReference"/>
          <w:noProof/>
        </w:rPr>
        <w:footnoteReference w:id="123"/>
      </w:r>
    </w:p>
    <w:p>
      <w:pPr>
        <w:keepNext/>
        <w:keepLines/>
        <w:rPr>
          <w:noProof/>
        </w:rPr>
      </w:pPr>
      <w:bookmarkStart w:id="2114" w:name="_Toc492046817"/>
      <w:bookmarkStart w:id="2115" w:name="_Toc492048757"/>
      <w:bookmarkStart w:id="2116" w:name="_Toc492049430"/>
      <w:bookmarkStart w:id="2117" w:name="_Toc492056902"/>
      <w:bookmarkStart w:id="2118" w:name="_Toc492056999"/>
      <w:bookmarkStart w:id="2119" w:name="_Toc492557219"/>
      <w:bookmarkStart w:id="2120" w:name="_Toc495420839"/>
      <w:bookmarkStart w:id="2121" w:name="_Toc492046818"/>
      <w:bookmarkStart w:id="2122" w:name="_Toc492048758"/>
      <w:bookmarkStart w:id="2123" w:name="_Toc492049431"/>
      <w:bookmarkStart w:id="2124" w:name="_Toc492056903"/>
      <w:bookmarkStart w:id="2125" w:name="_Toc492057000"/>
      <w:bookmarkStart w:id="2126" w:name="_Toc492557220"/>
      <w:bookmarkStart w:id="2127" w:name="_Toc495420840"/>
      <w:bookmarkStart w:id="2128" w:name="_Toc492048435"/>
      <w:bookmarkStart w:id="2129" w:name="_Toc492557221"/>
      <w:bookmarkStart w:id="2130" w:name="_Toc497906636"/>
      <w:bookmarkStart w:id="2131" w:name="_Toc497913027"/>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r>
        <w:rPr>
          <w:b/>
          <w:noProof/>
        </w:rPr>
        <w:t>Directive 2016/943/EU: trade secrets</w:t>
      </w:r>
      <w:bookmarkEnd w:id="2128"/>
      <w:bookmarkEnd w:id="2129"/>
      <w:bookmarkEnd w:id="2130"/>
      <w:bookmarkEnd w:id="2131"/>
    </w:p>
    <w:p>
      <w:pPr>
        <w:keepNext/>
        <w:keepLines/>
        <w:rPr>
          <w:noProof/>
        </w:rPr>
      </w:pPr>
      <w:r>
        <w:rPr>
          <w:noProof/>
        </w:rPr>
        <w:t>The Trade Secrets Directive</w:t>
      </w:r>
      <w:r>
        <w:rPr>
          <w:noProof/>
          <w:vertAlign w:val="superscript"/>
        </w:rPr>
        <w:footnoteReference w:id="124"/>
      </w:r>
      <w:r>
        <w:rPr>
          <w:noProof/>
        </w:rPr>
        <w:t xml:space="preserve"> constitutes an example of EU – B2B legislation that also applies to online platforms and their business users. The Directive embodies rules on the protection against the unlawful acquisition, use and disclosure of trade secrets in the EU. The Trade Secrets Directive is designed to help individual trade secrets holders to protect and enforce their respective rights and not as a general venue to achieve a general horizontal fairness standard. The various deliberately embedded open legal concepts</w:t>
      </w:r>
      <w:r>
        <w:rPr>
          <w:rStyle w:val="FootnoteReference"/>
          <w:noProof/>
        </w:rPr>
        <w:footnoteReference w:id="125"/>
      </w:r>
      <w:r>
        <w:rPr>
          <w:noProof/>
        </w:rPr>
        <w:t xml:space="preserve"> and the wording underline this emphasis on stipulating a case-by-case assessment for specific scenarios and to take the peculiarities of the respective relationships, business models and sectors into account. Given that it is possible to contractually agree on the lawful acquisition and use of a business user's potential trade secrets by a platform the Trade Secrets Directive is not suitable as a policy tool to address the cross-sectoral practices identified. Nevertheless, an increase in transparency on certain platforms' policies has the potential, in case of conflict, to encourage more individual trade secrets holding business users to bring a claim before a court by relying on trade secrets protection, e.g. in relation to certain contractual clauses or an online platform competing directly with the respective business user.</w:t>
      </w:r>
      <w:r>
        <w:rPr>
          <w:noProof/>
          <w:szCs w:val="24"/>
          <w:lang w:eastAsia="en-GB"/>
        </w:rPr>
        <w:t xml:space="preserve"> </w:t>
      </w:r>
    </w:p>
    <w:p>
      <w:pPr>
        <w:rPr>
          <w:noProof/>
        </w:rPr>
      </w:pPr>
      <w:bookmarkStart w:id="2132" w:name="_Toc495420842"/>
      <w:bookmarkStart w:id="2133" w:name="_Toc495420843"/>
      <w:bookmarkEnd w:id="2132"/>
      <w:bookmarkEnd w:id="2133"/>
      <w:r>
        <w:rPr>
          <w:b/>
          <w:noProof/>
        </w:rPr>
        <w:t xml:space="preserve"> </w:t>
      </w:r>
      <w:bookmarkStart w:id="2134" w:name="_Toc492048436"/>
      <w:bookmarkStart w:id="2135" w:name="_Toc492557222"/>
      <w:bookmarkStart w:id="2136" w:name="_Toc497906637"/>
      <w:bookmarkStart w:id="2137" w:name="_Toc497913028"/>
      <w:r>
        <w:rPr>
          <w:b/>
          <w:noProof/>
        </w:rPr>
        <w:t>Directive 2008/52/EC: mediation</w:t>
      </w:r>
      <w:bookmarkEnd w:id="2134"/>
      <w:bookmarkEnd w:id="2135"/>
      <w:bookmarkEnd w:id="2136"/>
      <w:bookmarkEnd w:id="2137"/>
    </w:p>
    <w:p>
      <w:pPr>
        <w:rPr>
          <w:noProof/>
        </w:rPr>
      </w:pPr>
      <w:r>
        <w:rPr>
          <w:noProof/>
        </w:rPr>
        <w:t>The aim of the Mediation Directive</w:t>
      </w:r>
      <w:r>
        <w:rPr>
          <w:rStyle w:val="FootnoteReference"/>
          <w:noProof/>
        </w:rPr>
        <w:footnoteReference w:id="126"/>
      </w:r>
      <w:r>
        <w:rPr>
          <w:noProof/>
        </w:rPr>
        <w:t xml:space="preserve"> is to facilitate access to alternative dispute resolution for all cross-border commercial and civil disputes. Mediation is defined as a attempt on the settlement of a dispute with the assistance of a mediator.MS are requested to encourage the use of mediation without imposing it. However Member States may impose mediation as a precondition for access to courts. The Mediation Directive covers the P2B relationship, i.e., P2B problems are "civil and commercial matters" in the sense of the Mediation Directive. However, the obligations under this Directive is not sufficiently specific to resolve those problems. Also, there is a too broad discretion left to MS as to the use of mediation to overcome the fragmentation observed in the regulation of MS in the P2B relationship.</w:t>
      </w:r>
    </w:p>
    <w:p>
      <w:pPr>
        <w:rPr>
          <w:noProof/>
        </w:rPr>
      </w:pPr>
      <w:bookmarkStart w:id="2138" w:name="_Toc492048437"/>
      <w:bookmarkStart w:id="2139" w:name="_Toc492557223"/>
      <w:bookmarkStart w:id="2140" w:name="_Toc497906638"/>
      <w:bookmarkStart w:id="2141" w:name="_Toc497913029"/>
      <w:r>
        <w:rPr>
          <w:b/>
          <w:noProof/>
        </w:rPr>
        <w:t>Directive 2013/11/EU: dispute settlement B2C</w:t>
      </w:r>
      <w:bookmarkEnd w:id="2138"/>
      <w:bookmarkEnd w:id="2139"/>
      <w:bookmarkEnd w:id="2140"/>
      <w:bookmarkEnd w:id="2141"/>
    </w:p>
    <w:p>
      <w:pPr>
        <w:rPr>
          <w:noProof/>
          <w:lang w:eastAsia="en-GB"/>
        </w:rPr>
      </w:pPr>
      <w:r>
        <w:rPr>
          <w:noProof/>
          <w:lang w:eastAsia="en-GB"/>
        </w:rPr>
        <w:t xml:space="preserve">The </w:t>
      </w:r>
      <w:r>
        <w:rPr>
          <w:noProof/>
        </w:rPr>
        <w:t>ADR-Directive</w:t>
      </w:r>
      <w:r>
        <w:rPr>
          <w:rStyle w:val="FootnoteReference"/>
          <w:noProof/>
        </w:rPr>
        <w:footnoteReference w:id="127"/>
      </w:r>
      <w:r>
        <w:rPr>
          <w:noProof/>
        </w:rPr>
        <w:t xml:space="preserve"> has as an objective to offer a low cost and accessible out of court conflict resolution in business-to-consumer relationships. Achieving the same objectives than those the ODR- Regulation</w:t>
      </w:r>
      <w:r>
        <w:rPr>
          <w:rStyle w:val="FootnoteReference"/>
          <w:noProof/>
        </w:rPr>
        <w:footnoteReference w:id="128"/>
      </w:r>
      <w:r>
        <w:rPr>
          <w:noProof/>
        </w:rPr>
        <w:t xml:space="preserve"> and the ADR-Directive within the P2B-relationship would require a more targeted design for conflict solution. More particularly, this initiative builds on a higher level of co-operation and investment on the side of the platforms to achieve conflict solution. It builds on the incentives of platforms to settle disputes with their business clients.</w:t>
      </w:r>
    </w:p>
    <w:p>
      <w:pPr>
        <w:rPr>
          <w:noProof/>
        </w:rPr>
      </w:pPr>
      <w:bookmarkStart w:id="2142" w:name="_Toc492557224"/>
      <w:bookmarkStart w:id="2143" w:name="_Toc497906639"/>
      <w:bookmarkStart w:id="2144" w:name="_Toc497913030"/>
      <w:bookmarkStart w:id="2145" w:name="_Toc492048438"/>
      <w:r>
        <w:rPr>
          <w:b/>
          <w:noProof/>
        </w:rPr>
        <w:t>Regulation 524/2013/EC on online dispute resolution for consumer disputes</w:t>
      </w:r>
      <w:bookmarkEnd w:id="2142"/>
      <w:bookmarkEnd w:id="2143"/>
      <w:bookmarkEnd w:id="2144"/>
      <w:r>
        <w:rPr>
          <w:b/>
          <w:noProof/>
        </w:rPr>
        <w:t xml:space="preserve"> </w:t>
      </w:r>
      <w:bookmarkEnd w:id="2145"/>
    </w:p>
    <w:p>
      <w:pPr>
        <w:rPr>
          <w:noProof/>
        </w:rPr>
      </w:pPr>
      <w:r>
        <w:rPr>
          <w:noProof/>
        </w:rPr>
        <w:t>The aim of the ODR-Regulation is to ensure that the dispute settlement offered to consumers under the dispute resolution directive is also available as an online facility. It provides for an online platform via which disputes can be assigned to the specific competent bodies, in compliance with the Consumer Dispute Resolution Directive (ADR-Directive). As to the need for a more specific instrument in the P2B relationship the reasons are similar than the in relation to the ADR-Directive.</w:t>
      </w:r>
    </w:p>
    <w:p>
      <w:pPr>
        <w:rPr>
          <w:noProof/>
        </w:rPr>
      </w:pPr>
      <w:bookmarkStart w:id="2146" w:name="_Toc492048439"/>
      <w:bookmarkStart w:id="2147" w:name="_Toc492557225"/>
      <w:bookmarkStart w:id="2148" w:name="_Toc497906640"/>
      <w:bookmarkStart w:id="2149" w:name="_Toc497913031"/>
      <w:r>
        <w:rPr>
          <w:b/>
          <w:noProof/>
        </w:rPr>
        <w:t>Directive 2009/22/EC: injunctions</w:t>
      </w:r>
      <w:bookmarkEnd w:id="2146"/>
      <w:bookmarkEnd w:id="2147"/>
      <w:bookmarkEnd w:id="2148"/>
      <w:bookmarkEnd w:id="2149"/>
    </w:p>
    <w:p>
      <w:pPr>
        <w:rPr>
          <w:noProof/>
        </w:rPr>
      </w:pPr>
      <w:r>
        <w:rPr>
          <w:noProof/>
        </w:rPr>
        <w:t>The aim of the Injunction Directive</w:t>
      </w:r>
      <w:r>
        <w:rPr>
          <w:rStyle w:val="FootnoteReference"/>
          <w:noProof/>
        </w:rPr>
        <w:footnoteReference w:id="129"/>
      </w:r>
      <w:r>
        <w:rPr>
          <w:noProof/>
        </w:rPr>
        <w:t xml:space="preserve"> is to ensure speedy enforcement of obligations covered by EU- consumer protection law</w:t>
      </w:r>
      <w:r>
        <w:rPr>
          <w:rStyle w:val="FootnoteReference"/>
          <w:noProof/>
        </w:rPr>
        <w:footnoteReference w:id="130"/>
      </w:r>
      <w:r>
        <w:rPr>
          <w:noProof/>
        </w:rPr>
        <w:t xml:space="preserve"> in cross-border cases. It sets harmonised rules for the cessation or prohibition of an infringement. Injunctions should be obtained within proceedings carried out with all due expediency. Injunctions can be introduced by associations. Member States may foresee a consultation with a maximum duration of 2 weeks preceding the injunction proceedings.</w:t>
      </w:r>
    </w:p>
    <w:p>
      <w:pPr>
        <w:rPr>
          <w:noProof/>
        </w:rPr>
      </w:pPr>
      <w:bookmarkStart w:id="2150" w:name="_Toc492048440"/>
      <w:bookmarkStart w:id="2151" w:name="_Toc492557226"/>
      <w:bookmarkStart w:id="2152" w:name="_Toc497906641"/>
      <w:bookmarkStart w:id="2153" w:name="_Toc497913032"/>
      <w:r>
        <w:rPr>
          <w:b/>
          <w:noProof/>
        </w:rPr>
        <w:t>Regulation 80/2009/EC: Computerised reservation systems (CRS)</w:t>
      </w:r>
      <w:bookmarkEnd w:id="2150"/>
      <w:bookmarkEnd w:id="2151"/>
      <w:bookmarkEnd w:id="2152"/>
      <w:bookmarkEnd w:id="2153"/>
      <w:r>
        <w:rPr>
          <w:b/>
          <w:noProof/>
        </w:rPr>
        <w:t xml:space="preserve"> </w:t>
      </w:r>
    </w:p>
    <w:p>
      <w:pPr>
        <w:rPr>
          <w:noProof/>
        </w:rPr>
      </w:pPr>
      <w:r>
        <w:rPr>
          <w:noProof/>
        </w:rPr>
        <w:t>The aim of Regulation 80/2009/EC</w:t>
      </w:r>
      <w:r>
        <w:rPr>
          <w:rStyle w:val="FootnoteReference"/>
          <w:noProof/>
        </w:rPr>
        <w:footnoteReference w:id="131"/>
      </w:r>
      <w:r>
        <w:rPr>
          <w:noProof/>
        </w:rPr>
        <w:t xml:space="preserve"> is to enable airlines is to ensure that consumers can do an unbiased choice of air fares while preventing abuse of market power in the market for computerised reservation systems. The CRS-Regulation contains a set of obligations for a specific type of B2B platforms (computerised reservation systems, also called Global Distribution Systems, GDS) that allow travel agencies to compare information and book tickets from a large number of travel service providers worldwide. It therefore covers a specific part of the P2B relationship covered by the present initiative. Overlap will be avoided and coherence will be ensured. </w:t>
      </w:r>
    </w:p>
    <w:p>
      <w:pPr>
        <w:rPr>
          <w:noProof/>
        </w:rPr>
      </w:pPr>
      <w:r>
        <w:rPr>
          <w:noProof/>
        </w:rPr>
        <w:t>The table below summarizes a comprehensive and exhaustive list of definitions in current rules, and in draft rules and proposals.</w:t>
      </w:r>
    </w:p>
    <w:p>
      <w:pPr>
        <w:pStyle w:val="Default"/>
        <w:jc w:val="center"/>
        <w:rPr>
          <w:b/>
          <w:noProof/>
        </w:rPr>
      </w:pPr>
      <w:r>
        <w:rPr>
          <w:b/>
          <w:noProof/>
        </w:rPr>
        <w:t>A comparison of definitions</w:t>
      </w:r>
    </w:p>
    <w:p>
      <w:pPr>
        <w:pStyle w:val="Default"/>
        <w:jc w:val="center"/>
        <w:rPr>
          <w:b/>
          <w:noProof/>
        </w:rPr>
      </w:pPr>
    </w:p>
    <w:tbl>
      <w:tblPr>
        <w:tblStyle w:val="TableGrid4"/>
        <w:tblW w:w="0" w:type="auto"/>
        <w:tblInd w:w="108" w:type="dxa"/>
        <w:tblLayout w:type="fixed"/>
        <w:tblLook w:val="04A0" w:firstRow="1" w:lastRow="0" w:firstColumn="1" w:lastColumn="0" w:noHBand="0" w:noVBand="1"/>
      </w:tblPr>
      <w:tblGrid>
        <w:gridCol w:w="1560"/>
        <w:gridCol w:w="4560"/>
        <w:gridCol w:w="1560"/>
        <w:gridCol w:w="1454"/>
      </w:tblGrid>
      <w:tr>
        <w:tc>
          <w:tcPr>
            <w:tcW w:w="1560" w:type="dxa"/>
            <w:shd w:val="clear" w:color="auto" w:fill="EEECE1" w:themeFill="background2"/>
          </w:tcPr>
          <w:p>
            <w:pPr>
              <w:spacing w:after="0"/>
              <w:jc w:val="left"/>
              <w:rPr>
                <w:noProof/>
                <w:sz w:val="22"/>
              </w:rPr>
            </w:pPr>
            <w:r>
              <w:rPr>
                <w:noProof/>
                <w:sz w:val="22"/>
              </w:rPr>
              <w:t>Legal instrument</w:t>
            </w:r>
          </w:p>
          <w:p>
            <w:pPr>
              <w:spacing w:after="0"/>
              <w:jc w:val="left"/>
              <w:rPr>
                <w:noProof/>
                <w:sz w:val="22"/>
              </w:rPr>
            </w:pPr>
            <w:r>
              <w:rPr>
                <w:noProof/>
                <w:sz w:val="22"/>
              </w:rPr>
              <w:t>/draft</w:t>
            </w:r>
          </w:p>
        </w:tc>
        <w:tc>
          <w:tcPr>
            <w:tcW w:w="4560" w:type="dxa"/>
            <w:shd w:val="clear" w:color="auto" w:fill="EEECE1" w:themeFill="background2"/>
          </w:tcPr>
          <w:p>
            <w:pPr>
              <w:spacing w:after="0"/>
              <w:jc w:val="left"/>
              <w:rPr>
                <w:noProof/>
                <w:sz w:val="22"/>
              </w:rPr>
            </w:pPr>
            <w:r>
              <w:rPr>
                <w:noProof/>
                <w:sz w:val="22"/>
              </w:rPr>
              <w:t xml:space="preserve">Definition </w:t>
            </w:r>
          </w:p>
        </w:tc>
        <w:tc>
          <w:tcPr>
            <w:tcW w:w="1560" w:type="dxa"/>
            <w:shd w:val="clear" w:color="auto" w:fill="EEECE1" w:themeFill="background2"/>
          </w:tcPr>
          <w:p>
            <w:pPr>
              <w:spacing w:after="0"/>
              <w:jc w:val="left"/>
              <w:rPr>
                <w:noProof/>
                <w:sz w:val="22"/>
              </w:rPr>
            </w:pPr>
            <w:r>
              <w:rPr>
                <w:noProof/>
                <w:sz w:val="22"/>
              </w:rPr>
              <w:t xml:space="preserve">Platforms in scope </w:t>
            </w:r>
          </w:p>
        </w:tc>
        <w:tc>
          <w:tcPr>
            <w:tcW w:w="1454" w:type="dxa"/>
            <w:shd w:val="clear" w:color="auto" w:fill="EEECE1" w:themeFill="background2"/>
          </w:tcPr>
          <w:p>
            <w:pPr>
              <w:spacing w:after="0"/>
              <w:jc w:val="left"/>
              <w:rPr>
                <w:noProof/>
                <w:sz w:val="22"/>
              </w:rPr>
            </w:pPr>
            <w:r>
              <w:rPr>
                <w:noProof/>
                <w:sz w:val="22"/>
              </w:rPr>
              <w:t xml:space="preserve">Platforms out- of -scope </w:t>
            </w:r>
          </w:p>
        </w:tc>
      </w:tr>
      <w:tr>
        <w:tc>
          <w:tcPr>
            <w:tcW w:w="1560" w:type="dxa"/>
          </w:tcPr>
          <w:p>
            <w:pPr>
              <w:spacing w:after="0"/>
              <w:jc w:val="left"/>
              <w:rPr>
                <w:bCs/>
                <w:noProof/>
                <w:sz w:val="22"/>
              </w:rPr>
            </w:pPr>
            <w:r>
              <w:rPr>
                <w:b/>
                <w:noProof/>
                <w:sz w:val="22"/>
              </w:rPr>
              <w:t>Art. 4(17) of Directive 2016/1148</w:t>
            </w:r>
            <w:r>
              <w:rPr>
                <w:noProof/>
                <w:sz w:val="22"/>
              </w:rPr>
              <w:t xml:space="preserve"> concerning measures for a high common level of security of network and information systems across the Union)</w:t>
            </w:r>
          </w:p>
        </w:tc>
        <w:tc>
          <w:tcPr>
            <w:tcW w:w="4560" w:type="dxa"/>
          </w:tcPr>
          <w:p>
            <w:pPr>
              <w:spacing w:after="0"/>
              <w:rPr>
                <w:b/>
                <w:noProof/>
                <w:sz w:val="22"/>
              </w:rPr>
            </w:pPr>
            <w:r>
              <w:rPr>
                <w:b/>
                <w:noProof/>
                <w:sz w:val="22"/>
              </w:rPr>
              <w:t xml:space="preserve">Online market places </w:t>
            </w:r>
          </w:p>
          <w:p>
            <w:pPr>
              <w:spacing w:after="0"/>
              <w:rPr>
                <w:b/>
                <w:noProof/>
                <w:sz w:val="22"/>
              </w:rPr>
            </w:pPr>
          </w:p>
          <w:p>
            <w:pPr>
              <w:spacing w:after="0"/>
              <w:jc w:val="left"/>
              <w:rPr>
                <w:i/>
                <w:iCs/>
                <w:noProof/>
                <w:color w:val="1F497D"/>
                <w:sz w:val="22"/>
              </w:rPr>
            </w:pPr>
            <w:r>
              <w:rPr>
                <w:i/>
                <w:iCs/>
                <w:noProof/>
                <w:sz w:val="22"/>
              </w:rPr>
              <w:t>‘online marketplace’ means a digital service that allows consumers and/or traders as respectively defined in point (a) and in point (b) of Article 4(1) of Directive 2013/11/EU of the European Parliament and of the Council (1) to conclude online sales or service contracts with traders either on the online marketplace's website or on a trader's website that uses computing services provided by the online marketplace</w:t>
            </w:r>
          </w:p>
          <w:p>
            <w:pPr>
              <w:spacing w:after="0"/>
              <w:rPr>
                <w:b/>
                <w:noProof/>
                <w:sz w:val="22"/>
              </w:rPr>
            </w:pPr>
          </w:p>
          <w:p>
            <w:pPr>
              <w:spacing w:after="0"/>
              <w:rPr>
                <w:b/>
                <w:i/>
                <w:iCs/>
                <w:noProof/>
                <w:sz w:val="22"/>
              </w:rPr>
            </w:pPr>
            <w:r>
              <w:rPr>
                <w:noProof/>
                <w:sz w:val="22"/>
                <w:shd w:val="clear" w:color="auto" w:fill="F2F2F2" w:themeFill="background1" w:themeFillShade="F2"/>
              </w:rPr>
              <w:t xml:space="preserve">This definition identifies one specific type of </w:t>
            </w:r>
            <w:r>
              <w:rPr>
                <w:i/>
                <w:noProof/>
                <w:sz w:val="22"/>
                <w:shd w:val="clear" w:color="auto" w:fill="F2F2F2" w:themeFill="background1" w:themeFillShade="F2"/>
              </w:rPr>
              <w:t>online intermediation services</w:t>
            </w:r>
            <w:r>
              <w:rPr>
                <w:noProof/>
                <w:sz w:val="22"/>
                <w:shd w:val="clear" w:color="auto" w:fill="F2F2F2" w:themeFill="background1" w:themeFillShade="F2"/>
              </w:rPr>
              <w:t xml:space="preserve"> and is therefore encompassed by the wider definition of online intermediation services. The distinct purposes of the P2B initiative and the NIS Directive at the same time ensures that a concurrent application of the two definitions will not be conflictual.</w:t>
            </w:r>
          </w:p>
        </w:tc>
        <w:tc>
          <w:tcPr>
            <w:tcW w:w="1560" w:type="dxa"/>
          </w:tcPr>
          <w:p>
            <w:pPr>
              <w:spacing w:after="0"/>
              <w:jc w:val="left"/>
              <w:rPr>
                <w:noProof/>
                <w:sz w:val="22"/>
              </w:rPr>
            </w:pPr>
            <w:r>
              <w:rPr>
                <w:noProof/>
                <w:sz w:val="22"/>
              </w:rPr>
              <w:t>B2B/B2C e-commerce platforms, app stores</w:t>
            </w:r>
          </w:p>
        </w:tc>
        <w:tc>
          <w:tcPr>
            <w:tcW w:w="1454" w:type="dxa"/>
          </w:tcPr>
          <w:p>
            <w:pPr>
              <w:spacing w:after="0"/>
              <w:jc w:val="left"/>
              <w:rPr>
                <w:noProof/>
                <w:sz w:val="22"/>
              </w:rPr>
            </w:pPr>
            <w:r>
              <w:rPr>
                <w:noProof/>
                <w:sz w:val="22"/>
              </w:rPr>
              <w:t>Social media, local search for businesses, price comparison tools</w:t>
            </w:r>
          </w:p>
        </w:tc>
      </w:tr>
      <w:tr>
        <w:tc>
          <w:tcPr>
            <w:tcW w:w="1560" w:type="dxa"/>
          </w:tcPr>
          <w:p>
            <w:pPr>
              <w:spacing w:after="0"/>
              <w:jc w:val="left"/>
              <w:rPr>
                <w:b/>
                <w:bCs/>
                <w:noProof/>
                <w:sz w:val="22"/>
              </w:rPr>
            </w:pPr>
            <w:r>
              <w:rPr>
                <w:bCs/>
                <w:noProof/>
                <w:sz w:val="22"/>
              </w:rPr>
              <w:t>Art. 2(16) of the</w:t>
            </w:r>
            <w:r>
              <w:rPr>
                <w:b/>
                <w:bCs/>
                <w:noProof/>
                <w:sz w:val="22"/>
              </w:rPr>
              <w:t xml:space="preserve"> </w:t>
            </w:r>
            <w:r>
              <w:rPr>
                <w:b/>
                <w:noProof/>
                <w:sz w:val="22"/>
              </w:rPr>
              <w:t>Geo-blocking Regulation</w:t>
            </w:r>
          </w:p>
        </w:tc>
        <w:tc>
          <w:tcPr>
            <w:tcW w:w="4560" w:type="dxa"/>
          </w:tcPr>
          <w:p>
            <w:pPr>
              <w:spacing w:after="0"/>
              <w:rPr>
                <w:iCs/>
                <w:noProof/>
                <w:sz w:val="22"/>
              </w:rPr>
            </w:pPr>
            <w:r>
              <w:rPr>
                <w:b/>
                <w:iCs/>
                <w:noProof/>
                <w:sz w:val="22"/>
              </w:rPr>
              <w:t>Online interface</w:t>
            </w:r>
            <w:r>
              <w:rPr>
                <w:iCs/>
                <w:noProof/>
                <w:sz w:val="22"/>
              </w:rPr>
              <w:t xml:space="preserve"> </w:t>
            </w:r>
          </w:p>
          <w:p>
            <w:pPr>
              <w:spacing w:after="0"/>
              <w:rPr>
                <w:i/>
                <w:iCs/>
                <w:noProof/>
                <w:sz w:val="22"/>
              </w:rPr>
            </w:pPr>
          </w:p>
          <w:p>
            <w:pPr>
              <w:spacing w:after="0"/>
              <w:rPr>
                <w:i/>
                <w:iCs/>
                <w:noProof/>
                <w:sz w:val="22"/>
              </w:rPr>
            </w:pPr>
            <w:r>
              <w:rPr>
                <w:i/>
                <w:iCs/>
                <w:noProof/>
                <w:sz w:val="22"/>
              </w:rPr>
              <w:t>'online interface' means any software, including a website or a part thereof and applications, including mobile applications, operated by or on behalf of a trader, which serves to give customers access to the trader's goods or services with a view to engaging in a transaction with respect to those goods or services;</w:t>
            </w:r>
          </w:p>
          <w:p>
            <w:pPr>
              <w:spacing w:after="0"/>
              <w:rPr>
                <w:b/>
                <w:noProof/>
                <w:sz w:val="22"/>
              </w:rPr>
            </w:pPr>
          </w:p>
          <w:p>
            <w:pPr>
              <w:spacing w:after="0"/>
              <w:rPr>
                <w:b/>
                <w:i/>
                <w:iCs/>
                <w:noProof/>
                <w:sz w:val="22"/>
              </w:rPr>
            </w:pPr>
            <w:r>
              <w:rPr>
                <w:noProof/>
                <w:sz w:val="22"/>
                <w:shd w:val="clear" w:color="auto" w:fill="F2F2F2" w:themeFill="background1" w:themeFillShade="F2"/>
              </w:rPr>
              <w:t>This definition is not targeted at intermediation and serves merely to provide customers with cross-border access to information. All online intermediation services targeted in the P2B initiative are offered through online interfaces, but the obligations that the providers thereof face under the respective legal instruments are wholly complementary. If anything, the improved cross-border access that the Geoblocking Regulation could achieve may further increase the importance of online platforms as a gateway to accessing cross-border consumer markets, thus reinforcing the need for the framework protecting businesses.</w:t>
            </w:r>
          </w:p>
        </w:tc>
        <w:tc>
          <w:tcPr>
            <w:tcW w:w="1560" w:type="dxa"/>
          </w:tcPr>
          <w:p>
            <w:pPr>
              <w:spacing w:after="0"/>
              <w:jc w:val="left"/>
              <w:rPr>
                <w:noProof/>
                <w:sz w:val="22"/>
              </w:rPr>
            </w:pPr>
            <w:r>
              <w:rPr>
                <w:noProof/>
                <w:sz w:val="22"/>
              </w:rPr>
              <w:t>Any mobile apps, websites as well as online platforms used to offer goods and services</w:t>
            </w:r>
          </w:p>
        </w:tc>
        <w:tc>
          <w:tcPr>
            <w:tcW w:w="1454" w:type="dxa"/>
          </w:tcPr>
          <w:p>
            <w:pPr>
              <w:spacing w:after="0"/>
              <w:jc w:val="left"/>
              <w:rPr>
                <w:noProof/>
                <w:sz w:val="22"/>
              </w:rPr>
            </w:pPr>
            <w:r>
              <w:rPr>
                <w:noProof/>
                <w:sz w:val="22"/>
              </w:rPr>
              <w:t>N/A</w:t>
            </w:r>
          </w:p>
        </w:tc>
      </w:tr>
      <w:tr>
        <w:tc>
          <w:tcPr>
            <w:tcW w:w="1560" w:type="dxa"/>
          </w:tcPr>
          <w:p>
            <w:pPr>
              <w:spacing w:after="0"/>
              <w:jc w:val="left"/>
              <w:rPr>
                <w:b/>
                <w:bCs/>
                <w:noProof/>
                <w:sz w:val="22"/>
              </w:rPr>
            </w:pPr>
            <w:r>
              <w:rPr>
                <w:bCs/>
                <w:noProof/>
                <w:sz w:val="22"/>
              </w:rPr>
              <w:t xml:space="preserve">Art. 2(5) of Regulation 2017/1128 </w:t>
            </w:r>
            <w:r>
              <w:rPr>
                <w:noProof/>
                <w:sz w:val="22"/>
              </w:rPr>
              <w:t xml:space="preserve">on </w:t>
            </w:r>
            <w:r>
              <w:rPr>
                <w:b/>
                <w:noProof/>
                <w:sz w:val="22"/>
              </w:rPr>
              <w:t>content portability</w:t>
            </w:r>
          </w:p>
        </w:tc>
        <w:tc>
          <w:tcPr>
            <w:tcW w:w="4560" w:type="dxa"/>
          </w:tcPr>
          <w:p>
            <w:pPr>
              <w:spacing w:after="0"/>
              <w:rPr>
                <w:b/>
                <w:i/>
                <w:iCs/>
                <w:noProof/>
                <w:sz w:val="22"/>
              </w:rPr>
            </w:pPr>
            <w:r>
              <w:rPr>
                <w:b/>
                <w:iCs/>
                <w:noProof/>
                <w:sz w:val="22"/>
              </w:rPr>
              <w:t>Online content service</w:t>
            </w:r>
          </w:p>
          <w:p>
            <w:pPr>
              <w:spacing w:after="0"/>
              <w:rPr>
                <w:b/>
                <w:i/>
                <w:iCs/>
                <w:noProof/>
                <w:sz w:val="22"/>
              </w:rPr>
            </w:pPr>
          </w:p>
          <w:p>
            <w:pPr>
              <w:spacing w:after="0"/>
              <w:rPr>
                <w:b/>
                <w:i/>
                <w:iCs/>
                <w:noProof/>
                <w:sz w:val="22"/>
              </w:rPr>
            </w:pPr>
            <w:r>
              <w:rPr>
                <w:i/>
                <w:iCs/>
                <w:noProof/>
                <w:sz w:val="22"/>
              </w:rPr>
              <w:t>'online content service' means a service as defined in Articles 56 and 57 TFEU that a provider lawfully provides to subscribers in their Member State of residence on agreed terms and online, which is portable and which is: (i) an audiovisual media service as defined in point (a) of Article 1 of Directive 2010/13/EU, or (ii) a service the main feature of which is the provision of access to, and the use of, works, other protected subject- matter or transmissions of broadcasting organisations, whether in a linear or an on-demand manner;</w:t>
            </w:r>
          </w:p>
          <w:p>
            <w:pPr>
              <w:spacing w:after="0"/>
              <w:rPr>
                <w:b/>
                <w:noProof/>
                <w:sz w:val="22"/>
              </w:rPr>
            </w:pPr>
          </w:p>
          <w:p>
            <w:pPr>
              <w:spacing w:after="0"/>
              <w:rPr>
                <w:b/>
                <w:i/>
                <w:iCs/>
                <w:noProof/>
                <w:sz w:val="22"/>
              </w:rPr>
            </w:pPr>
            <w:r>
              <w:rPr>
                <w:noProof/>
                <w:sz w:val="22"/>
                <w:shd w:val="clear" w:color="auto" w:fill="F2F2F2" w:themeFill="background1" w:themeFillShade="F2"/>
              </w:rPr>
              <w:t>This definition is not targeted at intermediation but rather at the resale of licensed audio-visual content, i.e. the Netflix-model.</w:t>
            </w:r>
          </w:p>
        </w:tc>
        <w:tc>
          <w:tcPr>
            <w:tcW w:w="1560" w:type="dxa"/>
          </w:tcPr>
          <w:p>
            <w:pPr>
              <w:spacing w:after="0"/>
              <w:jc w:val="left"/>
              <w:rPr>
                <w:noProof/>
                <w:sz w:val="22"/>
              </w:rPr>
            </w:pPr>
            <w:r>
              <w:rPr>
                <w:noProof/>
                <w:sz w:val="22"/>
              </w:rPr>
              <w:t>No online platforms covered, but rather subscription-based resale of audio-visual content</w:t>
            </w:r>
          </w:p>
        </w:tc>
        <w:tc>
          <w:tcPr>
            <w:tcW w:w="1454" w:type="dxa"/>
          </w:tcPr>
          <w:p>
            <w:pPr>
              <w:spacing w:after="0"/>
              <w:jc w:val="left"/>
              <w:rPr>
                <w:noProof/>
                <w:sz w:val="22"/>
              </w:rPr>
            </w:pPr>
            <w:r>
              <w:rPr>
                <w:noProof/>
                <w:sz w:val="22"/>
              </w:rPr>
              <w:t>All o</w:t>
            </w:r>
            <w:r>
              <w:rPr>
                <w:i/>
                <w:noProof/>
                <w:sz w:val="22"/>
              </w:rPr>
              <w:t xml:space="preserve">nline intermediation services </w:t>
            </w:r>
          </w:p>
        </w:tc>
      </w:tr>
      <w:tr>
        <w:tc>
          <w:tcPr>
            <w:tcW w:w="1560" w:type="dxa"/>
          </w:tcPr>
          <w:p>
            <w:pPr>
              <w:spacing w:after="0"/>
              <w:jc w:val="left"/>
              <w:rPr>
                <w:b/>
                <w:bCs/>
                <w:noProof/>
                <w:sz w:val="22"/>
              </w:rPr>
            </w:pPr>
            <w:r>
              <w:rPr>
                <w:b/>
                <w:bCs/>
                <w:noProof/>
                <w:sz w:val="22"/>
              </w:rPr>
              <w:t>EC PROPOSAL</w:t>
            </w:r>
          </w:p>
          <w:p>
            <w:pPr>
              <w:spacing w:after="0"/>
              <w:jc w:val="left"/>
              <w:rPr>
                <w:b/>
                <w:bCs/>
                <w:noProof/>
                <w:sz w:val="22"/>
              </w:rPr>
            </w:pPr>
            <w:r>
              <w:rPr>
                <w:bCs/>
                <w:noProof/>
                <w:sz w:val="22"/>
              </w:rPr>
              <w:t>Art. 1(1)(aa) Revised Directive 2010/13/EU</w:t>
            </w:r>
            <w:r>
              <w:rPr>
                <w:noProof/>
                <w:sz w:val="22"/>
              </w:rPr>
              <w:t xml:space="preserve"> (</w:t>
            </w:r>
            <w:r>
              <w:rPr>
                <w:b/>
                <w:noProof/>
                <w:sz w:val="22"/>
              </w:rPr>
              <w:t>AVMSD</w:t>
            </w:r>
            <w:r>
              <w:rPr>
                <w:noProof/>
                <w:sz w:val="22"/>
              </w:rPr>
              <w:t>)</w:t>
            </w:r>
          </w:p>
        </w:tc>
        <w:tc>
          <w:tcPr>
            <w:tcW w:w="4560" w:type="dxa"/>
          </w:tcPr>
          <w:p>
            <w:pPr>
              <w:spacing w:after="0"/>
              <w:rPr>
                <w:b/>
                <w:i/>
                <w:iCs/>
                <w:noProof/>
                <w:sz w:val="22"/>
              </w:rPr>
            </w:pPr>
            <w:r>
              <w:rPr>
                <w:b/>
                <w:iCs/>
                <w:noProof/>
                <w:sz w:val="22"/>
              </w:rPr>
              <w:t>Video-sharing platform service</w:t>
            </w:r>
          </w:p>
          <w:p>
            <w:pPr>
              <w:spacing w:after="0"/>
              <w:rPr>
                <w:b/>
                <w:i/>
                <w:iCs/>
                <w:noProof/>
                <w:sz w:val="22"/>
              </w:rPr>
            </w:pPr>
          </w:p>
          <w:p>
            <w:pPr>
              <w:spacing w:after="0"/>
              <w:rPr>
                <w:b/>
                <w:i/>
                <w:iCs/>
                <w:noProof/>
                <w:sz w:val="22"/>
              </w:rPr>
            </w:pPr>
            <w:r>
              <w:rPr>
                <w:i/>
                <w:iCs/>
                <w:noProof/>
                <w:sz w:val="22"/>
              </w:rPr>
              <w:t>'video-sharing platform service' means a service, as defined by Articles 56 and 57 of the Treaty on the Functioning of the European Union, which meets the following requirements: (i) the service consists of the storage of a large amount of programmes or user-generated videos, for which the videosharing platform provider does not have editorial responsibility; (ii) the organisation of the stored content is determined by the provider of the service including by automatic means or algorithms, in particular by hosting, displaying, tagging and sequencing; (iii) the principal purpose of the service or a dissociable section thereof is devoted to providing programmes and user-generated videos to the general public, in order to inform, entertain or educate; (iv) the service is made available by electronic communications networks within the meaning of point (a) of Article 2 of Directive 2002/21/EC.</w:t>
            </w:r>
          </w:p>
          <w:p>
            <w:pPr>
              <w:spacing w:after="0"/>
              <w:rPr>
                <w:b/>
                <w:noProof/>
                <w:sz w:val="22"/>
              </w:rPr>
            </w:pPr>
          </w:p>
          <w:p>
            <w:pPr>
              <w:shd w:val="clear" w:color="auto" w:fill="F2F2F2" w:themeFill="background1" w:themeFillShade="F2"/>
              <w:spacing w:after="0"/>
              <w:rPr>
                <w:b/>
                <w:i/>
                <w:iCs/>
                <w:noProof/>
                <w:sz w:val="22"/>
              </w:rPr>
            </w:pPr>
            <w:r>
              <w:rPr>
                <w:noProof/>
                <w:sz w:val="22"/>
              </w:rPr>
              <w:t>Narrowly targets video-sharing platforms, approaching these firms from the content-angle ("user generated videos"). This definition covers one specific type of online platform and formulates stricter requirements for the notion of "intermediation" than the P2B initiative, by requiring that the relevant provider does not have editorial responsibility. The Proposed Directive at the same time regulates AV sector-specific issues that lie outside the scope of the business-facing P2B initiative.</w:t>
            </w:r>
          </w:p>
        </w:tc>
        <w:tc>
          <w:tcPr>
            <w:tcW w:w="1560" w:type="dxa"/>
          </w:tcPr>
          <w:p>
            <w:pPr>
              <w:spacing w:after="0"/>
              <w:jc w:val="left"/>
              <w:rPr>
                <w:noProof/>
                <w:sz w:val="22"/>
              </w:rPr>
            </w:pPr>
            <w:r>
              <w:rPr>
                <w:noProof/>
                <w:sz w:val="22"/>
              </w:rPr>
              <w:t xml:space="preserve">Video-sharing –platforms </w:t>
            </w:r>
          </w:p>
        </w:tc>
        <w:tc>
          <w:tcPr>
            <w:tcW w:w="1454" w:type="dxa"/>
          </w:tcPr>
          <w:p>
            <w:pPr>
              <w:spacing w:after="0"/>
              <w:jc w:val="left"/>
              <w:rPr>
                <w:noProof/>
                <w:sz w:val="22"/>
              </w:rPr>
            </w:pPr>
            <w:r>
              <w:rPr>
                <w:noProof/>
                <w:sz w:val="22"/>
              </w:rPr>
              <w:t>App stores, e-commerce market places, social media (other than in their potential capacity of video-sharing platform), price comparison tools</w:t>
            </w:r>
          </w:p>
        </w:tc>
      </w:tr>
      <w:tr>
        <w:tc>
          <w:tcPr>
            <w:tcW w:w="1560" w:type="dxa"/>
          </w:tcPr>
          <w:p>
            <w:pPr>
              <w:spacing w:after="0"/>
              <w:jc w:val="left"/>
              <w:rPr>
                <w:b/>
                <w:bCs/>
                <w:noProof/>
                <w:sz w:val="22"/>
              </w:rPr>
            </w:pPr>
            <w:r>
              <w:rPr>
                <w:b/>
                <w:bCs/>
                <w:noProof/>
                <w:sz w:val="22"/>
              </w:rPr>
              <w:t>EC PROPOSAL</w:t>
            </w:r>
          </w:p>
          <w:p>
            <w:pPr>
              <w:spacing w:after="0"/>
              <w:jc w:val="left"/>
              <w:rPr>
                <w:b/>
                <w:bCs/>
                <w:noProof/>
                <w:sz w:val="22"/>
              </w:rPr>
            </w:pPr>
            <w:r>
              <w:rPr>
                <w:bCs/>
                <w:noProof/>
                <w:sz w:val="22"/>
              </w:rPr>
              <w:t xml:space="preserve">Art. 10 &amp; 13 Directive </w:t>
            </w:r>
            <w:r>
              <w:rPr>
                <w:b/>
                <w:noProof/>
                <w:sz w:val="22"/>
              </w:rPr>
              <w:t>Copyright</w:t>
            </w:r>
            <w:r>
              <w:rPr>
                <w:bCs/>
                <w:noProof/>
                <w:sz w:val="22"/>
              </w:rPr>
              <w:t xml:space="preserve"> in Digital Single Market</w:t>
            </w:r>
          </w:p>
        </w:tc>
        <w:tc>
          <w:tcPr>
            <w:tcW w:w="4560" w:type="dxa"/>
          </w:tcPr>
          <w:p>
            <w:pPr>
              <w:spacing w:after="0"/>
              <w:rPr>
                <w:noProof/>
                <w:sz w:val="22"/>
              </w:rPr>
            </w:pPr>
            <w:r>
              <w:rPr>
                <w:b/>
                <w:noProof/>
                <w:sz w:val="22"/>
              </w:rPr>
              <w:t>No self-standing definition</w:t>
            </w:r>
            <w:r>
              <w:rPr>
                <w:noProof/>
                <w:sz w:val="22"/>
              </w:rPr>
              <w:t>, but concept of "</w:t>
            </w:r>
            <w:r>
              <w:rPr>
                <w:i/>
                <w:iCs/>
                <w:noProof/>
                <w:sz w:val="22"/>
              </w:rPr>
              <w:t>video-on-demand platforms</w:t>
            </w:r>
            <w:r>
              <w:rPr>
                <w:noProof/>
                <w:sz w:val="22"/>
              </w:rPr>
              <w:t>" introduced in Art. 10 establishing a negotiation mechanism.</w:t>
            </w:r>
          </w:p>
          <w:p>
            <w:pPr>
              <w:spacing w:after="0"/>
              <w:rPr>
                <w:noProof/>
                <w:sz w:val="22"/>
              </w:rPr>
            </w:pPr>
          </w:p>
          <w:p>
            <w:pPr>
              <w:spacing w:after="0"/>
              <w:rPr>
                <w:noProof/>
                <w:sz w:val="22"/>
              </w:rPr>
            </w:pPr>
            <w:r>
              <w:rPr>
                <w:b/>
                <w:noProof/>
                <w:sz w:val="22"/>
              </w:rPr>
              <w:t>No self-standing definition</w:t>
            </w:r>
            <w:r>
              <w:rPr>
                <w:noProof/>
                <w:sz w:val="22"/>
              </w:rPr>
              <w:t>, but concept of "</w:t>
            </w:r>
            <w:r>
              <w:rPr>
                <w:i/>
                <w:iCs/>
                <w:noProof/>
                <w:sz w:val="22"/>
              </w:rPr>
              <w:t>Information society service providers that store and provide to the public access to large amounts of works or other subject-matter uploaded by their users</w:t>
            </w:r>
            <w:r>
              <w:rPr>
                <w:noProof/>
                <w:sz w:val="22"/>
              </w:rPr>
              <w:t>" introduced in Art. 13 on the value gap.</w:t>
            </w:r>
          </w:p>
          <w:p>
            <w:pPr>
              <w:spacing w:after="0"/>
              <w:rPr>
                <w:b/>
                <w:noProof/>
                <w:sz w:val="22"/>
              </w:rPr>
            </w:pPr>
          </w:p>
          <w:p>
            <w:pPr>
              <w:spacing w:after="0"/>
              <w:rPr>
                <w:b/>
                <w:i/>
                <w:iCs/>
                <w:noProof/>
                <w:sz w:val="22"/>
              </w:rPr>
            </w:pPr>
            <w:r>
              <w:rPr>
                <w:noProof/>
                <w:sz w:val="22"/>
                <w:shd w:val="clear" w:color="auto" w:fill="F2F2F2" w:themeFill="background1" w:themeFillShade="F2"/>
              </w:rPr>
              <w:t xml:space="preserve">This definition narrowly targets video-on-demand platforms, or user-generated content platforms, which are </w:t>
            </w:r>
            <w:r>
              <w:rPr>
                <w:b/>
                <w:noProof/>
                <w:sz w:val="22"/>
                <w:shd w:val="clear" w:color="auto" w:fill="F2F2F2" w:themeFill="background1" w:themeFillShade="F2"/>
              </w:rPr>
              <w:t>not defined</w:t>
            </w:r>
            <w:r>
              <w:rPr>
                <w:noProof/>
                <w:sz w:val="22"/>
                <w:shd w:val="clear" w:color="auto" w:fill="F2F2F2" w:themeFill="background1" w:themeFillShade="F2"/>
              </w:rPr>
              <w:t>.</w:t>
            </w:r>
          </w:p>
        </w:tc>
        <w:tc>
          <w:tcPr>
            <w:tcW w:w="1560" w:type="dxa"/>
          </w:tcPr>
          <w:p>
            <w:pPr>
              <w:spacing w:after="0"/>
              <w:jc w:val="left"/>
              <w:rPr>
                <w:noProof/>
                <w:sz w:val="22"/>
              </w:rPr>
            </w:pPr>
            <w:r>
              <w:rPr>
                <w:noProof/>
                <w:sz w:val="22"/>
              </w:rPr>
              <w:t>N/A (no definition)</w:t>
            </w:r>
          </w:p>
          <w:p>
            <w:pPr>
              <w:spacing w:after="0"/>
              <w:jc w:val="left"/>
              <w:rPr>
                <w:noProof/>
                <w:sz w:val="22"/>
              </w:rPr>
            </w:pPr>
          </w:p>
          <w:p>
            <w:pPr>
              <w:spacing w:after="0"/>
              <w:jc w:val="left"/>
              <w:rPr>
                <w:noProof/>
                <w:sz w:val="22"/>
              </w:rPr>
            </w:pPr>
            <w:r>
              <w:rPr>
                <w:i/>
                <w:noProof/>
                <w:sz w:val="22"/>
              </w:rPr>
              <w:t>Targeted</w:t>
            </w:r>
            <w:r>
              <w:rPr>
                <w:noProof/>
                <w:sz w:val="22"/>
              </w:rPr>
              <w:t xml:space="preserve">: Video-on-demand platforms (reseller model), video-sharing platforms </w:t>
            </w:r>
          </w:p>
        </w:tc>
        <w:tc>
          <w:tcPr>
            <w:tcW w:w="1454" w:type="dxa"/>
          </w:tcPr>
          <w:p>
            <w:pPr>
              <w:spacing w:after="0"/>
              <w:jc w:val="left"/>
              <w:rPr>
                <w:noProof/>
                <w:sz w:val="22"/>
              </w:rPr>
            </w:pPr>
            <w:r>
              <w:rPr>
                <w:noProof/>
                <w:sz w:val="22"/>
              </w:rPr>
              <w:t>N/A (no definition)</w:t>
            </w:r>
          </w:p>
          <w:p>
            <w:pPr>
              <w:spacing w:after="0"/>
              <w:jc w:val="left"/>
              <w:rPr>
                <w:noProof/>
                <w:sz w:val="22"/>
              </w:rPr>
            </w:pPr>
          </w:p>
          <w:p>
            <w:pPr>
              <w:spacing w:after="0"/>
              <w:jc w:val="left"/>
              <w:rPr>
                <w:noProof/>
                <w:sz w:val="22"/>
              </w:rPr>
            </w:pPr>
            <w:r>
              <w:rPr>
                <w:i/>
                <w:noProof/>
                <w:sz w:val="22"/>
              </w:rPr>
              <w:t>Excluded</w:t>
            </w:r>
            <w:r>
              <w:rPr>
                <w:noProof/>
                <w:sz w:val="22"/>
              </w:rPr>
              <w:t>: App stores, e-commerce market places, social media (other than in their potential capacity of video-sharing platform), price comparison tools</w:t>
            </w:r>
          </w:p>
        </w:tc>
      </w:tr>
      <w:tr>
        <w:tc>
          <w:tcPr>
            <w:tcW w:w="1560" w:type="dxa"/>
          </w:tcPr>
          <w:p>
            <w:pPr>
              <w:spacing w:after="0"/>
              <w:jc w:val="left"/>
              <w:rPr>
                <w:b/>
                <w:bCs/>
                <w:noProof/>
                <w:sz w:val="22"/>
              </w:rPr>
            </w:pPr>
            <w:r>
              <w:rPr>
                <w:b/>
                <w:bCs/>
                <w:noProof/>
                <w:sz w:val="22"/>
              </w:rPr>
              <w:t>DRAFT PROPOSAL Art. 3(1)(a) of Council Directive establishing a Digital Services Tax</w:t>
            </w:r>
          </w:p>
          <w:p>
            <w:pPr>
              <w:spacing w:after="0"/>
              <w:jc w:val="left"/>
              <w:rPr>
                <w:noProof/>
                <w:sz w:val="22"/>
              </w:rPr>
            </w:pPr>
            <w:r>
              <w:rPr>
                <w:bCs/>
                <w:noProof/>
                <w:sz w:val="22"/>
              </w:rPr>
              <w:t>(</w:t>
            </w:r>
            <w:r>
              <w:rPr>
                <w:noProof/>
                <w:sz w:val="22"/>
              </w:rPr>
              <w:t xml:space="preserve">Digitax) </w:t>
            </w:r>
          </w:p>
          <w:p>
            <w:pPr>
              <w:spacing w:after="0"/>
              <w:jc w:val="left"/>
              <w:rPr>
                <w:noProof/>
                <w:sz w:val="22"/>
              </w:rPr>
            </w:pPr>
          </w:p>
        </w:tc>
        <w:tc>
          <w:tcPr>
            <w:tcW w:w="4560" w:type="dxa"/>
          </w:tcPr>
          <w:p>
            <w:pPr>
              <w:spacing w:after="0"/>
              <w:rPr>
                <w:b/>
                <w:i/>
                <w:iCs/>
                <w:noProof/>
                <w:sz w:val="22"/>
              </w:rPr>
            </w:pPr>
            <w:r>
              <w:rPr>
                <w:b/>
                <w:i/>
                <w:iCs/>
                <w:noProof/>
                <w:sz w:val="22"/>
              </w:rPr>
              <w:t>Multi-sided digital interface</w:t>
            </w:r>
          </w:p>
          <w:p>
            <w:pPr>
              <w:spacing w:after="0"/>
              <w:rPr>
                <w:b/>
                <w:i/>
                <w:iCs/>
                <w:noProof/>
                <w:sz w:val="22"/>
              </w:rPr>
            </w:pPr>
          </w:p>
          <w:p>
            <w:pPr>
              <w:spacing w:after="0"/>
              <w:jc w:val="left"/>
              <w:rPr>
                <w:i/>
                <w:iCs/>
                <w:noProof/>
                <w:sz w:val="22"/>
              </w:rPr>
            </w:pPr>
            <w:r>
              <w:rPr>
                <w:i/>
                <w:iCs/>
                <w:noProof/>
                <w:sz w:val="22"/>
              </w:rPr>
              <w:t>the making available to users of a multi-sided digital interface which allows users to find other users and to interact with them, and which facilitate the provision of underlying supplies of goods or services directly between those users, irrespective of where the transactions are ultimately concluded</w:t>
            </w:r>
          </w:p>
          <w:p>
            <w:pPr>
              <w:spacing w:after="0"/>
              <w:rPr>
                <w:b/>
                <w:i/>
                <w:iCs/>
                <w:noProof/>
                <w:sz w:val="22"/>
              </w:rPr>
            </w:pPr>
          </w:p>
          <w:p>
            <w:pPr>
              <w:spacing w:after="0"/>
              <w:rPr>
                <w:noProof/>
                <w:sz w:val="22"/>
              </w:rPr>
            </w:pPr>
            <w:r>
              <w:rPr>
                <w:noProof/>
                <w:sz w:val="22"/>
                <w:shd w:val="clear" w:color="auto" w:fill="F2F2F2" w:themeFill="background1" w:themeFillShade="F2"/>
              </w:rPr>
              <w:t xml:space="preserve">Although borrowing from the definition of </w:t>
            </w:r>
            <w:r>
              <w:rPr>
                <w:i/>
                <w:noProof/>
                <w:sz w:val="22"/>
                <w:shd w:val="clear" w:color="auto" w:fill="F2F2F2" w:themeFill="background1" w:themeFillShade="F2"/>
              </w:rPr>
              <w:t>online intermediation services</w:t>
            </w:r>
            <w:r>
              <w:rPr>
                <w:noProof/>
                <w:sz w:val="22"/>
                <w:shd w:val="clear" w:color="auto" w:fill="F2F2F2" w:themeFill="background1" w:themeFillShade="F2"/>
              </w:rPr>
              <w:t xml:space="preserve"> in the P2B initiative, this definition of </w:t>
            </w:r>
            <w:r>
              <w:rPr>
                <w:i/>
                <w:noProof/>
                <w:sz w:val="22"/>
                <w:shd w:val="clear" w:color="auto" w:fill="F2F2F2" w:themeFill="background1" w:themeFillShade="F2"/>
              </w:rPr>
              <w:t>multi-sided digital interfaces</w:t>
            </w:r>
            <w:r>
              <w:rPr>
                <w:noProof/>
                <w:sz w:val="22"/>
                <w:shd w:val="clear" w:color="auto" w:fill="F2F2F2" w:themeFill="background1" w:themeFillShade="F2"/>
              </w:rPr>
              <w:t xml:space="preserve"> has a slightly broader scope (as it includes B2B &amp; C2C/P2P platforms) in light of its purpose which is to identify taxable revenues, rather than contractual imbalances in bargaining power. Whereas pure C2C/P2P platforms are frequently provided for-profit, which can be subject to the digital service tax, they do not exhibit the harmful commercial issues targeted by the P2B initiative. The definition in the Digitax proposal will therefore </w:t>
            </w:r>
            <w:r>
              <w:rPr>
                <w:i/>
                <w:iCs/>
                <w:noProof/>
                <w:sz w:val="22"/>
                <w:shd w:val="clear" w:color="auto" w:fill="F2F2F2" w:themeFill="background1" w:themeFillShade="F2"/>
              </w:rPr>
              <w:t>include</w:t>
            </w:r>
            <w:r>
              <w:rPr>
                <w:noProof/>
                <w:sz w:val="22"/>
                <w:shd w:val="clear" w:color="auto" w:fill="F2F2F2" w:themeFill="background1" w:themeFillShade="F2"/>
              </w:rPr>
              <w:t xml:space="preserve"> online intermediation services for the purpose of levying the digital service tax (DST), but not conflict with the definition used in the P2B initiative. The slight difference in intended scope between the respective proposals is implemented in the Digitax proposal by defining the term </w:t>
            </w:r>
            <w:r>
              <w:rPr>
                <w:i/>
                <w:noProof/>
                <w:sz w:val="22"/>
                <w:shd w:val="clear" w:color="auto" w:fill="F2F2F2" w:themeFill="background1" w:themeFillShade="F2"/>
              </w:rPr>
              <w:t>user</w:t>
            </w:r>
            <w:r>
              <w:rPr>
                <w:noProof/>
                <w:sz w:val="22"/>
                <w:shd w:val="clear" w:color="auto" w:fill="F2F2F2" w:themeFill="background1" w:themeFillShade="F2"/>
              </w:rPr>
              <w:t xml:space="preserve"> as </w:t>
            </w:r>
            <w:r>
              <w:rPr>
                <w:i/>
                <w:noProof/>
                <w:sz w:val="22"/>
                <w:shd w:val="clear" w:color="auto" w:fill="F2F2F2" w:themeFill="background1" w:themeFillShade="F2"/>
              </w:rPr>
              <w:t>any individual or business</w:t>
            </w:r>
            <w:r>
              <w:rPr>
                <w:noProof/>
                <w:sz w:val="22"/>
                <w:shd w:val="clear" w:color="auto" w:fill="F2F2F2" w:themeFill="background1" w:themeFillShade="F2"/>
              </w:rPr>
              <w:t xml:space="preserve">, as opposed to using the separate definitions of </w:t>
            </w:r>
            <w:r>
              <w:rPr>
                <w:i/>
                <w:noProof/>
                <w:sz w:val="22"/>
                <w:shd w:val="clear" w:color="auto" w:fill="F2F2F2" w:themeFill="background1" w:themeFillShade="F2"/>
              </w:rPr>
              <w:t>business users</w:t>
            </w:r>
            <w:r>
              <w:rPr>
                <w:noProof/>
                <w:sz w:val="22"/>
                <w:shd w:val="clear" w:color="auto" w:fill="F2F2F2" w:themeFill="background1" w:themeFillShade="F2"/>
              </w:rPr>
              <w:t xml:space="preserve"> and </w:t>
            </w:r>
            <w:r>
              <w:rPr>
                <w:i/>
                <w:noProof/>
                <w:sz w:val="22"/>
                <w:shd w:val="clear" w:color="auto" w:fill="F2F2F2" w:themeFill="background1" w:themeFillShade="F2"/>
              </w:rPr>
              <w:t>consumers</w:t>
            </w:r>
            <w:r>
              <w:rPr>
                <w:noProof/>
                <w:sz w:val="22"/>
                <w:shd w:val="clear" w:color="auto" w:fill="F2F2F2" w:themeFill="background1" w:themeFillShade="F2"/>
              </w:rPr>
              <w:t xml:space="preserve"> in the P2B proposal. Apart from this, the definition of </w:t>
            </w:r>
            <w:r>
              <w:rPr>
                <w:i/>
                <w:noProof/>
                <w:sz w:val="22"/>
                <w:shd w:val="clear" w:color="auto" w:fill="F2F2F2" w:themeFill="background1" w:themeFillShade="F2"/>
              </w:rPr>
              <w:t>multi-sided digital interface</w:t>
            </w:r>
            <w:r>
              <w:rPr>
                <w:noProof/>
                <w:sz w:val="22"/>
                <w:shd w:val="clear" w:color="auto" w:fill="F2F2F2" w:themeFill="background1" w:themeFillShade="F2"/>
              </w:rPr>
              <w:t xml:space="preserve"> will be aligned with the definition of </w:t>
            </w:r>
            <w:r>
              <w:rPr>
                <w:i/>
                <w:noProof/>
                <w:sz w:val="22"/>
                <w:shd w:val="clear" w:color="auto" w:fill="F2F2F2" w:themeFill="background1" w:themeFillShade="F2"/>
              </w:rPr>
              <w:t>online intermediation services</w:t>
            </w:r>
            <w:r>
              <w:rPr>
                <w:noProof/>
                <w:sz w:val="22"/>
                <w:shd w:val="clear" w:color="auto" w:fill="F2F2F2" w:themeFill="background1" w:themeFillShade="F2"/>
              </w:rPr>
              <w:t>, both of which target the intermediaries' role in facilitating direct transactions between their users.</w:t>
            </w:r>
          </w:p>
        </w:tc>
        <w:tc>
          <w:tcPr>
            <w:tcW w:w="1560" w:type="dxa"/>
          </w:tcPr>
          <w:p>
            <w:pPr>
              <w:spacing w:after="0"/>
              <w:jc w:val="left"/>
              <w:rPr>
                <w:noProof/>
                <w:sz w:val="22"/>
              </w:rPr>
            </w:pPr>
            <w:r>
              <w:rPr>
                <w:noProof/>
                <w:sz w:val="22"/>
              </w:rPr>
              <w:t xml:space="preserve">B2B, B2C, C2C/P2P online platforms </w:t>
            </w:r>
          </w:p>
          <w:p>
            <w:pPr>
              <w:spacing w:after="0"/>
              <w:jc w:val="left"/>
              <w:rPr>
                <w:noProof/>
                <w:sz w:val="22"/>
              </w:rPr>
            </w:pPr>
          </w:p>
          <w:p>
            <w:pPr>
              <w:spacing w:after="0"/>
              <w:jc w:val="left"/>
              <w:rPr>
                <w:noProof/>
                <w:sz w:val="22"/>
              </w:rPr>
            </w:pPr>
            <w:r>
              <w:rPr>
                <w:noProof/>
                <w:sz w:val="22"/>
              </w:rPr>
              <w:t xml:space="preserve">for the purposes of levying the digital services tax (DST) </w:t>
            </w:r>
          </w:p>
          <w:p>
            <w:pPr>
              <w:spacing w:after="0"/>
              <w:jc w:val="left"/>
              <w:rPr>
                <w:noProof/>
                <w:sz w:val="22"/>
              </w:rPr>
            </w:pPr>
          </w:p>
        </w:tc>
        <w:tc>
          <w:tcPr>
            <w:tcW w:w="1454" w:type="dxa"/>
          </w:tcPr>
          <w:p>
            <w:pPr>
              <w:spacing w:after="0"/>
              <w:jc w:val="left"/>
              <w:rPr>
                <w:noProof/>
                <w:sz w:val="22"/>
              </w:rPr>
            </w:pPr>
            <w:r>
              <w:rPr>
                <w:noProof/>
                <w:sz w:val="22"/>
              </w:rPr>
              <w:t xml:space="preserve">All online platforms below this </w:t>
            </w:r>
            <w:r>
              <w:rPr>
                <w:b/>
                <w:noProof/>
                <w:sz w:val="22"/>
              </w:rPr>
              <w:t>turnover threshold</w:t>
            </w:r>
            <w:r>
              <w:rPr>
                <w:noProof/>
                <w:sz w:val="22"/>
              </w:rPr>
              <w:t>:</w:t>
            </w:r>
          </w:p>
          <w:p>
            <w:pPr>
              <w:spacing w:after="0"/>
              <w:jc w:val="left"/>
              <w:rPr>
                <w:noProof/>
                <w:sz w:val="22"/>
              </w:rPr>
            </w:pPr>
          </w:p>
          <w:p>
            <w:pPr>
              <w:spacing w:after="0"/>
              <w:jc w:val="left"/>
              <w:rPr>
                <w:noProof/>
                <w:sz w:val="22"/>
                <w:lang w:val="fr-BE"/>
              </w:rPr>
            </w:pPr>
            <w:r>
              <w:rPr>
                <w:noProof/>
                <w:sz w:val="22"/>
                <w:lang w:val="fr-BE"/>
              </w:rPr>
              <w:t>&gt; EUR 750 million global revenues; and</w:t>
            </w:r>
          </w:p>
          <w:p>
            <w:pPr>
              <w:spacing w:after="0"/>
              <w:jc w:val="left"/>
              <w:rPr>
                <w:noProof/>
                <w:sz w:val="22"/>
                <w:lang w:val="fr-BE"/>
              </w:rPr>
            </w:pPr>
            <w:r>
              <w:rPr>
                <w:noProof/>
                <w:sz w:val="22"/>
                <w:lang w:val="fr-BE"/>
              </w:rPr>
              <w:t>&gt; EUR 50 million EU taxable revenues</w:t>
            </w:r>
          </w:p>
        </w:tc>
      </w:tr>
      <w:tr>
        <w:tc>
          <w:tcPr>
            <w:tcW w:w="1560" w:type="dxa"/>
          </w:tcPr>
          <w:p>
            <w:pPr>
              <w:spacing w:after="0"/>
              <w:jc w:val="left"/>
              <w:rPr>
                <w:b/>
                <w:noProof/>
                <w:sz w:val="22"/>
              </w:rPr>
            </w:pPr>
            <w:r>
              <w:rPr>
                <w:b/>
                <w:noProof/>
                <w:sz w:val="22"/>
              </w:rPr>
              <w:t>DRAFT PROPOSAL Art. 2(19) of Directive 2011/83/EU (Consumer Rights Directive -revised CRD)</w:t>
            </w:r>
          </w:p>
        </w:tc>
        <w:tc>
          <w:tcPr>
            <w:tcW w:w="4560" w:type="dxa"/>
          </w:tcPr>
          <w:p>
            <w:pPr>
              <w:spacing w:after="0"/>
              <w:rPr>
                <w:noProof/>
                <w:sz w:val="22"/>
              </w:rPr>
            </w:pPr>
            <w:r>
              <w:rPr>
                <w:b/>
                <w:i/>
                <w:iCs/>
                <w:noProof/>
                <w:sz w:val="22"/>
              </w:rPr>
              <w:t>Online market place</w:t>
            </w:r>
            <w:r>
              <w:rPr>
                <w:noProof/>
                <w:sz w:val="22"/>
              </w:rPr>
              <w:t xml:space="preserve">  </w:t>
            </w:r>
          </w:p>
          <w:p>
            <w:pPr>
              <w:spacing w:after="0"/>
              <w:rPr>
                <w:noProof/>
                <w:sz w:val="22"/>
              </w:rPr>
            </w:pPr>
          </w:p>
          <w:p>
            <w:pPr>
              <w:spacing w:after="0"/>
              <w:rPr>
                <w:i/>
                <w:iCs/>
                <w:noProof/>
                <w:sz w:val="22"/>
              </w:rPr>
            </w:pPr>
            <w:r>
              <w:rPr>
                <w:i/>
                <w:iCs/>
                <w:noProof/>
                <w:sz w:val="22"/>
              </w:rPr>
              <w:t>'online marketplace' means a service provider, as defined in point (b) of Article 2 of Directive 2000/31/EC of the European Parliament and of the Council of 8 June 2000 on certain legal aspects of information society services, in particular electronic commerce, in the Internal Market (‘Directive on electronic commerce’), which allows consumers to conclude distance contracts on the online marketplace’s online interface</w:t>
            </w:r>
          </w:p>
          <w:p>
            <w:pPr>
              <w:spacing w:after="0"/>
              <w:rPr>
                <w:noProof/>
                <w:sz w:val="22"/>
              </w:rPr>
            </w:pPr>
          </w:p>
          <w:p>
            <w:pPr>
              <w:spacing w:after="0"/>
              <w:rPr>
                <w:noProof/>
                <w:sz w:val="22"/>
              </w:rPr>
            </w:pPr>
            <w:r>
              <w:rPr>
                <w:noProof/>
                <w:sz w:val="22"/>
                <w:shd w:val="clear" w:color="auto" w:fill="F2F2F2" w:themeFill="background1" w:themeFillShade="F2"/>
              </w:rPr>
              <w:t xml:space="preserve">This definition identifies one specific type of online intermediation services for the purpose of tackling the targeted issue of private providers in the collaborative economy not identifying themselves as such vis-a-vis buyers – resulting in the latter not being aware that the CRD protections do not apply. This notwithstanding the conclusion of a contract on the platform's interface, which can give the impression that a contract is in fact concluded with a trader (i.e. the platform). The obligation that the revised CRD will impose on online market places by means of this definition is accordingly strictly meant to protect consumers, not businesses. The P2B proposal at the same time explicitly sets out that online market places are one type of online intermediation services, with the latter definition clearly going beyond for a different purpose (to protect businesses). The concurrent application of </w:t>
            </w:r>
            <w:r>
              <w:rPr>
                <w:i/>
                <w:iCs/>
                <w:noProof/>
                <w:sz w:val="22"/>
                <w:shd w:val="clear" w:color="auto" w:fill="F2F2F2" w:themeFill="background1" w:themeFillShade="F2"/>
              </w:rPr>
              <w:t>online market places</w:t>
            </w:r>
            <w:r>
              <w:rPr>
                <w:noProof/>
                <w:sz w:val="22"/>
                <w:shd w:val="clear" w:color="auto" w:fill="F2F2F2" w:themeFill="background1" w:themeFillShade="F2"/>
              </w:rPr>
              <w:t xml:space="preserve"> and </w:t>
            </w:r>
            <w:r>
              <w:rPr>
                <w:i/>
                <w:iCs/>
                <w:noProof/>
                <w:sz w:val="22"/>
                <w:shd w:val="clear" w:color="auto" w:fill="F2F2F2" w:themeFill="background1" w:themeFillShade="F2"/>
              </w:rPr>
              <w:t>online intermediation services</w:t>
            </w:r>
            <w:r>
              <w:rPr>
                <w:noProof/>
                <w:sz w:val="22"/>
                <w:shd w:val="clear" w:color="auto" w:fill="F2F2F2" w:themeFill="background1" w:themeFillShade="F2"/>
              </w:rPr>
              <w:t xml:space="preserve"> therefore will not involve any potential conflict.</w:t>
            </w:r>
          </w:p>
        </w:tc>
        <w:tc>
          <w:tcPr>
            <w:tcW w:w="1560" w:type="dxa"/>
          </w:tcPr>
          <w:p>
            <w:pPr>
              <w:spacing w:after="0"/>
              <w:jc w:val="left"/>
              <w:rPr>
                <w:noProof/>
                <w:sz w:val="22"/>
              </w:rPr>
            </w:pPr>
            <w:r>
              <w:rPr>
                <w:noProof/>
                <w:sz w:val="22"/>
              </w:rPr>
              <w:t>Goes beyond "intermediation" as any service providers' website could be covered</w:t>
            </w:r>
          </w:p>
          <w:p>
            <w:pPr>
              <w:spacing w:after="0"/>
              <w:jc w:val="left"/>
              <w:rPr>
                <w:noProof/>
                <w:sz w:val="22"/>
              </w:rPr>
            </w:pPr>
          </w:p>
          <w:p>
            <w:pPr>
              <w:spacing w:after="0"/>
              <w:jc w:val="left"/>
              <w:rPr>
                <w:noProof/>
                <w:sz w:val="22"/>
              </w:rPr>
            </w:pPr>
            <w:r>
              <w:rPr>
                <w:noProof/>
                <w:sz w:val="22"/>
              </w:rPr>
              <w:t xml:space="preserve">All B2C and C2C/P2P online platforms as well as any website used to offer services  (i.e. app stores, e-commerce market places, OTAs and webshops, to the extent they allow online contract conclusion) </w:t>
            </w:r>
          </w:p>
        </w:tc>
        <w:tc>
          <w:tcPr>
            <w:tcW w:w="1454" w:type="dxa"/>
          </w:tcPr>
          <w:p>
            <w:pPr>
              <w:spacing w:after="0"/>
              <w:jc w:val="left"/>
              <w:rPr>
                <w:noProof/>
                <w:sz w:val="22"/>
              </w:rPr>
            </w:pPr>
            <w:r>
              <w:rPr>
                <w:noProof/>
                <w:sz w:val="22"/>
              </w:rPr>
              <w:t>B2B online platforms</w:t>
            </w:r>
          </w:p>
        </w:tc>
      </w:tr>
      <w:tr>
        <w:tc>
          <w:tcPr>
            <w:tcW w:w="1560" w:type="dxa"/>
          </w:tcPr>
          <w:p>
            <w:pPr>
              <w:spacing w:after="0"/>
              <w:jc w:val="left"/>
              <w:rPr>
                <w:b/>
                <w:noProof/>
                <w:sz w:val="22"/>
              </w:rPr>
            </w:pPr>
            <w:r>
              <w:rPr>
                <w:b/>
                <w:noProof/>
                <w:sz w:val="22"/>
              </w:rPr>
              <w:t>DRAFT Crowdfunding Regulation</w:t>
            </w:r>
          </w:p>
        </w:tc>
        <w:tc>
          <w:tcPr>
            <w:tcW w:w="4560" w:type="dxa"/>
          </w:tcPr>
          <w:p>
            <w:pPr>
              <w:spacing w:after="0"/>
              <w:rPr>
                <w:b/>
                <w:i/>
                <w:iCs/>
                <w:noProof/>
                <w:sz w:val="22"/>
              </w:rPr>
            </w:pPr>
            <w:r>
              <w:rPr>
                <w:b/>
                <w:i/>
                <w:iCs/>
                <w:noProof/>
                <w:sz w:val="22"/>
              </w:rPr>
              <w:t>Crowdfunding platform</w:t>
            </w:r>
          </w:p>
          <w:p>
            <w:pPr>
              <w:spacing w:after="0"/>
              <w:rPr>
                <w:noProof/>
                <w:sz w:val="22"/>
              </w:rPr>
            </w:pPr>
          </w:p>
          <w:p>
            <w:pPr>
              <w:spacing w:after="0"/>
              <w:rPr>
                <w:i/>
                <w:iCs/>
                <w:noProof/>
                <w:sz w:val="22"/>
              </w:rPr>
            </w:pPr>
            <w:r>
              <w:rPr>
                <w:i/>
                <w:iCs/>
                <w:noProof/>
                <w:sz w:val="22"/>
              </w:rPr>
              <w:t>(a)"crowdfunding services" means any of the following:</w:t>
            </w:r>
          </w:p>
          <w:p>
            <w:pPr>
              <w:spacing w:after="0"/>
              <w:rPr>
                <w:i/>
                <w:iCs/>
                <w:noProof/>
                <w:sz w:val="22"/>
              </w:rPr>
            </w:pPr>
            <w:r>
              <w:rPr>
                <w:i/>
                <w:iCs/>
                <w:noProof/>
                <w:sz w:val="22"/>
              </w:rPr>
              <w:t>(i)  the service of facilitating the granting of loans (lending-based crowdfunding);</w:t>
            </w:r>
          </w:p>
          <w:p>
            <w:pPr>
              <w:spacing w:after="0"/>
              <w:rPr>
                <w:i/>
                <w:iCs/>
                <w:noProof/>
                <w:sz w:val="22"/>
              </w:rPr>
            </w:pPr>
            <w:r>
              <w:rPr>
                <w:i/>
                <w:iCs/>
                <w:noProof/>
                <w:sz w:val="22"/>
              </w:rPr>
              <w:t>(ii) the reception and transmission of orders in relation to one or more financial instruments or the placing of financial instruments without a firm commitment bases as defined in points 1 and 7 of Section A of Annex I of Directive 2014/65/EU in relation to transferable securities (investment-based crowdfunding), where such services are provided over a crowdfunding platform, including on cross-border basis, and where each crowdfunding offer in relation to the above services does not have a total consideration in the Union that exceeds EUR 1 000 000, which shall be calculated over a period of 12 months.</w:t>
            </w:r>
          </w:p>
          <w:p>
            <w:pPr>
              <w:spacing w:after="0"/>
              <w:rPr>
                <w:i/>
                <w:iCs/>
                <w:noProof/>
                <w:sz w:val="22"/>
              </w:rPr>
            </w:pPr>
            <w:r>
              <w:rPr>
                <w:i/>
                <w:iCs/>
                <w:noProof/>
                <w:sz w:val="22"/>
              </w:rPr>
              <w:t>(b)"crowdfunding platform" means an electronic information system on which crowdfunding services are provided;</w:t>
            </w:r>
          </w:p>
          <w:p>
            <w:pPr>
              <w:spacing w:after="0"/>
              <w:rPr>
                <w:i/>
                <w:iCs/>
                <w:noProof/>
                <w:sz w:val="22"/>
              </w:rPr>
            </w:pPr>
            <w:r>
              <w:rPr>
                <w:i/>
                <w:iCs/>
                <w:noProof/>
                <w:sz w:val="22"/>
              </w:rPr>
              <w:t>(c)"crowdfunding provider" means any person who manages and/or operates a crowdfunding platform;</w:t>
            </w:r>
          </w:p>
          <w:p>
            <w:pPr>
              <w:spacing w:after="0"/>
              <w:rPr>
                <w:i/>
                <w:iCs/>
                <w:noProof/>
                <w:sz w:val="22"/>
              </w:rPr>
            </w:pPr>
            <w:r>
              <w:rPr>
                <w:i/>
                <w:iCs/>
                <w:noProof/>
                <w:sz w:val="22"/>
              </w:rPr>
              <w:t xml:space="preserve">(d)"crowdfunding offer" means a communication to persons over a crowdfunding platform or otherwise and presenting sufficient information so as to enable an investor to decide on the merits of entering into a crowdfunding transaction  with regard to a particular project; </w:t>
            </w:r>
          </w:p>
          <w:p>
            <w:pPr>
              <w:spacing w:after="0"/>
              <w:rPr>
                <w:i/>
                <w:iCs/>
                <w:noProof/>
                <w:sz w:val="22"/>
              </w:rPr>
            </w:pPr>
            <w:r>
              <w:rPr>
                <w:i/>
                <w:iCs/>
                <w:noProof/>
                <w:sz w:val="22"/>
              </w:rPr>
              <w:t xml:space="preserve">(e)"crowdfunding process" means any set of arrangements established under the rules of the crowdfunding platform to conclude crowdfunding transactions; </w:t>
            </w:r>
          </w:p>
          <w:p>
            <w:pPr>
              <w:spacing w:after="0"/>
              <w:rPr>
                <w:i/>
                <w:iCs/>
                <w:noProof/>
                <w:sz w:val="22"/>
              </w:rPr>
            </w:pPr>
            <w:r>
              <w:rPr>
                <w:i/>
                <w:iCs/>
                <w:noProof/>
                <w:sz w:val="22"/>
              </w:rPr>
              <w:t>(f)"crowdfunding transaction" means a transaction concluded by and between an investor and a project owner under which the investor provides or undertakes to provide funds to the project owner through the provision of a loan to the project owner or through the acquisition of financial instruments issued by the project owner or by a special purpose vehicle, and the project owner or the special purpose vehicle issues financial instruments.</w:t>
            </w:r>
          </w:p>
          <w:p>
            <w:pPr>
              <w:spacing w:after="0"/>
              <w:rPr>
                <w:noProof/>
                <w:sz w:val="22"/>
              </w:rPr>
            </w:pPr>
          </w:p>
          <w:p>
            <w:pPr>
              <w:spacing w:after="0"/>
              <w:rPr>
                <w:noProof/>
                <w:sz w:val="22"/>
              </w:rPr>
            </w:pPr>
            <w:r>
              <w:rPr>
                <w:noProof/>
                <w:sz w:val="22"/>
                <w:shd w:val="clear" w:color="auto" w:fill="F2F2F2" w:themeFill="background1" w:themeFillShade="F2"/>
              </w:rPr>
              <w:t xml:space="preserve">This definition identifies a type of C2P2B-platform (peers investing in traders' ideas) and therefore lies outside the definition of </w:t>
            </w:r>
            <w:r>
              <w:rPr>
                <w:i/>
                <w:noProof/>
                <w:sz w:val="22"/>
                <w:shd w:val="clear" w:color="auto" w:fill="F2F2F2" w:themeFill="background1" w:themeFillShade="F2"/>
              </w:rPr>
              <w:t>online intermediation services</w:t>
            </w:r>
            <w:r>
              <w:rPr>
                <w:noProof/>
                <w:sz w:val="22"/>
                <w:shd w:val="clear" w:color="auto" w:fill="F2F2F2" w:themeFill="background1" w:themeFillShade="F2"/>
              </w:rPr>
              <w:t xml:space="preserve"> used in the P2B initiative. It also serves a fundamentally different purpose. There is no risk therefore of any conflict between the obligations included for online intermediation services in the P2B initiative and the requirements for being recognised as an EU crowdfunding platform under the proposed Crowdfunding Regulation. The fact that dozens of national regimes already exist for crowdfunding platforms without these effectively limiting other types of online platforms' freedom to provide services throughout the Internal market underlines the complementarity of the definitions proposed.</w:t>
            </w:r>
          </w:p>
        </w:tc>
        <w:tc>
          <w:tcPr>
            <w:tcW w:w="1560" w:type="dxa"/>
          </w:tcPr>
          <w:p>
            <w:pPr>
              <w:spacing w:after="0"/>
              <w:jc w:val="left"/>
              <w:rPr>
                <w:noProof/>
                <w:sz w:val="22"/>
              </w:rPr>
            </w:pPr>
            <w:r>
              <w:rPr>
                <w:noProof/>
                <w:sz w:val="22"/>
              </w:rPr>
              <w:t>C2P2B-crowdfunding platforms (peers investing in traders' ideas)</w:t>
            </w:r>
          </w:p>
        </w:tc>
        <w:tc>
          <w:tcPr>
            <w:tcW w:w="1454" w:type="dxa"/>
          </w:tcPr>
          <w:p>
            <w:pPr>
              <w:spacing w:after="0"/>
              <w:jc w:val="left"/>
              <w:rPr>
                <w:noProof/>
                <w:sz w:val="22"/>
              </w:rPr>
            </w:pPr>
            <w:r>
              <w:rPr>
                <w:noProof/>
                <w:sz w:val="22"/>
              </w:rPr>
              <w:t>B2C, B2B, P2P online platforms (anything other than C2P2B crowdfunding platforms)</w:t>
            </w:r>
          </w:p>
        </w:tc>
      </w:tr>
      <w:tr>
        <w:tc>
          <w:tcPr>
            <w:tcW w:w="1560" w:type="dxa"/>
          </w:tcPr>
          <w:p>
            <w:pPr>
              <w:spacing w:after="0"/>
              <w:jc w:val="left"/>
              <w:rPr>
                <w:bCs/>
                <w:noProof/>
                <w:sz w:val="22"/>
              </w:rPr>
            </w:pPr>
            <w:r>
              <w:rPr>
                <w:bCs/>
                <w:noProof/>
                <w:sz w:val="22"/>
              </w:rPr>
              <w:t xml:space="preserve">Recital 13 of the </w:t>
            </w:r>
            <w:r>
              <w:rPr>
                <w:b/>
                <w:noProof/>
                <w:sz w:val="22"/>
              </w:rPr>
              <w:t>DRAFT Enforcement Regulation / Goods Package</w:t>
            </w:r>
            <w:r>
              <w:rPr>
                <w:bCs/>
                <w:noProof/>
                <w:sz w:val="22"/>
              </w:rPr>
              <w:t xml:space="preserve"> (laying down procedures for compliance with and enforcement of Union harmonisation legislation on products)</w:t>
            </w:r>
          </w:p>
          <w:p>
            <w:pPr>
              <w:spacing w:after="0"/>
              <w:jc w:val="left"/>
              <w:rPr>
                <w:bCs/>
                <w:noProof/>
                <w:sz w:val="22"/>
              </w:rPr>
            </w:pPr>
          </w:p>
        </w:tc>
        <w:tc>
          <w:tcPr>
            <w:tcW w:w="4560" w:type="dxa"/>
          </w:tcPr>
          <w:p>
            <w:pPr>
              <w:spacing w:after="0"/>
              <w:rPr>
                <w:iCs/>
                <w:noProof/>
                <w:sz w:val="22"/>
              </w:rPr>
            </w:pPr>
            <w:r>
              <w:rPr>
                <w:iCs/>
                <w:noProof/>
                <w:sz w:val="22"/>
              </w:rPr>
              <w:t>N/A – no definition</w:t>
            </w:r>
          </w:p>
          <w:p>
            <w:pPr>
              <w:spacing w:after="0"/>
              <w:rPr>
                <w:i/>
                <w:iCs/>
                <w:noProof/>
                <w:sz w:val="22"/>
              </w:rPr>
            </w:pPr>
          </w:p>
          <w:p>
            <w:pPr>
              <w:spacing w:after="0"/>
              <w:rPr>
                <w:i/>
                <w:iCs/>
                <w:noProof/>
                <w:sz w:val="22"/>
              </w:rPr>
            </w:pPr>
            <w:r>
              <w:rPr>
                <w:i/>
                <w:iCs/>
                <w:noProof/>
                <w:sz w:val="22"/>
              </w:rPr>
              <w:t>The development of e-commerce is also due to a great extent to the proliferation of information society service providers, normally through platforms and for remuneration, which offer intermediary services by storing third party content, but without exercising any control over such content, thus not acting on behalf of an economic operator.</w:t>
            </w:r>
          </w:p>
          <w:p>
            <w:pPr>
              <w:spacing w:after="0"/>
              <w:rPr>
                <w:noProof/>
                <w:sz w:val="22"/>
                <w:shd w:val="clear" w:color="auto" w:fill="F2F2F2" w:themeFill="background1" w:themeFillShade="F2"/>
              </w:rPr>
            </w:pPr>
          </w:p>
          <w:p>
            <w:pPr>
              <w:spacing w:after="0"/>
              <w:rPr>
                <w:noProof/>
                <w:sz w:val="22"/>
              </w:rPr>
            </w:pPr>
            <w:r>
              <w:rPr>
                <w:noProof/>
                <w:sz w:val="22"/>
                <w:shd w:val="clear" w:color="auto" w:fill="F2F2F2" w:themeFill="background1" w:themeFillShade="F2"/>
              </w:rPr>
              <w:t>No definition proposed, while the recital uses "intermediary services" in the sense of the P2B initiative. No potential for conflict.</w:t>
            </w:r>
          </w:p>
        </w:tc>
        <w:tc>
          <w:tcPr>
            <w:tcW w:w="1560" w:type="dxa"/>
          </w:tcPr>
          <w:p>
            <w:pPr>
              <w:spacing w:after="0"/>
              <w:jc w:val="left"/>
              <w:rPr>
                <w:noProof/>
                <w:sz w:val="22"/>
              </w:rPr>
            </w:pPr>
            <w:r>
              <w:rPr>
                <w:noProof/>
                <w:sz w:val="22"/>
              </w:rPr>
              <w:t>N/A</w:t>
            </w:r>
          </w:p>
        </w:tc>
        <w:tc>
          <w:tcPr>
            <w:tcW w:w="1454" w:type="dxa"/>
          </w:tcPr>
          <w:p>
            <w:pPr>
              <w:spacing w:after="0"/>
              <w:jc w:val="left"/>
              <w:rPr>
                <w:noProof/>
                <w:sz w:val="22"/>
              </w:rPr>
            </w:pPr>
            <w:r>
              <w:rPr>
                <w:noProof/>
                <w:sz w:val="22"/>
              </w:rPr>
              <w:t>N/A</w:t>
            </w:r>
          </w:p>
        </w:tc>
      </w:tr>
      <w:tr>
        <w:tc>
          <w:tcPr>
            <w:tcW w:w="1560" w:type="dxa"/>
          </w:tcPr>
          <w:p>
            <w:pPr>
              <w:spacing w:after="0"/>
              <w:jc w:val="left"/>
              <w:rPr>
                <w:bCs/>
                <w:noProof/>
                <w:sz w:val="22"/>
              </w:rPr>
            </w:pPr>
            <w:r>
              <w:rPr>
                <w:b/>
                <w:bCs/>
                <w:noProof/>
                <w:sz w:val="22"/>
              </w:rPr>
              <w:t xml:space="preserve">DRAFT proposal </w:t>
            </w:r>
            <w:r>
              <w:rPr>
                <w:bCs/>
                <w:noProof/>
                <w:sz w:val="22"/>
              </w:rPr>
              <w:t xml:space="preserve">for a Regulation </w:t>
            </w:r>
            <w:r>
              <w:rPr>
                <w:noProof/>
                <w:sz w:val="22"/>
              </w:rPr>
              <w:t xml:space="preserve">on cross-border access to </w:t>
            </w:r>
            <w:r>
              <w:rPr>
                <w:b/>
                <w:noProof/>
                <w:sz w:val="22"/>
              </w:rPr>
              <w:t xml:space="preserve">electronic evidence </w:t>
            </w:r>
            <w:r>
              <w:rPr>
                <w:noProof/>
                <w:sz w:val="22"/>
              </w:rPr>
              <w:t>in criminal matters</w:t>
            </w:r>
          </w:p>
        </w:tc>
        <w:tc>
          <w:tcPr>
            <w:tcW w:w="4560" w:type="dxa"/>
          </w:tcPr>
          <w:p>
            <w:pPr>
              <w:spacing w:after="0"/>
              <w:rPr>
                <w:b/>
                <w:iCs/>
                <w:noProof/>
                <w:sz w:val="22"/>
              </w:rPr>
            </w:pPr>
            <w:r>
              <w:rPr>
                <w:b/>
                <w:iCs/>
                <w:noProof/>
                <w:sz w:val="22"/>
              </w:rPr>
              <w:t>Service provider</w:t>
            </w:r>
          </w:p>
          <w:p>
            <w:pPr>
              <w:spacing w:after="0"/>
              <w:rPr>
                <w:iCs/>
                <w:noProof/>
                <w:sz w:val="22"/>
              </w:rPr>
            </w:pPr>
          </w:p>
          <w:p>
            <w:pPr>
              <w:spacing w:after="0"/>
              <w:rPr>
                <w:i/>
                <w:noProof/>
                <w:sz w:val="22"/>
              </w:rPr>
            </w:pPr>
            <w:r>
              <w:rPr>
                <w:i/>
                <w:noProof/>
                <w:sz w:val="22"/>
              </w:rPr>
              <w:t>(c)</w:t>
            </w:r>
            <w:r>
              <w:rPr>
                <w:i/>
                <w:noProof/>
                <w:sz w:val="22"/>
              </w:rPr>
              <w:tab/>
              <w:t>'service provider' means any natural or legal person that provides the following categories of services:</w:t>
            </w:r>
          </w:p>
          <w:p>
            <w:pPr>
              <w:spacing w:after="0"/>
              <w:rPr>
                <w:i/>
                <w:noProof/>
                <w:sz w:val="22"/>
              </w:rPr>
            </w:pPr>
            <w:r>
              <w:rPr>
                <w:i/>
                <w:noProof/>
                <w:sz w:val="22"/>
              </w:rPr>
              <w:t>(1)</w:t>
            </w:r>
            <w:r>
              <w:rPr>
                <w:i/>
                <w:noProof/>
                <w:sz w:val="22"/>
              </w:rPr>
              <w:tab/>
              <w:t xml:space="preserve">electronic communications service as defined in Article 2(4) of [Directive establishing the European Electronic Communications Code]; </w:t>
            </w:r>
          </w:p>
          <w:p>
            <w:pPr>
              <w:spacing w:after="0"/>
              <w:rPr>
                <w:i/>
                <w:noProof/>
                <w:sz w:val="22"/>
              </w:rPr>
            </w:pPr>
            <w:r>
              <w:rPr>
                <w:i/>
                <w:noProof/>
                <w:sz w:val="22"/>
              </w:rPr>
              <w:t>(2)</w:t>
            </w:r>
            <w:r>
              <w:rPr>
                <w:i/>
                <w:noProof/>
                <w:sz w:val="22"/>
              </w:rPr>
              <w:tab/>
              <w:t>information society services as defined in point (b) of Article 1(1) of Directive (EU) 2015/1535 that store data as part of the service provided to the user, including social networks, online marketplaces and hosting service providers;</w:t>
            </w:r>
          </w:p>
          <w:p>
            <w:pPr>
              <w:spacing w:after="0"/>
              <w:rPr>
                <w:i/>
                <w:noProof/>
                <w:sz w:val="22"/>
              </w:rPr>
            </w:pPr>
            <w:r>
              <w:rPr>
                <w:i/>
                <w:noProof/>
                <w:sz w:val="22"/>
              </w:rPr>
              <w:t>(3)</w:t>
            </w:r>
            <w:r>
              <w:rPr>
                <w:i/>
                <w:noProof/>
                <w:sz w:val="22"/>
              </w:rPr>
              <w:tab/>
              <w:t>services that provide internet infrastructure such as IP address and domain name registries, domain name registrars and associated privacy and proxy services.</w:t>
            </w:r>
          </w:p>
          <w:p>
            <w:pPr>
              <w:spacing w:after="0"/>
              <w:rPr>
                <w:i/>
                <w:noProof/>
                <w:sz w:val="22"/>
              </w:rPr>
            </w:pPr>
          </w:p>
          <w:p>
            <w:pPr>
              <w:spacing w:after="0"/>
              <w:rPr>
                <w:i/>
                <w:iCs/>
                <w:noProof/>
                <w:sz w:val="22"/>
              </w:rPr>
            </w:pPr>
            <w:r>
              <w:rPr>
                <w:noProof/>
                <w:sz w:val="22"/>
                <w:shd w:val="clear" w:color="auto" w:fill="F2F2F2" w:themeFill="background1" w:themeFillShade="F2"/>
              </w:rPr>
              <w:t>Service provider is meant to identify digital services that have some form of potential access to third-party users' information. In this context, online marketplaces and social media are identified as examples. The definition therefore targets a very broad range of online "intermediaries", including those at the infrastructure level (e.g. registrars). The foreseen obligations at the same time frame the relationship between all these online intermediaries and public authorities, rather than business users. There is therefore no potential conflict with the P2B initiative.</w:t>
            </w:r>
            <w:r>
              <w:rPr>
                <w:noProof/>
                <w:sz w:val="22"/>
              </w:rPr>
              <w:t xml:space="preserve"> </w:t>
            </w:r>
          </w:p>
        </w:tc>
        <w:tc>
          <w:tcPr>
            <w:tcW w:w="1560" w:type="dxa"/>
          </w:tcPr>
          <w:p>
            <w:pPr>
              <w:spacing w:after="0"/>
              <w:jc w:val="left"/>
              <w:rPr>
                <w:noProof/>
                <w:sz w:val="22"/>
              </w:rPr>
            </w:pPr>
            <w:r>
              <w:rPr>
                <w:noProof/>
                <w:sz w:val="22"/>
              </w:rPr>
              <w:t xml:space="preserve">All </w:t>
            </w:r>
            <w:r>
              <w:rPr>
                <w:i/>
                <w:noProof/>
                <w:sz w:val="22"/>
              </w:rPr>
              <w:t>online intermediation services</w:t>
            </w:r>
            <w:r>
              <w:rPr>
                <w:noProof/>
                <w:sz w:val="22"/>
              </w:rPr>
              <w:t>, as well as OTT communications platforms, registrars, Internet access providers, B2B e-commerce market places,</w:t>
            </w:r>
          </w:p>
          <w:p>
            <w:pPr>
              <w:spacing w:after="0"/>
              <w:jc w:val="left"/>
              <w:rPr>
                <w:noProof/>
                <w:sz w:val="22"/>
              </w:rPr>
            </w:pPr>
          </w:p>
          <w:p>
            <w:pPr>
              <w:spacing w:after="0"/>
              <w:jc w:val="left"/>
              <w:rPr>
                <w:noProof/>
                <w:sz w:val="22"/>
              </w:rPr>
            </w:pPr>
            <w:r>
              <w:rPr>
                <w:noProof/>
                <w:sz w:val="22"/>
              </w:rPr>
              <w:t xml:space="preserve">Targets different relationship from P2B, focusing on service providers' cooperation with </w:t>
            </w:r>
            <w:r>
              <w:rPr>
                <w:b/>
                <w:noProof/>
                <w:sz w:val="22"/>
              </w:rPr>
              <w:t>public authorities</w:t>
            </w:r>
          </w:p>
        </w:tc>
        <w:tc>
          <w:tcPr>
            <w:tcW w:w="1454" w:type="dxa"/>
          </w:tcPr>
          <w:p>
            <w:pPr>
              <w:spacing w:after="0"/>
              <w:jc w:val="left"/>
              <w:rPr>
                <w:noProof/>
              </w:rPr>
            </w:pPr>
            <w:r>
              <w:rPr>
                <w:noProof/>
                <w:sz w:val="22"/>
              </w:rPr>
              <w:t>N/A</w:t>
            </w:r>
          </w:p>
          <w:p>
            <w:pPr>
              <w:spacing w:after="0"/>
              <w:jc w:val="left"/>
              <w:rPr>
                <w:noProof/>
                <w:sz w:val="22"/>
              </w:rPr>
            </w:pPr>
          </w:p>
        </w:tc>
      </w:tr>
    </w:tbl>
    <w:p>
      <w:pPr>
        <w:pStyle w:val="Default"/>
        <w:jc w:val="both"/>
        <w:rPr>
          <w:noProof/>
        </w:rPr>
      </w:pPr>
    </w:p>
    <w:p>
      <w:pPr>
        <w:pStyle w:val="Heading2"/>
        <w:numPr>
          <w:ilvl w:val="0"/>
          <w:numId w:val="0"/>
        </w:numPr>
        <w:rPr>
          <w:noProof/>
        </w:rPr>
      </w:pPr>
      <w:bookmarkStart w:id="2154" w:name="_Ref497917857"/>
      <w:bookmarkStart w:id="2155" w:name="_Toc497919471"/>
      <w:bookmarkStart w:id="2156" w:name="_Toc497919789"/>
      <w:bookmarkStart w:id="2157" w:name="_Toc497920475"/>
      <w:bookmarkStart w:id="2158" w:name="_Toc497921522"/>
      <w:bookmarkStart w:id="2159" w:name="_Toc497921615"/>
      <w:bookmarkStart w:id="2160" w:name="_Toc500262145"/>
      <w:bookmarkStart w:id="2161" w:name="_Toc507167070"/>
      <w:bookmarkStart w:id="2162" w:name="_Toc508297441"/>
      <w:bookmarkStart w:id="2163" w:name="_Toc508350203"/>
      <w:bookmarkStart w:id="2164" w:name="_Toc508351643"/>
      <w:bookmarkStart w:id="2165" w:name="_Toc508360057"/>
      <w:bookmarkStart w:id="2166" w:name="_Toc511220556"/>
      <w:bookmarkStart w:id="2167" w:name="_Toc511235002"/>
      <w:bookmarkStart w:id="2168" w:name="_Toc511292915"/>
      <w:r>
        <w:rPr>
          <w:noProof/>
        </w:rPr>
        <w:t>8.4</w:t>
      </w:r>
      <w:r>
        <w:rPr>
          <w:noProof/>
        </w:rPr>
        <w:tab/>
        <w:t>B2B rules at EU and national level</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pPr>
        <w:rPr>
          <w:noProof/>
        </w:rPr>
      </w:pPr>
      <w:r>
        <w:rPr>
          <w:noProof/>
        </w:rPr>
        <w:t xml:space="preserve">B2B commercial practices such as the practices identified in the present Impact Assessment are not covered by EU consumer protection legislation. The </w:t>
      </w:r>
      <w:r>
        <w:rPr>
          <w:b/>
          <w:noProof/>
        </w:rPr>
        <w:t>Unfair Commercial Practices Directive</w:t>
      </w:r>
      <w:r>
        <w:rPr>
          <w:noProof/>
        </w:rPr>
        <w:t xml:space="preserve"> (UCPD)</w:t>
      </w:r>
      <w:r>
        <w:rPr>
          <w:rStyle w:val="FootnoteReference"/>
          <w:noProof/>
        </w:rPr>
        <w:footnoteReference w:id="132"/>
      </w:r>
      <w:r>
        <w:rPr>
          <w:noProof/>
        </w:rPr>
        <w:t xml:space="preserve"> and the </w:t>
      </w:r>
      <w:r>
        <w:rPr>
          <w:b/>
          <w:noProof/>
        </w:rPr>
        <w:t>Unfair Contract Terms Directiv</w:t>
      </w:r>
      <w:r>
        <w:rPr>
          <w:noProof/>
        </w:rPr>
        <w:t>e (UCTD)</w:t>
      </w:r>
      <w:r>
        <w:rPr>
          <w:rStyle w:val="FootnoteReference"/>
          <w:noProof/>
        </w:rPr>
        <w:footnoteReference w:id="133"/>
      </w:r>
      <w:r>
        <w:rPr>
          <w:noProof/>
        </w:rPr>
        <w:t xml:space="preserve"> are particularly relevant in this regard as, although these do incorporate definitions of relevant concepts such as 'good commercial behaviour' and 'good faith', their scope is explicitly limited to business-to-consumer commercial practices. These legal instruments do apply to online platform providers, but only cover the consumer-side of their multi-sided markets whereas the B2B harmful practices observed only have indirect (longer-term) effects on consumers.</w:t>
      </w:r>
    </w:p>
    <w:p>
      <w:pPr>
        <w:pStyle w:val="Text2"/>
        <w:ind w:left="0"/>
        <w:rPr>
          <w:noProof/>
        </w:rPr>
      </w:pPr>
      <w:r>
        <w:rPr>
          <w:noProof/>
        </w:rPr>
        <w:t xml:space="preserve">The </w:t>
      </w:r>
      <w:r>
        <w:rPr>
          <w:b/>
          <w:noProof/>
        </w:rPr>
        <w:t>Misleading and Comparative Advertising Directive</w:t>
      </w:r>
      <w:r>
        <w:rPr>
          <w:noProof/>
        </w:rPr>
        <w:t xml:space="preserve"> (MCAD)</w:t>
      </w:r>
      <w:r>
        <w:rPr>
          <w:rStyle w:val="FootnoteReference"/>
          <w:noProof/>
        </w:rPr>
        <w:footnoteReference w:id="134"/>
      </w:r>
      <w:r>
        <w:rPr>
          <w:noProof/>
        </w:rPr>
        <w:t xml:space="preserve"> is one piece of EU consumer protection legislation that does cover certain specific B2B relations. It aims at protecting traders against misleading advertising and the unfair consequences thereof and to lay down the conditions under which comparative advertising is permitted.</w:t>
      </w:r>
      <w:r>
        <w:rPr>
          <w:rStyle w:val="FootnoteReference"/>
          <w:noProof/>
        </w:rPr>
        <w:footnoteReference w:id="135"/>
      </w:r>
      <w:r>
        <w:rPr>
          <w:noProof/>
        </w:rPr>
        <w:t xml:space="preserve"> However, the provisions set forth in the MCAD, in essence an obligation for Member States to ensure that adequate and effective means exist to combat misleading advertising as defined in Article 3 MCAD and to enforce compliance with the provisions on comparative advertising set out in Article 4 MCAD, do not tackle any of the commercial practices identified in this Impact Assessment. Indeed, the problematic practices identified occur virtually entirely within an existing contractual relationship between online platforms and their business users, rather than at the advertising stage. Moreover, insofar as the B2B protections extend beyond the direct addressee of the misleading or comparative advertising concerned, which could constitute a private consumer as well as a business, the aim is to protect direct competitors of the advertiser. However, the problematic practices identified here – to the extent any of these could be qualified as advertising – are aimed at business partners of online platforms rather than their direct competitors.</w:t>
      </w:r>
    </w:p>
    <w:p>
      <w:pPr>
        <w:pStyle w:val="Text2"/>
        <w:ind w:left="0"/>
        <w:rPr>
          <w:noProof/>
        </w:rPr>
      </w:pPr>
      <w:r>
        <w:rPr>
          <w:noProof/>
        </w:rPr>
        <w:t xml:space="preserve">Notwithstanding the foregoing, Member States remain free to establish </w:t>
      </w:r>
      <w:r>
        <w:rPr>
          <w:b/>
          <w:noProof/>
        </w:rPr>
        <w:t>national B2B unfairness rules</w:t>
      </w:r>
      <w:r>
        <w:rPr>
          <w:noProof/>
        </w:rPr>
        <w:t>, as is explicitly foreseen in the EU acquis (e.g. Directive 2005/29/EC, recital 6 or antitrust Regulation 1/2003</w:t>
      </w:r>
      <w:r>
        <w:rPr>
          <w:rStyle w:val="FootnoteReference"/>
          <w:noProof/>
        </w:rPr>
        <w:footnoteReference w:id="136"/>
      </w:r>
      <w:r>
        <w:rPr>
          <w:noProof/>
        </w:rPr>
        <w:t xml:space="preserve">). In this regard, a number of Member States currently has any of four 'types' of B2B unfairness rules: (i) general unfair competition legislation; (ii) the relevant national act implementing the UCPD/UCTD/MCAD extended to B2B situations; (iii) a contract-law based review of general terms and conditions, and; (iv) weaker party protections in situations of economic dependency. </w:t>
      </w:r>
    </w:p>
    <w:p>
      <w:pPr>
        <w:pStyle w:val="Text2"/>
        <w:ind w:left="0"/>
        <w:rPr>
          <w:noProof/>
        </w:rPr>
      </w:pPr>
      <w:r>
        <w:rPr>
          <w:noProof/>
        </w:rPr>
        <w:t>None of the four abovementioned categories however explicitly target platform-to-business trading practices, meaning that business users from different Member States would need to actively instigate legal proceedings to prove that a commercial practice carried out by an online platform is in fact "unfair" under any of these instruments, for example pursuant to the open norm of the UCPD (Article 5 et seq.).The mainly small businesses that suffer harmful P2B trading practices tend not to have sufficient resources to pursue such court proceedings, while the absence of clear rules applying to harmful P2B trading practices means that they are unlikely to overcome their dependency-induced fear of retaliation in the first place.</w:t>
      </w:r>
    </w:p>
    <w:p>
      <w:pPr>
        <w:pStyle w:val="Text2"/>
        <w:ind w:left="0"/>
        <w:rPr>
          <w:noProof/>
        </w:rPr>
      </w:pPr>
      <w:r>
        <w:rPr>
          <w:noProof/>
        </w:rPr>
        <w:t xml:space="preserve">In addition, the different types of rules applying to B2B unfair commercial practices mean that a strong and multi-dimensional regulatory fragmentation currently exists within the EU's internal market. This results in a situation where some business users may potentially enjoy greater protections than other business users of one and the same cross-border online platform. At the same time, a situation arises in which it is unclear for business users of cross-border online platforms which B2B protections apply to them – if at all. </w:t>
      </w:r>
    </w:p>
    <w:p>
      <w:pPr>
        <w:pStyle w:val="Text2"/>
        <w:ind w:left="0"/>
        <w:rPr>
          <w:noProof/>
        </w:rPr>
      </w:pPr>
      <w:r>
        <w:rPr>
          <w:noProof/>
        </w:rPr>
        <w:t>Finally, online platforms can use their superior bargaining power to leverage this regulatory fragmentation, for example by imposing choice of law and forum clauses in favour of jurisdictions with the least stringent B2B unfairness rules. Such choice of law and forum clauses namely further raise the barrier to accessing justice for business users, as these firms are led to consider that their national B2B protections do not apply at all. Moreover, even if seized by a business user, national courts will always have to settle the complex question of whether they are competent to deal with the case at hand notwithstanding the law and forum chosen under the contract. Given that any individual case also always relates in some way to an existing contractual relationship with an online platforms, it may in addition be very difficult for business users to prove that the case does not concern contractual but rather tortuous obligations, which would be needed to override the applicable choice of forum and law clauses. Indeed, in some Member States where concurrent claims in tort and contract are excluded, it may even be impossible to override these contractual clauses. The German government in this respect recently noted that the relatively strict nature of its civil code insofar as it applies to general terms and conditions leads international firms to opt for applying non-German law to their B2B contracts with German firms.</w:t>
      </w:r>
      <w:r>
        <w:rPr>
          <w:rStyle w:val="FootnoteReference"/>
          <w:noProof/>
        </w:rPr>
        <w:footnoteReference w:id="137"/>
      </w:r>
    </w:p>
    <w:p>
      <w:pPr>
        <w:rPr>
          <w:noProof/>
        </w:rPr>
      </w:pPr>
      <w:r>
        <w:rPr>
          <w:noProof/>
        </w:rPr>
        <w:t xml:space="preserve">More specifically on the issue of fragmentation, it is noted that just ten Member States currently apply the rules provided for in the </w:t>
      </w:r>
      <w:r>
        <w:rPr>
          <w:b/>
          <w:noProof/>
        </w:rPr>
        <w:t xml:space="preserve">UCPD </w:t>
      </w:r>
      <w:r>
        <w:rPr>
          <w:noProof/>
        </w:rPr>
        <w:t>also</w:t>
      </w:r>
      <w:r>
        <w:rPr>
          <w:b/>
          <w:noProof/>
        </w:rPr>
        <w:t xml:space="preserve"> to B2B relations</w:t>
      </w:r>
      <w:r>
        <w:rPr>
          <w:noProof/>
        </w:rPr>
        <w:t>, and in different ways both at the legislative</w:t>
      </w:r>
      <w:r>
        <w:rPr>
          <w:noProof/>
          <w:vertAlign w:val="superscript"/>
        </w:rPr>
        <w:footnoteReference w:id="138"/>
      </w:r>
      <w:r>
        <w:rPr>
          <w:noProof/>
        </w:rPr>
        <w:t xml:space="preserve"> and application level.</w:t>
      </w:r>
      <w:r>
        <w:rPr>
          <w:rStyle w:val="FootnoteReference"/>
          <w:noProof/>
        </w:rPr>
        <w:footnoteReference w:id="139"/>
      </w:r>
      <w:r>
        <w:rPr>
          <w:noProof/>
        </w:rPr>
        <w:t xml:space="preserve"> Whereas quite a number of Member States in addition have some form of protection in place to protect business from </w:t>
      </w:r>
      <w:r>
        <w:rPr>
          <w:b/>
          <w:noProof/>
        </w:rPr>
        <w:t>unfair contract terms</w:t>
      </w:r>
      <w:r>
        <w:rPr>
          <w:noProof/>
        </w:rPr>
        <w:t>, seven Member States do not explicitly forbid unfair terms in B2B contracts.</w:t>
      </w:r>
      <w:r>
        <w:rPr>
          <w:rStyle w:val="FootnoteReference"/>
          <w:noProof/>
        </w:rPr>
        <w:footnoteReference w:id="140"/>
      </w:r>
      <w:r>
        <w:rPr>
          <w:noProof/>
        </w:rPr>
        <w:t xml:space="preserve"> For the first group of EU Member States, the rules also target different issues, have different degrees of the in-depth nature of the review performed as well as a different scope (specific categories of traders), and they apply different sanctions.</w:t>
      </w:r>
      <w:r>
        <w:rPr>
          <w:rStyle w:val="FootnoteReference"/>
          <w:noProof/>
        </w:rPr>
        <w:footnoteReference w:id="141"/>
      </w:r>
      <w:r>
        <w:rPr>
          <w:noProof/>
        </w:rPr>
        <w:t xml:space="preserve"> Similarly, the legal systems of thirteen EU Member States</w:t>
      </w:r>
      <w:r>
        <w:rPr>
          <w:rStyle w:val="FootnoteReference"/>
          <w:noProof/>
        </w:rPr>
        <w:footnoteReference w:id="142"/>
      </w:r>
      <w:r>
        <w:rPr>
          <w:noProof/>
        </w:rPr>
        <w:t xml:space="preserve"> provide for some form of </w:t>
      </w:r>
      <w:r>
        <w:rPr>
          <w:b/>
          <w:noProof/>
        </w:rPr>
        <w:t>weaker party protection</w:t>
      </w:r>
      <w:r>
        <w:rPr>
          <w:noProof/>
        </w:rPr>
        <w:t xml:space="preserve"> in situations of economic dependency. Among these, five EU Member States</w:t>
      </w:r>
      <w:r>
        <w:rPr>
          <w:rStyle w:val="FootnoteReference"/>
          <w:noProof/>
        </w:rPr>
        <w:footnoteReference w:id="143"/>
      </w:r>
      <w:r>
        <w:rPr>
          <w:noProof/>
        </w:rPr>
        <w:t xml:space="preserve"> foresee a possibility to intervene horizontally, whereas the other Member States' legislation is limited either to specific types of firms (e.g. SMEs or microenterprises), to specific industry sectors or even to specific types of practices by platforms (e.g. price parity in online booking</w:t>
      </w:r>
      <w:r>
        <w:rPr>
          <w:rStyle w:val="FootnoteReference"/>
          <w:noProof/>
        </w:rPr>
        <w:footnoteReference w:id="144"/>
      </w:r>
      <w:r>
        <w:rPr>
          <w:noProof/>
        </w:rPr>
        <w:t>). Moreover, weaker party protection is in some cases limited to the objective of protecting the structure of competition.</w:t>
      </w:r>
      <w:r>
        <w:rPr>
          <w:rStyle w:val="FootnoteReference"/>
          <w:noProof/>
        </w:rPr>
        <w:footnoteReference w:id="145"/>
      </w:r>
      <w:r>
        <w:rPr>
          <w:noProof/>
        </w:rPr>
        <w:t xml:space="preserve"> Finally, in some other jurisdiction like Belgium and Croatia, courts have formulated a notion of </w:t>
      </w:r>
      <w:r>
        <w:rPr>
          <w:b/>
          <w:noProof/>
        </w:rPr>
        <w:t>relative dominance</w:t>
      </w:r>
      <w:r>
        <w:rPr>
          <w:noProof/>
        </w:rPr>
        <w:t>, but with widely diverging interpretations.</w:t>
      </w:r>
      <w:r>
        <w:rPr>
          <w:rStyle w:val="FootnoteReference"/>
          <w:noProof/>
        </w:rPr>
        <w:footnoteReference w:id="146"/>
      </w:r>
    </w:p>
    <w:p>
      <w:pPr>
        <w:pStyle w:val="Heading2"/>
        <w:numPr>
          <w:ilvl w:val="0"/>
          <w:numId w:val="0"/>
        </w:numPr>
        <w:tabs>
          <w:tab w:val="clear" w:pos="1200"/>
        </w:tabs>
        <w:rPr>
          <w:noProof/>
        </w:rPr>
      </w:pPr>
      <w:bookmarkStart w:id="2169" w:name="_Toc497919472"/>
      <w:bookmarkStart w:id="2170" w:name="_Toc497919790"/>
      <w:bookmarkStart w:id="2171" w:name="_Toc497920476"/>
      <w:bookmarkStart w:id="2172" w:name="_Toc497921523"/>
      <w:bookmarkStart w:id="2173" w:name="_Toc497921616"/>
      <w:bookmarkStart w:id="2174" w:name="_Toc500262146"/>
      <w:bookmarkStart w:id="2175" w:name="_Toc507167071"/>
      <w:bookmarkStart w:id="2176" w:name="_Toc508297442"/>
      <w:bookmarkStart w:id="2177" w:name="_Toc508350204"/>
      <w:bookmarkStart w:id="2178" w:name="_Toc508351644"/>
      <w:bookmarkStart w:id="2179" w:name="_Toc508360058"/>
      <w:bookmarkStart w:id="2180" w:name="_Toc511220557"/>
      <w:bookmarkStart w:id="2181" w:name="_Toc511235003"/>
      <w:bookmarkStart w:id="2182" w:name="_Toc511292916"/>
      <w:r>
        <w:rPr>
          <w:noProof/>
        </w:rPr>
        <w:t>8.5</w:t>
      </w:r>
      <w:r>
        <w:rPr>
          <w:noProof/>
        </w:rPr>
        <w:tab/>
        <w:t>Emerging national legislation for the platforms' environment: relevance for P2B</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r>
        <w:rPr>
          <w:noProof/>
        </w:rPr>
        <w:t xml:space="preserve"> </w:t>
      </w:r>
    </w:p>
    <w:p>
      <w:pPr>
        <w:rPr>
          <w:noProof/>
          <w:lang w:eastAsia="en-GB"/>
        </w:rPr>
      </w:pPr>
      <w:r>
        <w:rPr>
          <w:noProof/>
          <w:lang w:eastAsia="en-GB"/>
        </w:rPr>
        <w:t xml:space="preserve">As set out in the preceding sections existing rules at EU and Member State level </w:t>
      </w:r>
      <w:r>
        <w:rPr>
          <w:noProof/>
        </w:rPr>
        <w:t>do not sufficiently address the harmful P2B trading practices identified in this Impact Assessment - neither in terms of limiting their occurrence nor in terms of minimising their impact.</w:t>
      </w:r>
      <w:r>
        <w:rPr>
          <w:noProof/>
          <w:lang w:eastAsia="en-GB"/>
        </w:rPr>
        <w:t xml:space="preserve">  </w:t>
      </w:r>
    </w:p>
    <w:p>
      <w:pPr>
        <w:rPr>
          <w:noProof/>
          <w:lang w:eastAsia="en-GB"/>
        </w:rPr>
      </w:pPr>
      <w:r>
        <w:rPr>
          <w:noProof/>
          <w:lang w:eastAsia="en-GB"/>
        </w:rPr>
        <w:t>The inability of business users as well as governments to effectively tackle harmful P2B trading practices is fuelling further fragmentation of the Single Market, specifically in the area of online platforms. Given the inherent cross-border nature of online platforms such national rules will not be effective in tackling harmful P2B trading practices and rather render it more difficult for the 1000s of existing online platform start-ups in the EU</w:t>
      </w:r>
      <w:r>
        <w:rPr>
          <w:rStyle w:val="FootnoteReference"/>
          <w:noProof/>
          <w:lang w:eastAsia="en-GB"/>
        </w:rPr>
        <w:footnoteReference w:id="147"/>
      </w:r>
      <w:r>
        <w:rPr>
          <w:noProof/>
          <w:lang w:eastAsia="en-GB"/>
        </w:rPr>
        <w:t xml:space="preserve"> to successfully compete with the established players. In the absence of EU intervention this situation is expected to deteriorate – in line with the foreseen development of the core problems. </w:t>
      </w:r>
    </w:p>
    <w:p>
      <w:pPr>
        <w:rPr>
          <w:noProof/>
          <w:lang w:eastAsia="en-GB"/>
        </w:rPr>
      </w:pPr>
      <w:r>
        <w:rPr>
          <w:noProof/>
          <w:lang w:eastAsia="en-GB"/>
        </w:rPr>
        <w:t xml:space="preserve">A limited number of Member States (Austria, Belgium, France, Italy and Germany) have indeed already adopted or are considering </w:t>
      </w:r>
      <w:r>
        <w:rPr>
          <w:b/>
          <w:noProof/>
          <w:lang w:eastAsia="en-GB"/>
        </w:rPr>
        <w:t>online platform-specific legislation</w:t>
      </w:r>
      <w:r>
        <w:rPr>
          <w:noProof/>
          <w:lang w:eastAsia="en-GB"/>
        </w:rPr>
        <w:t xml:space="preserve">. </w:t>
      </w:r>
    </w:p>
    <w:p>
      <w:pPr>
        <w:rPr>
          <w:noProof/>
          <w:lang w:eastAsia="en-GB"/>
        </w:rPr>
      </w:pPr>
      <w:r>
        <w:rPr>
          <w:noProof/>
          <w:lang w:eastAsia="en-GB"/>
        </w:rPr>
        <w:t>In 2016, France adopted Law N. 1321</w:t>
      </w:r>
      <w:r>
        <w:rPr>
          <w:rStyle w:val="FootnoteReference"/>
          <w:noProof/>
          <w:lang w:eastAsia="en-GB"/>
        </w:rPr>
        <w:footnoteReference w:id="148"/>
      </w:r>
      <w:r>
        <w:rPr>
          <w:noProof/>
          <w:lang w:eastAsia="en-GB"/>
        </w:rPr>
        <w:t xml:space="preserve">  introducing a broad definition for online platform operators as any natural or legal person that offers for business purposes, for free or in exchange for compensation, an online communication service to the public that is based either on the ranking and listing using digital algorithms of content, goods or services offered or put online by third parties or on establishing relationships between parties in view of the sale of goods, the offering of services or the exchange or sharing of content, goods and services. This definition can include, </w:t>
      </w:r>
      <w:r>
        <w:rPr>
          <w:i/>
          <w:noProof/>
          <w:lang w:eastAsia="en-GB"/>
        </w:rPr>
        <w:t>inter alia</w:t>
      </w:r>
      <w:r>
        <w:rPr>
          <w:noProof/>
          <w:lang w:eastAsia="en-GB"/>
        </w:rPr>
        <w:t xml:space="preserve">, search engines, online auction sites, e-commerce platforms as well as online market places or online social media platforms. Given that the law stipulates that all provisions of the relevant chapter are of public order they can be applied irrespective of the law which may be applicable to a contract concluded between a French consumer and a business user. The Law requires such operators to inform consumers in a fair, clear and transparent manner on various issues. For example, in case the platform allows the conclusion of contracts between a consumer and another consumer or a business user the, applicable terms and conditions setting out the parties' rights and obligations have to be displayed adequately. Platforms must also provide business users and consumers, if both can engage with each other on the platform, with a way to communicate pre-contractually to provide mandatory pre- information including explaining, for example, the right to withdraw and the specific procedure, Furthermore, platforms must explain to consumers the way in which content, goods or services are ranked, referenced, delisted or classified as well as any contractual or financial relationships influencing this. Platforms are also obliged to outline their data retention policy and to provide means for data subjects to exercise their rights related to personal data electronically, e.g. the right to data portability and data recovery or the right to be forgotten, Other regulated issues include, for example, online reviews that are authored by consumers, the confidentiality of private electronic correspondence, and improved cooperation between relevant national authorities. Several aspects have yet to be specified by an implementing decree. </w:t>
      </w:r>
    </w:p>
    <w:p>
      <w:pPr>
        <w:rPr>
          <w:noProof/>
          <w:lang w:eastAsia="en-GB"/>
        </w:rPr>
      </w:pPr>
      <w:r>
        <w:rPr>
          <w:noProof/>
          <w:lang w:eastAsia="en-GB"/>
        </w:rPr>
        <w:t>The Italian Parliament is currently discussing two proposals that aim to regulate some platform-relevant aspects. The Proposal N.2520</w:t>
      </w:r>
      <w:r>
        <w:rPr>
          <w:rStyle w:val="FootnoteReference"/>
          <w:noProof/>
          <w:lang w:eastAsia="en-GB"/>
        </w:rPr>
        <w:footnoteReference w:id="149"/>
      </w:r>
      <w:r>
        <w:rPr>
          <w:noProof/>
          <w:lang w:eastAsia="en-GB"/>
        </w:rPr>
        <w:t xml:space="preserve"> waits for approval by the Senate of the Republic and, if it passes, it will abolish certain restrictions imposed by platforms, specifically app stores, impeding mobile device users' freedom and ability to access or remove apps as well as to switch services. The second Proposal N. 3564</w:t>
      </w:r>
      <w:r>
        <w:rPr>
          <w:rStyle w:val="FootnoteReference"/>
          <w:noProof/>
          <w:lang w:eastAsia="en-GB"/>
        </w:rPr>
        <w:footnoteReference w:id="150"/>
      </w:r>
      <w:r>
        <w:rPr>
          <w:noProof/>
          <w:lang w:eastAsia="en-GB"/>
        </w:rPr>
        <w:t xml:space="preserve"> is still debated in the Chamber of Deputies and focuses on the sharing economy in which digital platforms play a crucial role. The main objective of the envisaged law is to ensure fairness and transparency regarding security, health, taxation and the rights and obligations linked to services to support those active in the collaborative economy, both business users and consumers. It comprises a definition of "sharing economy" as an economic system generated by the optimization and shared allocation of space, time, goods and services through digital platforms and of "sharing economy platforms" as a platform facilitating the connection between users, regardless of whether it provides added value services, as long as the users exclusively own the assets generating the value for the platform. Importantly, platforms intermediating connections between consumers and business users are expressly excluded in the Proposal, because the focus is solely on relationships between consumers. The Proposal also requires platforms to publish a policy document comprising its general terms and conditions, which is subject to the opinion and approval of the Italian Competition Authority and which will be included in a "National  Electronic Register of Digital Platforms of the Sharing Economy". The Proposal also includes a blacklist of contract terms, e.g. exclusion of access to platform without legitimate reason, as well as a definition of traders</w:t>
      </w:r>
      <w:r>
        <w:rPr>
          <w:rStyle w:val="FootnoteReference"/>
          <w:noProof/>
          <w:lang w:eastAsia="en-GB"/>
        </w:rPr>
        <w:footnoteReference w:id="151"/>
      </w:r>
      <w:r>
        <w:rPr>
          <w:noProof/>
          <w:lang w:eastAsia="en-GB"/>
        </w:rPr>
        <w:t xml:space="preserve"> to ensure fiscal transparency. It also comprises privacy requirements for online platforms to agree to the assignment of personal data with third parties, to inform data subjects in case of a sale or transfer of the underlying business as well as to disclose acquired personal data and to delete such data on request of the data subject. </w:t>
      </w:r>
    </w:p>
    <w:p>
      <w:pPr>
        <w:rPr>
          <w:noProof/>
          <w:lang w:eastAsia="en-GB"/>
        </w:rPr>
      </w:pPr>
      <w:r>
        <w:rPr>
          <w:noProof/>
          <w:lang w:eastAsia="en-GB"/>
        </w:rPr>
        <w:t xml:space="preserve">France, Austria and Italy have adopted laws regulating the contractual relationships between hotels and OTAs. </w:t>
      </w:r>
      <w:r>
        <w:rPr>
          <w:noProof/>
        </w:rPr>
        <w:t>Belgium in addition notified a draft law to the Commission on 4 December 2017, which contains a similar MFN-ban.</w:t>
      </w:r>
      <w:r>
        <w:rPr>
          <w:rStyle w:val="FootnoteReference"/>
          <w:noProof/>
        </w:rPr>
        <w:footnoteReference w:id="152"/>
      </w:r>
      <w:r>
        <w:rPr>
          <w:noProof/>
        </w:rPr>
        <w:t xml:space="preserve"> </w:t>
      </w:r>
      <w:r>
        <w:rPr>
          <w:noProof/>
          <w:lang w:eastAsia="en-GB"/>
        </w:rPr>
        <w:t xml:space="preserve">These national initiatives even differ amongst themselves. All laws prohibit narrow most favoured nation (MFN) clauses thereby allowing hotels to grant any discount or pricing advantages to their customers via other sales channels The French law, however, also prescribes that the room prices shall be specified in a "mandate contract". </w:t>
      </w:r>
    </w:p>
    <w:p>
      <w:pPr>
        <w:pStyle w:val="Text3"/>
        <w:ind w:left="0"/>
        <w:rPr>
          <w:noProof/>
          <w:lang w:eastAsia="en-GB"/>
        </w:rPr>
      </w:pPr>
      <w:r>
        <w:rPr>
          <w:noProof/>
          <w:lang w:eastAsia="en-GB"/>
        </w:rPr>
        <w:t>The German Parliament adopted the "Netzwerkdurchsetzungsgesetz"</w:t>
      </w:r>
      <w:r>
        <w:rPr>
          <w:rStyle w:val="FootnoteReference"/>
          <w:noProof/>
          <w:lang w:eastAsia="en-GB"/>
        </w:rPr>
        <w:footnoteReference w:id="153"/>
      </w:r>
      <w:r>
        <w:rPr>
          <w:noProof/>
          <w:lang w:eastAsia="en-GB"/>
        </w:rPr>
        <w:t xml:space="preserve"> on 30 June 2017</w:t>
      </w:r>
      <w:r>
        <w:rPr>
          <w:noProof/>
        </w:rPr>
        <w:t xml:space="preserve"> to tackle hate speech on social media platforms active in Germany. It entered into force in October 2017. The German legislator decided to limit the application of the law to social media platforms having more than 2 million users in Germany as well as falling under the definition of information society service providers operating a for-profit platform online, which allows users to exchange or share any content with other users or to make any content available to the public. Other crucial elements of the new law include, inter alia, fines up to 50 million Euro for late (exceeding 24 hours after notice as a general rule) deletion of illegal content, a to be established independent committee for controversial cases as well as a mandatory point of contact representing the respective platforms in Germany with the obligation to react within 48 hours. </w:t>
      </w:r>
      <w:r>
        <w:rPr>
          <w:noProof/>
          <w:lang w:eastAsia="en-GB"/>
        </w:rPr>
        <w:t>Shortly before the adoption of this law Germany published a White Paper on Digital Platforms</w:t>
      </w:r>
      <w:r>
        <w:rPr>
          <w:rStyle w:val="FootnoteReference"/>
          <w:noProof/>
          <w:lang w:eastAsia="en-GB"/>
        </w:rPr>
        <w:footnoteReference w:id="154"/>
      </w:r>
      <w:r>
        <w:rPr>
          <w:noProof/>
          <w:lang w:eastAsia="en-GB"/>
        </w:rPr>
        <w:t xml:space="preserve"> in March 2017. The White Paper envisages the establishment of a "Digital Agency" to safeguard effective and systematic market control of digital platforms. It also proposes to design a comprehensive framework for the use of data and to introduce basic transparency and information duties for digital platforms. In June 2017, the latest revision of the German GWB entered into force, as part of which the national competition authority has been granted the ability to have special regard for indirect network effects and other platform-relevant features in their pursuit of possible abuse of dominance cases.</w:t>
      </w:r>
    </w:p>
    <w:p>
      <w:pPr>
        <w:rPr>
          <w:noProof/>
        </w:rPr>
      </w:pPr>
      <w:r>
        <w:rPr>
          <w:noProof/>
        </w:rPr>
        <w:t>None of the already enacted or envisaged national measures and fact-finding exercises covers the set of harmful P2B trading practices identified comprehensively and adequately, while their geographic scope is limited to individual Member States. These rules therefore do not provide business users of online platforms with additional legal certainty that could help them in finding effective redress against harmful P2B trading practices. Their existence however demonstrates that EU Member States increasingly recognise that existing rules are not fit for purpose in the online platform space. In light of the foreseen growth of online trade and the increasing intermediation by online platforms, the trend of legal fragmentation within the EU will likely continue or worsen.</w:t>
      </w:r>
    </w:p>
    <w:p>
      <w:pPr>
        <w:pStyle w:val="Heading2"/>
        <w:numPr>
          <w:ilvl w:val="0"/>
          <w:numId w:val="0"/>
        </w:numPr>
        <w:rPr>
          <w:noProof/>
        </w:rPr>
      </w:pPr>
      <w:bookmarkStart w:id="2183" w:name="_Toc495420850"/>
      <w:bookmarkStart w:id="2184" w:name="_Toc495420852"/>
      <w:bookmarkStart w:id="2185" w:name="_Toc495420853"/>
      <w:bookmarkStart w:id="2186" w:name="_Toc495420854"/>
      <w:bookmarkStart w:id="2187" w:name="_Toc495420855"/>
      <w:bookmarkStart w:id="2188" w:name="_Toc495420856"/>
      <w:bookmarkStart w:id="2189" w:name="_Toc495420857"/>
      <w:bookmarkStart w:id="2190" w:name="_Toc495420858"/>
      <w:bookmarkStart w:id="2191" w:name="_Toc495420859"/>
      <w:bookmarkStart w:id="2192" w:name="_Toc495420860"/>
      <w:bookmarkStart w:id="2193" w:name="_Toc495420861"/>
      <w:bookmarkStart w:id="2194" w:name="_Toc495420862"/>
      <w:bookmarkStart w:id="2195" w:name="_Toc495420863"/>
      <w:bookmarkStart w:id="2196" w:name="_Toc507167072"/>
      <w:bookmarkStart w:id="2197" w:name="_Toc508297443"/>
      <w:bookmarkStart w:id="2198" w:name="_Toc508350205"/>
      <w:bookmarkStart w:id="2199" w:name="_Toc508351645"/>
      <w:bookmarkStart w:id="2200" w:name="_Toc508360059"/>
      <w:bookmarkStart w:id="2201" w:name="_Toc511220558"/>
      <w:bookmarkStart w:id="2202" w:name="_Toc511235004"/>
      <w:bookmarkStart w:id="2203" w:name="_Toc511292917"/>
      <w:bookmarkStart w:id="2204" w:name="_Toc497827474"/>
      <w:bookmarkStart w:id="2205" w:name="_Toc497827601"/>
      <w:bookmarkStart w:id="2206" w:name="_Toc497827685"/>
      <w:bookmarkStart w:id="2207" w:name="_Toc497827865"/>
      <w:bookmarkStart w:id="2208" w:name="_Toc497903501"/>
      <w:bookmarkStart w:id="2209" w:name="_Toc497909201"/>
      <w:bookmarkStart w:id="2210" w:name="_Toc497909367"/>
      <w:bookmarkStart w:id="2211" w:name="_Toc497909816"/>
      <w:bookmarkStart w:id="2212" w:name="_Toc497914599"/>
      <w:bookmarkStart w:id="2213" w:name="_Toc500137998"/>
      <w:bookmarkStart w:id="2214" w:name="_Toc500262147"/>
      <w:bookmarkStart w:id="2215" w:name="_Toc491707784"/>
      <w:bookmarkStart w:id="2216" w:name="_Toc491787899"/>
      <w:bookmarkStart w:id="2217" w:name="_Toc491795633"/>
      <w:bookmarkStart w:id="2218" w:name="_Toc491871924"/>
      <w:bookmarkStart w:id="2219" w:name="_Toc491880546"/>
      <w:bookmarkStart w:id="2220" w:name="_Toc491967292"/>
      <w:bookmarkStart w:id="2221" w:name="_Toc491969094"/>
      <w:bookmarkStart w:id="2222" w:name="_Toc492030786"/>
      <w:bookmarkStart w:id="2223" w:name="_Toc492052195"/>
      <w:bookmarkStart w:id="2224" w:name="_Ref492417046"/>
      <w:bookmarkEnd w:id="2183"/>
      <w:bookmarkEnd w:id="2184"/>
      <w:bookmarkEnd w:id="2185"/>
      <w:bookmarkEnd w:id="2186"/>
      <w:bookmarkEnd w:id="2187"/>
      <w:bookmarkEnd w:id="2188"/>
      <w:bookmarkEnd w:id="2189"/>
      <w:bookmarkEnd w:id="2190"/>
      <w:bookmarkEnd w:id="2191"/>
      <w:bookmarkEnd w:id="2192"/>
      <w:bookmarkEnd w:id="2193"/>
      <w:bookmarkEnd w:id="2194"/>
      <w:bookmarkEnd w:id="2195"/>
      <w:r>
        <w:rPr>
          <w:noProof/>
        </w:rPr>
        <w:t>8.6. P2B Fairness standards in third countries</w:t>
      </w:r>
      <w:bookmarkEnd w:id="2196"/>
      <w:bookmarkEnd w:id="2197"/>
      <w:bookmarkEnd w:id="2198"/>
      <w:bookmarkEnd w:id="2199"/>
      <w:bookmarkEnd w:id="2200"/>
      <w:bookmarkEnd w:id="2201"/>
      <w:bookmarkEnd w:id="2202"/>
      <w:bookmarkEnd w:id="2203"/>
      <w:r>
        <w:rPr>
          <w:noProof/>
        </w:rPr>
        <w:t xml:space="preserve"> </w:t>
      </w:r>
    </w:p>
    <w:p>
      <w:pPr>
        <w:rPr>
          <w:noProof/>
        </w:rPr>
      </w:pPr>
      <w:r>
        <w:rPr>
          <w:noProof/>
        </w:rPr>
        <w:t>The Ernst&amp;Young Study on contractual relationships between online platforms and their professional users covers also law and its application in third countries regarding unfair commercial practices and unfair terms and conditions (legislation, industry standards, pre-contractual sphere, unfairness standards, enforcement, relative dominance). The countries covered are Australia, China, Mexico, Switzerland and the United States.  In Australia, Mexico, the US and Switzerland, there is no P2B specific legislation, however there are voluntary standards in Australia. .</w:t>
      </w:r>
    </w:p>
    <w:p>
      <w:pPr>
        <w:spacing w:after="120"/>
        <w:rPr>
          <w:noProof/>
        </w:rPr>
      </w:pPr>
      <w:r>
        <w:rPr>
          <w:noProof/>
        </w:rPr>
        <w:t xml:space="preserve">The Ernst&amp;Young  study comes to the conclusion that t most relevant fairness benchmark could be found in </w:t>
      </w:r>
      <w:r>
        <w:rPr>
          <w:b/>
          <w:bCs/>
          <w:noProof/>
          <w:u w:val="single"/>
        </w:rPr>
        <w:t>Australia</w:t>
      </w:r>
      <w:r>
        <w:rPr>
          <w:noProof/>
        </w:rPr>
        <w:t>. Although the Australian courts have not expressly defined the level of ‘unfairness’ required to constitute an unfair term under the Australian Consumer Law (ACL) that is also applicable to small business contracts. However, there are guidelines issued by the Australian Competition and Consumer Commission on the interpretation of the ACL, according to which a contract is unfair if it:</w:t>
      </w:r>
    </w:p>
    <w:p>
      <w:pPr>
        <w:numPr>
          <w:ilvl w:val="1"/>
          <w:numId w:val="134"/>
        </w:numPr>
        <w:spacing w:after="120"/>
        <w:rPr>
          <w:noProof/>
        </w:rPr>
      </w:pPr>
      <w:r>
        <w:rPr>
          <w:noProof/>
        </w:rPr>
        <w:t>would cause a significant imbalance in the parties’ rights and obligations arising under the contract</w:t>
      </w:r>
    </w:p>
    <w:p>
      <w:pPr>
        <w:numPr>
          <w:ilvl w:val="1"/>
          <w:numId w:val="134"/>
        </w:numPr>
        <w:spacing w:after="120"/>
        <w:rPr>
          <w:noProof/>
        </w:rPr>
      </w:pPr>
      <w:r>
        <w:rPr>
          <w:noProof/>
        </w:rPr>
        <w:t> is not reasonably necessary to protect the legitimate interests of the party who would be advantaged by the term; and</w:t>
      </w:r>
    </w:p>
    <w:p>
      <w:pPr>
        <w:numPr>
          <w:ilvl w:val="1"/>
          <w:numId w:val="134"/>
        </w:numPr>
        <w:spacing w:after="120"/>
        <w:rPr>
          <w:noProof/>
        </w:rPr>
      </w:pPr>
      <w:r>
        <w:rPr>
          <w:noProof/>
        </w:rPr>
        <w:t>would cause detriment (whether financial or otherwise) to a party if it were to be applied or relied on.</w:t>
      </w:r>
    </w:p>
    <w:p>
      <w:pPr>
        <w:spacing w:after="120"/>
        <w:rPr>
          <w:noProof/>
        </w:rPr>
      </w:pPr>
      <w:r>
        <w:rPr>
          <w:noProof/>
        </w:rPr>
        <w:t>In deciding whether a term is unfair, a court may take into account the matters that it considers relevant but must take into account:</w:t>
      </w:r>
    </w:p>
    <w:p>
      <w:pPr>
        <w:numPr>
          <w:ilvl w:val="1"/>
          <w:numId w:val="134"/>
        </w:numPr>
        <w:spacing w:after="120"/>
        <w:rPr>
          <w:noProof/>
        </w:rPr>
      </w:pPr>
      <w:r>
        <w:rPr>
          <w:noProof/>
        </w:rPr>
        <w:t>the extent to which the term is transparent; and</w:t>
      </w:r>
    </w:p>
    <w:p>
      <w:pPr>
        <w:numPr>
          <w:ilvl w:val="1"/>
          <w:numId w:val="134"/>
        </w:numPr>
        <w:spacing w:after="120"/>
        <w:rPr>
          <w:noProof/>
        </w:rPr>
      </w:pPr>
      <w:r>
        <w:rPr>
          <w:noProof/>
        </w:rPr>
        <w:t>the contract as a whole.</w:t>
      </w:r>
    </w:p>
    <w:p>
      <w:pPr>
        <w:pStyle w:val="Heading2"/>
        <w:numPr>
          <w:ilvl w:val="1"/>
          <w:numId w:val="145"/>
        </w:numPr>
        <w:ind w:left="960" w:hanging="960"/>
        <w:rPr>
          <w:noProof/>
          <w:lang w:eastAsia="de-DE"/>
        </w:rPr>
      </w:pPr>
      <w:bookmarkStart w:id="2225" w:name="_Toc507167073"/>
      <w:bookmarkStart w:id="2226" w:name="_Toc508297444"/>
      <w:bookmarkStart w:id="2227" w:name="_Toc508350206"/>
      <w:bookmarkStart w:id="2228" w:name="_Toc508351646"/>
      <w:bookmarkStart w:id="2229" w:name="_Toc508360060"/>
      <w:bookmarkStart w:id="2230" w:name="_Toc511220559"/>
      <w:bookmarkStart w:id="2231" w:name="_Toc511235005"/>
      <w:bookmarkStart w:id="2232" w:name="_Toc511292918"/>
      <w:bookmarkStart w:id="2233" w:name="_Toc224013759"/>
      <w:r>
        <w:rPr>
          <w:noProof/>
          <w:lang w:eastAsia="de-DE"/>
        </w:rPr>
        <w:t>Landscape in the Member States illustrating standing given to representative associations.</w:t>
      </w:r>
      <w:bookmarkEnd w:id="2225"/>
      <w:bookmarkEnd w:id="2226"/>
      <w:bookmarkEnd w:id="2227"/>
      <w:bookmarkEnd w:id="2228"/>
      <w:bookmarkEnd w:id="2229"/>
      <w:bookmarkEnd w:id="2230"/>
      <w:bookmarkEnd w:id="2231"/>
      <w:bookmarkEnd w:id="2232"/>
      <w:r>
        <w:rPr>
          <w:noProof/>
          <w:lang w:eastAsia="de-DE"/>
        </w:rPr>
        <w:t xml:space="preserve"> </w:t>
      </w:r>
    </w:p>
    <w:p>
      <w:pPr>
        <w:rPr>
          <w:noProof/>
          <w:szCs w:val="24"/>
          <w:lang w:eastAsia="de-DE"/>
        </w:rPr>
      </w:pPr>
      <w:r>
        <w:rPr>
          <w:noProof/>
          <w:szCs w:val="24"/>
          <w:lang w:eastAsia="de-DE"/>
        </w:rPr>
        <w:t>This part of the Annex illustrates how representative associations have legal standing across the Union.</w:t>
      </w:r>
    </w:p>
    <w:p>
      <w:pPr>
        <w:rPr>
          <w:bCs/>
          <w:noProof/>
          <w:szCs w:val="24"/>
          <w:lang w:eastAsia="de-DE"/>
        </w:rPr>
      </w:pPr>
      <w:r>
        <w:rPr>
          <w:bCs/>
          <w:iCs/>
          <w:noProof/>
          <w:szCs w:val="24"/>
          <w:lang w:eastAsia="de-DE"/>
        </w:rPr>
        <w:t xml:space="preserve">Representative associations of SMEs in the Member States have the possibility for legal standing </w:t>
      </w:r>
      <w:r>
        <w:rPr>
          <w:noProof/>
          <w:szCs w:val="24"/>
          <w:lang w:eastAsia="de-DE"/>
        </w:rPr>
        <w:t xml:space="preserve">under national law, usually in the relevant Civil Procedure Codes, in the manner described in table 1 below. </w:t>
      </w:r>
      <w:r>
        <w:rPr>
          <w:bCs/>
          <w:noProof/>
          <w:szCs w:val="24"/>
          <w:lang w:eastAsia="de-DE"/>
        </w:rPr>
        <w:t xml:space="preserve">France and Poland take a different approach to the other Member States. The table also illustrates how the legal systems of the Member States accommodate giving legal standing to representatives associations. </w:t>
      </w:r>
    </w:p>
    <w:bookmarkEnd w:id="2233"/>
    <w:p>
      <w:pPr>
        <w:rPr>
          <w:b/>
          <w:bCs/>
          <w:noProof/>
          <w:szCs w:val="24"/>
        </w:rPr>
      </w:pPr>
      <w:r>
        <w:rPr>
          <w:b/>
          <w:bCs/>
          <w:noProof/>
          <w:szCs w:val="24"/>
        </w:rPr>
        <w:t>Table 1</w:t>
      </w:r>
    </w:p>
    <w:tbl>
      <w:tblPr>
        <w:tblStyle w:val="TableGrid"/>
        <w:tblW w:w="0" w:type="auto"/>
        <w:tblLook w:val="04A0" w:firstRow="1" w:lastRow="0" w:firstColumn="1" w:lastColumn="0" w:noHBand="0" w:noVBand="1"/>
      </w:tblPr>
      <w:tblGrid>
        <w:gridCol w:w="1456"/>
        <w:gridCol w:w="3263"/>
        <w:gridCol w:w="4569"/>
      </w:tblGrid>
      <w:tr>
        <w:trPr>
          <w:tblHeader/>
        </w:trPr>
        <w:tc>
          <w:tcPr>
            <w:tcW w:w="1457" w:type="dxa"/>
            <w:shd w:val="clear" w:color="auto" w:fill="D9D9D9" w:themeFill="background1" w:themeFillShade="D9"/>
          </w:tcPr>
          <w:p>
            <w:pPr>
              <w:rPr>
                <w:b/>
                <w:bCs/>
                <w:noProof/>
                <w:szCs w:val="24"/>
              </w:rPr>
            </w:pPr>
            <w:r>
              <w:rPr>
                <w:b/>
                <w:bCs/>
                <w:noProof/>
                <w:szCs w:val="24"/>
              </w:rPr>
              <w:t>Member State</w:t>
            </w:r>
          </w:p>
        </w:tc>
        <w:tc>
          <w:tcPr>
            <w:tcW w:w="3754" w:type="dxa"/>
            <w:shd w:val="clear" w:color="auto" w:fill="D9D9D9" w:themeFill="background1" w:themeFillShade="D9"/>
          </w:tcPr>
          <w:p>
            <w:pPr>
              <w:rPr>
                <w:b/>
                <w:bCs/>
                <w:noProof/>
                <w:szCs w:val="24"/>
              </w:rPr>
            </w:pPr>
            <w:r>
              <w:rPr>
                <w:b/>
                <w:bCs/>
                <w:iCs/>
                <w:noProof/>
                <w:szCs w:val="24"/>
                <w:lang w:eastAsia="de-DE"/>
              </w:rPr>
              <w:t>Standing given to organisations representing SMEs</w:t>
            </w:r>
            <w:r>
              <w:rPr>
                <w:rStyle w:val="FootnoteReference"/>
                <w:b/>
                <w:bCs/>
                <w:iCs/>
                <w:noProof/>
                <w:szCs w:val="24"/>
                <w:lang w:eastAsia="de-DE"/>
              </w:rPr>
              <w:footnoteReference w:id="155"/>
            </w:r>
          </w:p>
        </w:tc>
        <w:tc>
          <w:tcPr>
            <w:tcW w:w="5103" w:type="dxa"/>
            <w:shd w:val="clear" w:color="auto" w:fill="D9D9D9" w:themeFill="background1" w:themeFillShade="D9"/>
          </w:tcPr>
          <w:p>
            <w:pPr>
              <w:rPr>
                <w:b/>
                <w:bCs/>
                <w:noProof/>
                <w:szCs w:val="24"/>
              </w:rPr>
            </w:pPr>
            <w:r>
              <w:rPr>
                <w:b/>
                <w:bCs/>
                <w:noProof/>
                <w:szCs w:val="24"/>
              </w:rPr>
              <w:t>Features of the legal systems of the Member States, which accommodate standing given to representative organisations.</w:t>
            </w:r>
            <w:r>
              <w:rPr>
                <w:rStyle w:val="FootnoteReference"/>
                <w:b/>
                <w:bCs/>
                <w:noProof/>
                <w:szCs w:val="24"/>
              </w:rPr>
              <w:footnoteReference w:id="156"/>
            </w:r>
          </w:p>
        </w:tc>
      </w:tr>
      <w:tr>
        <w:tc>
          <w:tcPr>
            <w:tcW w:w="1457" w:type="dxa"/>
          </w:tcPr>
          <w:p>
            <w:pPr>
              <w:rPr>
                <w:bCs/>
                <w:noProof/>
                <w:szCs w:val="24"/>
              </w:rPr>
            </w:pPr>
            <w:r>
              <w:rPr>
                <w:bCs/>
                <w:noProof/>
                <w:szCs w:val="24"/>
              </w:rPr>
              <w:t>Austria</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noProof/>
                <w:szCs w:val="24"/>
              </w:rPr>
            </w:pPr>
            <w:r>
              <w:rPr>
                <w:noProof/>
                <w:szCs w:val="24"/>
              </w:rPr>
              <w:t xml:space="preserve">No horizontal mechanism tailored to collective redress and no special provisions on standing exist. However, traditional devices of multi-party procedures are available (joinder, consolidation of cases, test cases and assignment of claims). </w:t>
            </w:r>
          </w:p>
          <w:p>
            <w:pPr>
              <w:rPr>
                <w:noProof/>
                <w:szCs w:val="24"/>
              </w:rPr>
            </w:pPr>
            <w:r>
              <w:rPr>
                <w:noProof/>
                <w:szCs w:val="24"/>
              </w:rPr>
              <w:t xml:space="preserve">A practice has developed known as the 'Austrian model of group litigation' to handle mass damages claims. This is a combination of either a joinder of claims or a mass assignment of claims to an association backed up by litigation finance. The procedure was created for monetary damages in the investment sector but is not limited to a specific sector. </w:t>
            </w:r>
          </w:p>
          <w:p>
            <w:pPr>
              <w:rPr>
                <w:noProof/>
                <w:szCs w:val="24"/>
              </w:rPr>
            </w:pPr>
            <w:r>
              <w:rPr>
                <w:noProof/>
                <w:szCs w:val="24"/>
              </w:rPr>
              <w:t xml:space="preserve">The mechanisms are horizontal in the sense that they are not restricted to a particular area of law. In general, both injunctive and compensatory claims are possible. </w:t>
            </w:r>
          </w:p>
          <w:p>
            <w:pPr>
              <w:rPr>
                <w:noProof/>
                <w:szCs w:val="24"/>
              </w:rPr>
            </w:pPr>
            <w:r>
              <w:rPr>
                <w:noProof/>
                <w:szCs w:val="24"/>
              </w:rPr>
              <w:t xml:space="preserve">All the mechanisms mentioned above fit into the traditional civil procedure (i.e. by combining several parties, combining several lawsuits, or by ‘collectivising’ mass claims by way of assignment to an institution). The Austrian Supreme Court has established certain conditions that have to be met in order to raise several claims in one action. </w:t>
            </w:r>
          </w:p>
          <w:p>
            <w:pPr>
              <w:rPr>
                <w:noProof/>
                <w:szCs w:val="24"/>
              </w:rPr>
            </w:pPr>
            <w:r>
              <w:rPr>
                <w:noProof/>
                <w:szCs w:val="24"/>
              </w:rPr>
              <w:t xml:space="preserve">Most claimants demand monetary compensation but declaratory judgments are also possible. </w:t>
            </w:r>
          </w:p>
          <w:p>
            <w:pPr>
              <w:rPr>
                <w:noProof/>
                <w:szCs w:val="24"/>
              </w:rPr>
            </w:pPr>
            <w:r>
              <w:rPr>
                <w:noProof/>
                <w:szCs w:val="24"/>
              </w:rPr>
              <w:t xml:space="preserve">In light of increased mass litigation, a draft for a group procedure was prepared by the Austrian Ministry of Justice in 2007 (the proposed Civil Procedure Amendment 2007), but was never voted on in Parliament. </w:t>
            </w:r>
          </w:p>
        </w:tc>
      </w:tr>
      <w:tr>
        <w:tc>
          <w:tcPr>
            <w:tcW w:w="1457" w:type="dxa"/>
          </w:tcPr>
          <w:p>
            <w:pPr>
              <w:rPr>
                <w:bCs/>
                <w:noProof/>
                <w:szCs w:val="24"/>
              </w:rPr>
            </w:pPr>
            <w:r>
              <w:rPr>
                <w:bCs/>
                <w:noProof/>
                <w:szCs w:val="24"/>
              </w:rPr>
              <w:t>Belgium</w:t>
            </w:r>
          </w:p>
        </w:tc>
        <w:tc>
          <w:tcPr>
            <w:tcW w:w="3754" w:type="dxa"/>
            <w:shd w:val="clear" w:color="auto" w:fill="DBE5F1" w:themeFill="accent1" w:themeFillTint="33"/>
          </w:tcPr>
          <w:p>
            <w:pPr>
              <w:rPr>
                <w:noProof/>
                <w:szCs w:val="24"/>
                <w:lang w:eastAsia="de-DE"/>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p>
            <w:pPr>
              <w:rPr>
                <w:noProof/>
                <w:szCs w:val="24"/>
              </w:rPr>
            </w:pPr>
          </w:p>
        </w:tc>
        <w:tc>
          <w:tcPr>
            <w:tcW w:w="5103" w:type="dxa"/>
          </w:tcPr>
          <w:p>
            <w:pPr>
              <w:rPr>
                <w:rFonts w:eastAsia="Calibri"/>
                <w:noProof/>
                <w:szCs w:val="24"/>
              </w:rPr>
            </w:pPr>
            <w:r>
              <w:rPr>
                <w:rFonts w:eastAsia="Calibri"/>
                <w:noProof/>
                <w:szCs w:val="24"/>
              </w:rPr>
              <w:t xml:space="preserve">No general collective redress mechanism. Claims that involve multiple claimants may be brought by joining individual actions under the regular rules of civil procedure or commencing a claim by multiple claimants under a single petition. </w:t>
            </w:r>
          </w:p>
          <w:p>
            <w:pPr>
              <w:rPr>
                <w:rFonts w:eastAsia="Calibri"/>
                <w:noProof/>
                <w:szCs w:val="24"/>
              </w:rPr>
            </w:pPr>
          </w:p>
          <w:p>
            <w:pPr>
              <w:rPr>
                <w:b/>
                <w:bCs/>
                <w:noProof/>
                <w:szCs w:val="24"/>
              </w:rPr>
            </w:pPr>
          </w:p>
        </w:tc>
      </w:tr>
      <w:tr>
        <w:tc>
          <w:tcPr>
            <w:tcW w:w="1457" w:type="dxa"/>
          </w:tcPr>
          <w:p>
            <w:pPr>
              <w:rPr>
                <w:bCs/>
                <w:noProof/>
                <w:szCs w:val="24"/>
              </w:rPr>
            </w:pPr>
            <w:r>
              <w:rPr>
                <w:bCs/>
                <w:noProof/>
                <w:szCs w:val="24"/>
              </w:rPr>
              <w:t>Bulgaria</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noProof/>
                <w:szCs w:val="24"/>
              </w:rPr>
            </w:pPr>
            <w:r>
              <w:rPr>
                <w:noProof/>
                <w:szCs w:val="24"/>
              </w:rPr>
              <w:t xml:space="preserve">Horizontal collective redress mechanism is available, which is applicable to any area of the law. </w:t>
            </w:r>
          </w:p>
          <w:p>
            <w:pPr>
              <w:rPr>
                <w:noProof/>
                <w:szCs w:val="24"/>
              </w:rPr>
            </w:pPr>
            <w:r>
              <w:rPr>
                <w:noProof/>
                <w:szCs w:val="24"/>
              </w:rPr>
              <w:t xml:space="preserve">Relevant provisions are in Code of Civil Procedure. Any harmed persons, or organisations established with a purpose to defend the interests allegedly infringed can raise a claim. The action can lead to both injunctive and compensatory relief. </w:t>
            </w:r>
          </w:p>
          <w:p>
            <w:pPr>
              <w:spacing w:after="0"/>
              <w:rPr>
                <w:b/>
                <w:bCs/>
                <w:noProof/>
                <w:szCs w:val="24"/>
              </w:rPr>
            </w:pPr>
          </w:p>
        </w:tc>
      </w:tr>
      <w:tr>
        <w:trPr>
          <w:trHeight w:val="341"/>
        </w:trPr>
        <w:tc>
          <w:tcPr>
            <w:tcW w:w="1457" w:type="dxa"/>
          </w:tcPr>
          <w:p>
            <w:pPr>
              <w:rPr>
                <w:bCs/>
                <w:noProof/>
                <w:szCs w:val="24"/>
              </w:rPr>
            </w:pPr>
            <w:r>
              <w:rPr>
                <w:bCs/>
                <w:noProof/>
                <w:szCs w:val="24"/>
              </w:rPr>
              <w:t>Croatia</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 xml:space="preserve">There is a general collective redress mechanism. This is contained in the Civil Procedure Act, which was introduced in 2011. </w:t>
            </w:r>
          </w:p>
          <w:p>
            <w:pPr>
              <w:ind w:left="4"/>
              <w:rPr>
                <w:noProof/>
                <w:szCs w:val="24"/>
              </w:rPr>
            </w:pPr>
            <w:r>
              <w:rPr>
                <w:noProof/>
                <w:szCs w:val="24"/>
              </w:rPr>
              <w:t xml:space="preserve">The general mechanism operates on the basis of representative action, provided that the sector specific mechanism (for consumer law and anti-discrimination) do not apply. </w:t>
            </w:r>
          </w:p>
          <w:p>
            <w:pPr>
              <w:ind w:left="4"/>
              <w:rPr>
                <w:noProof/>
                <w:szCs w:val="24"/>
              </w:rPr>
            </w:pPr>
            <w:r>
              <w:rPr>
                <w:noProof/>
                <w:szCs w:val="24"/>
              </w:rPr>
              <w:t xml:space="preserve">The mechanisms are injunctive only. </w:t>
            </w:r>
          </w:p>
          <w:p>
            <w:pPr>
              <w:spacing w:after="0"/>
              <w:ind w:left="4"/>
              <w:rPr>
                <w:noProof/>
                <w:szCs w:val="24"/>
              </w:rPr>
            </w:pPr>
            <w:r>
              <w:rPr>
                <w:noProof/>
                <w:szCs w:val="24"/>
              </w:rPr>
              <w:t xml:space="preserve">The Civil Procedure Act also contains traditional rules on multi-party litigation such as joinder of parties and consolidation of proceedings. </w:t>
            </w:r>
          </w:p>
          <w:p>
            <w:pPr>
              <w:spacing w:after="120"/>
              <w:rPr>
                <w:bCs/>
                <w:noProof/>
                <w:szCs w:val="24"/>
              </w:rPr>
            </w:pPr>
          </w:p>
        </w:tc>
      </w:tr>
      <w:tr>
        <w:trPr>
          <w:trHeight w:val="341"/>
        </w:trPr>
        <w:tc>
          <w:tcPr>
            <w:tcW w:w="1457" w:type="dxa"/>
          </w:tcPr>
          <w:p>
            <w:pPr>
              <w:rPr>
                <w:bCs/>
                <w:noProof/>
                <w:szCs w:val="24"/>
              </w:rPr>
            </w:pPr>
            <w:r>
              <w:rPr>
                <w:bCs/>
                <w:noProof/>
                <w:szCs w:val="24"/>
              </w:rPr>
              <w:t>Cyprus</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 xml:space="preserve">No horizontal collective redress system exists. Traditional mechanisms of multi-party proceedings are available (joinder of actions). </w:t>
            </w:r>
          </w:p>
          <w:p>
            <w:pPr>
              <w:rPr>
                <w:noProof/>
                <w:szCs w:val="24"/>
              </w:rPr>
            </w:pPr>
            <w:r>
              <w:rPr>
                <w:noProof/>
                <w:szCs w:val="24"/>
              </w:rPr>
              <w:t xml:space="preserve">Cypriot civil practice places </w:t>
            </w:r>
            <w:r>
              <w:rPr>
                <w:noProof/>
                <w:szCs w:val="24"/>
                <w:lang w:val="en-US"/>
              </w:rPr>
              <w:t xml:space="preserve">an </w:t>
            </w:r>
            <w:r>
              <w:rPr>
                <w:noProof/>
                <w:szCs w:val="24"/>
              </w:rPr>
              <w:t xml:space="preserve">emphasis on compensation but an increasing number of injunctions are sought as remedies. The relatively low cost of court expenses and easy access to the appellate jurisdiction allow claimants to pursue cases freely. </w:t>
            </w:r>
          </w:p>
          <w:p>
            <w:pPr>
              <w:spacing w:after="0"/>
              <w:rPr>
                <w:noProof/>
                <w:szCs w:val="24"/>
              </w:rPr>
            </w:pPr>
          </w:p>
        </w:tc>
      </w:tr>
      <w:tr>
        <w:trPr>
          <w:trHeight w:val="341"/>
        </w:trPr>
        <w:tc>
          <w:tcPr>
            <w:tcW w:w="1457" w:type="dxa"/>
          </w:tcPr>
          <w:p>
            <w:pPr>
              <w:rPr>
                <w:bCs/>
                <w:noProof/>
                <w:szCs w:val="24"/>
              </w:rPr>
            </w:pPr>
            <w:r>
              <w:rPr>
                <w:bCs/>
                <w:noProof/>
                <w:szCs w:val="24"/>
              </w:rPr>
              <w:t>Czech Republic</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 xml:space="preserve">There is no horizontal redress mechanism and mass damages claims are dealt with by means of classic principles of civil procedure, such as joinder. </w:t>
            </w:r>
          </w:p>
          <w:p>
            <w:pPr>
              <w:ind w:left="4"/>
              <w:rPr>
                <w:noProof/>
                <w:szCs w:val="24"/>
              </w:rPr>
            </w:pPr>
            <w:r>
              <w:rPr>
                <w:noProof/>
                <w:szCs w:val="24"/>
              </w:rPr>
              <w:t xml:space="preserve">There is no comprehensive approach to collective redress. Only some specific aspects are regulated, in particular in the Code of Civil Procedure and in some special legal acts. Special legal acts provide for the distinct procedural role of specialised bodies (representative entities) authorising them to initiate selected types of proceedings. The concern subjects (right holders) are not parties to the dispute. </w:t>
            </w:r>
          </w:p>
          <w:p>
            <w:pPr>
              <w:ind w:left="4"/>
              <w:rPr>
                <w:noProof/>
                <w:szCs w:val="24"/>
              </w:rPr>
            </w:pPr>
            <w:r>
              <w:rPr>
                <w:noProof/>
                <w:szCs w:val="24"/>
              </w:rPr>
              <w:t>Where a representative entity is the claimant, the judicial proceedings and hearing follow the classical principles and rules of civil contentious proceedings without any special features or distinctions. However, these mechanisms cannot be considered as propose collective redress mechanisms. Extended lis pendens and res iudicata effect.</w:t>
            </w:r>
          </w:p>
          <w:p>
            <w:pPr>
              <w:spacing w:after="0"/>
              <w:rPr>
                <w:noProof/>
                <w:szCs w:val="24"/>
              </w:rPr>
            </w:pPr>
          </w:p>
        </w:tc>
      </w:tr>
      <w:tr>
        <w:trPr>
          <w:trHeight w:val="341"/>
        </w:trPr>
        <w:tc>
          <w:tcPr>
            <w:tcW w:w="1457" w:type="dxa"/>
          </w:tcPr>
          <w:p>
            <w:pPr>
              <w:rPr>
                <w:bCs/>
                <w:noProof/>
                <w:szCs w:val="24"/>
              </w:rPr>
            </w:pPr>
            <w:r>
              <w:rPr>
                <w:bCs/>
                <w:noProof/>
                <w:szCs w:val="24"/>
              </w:rPr>
              <w:t>Denmark</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 xml:space="preserve">There is a horizontal mechanism which allows injunctive and compensatory relief. </w:t>
            </w:r>
          </w:p>
          <w:p>
            <w:pPr>
              <w:ind w:left="4"/>
              <w:rPr>
                <w:noProof/>
                <w:szCs w:val="24"/>
              </w:rPr>
            </w:pPr>
            <w:r>
              <w:rPr>
                <w:noProof/>
                <w:szCs w:val="24"/>
              </w:rPr>
              <w:t xml:space="preserve">In addition, there is a test case procedure, where an organisation can act as a representative ("mandatar") in a test case on behalf of one or more of its members. The Danish legal system also contains traditional rules on multi-party litigation, such as joinder. Both compensatory and injunctive relief are available through these mechanisms. </w:t>
            </w:r>
          </w:p>
          <w:p>
            <w:pPr>
              <w:spacing w:after="0"/>
              <w:rPr>
                <w:noProof/>
                <w:szCs w:val="24"/>
              </w:rPr>
            </w:pPr>
          </w:p>
        </w:tc>
      </w:tr>
      <w:tr>
        <w:trPr>
          <w:trHeight w:val="341"/>
        </w:trPr>
        <w:tc>
          <w:tcPr>
            <w:tcW w:w="1457" w:type="dxa"/>
          </w:tcPr>
          <w:p>
            <w:pPr>
              <w:rPr>
                <w:bCs/>
                <w:noProof/>
                <w:szCs w:val="24"/>
              </w:rPr>
            </w:pPr>
            <w:r>
              <w:rPr>
                <w:bCs/>
                <w:noProof/>
                <w:szCs w:val="24"/>
              </w:rPr>
              <w:t>Estonia</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 xml:space="preserve">No specific horizontal collective redress mechanism exists. However, general rules of joinder and consolidation of proceedings are provided for in the Code of Administrative Court Procedure (in force since 1 January 2012) and by the Code of Civil Procedure. </w:t>
            </w:r>
          </w:p>
          <w:p>
            <w:pPr>
              <w:ind w:left="4"/>
              <w:rPr>
                <w:noProof/>
                <w:szCs w:val="24"/>
              </w:rPr>
            </w:pPr>
            <w:r>
              <w:rPr>
                <w:noProof/>
                <w:szCs w:val="24"/>
              </w:rPr>
              <w:t>The Code of Administrative Court Procedure (sections 16 and 19) provides that an association of persons possesses standing as an applicant only in the cases provided in the law and special rules apply for multiple parties.</w:t>
            </w:r>
          </w:p>
          <w:p>
            <w:pPr>
              <w:spacing w:after="0"/>
              <w:ind w:left="4"/>
              <w:rPr>
                <w:noProof/>
                <w:szCs w:val="24"/>
              </w:rPr>
            </w:pPr>
            <w:r>
              <w:rPr>
                <w:noProof/>
                <w:szCs w:val="24"/>
              </w:rPr>
              <w:t xml:space="preserve"> </w:t>
            </w:r>
          </w:p>
        </w:tc>
      </w:tr>
      <w:tr>
        <w:trPr>
          <w:trHeight w:val="341"/>
        </w:trPr>
        <w:tc>
          <w:tcPr>
            <w:tcW w:w="1457" w:type="dxa"/>
          </w:tcPr>
          <w:p>
            <w:pPr>
              <w:rPr>
                <w:bCs/>
                <w:noProof/>
                <w:szCs w:val="24"/>
              </w:rPr>
            </w:pPr>
            <w:r>
              <w:rPr>
                <w:bCs/>
                <w:noProof/>
                <w:szCs w:val="24"/>
              </w:rPr>
              <w:t>Finland</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 xml:space="preserve">No specific horizontal collective redress mechanism. </w:t>
            </w:r>
          </w:p>
          <w:p>
            <w:pPr>
              <w:ind w:left="4"/>
              <w:rPr>
                <w:noProof/>
                <w:szCs w:val="24"/>
              </w:rPr>
            </w:pPr>
            <w:r>
              <w:rPr>
                <w:noProof/>
                <w:szCs w:val="24"/>
              </w:rPr>
              <w:t xml:space="preserve">The legal system includes general provisions on joinder of claims, regulated by the Code of Judicial procedure. These provisions are not limited to B2C relationships nor consumer sales. </w:t>
            </w:r>
          </w:p>
        </w:tc>
      </w:tr>
      <w:tr>
        <w:trPr>
          <w:trHeight w:val="341"/>
        </w:trPr>
        <w:tc>
          <w:tcPr>
            <w:tcW w:w="1457" w:type="dxa"/>
          </w:tcPr>
          <w:p>
            <w:pPr>
              <w:rPr>
                <w:bCs/>
                <w:noProof/>
                <w:szCs w:val="24"/>
              </w:rPr>
            </w:pPr>
            <w:r>
              <w:rPr>
                <w:bCs/>
                <w:noProof/>
                <w:szCs w:val="24"/>
              </w:rPr>
              <w:t>France</w:t>
            </w:r>
          </w:p>
        </w:tc>
        <w:tc>
          <w:tcPr>
            <w:tcW w:w="3754" w:type="dxa"/>
            <w:shd w:val="clear" w:color="auto" w:fill="FDE9D9" w:themeFill="accent6" w:themeFillTint="33"/>
          </w:tcPr>
          <w:p>
            <w:pPr>
              <w:rPr>
                <w:bCs/>
                <w:noProof/>
                <w:szCs w:val="24"/>
                <w:lang w:eastAsia="de-DE"/>
              </w:rPr>
            </w:pPr>
            <w:r>
              <w:rPr>
                <w:bCs/>
                <w:noProof/>
                <w:szCs w:val="24"/>
                <w:lang w:eastAsia="de-DE"/>
              </w:rPr>
              <w:t>Professional organisations may introduce an action before the civil or commercial courts on the basis of facts which cause direct or indirect detriment to the collective interests of the profession or sector which they represent, or to fair competition.</w:t>
            </w:r>
          </w:p>
        </w:tc>
        <w:tc>
          <w:tcPr>
            <w:tcW w:w="5103" w:type="dxa"/>
          </w:tcPr>
          <w:p>
            <w:pPr>
              <w:rPr>
                <w:noProof/>
                <w:szCs w:val="24"/>
              </w:rPr>
            </w:pPr>
            <w:r>
              <w:rPr>
                <w:noProof/>
                <w:szCs w:val="24"/>
              </w:rPr>
              <w:t>No specific horizontal collective redress mechanism. Sectoral (similar mechanisms) exist in consumer protection, competition, health, discrimination, environment and personal data.</w:t>
            </w:r>
          </w:p>
        </w:tc>
      </w:tr>
      <w:tr>
        <w:trPr>
          <w:trHeight w:val="341"/>
        </w:trPr>
        <w:tc>
          <w:tcPr>
            <w:tcW w:w="1457" w:type="dxa"/>
          </w:tcPr>
          <w:p>
            <w:pPr>
              <w:rPr>
                <w:bCs/>
                <w:noProof/>
                <w:szCs w:val="24"/>
              </w:rPr>
            </w:pPr>
            <w:r>
              <w:rPr>
                <w:bCs/>
                <w:noProof/>
                <w:szCs w:val="24"/>
              </w:rPr>
              <w:t>Germany</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No horizontal collective redress mechanism, but joinder of parties, joinder of claims and stay of proceedings. Ongoing reform plans to introduce a general collective redress mechanism based on the model of the Capital Market Model Claims Act (for mass investor claims) have been supported by associations, but remain yet without any concrete legislative results.</w:t>
            </w:r>
            <w:r>
              <w:rPr>
                <w:rStyle w:val="FootnoteReference"/>
                <w:noProof/>
                <w:szCs w:val="24"/>
              </w:rPr>
              <w:footnoteReference w:id="157"/>
            </w:r>
          </w:p>
        </w:tc>
      </w:tr>
      <w:tr>
        <w:trPr>
          <w:trHeight w:val="341"/>
        </w:trPr>
        <w:tc>
          <w:tcPr>
            <w:tcW w:w="1457" w:type="dxa"/>
          </w:tcPr>
          <w:p>
            <w:pPr>
              <w:rPr>
                <w:bCs/>
                <w:noProof/>
                <w:szCs w:val="24"/>
              </w:rPr>
            </w:pPr>
            <w:r>
              <w:rPr>
                <w:bCs/>
                <w:noProof/>
                <w:szCs w:val="24"/>
              </w:rPr>
              <w:t>Greece</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rFonts w:eastAsia="Calibri"/>
                <w:noProof/>
                <w:szCs w:val="24"/>
                <w:lang w:eastAsia="de-DE"/>
              </w:rPr>
            </w:pPr>
            <w:r>
              <w:rPr>
                <w:rFonts w:eastAsia="Calibri"/>
                <w:noProof/>
                <w:szCs w:val="24"/>
                <w:lang w:eastAsia="de-DE"/>
              </w:rPr>
              <w:t xml:space="preserve">No horizontal collective redress mechanism. The provisions of the Greek Code of Civil Procedure (CCP) contains rules on multi-party disputes, such as the joinder of parties, third party intervention and consolidation of proceedings. </w:t>
            </w:r>
          </w:p>
          <w:p>
            <w:pPr>
              <w:ind w:left="4"/>
              <w:rPr>
                <w:noProof/>
                <w:szCs w:val="24"/>
              </w:rPr>
            </w:pPr>
            <w:r>
              <w:rPr>
                <w:noProof/>
                <w:szCs w:val="24"/>
              </w:rPr>
              <w:t xml:space="preserve">In the field of unfair competition, a special legislative provision allows trade and industry associations, and chambers of commerce, to bring an action before the courts seeking an injunction against traders for unfair competition. The procedural right does not qualify as a genuine form of collective redress, but it is a form of self-regulation of the industry. </w:t>
            </w:r>
          </w:p>
        </w:tc>
      </w:tr>
      <w:tr>
        <w:trPr>
          <w:trHeight w:val="341"/>
        </w:trPr>
        <w:tc>
          <w:tcPr>
            <w:tcW w:w="1457" w:type="dxa"/>
          </w:tcPr>
          <w:p>
            <w:pPr>
              <w:rPr>
                <w:bCs/>
                <w:noProof/>
                <w:szCs w:val="24"/>
              </w:rPr>
            </w:pPr>
            <w:r>
              <w:rPr>
                <w:bCs/>
                <w:noProof/>
                <w:szCs w:val="24"/>
              </w:rPr>
              <w:t>Hungary</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 xml:space="preserve">No specific horizontal collective redress mechanism. </w:t>
            </w:r>
          </w:p>
          <w:p>
            <w:pPr>
              <w:ind w:left="4"/>
              <w:rPr>
                <w:noProof/>
                <w:szCs w:val="24"/>
              </w:rPr>
            </w:pPr>
            <w:r>
              <w:rPr>
                <w:noProof/>
                <w:szCs w:val="24"/>
              </w:rPr>
              <w:t xml:space="preserve">The new Code of Civil Procedure, entering into force in January 2018, provides for special procedural rules for collective actions conducted in the public interest and will also create a new category of actions, group actions, where the public interest is not required. This shall be sectoral (injunctive and compensatory) for claims arising from consumer contracts, from health damages caused by unforeseen environmental incidents and in labour cases. </w:t>
            </w:r>
          </w:p>
        </w:tc>
      </w:tr>
      <w:tr>
        <w:trPr>
          <w:trHeight w:val="341"/>
        </w:trPr>
        <w:tc>
          <w:tcPr>
            <w:tcW w:w="1457" w:type="dxa"/>
          </w:tcPr>
          <w:p>
            <w:pPr>
              <w:rPr>
                <w:bCs/>
                <w:noProof/>
                <w:szCs w:val="24"/>
              </w:rPr>
            </w:pPr>
            <w:r>
              <w:rPr>
                <w:bCs/>
                <w:noProof/>
                <w:szCs w:val="24"/>
              </w:rPr>
              <w:t>Ireland</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No horizontal or sectoral collective redress mechanism. Mass claims are dealt with under the general rules of civil procedure, which only allow for collective claims in very limited circumstances. These take the form of representative actions.</w:t>
            </w:r>
          </w:p>
          <w:p>
            <w:pPr>
              <w:ind w:left="4"/>
              <w:rPr>
                <w:noProof/>
                <w:szCs w:val="24"/>
              </w:rPr>
            </w:pPr>
            <w:r>
              <w:rPr>
                <w:noProof/>
                <w:szCs w:val="24"/>
              </w:rPr>
              <w:t xml:space="preserve">In a representative action, a person can initiate proceedings on behalf of a number of people however, the application of this mechanism is, in practice, very limited. The representative must be authorised by each member of the class and the claim can only lead to an injunction. The members of the group on whose behalf the representative action is conducted must have the ‘same interest’. This requirement is applied restrictively by the courts. The judgement only binds those represented by the representative. Public funding is not allowed for representative actions. There are no detailed procedural rules. </w:t>
            </w:r>
          </w:p>
          <w:p>
            <w:pPr>
              <w:ind w:left="4"/>
              <w:rPr>
                <w:noProof/>
                <w:szCs w:val="24"/>
              </w:rPr>
            </w:pPr>
            <w:r>
              <w:rPr>
                <w:noProof/>
                <w:szCs w:val="24"/>
              </w:rPr>
              <w:t xml:space="preserve">Test cases have also been used to deal with instances where a number of individual claims are brought against a defendant alleging essentially the same harm. </w:t>
            </w:r>
          </w:p>
        </w:tc>
      </w:tr>
      <w:tr>
        <w:trPr>
          <w:trHeight w:val="341"/>
        </w:trPr>
        <w:tc>
          <w:tcPr>
            <w:tcW w:w="1457" w:type="dxa"/>
          </w:tcPr>
          <w:p>
            <w:pPr>
              <w:rPr>
                <w:bCs/>
                <w:noProof/>
                <w:szCs w:val="24"/>
              </w:rPr>
            </w:pPr>
            <w:r>
              <w:rPr>
                <w:bCs/>
                <w:noProof/>
                <w:szCs w:val="24"/>
              </w:rPr>
              <w:t>Italy</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noProof/>
                <w:szCs w:val="24"/>
              </w:rPr>
            </w:pPr>
            <w:r>
              <w:rPr>
                <w:noProof/>
                <w:szCs w:val="24"/>
              </w:rPr>
              <w:t>There is no general collective redress mechanism. Multiple claims may be joined together under the regular rules of civil procedure.</w:t>
            </w:r>
          </w:p>
          <w:p>
            <w:pPr>
              <w:spacing w:after="0"/>
              <w:rPr>
                <w:noProof/>
                <w:szCs w:val="24"/>
              </w:rPr>
            </w:pPr>
          </w:p>
        </w:tc>
      </w:tr>
      <w:tr>
        <w:trPr>
          <w:trHeight w:val="341"/>
        </w:trPr>
        <w:tc>
          <w:tcPr>
            <w:tcW w:w="1457" w:type="dxa"/>
          </w:tcPr>
          <w:p>
            <w:pPr>
              <w:rPr>
                <w:bCs/>
                <w:noProof/>
                <w:szCs w:val="24"/>
              </w:rPr>
            </w:pPr>
            <w:r>
              <w:rPr>
                <w:bCs/>
                <w:noProof/>
                <w:szCs w:val="24"/>
              </w:rPr>
              <w:t>Latvia</w:t>
            </w:r>
          </w:p>
        </w:tc>
        <w:tc>
          <w:tcPr>
            <w:tcW w:w="3754" w:type="dxa"/>
            <w:shd w:val="clear" w:color="auto" w:fill="DBE5F1" w:themeFill="accent1" w:themeFillTint="33"/>
          </w:tcPr>
          <w:p>
            <w:pPr>
              <w:rPr>
                <w:noProof/>
                <w:szCs w:val="24"/>
                <w:lang w:eastAsia="de-DE"/>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p>
            <w:pPr>
              <w:rPr>
                <w:noProof/>
                <w:szCs w:val="24"/>
              </w:rPr>
            </w:pPr>
          </w:p>
        </w:tc>
        <w:tc>
          <w:tcPr>
            <w:tcW w:w="5103" w:type="dxa"/>
          </w:tcPr>
          <w:p>
            <w:pPr>
              <w:ind w:left="4"/>
              <w:rPr>
                <w:noProof/>
                <w:szCs w:val="24"/>
              </w:rPr>
            </w:pPr>
            <w:r>
              <w:rPr>
                <w:noProof/>
                <w:szCs w:val="24"/>
              </w:rPr>
              <w:t xml:space="preserve">No specific horizontal collective redress mechanism. </w:t>
            </w:r>
          </w:p>
          <w:p>
            <w:pPr>
              <w:ind w:left="4"/>
              <w:rPr>
                <w:noProof/>
                <w:szCs w:val="24"/>
              </w:rPr>
            </w:pPr>
          </w:p>
          <w:p>
            <w:pPr>
              <w:ind w:left="4"/>
              <w:rPr>
                <w:noProof/>
                <w:szCs w:val="24"/>
              </w:rPr>
            </w:pPr>
          </w:p>
        </w:tc>
      </w:tr>
      <w:tr>
        <w:trPr>
          <w:trHeight w:val="341"/>
        </w:trPr>
        <w:tc>
          <w:tcPr>
            <w:tcW w:w="1457" w:type="dxa"/>
          </w:tcPr>
          <w:p>
            <w:pPr>
              <w:rPr>
                <w:bCs/>
                <w:noProof/>
                <w:szCs w:val="24"/>
              </w:rPr>
            </w:pPr>
            <w:r>
              <w:rPr>
                <w:bCs/>
                <w:noProof/>
                <w:szCs w:val="24"/>
              </w:rPr>
              <w:t>Lithuania</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noProof/>
                <w:szCs w:val="24"/>
              </w:rPr>
            </w:pPr>
            <w:r>
              <w:rPr>
                <w:noProof/>
                <w:szCs w:val="24"/>
              </w:rPr>
              <w:t xml:space="preserve">There are two general collective redress mechanisms. One mechanism is the Protection of Public Interest proceeding (Article 49 of the Lithuanian Civil Procedure Code) and the second mechanism is a Group Action Proceeding (Chapter 24/1 CPC). In practice, the protection of the Public Interest mechanism is used to gain injunctive relief whereas the group action proceeding is used for both injunctive and compensatory relief. </w:t>
            </w:r>
          </w:p>
          <w:p>
            <w:pPr>
              <w:rPr>
                <w:noProof/>
                <w:szCs w:val="24"/>
              </w:rPr>
            </w:pPr>
            <w:r>
              <w:rPr>
                <w:noProof/>
                <w:szCs w:val="24"/>
              </w:rPr>
              <w:t xml:space="preserve">One of the key differences between both mechanisms is standing. Legal standing for claims to protect the public interest, are restricted to a prosecutor, state, municipal authority, or other persons identified in law. Precise conditions for standing under this mechanism is contained in specific laws. Under the group action procedure, there are no specific provisions on standing. </w:t>
            </w:r>
          </w:p>
          <w:p>
            <w:pPr>
              <w:rPr>
                <w:noProof/>
                <w:szCs w:val="24"/>
              </w:rPr>
            </w:pPr>
            <w:r>
              <w:rPr>
                <w:noProof/>
                <w:szCs w:val="24"/>
              </w:rPr>
              <w:t xml:space="preserve">In addition, joinder of claims is possible through which both injunctive and compensatory relief is available. This can be compulsory joinder, where a claim is brought by several co-claimants together or against several defendants, if the subject of a claim is rights or liabilities assumed by them together in accordance with the laws. Optional joinder is used where a claim is brought in the same way, when it concerns rights or liabilities of the same nature, when each separate demand could be the subject of an independent claim. </w:t>
            </w:r>
          </w:p>
        </w:tc>
      </w:tr>
      <w:tr>
        <w:trPr>
          <w:trHeight w:val="341"/>
        </w:trPr>
        <w:tc>
          <w:tcPr>
            <w:tcW w:w="1457" w:type="dxa"/>
          </w:tcPr>
          <w:p>
            <w:pPr>
              <w:rPr>
                <w:bCs/>
                <w:noProof/>
                <w:szCs w:val="24"/>
              </w:rPr>
            </w:pPr>
            <w:r>
              <w:rPr>
                <w:bCs/>
                <w:noProof/>
                <w:szCs w:val="24"/>
              </w:rPr>
              <w:t>Luxembourg</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noProof/>
                <w:szCs w:val="24"/>
              </w:rPr>
            </w:pPr>
            <w:r>
              <w:rPr>
                <w:noProof/>
                <w:szCs w:val="24"/>
              </w:rPr>
              <w:t>No specific horizontal class action mechanism.</w:t>
            </w:r>
          </w:p>
          <w:p>
            <w:pPr>
              <w:rPr>
                <w:noProof/>
                <w:szCs w:val="24"/>
              </w:rPr>
            </w:pPr>
            <w:r>
              <w:rPr>
                <w:noProof/>
                <w:szCs w:val="24"/>
              </w:rPr>
              <w:t xml:space="preserve">Traditional devices for multi-party proceedings are available (joinder). A specific type of representative action may be brought by a duly authorised entity to request the judicial review of an administrative decision issued by a public body. Such action can only be brought if is restricted to the protection of the collective interests of the organisations and does not extend to cover those of is individual members. </w:t>
            </w:r>
          </w:p>
        </w:tc>
      </w:tr>
      <w:tr>
        <w:trPr>
          <w:trHeight w:val="341"/>
        </w:trPr>
        <w:tc>
          <w:tcPr>
            <w:tcW w:w="1457" w:type="dxa"/>
          </w:tcPr>
          <w:p>
            <w:pPr>
              <w:rPr>
                <w:bCs/>
                <w:noProof/>
                <w:szCs w:val="24"/>
              </w:rPr>
            </w:pPr>
            <w:r>
              <w:rPr>
                <w:bCs/>
                <w:noProof/>
                <w:szCs w:val="24"/>
              </w:rPr>
              <w:t>Malta</w:t>
            </w:r>
          </w:p>
        </w:tc>
        <w:tc>
          <w:tcPr>
            <w:tcW w:w="3754" w:type="dxa"/>
            <w:shd w:val="clear" w:color="auto" w:fill="DBE5F1" w:themeFill="accent1" w:themeFillTint="33"/>
          </w:tcPr>
          <w:p>
            <w:pPr>
              <w:rPr>
                <w:noProof/>
                <w:szCs w:val="24"/>
                <w:lang w:eastAsia="de-DE"/>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p>
            <w:pPr>
              <w:rPr>
                <w:noProof/>
                <w:szCs w:val="24"/>
              </w:rPr>
            </w:pPr>
          </w:p>
        </w:tc>
        <w:tc>
          <w:tcPr>
            <w:tcW w:w="5103" w:type="dxa"/>
          </w:tcPr>
          <w:p>
            <w:pPr>
              <w:rPr>
                <w:rFonts w:eastAsia="Calibri"/>
                <w:noProof/>
                <w:szCs w:val="24"/>
                <w:lang w:eastAsia="de-DE"/>
              </w:rPr>
            </w:pPr>
            <w:r>
              <w:rPr>
                <w:rFonts w:eastAsia="Calibri"/>
                <w:noProof/>
                <w:szCs w:val="24"/>
                <w:lang w:eastAsia="de-DE"/>
              </w:rPr>
              <w:t xml:space="preserve">There are two types of horizontal collective redress mechanisms. </w:t>
            </w:r>
          </w:p>
          <w:p>
            <w:pPr>
              <w:rPr>
                <w:rFonts w:eastAsia="Calibri"/>
                <w:noProof/>
                <w:szCs w:val="24"/>
                <w:lang w:eastAsia="de-DE"/>
              </w:rPr>
            </w:pPr>
            <w:r>
              <w:rPr>
                <w:rFonts w:eastAsia="Calibri"/>
                <w:noProof/>
                <w:szCs w:val="24"/>
                <w:lang w:eastAsia="de-DE"/>
              </w:rPr>
              <w:t xml:space="preserve">A Collective Action, which allows two or more claimants to bring their actions in one application if the subject matter of the actions is connected or the decision of one of the actions may affect the decision of the other action. Also, if the evidence in support of one action is generally the same for each action. </w:t>
            </w:r>
          </w:p>
          <w:p>
            <w:pPr>
              <w:rPr>
                <w:rFonts w:eastAsia="Calibri"/>
                <w:noProof/>
                <w:szCs w:val="24"/>
                <w:lang w:eastAsia="de-DE"/>
              </w:rPr>
            </w:pPr>
            <w:r>
              <w:rPr>
                <w:rFonts w:eastAsia="Calibri"/>
                <w:noProof/>
                <w:szCs w:val="24"/>
                <w:lang w:eastAsia="de-DE"/>
              </w:rPr>
              <w:t xml:space="preserve">Collective Proceedings, which is limited to actions asking for the cessation of an infringement, the rectification of the consequences of an infringement or compensation for harm. An action can be brought on behalf of a class of members by a registered consumer association/ad hoc constituted body or by a class representative. This is available for breaches of consumer law and competition law. </w:t>
            </w:r>
          </w:p>
          <w:p>
            <w:pPr>
              <w:pStyle w:val="ListParagraph"/>
              <w:spacing w:after="0"/>
              <w:ind w:left="0"/>
              <w:rPr>
                <w:noProof/>
                <w:szCs w:val="24"/>
              </w:rPr>
            </w:pPr>
            <w:r>
              <w:rPr>
                <w:noProof/>
                <w:szCs w:val="24"/>
              </w:rPr>
              <w:t xml:space="preserve">Both mechanisms allow for injunctive and compensatory relief. </w:t>
            </w:r>
          </w:p>
          <w:p>
            <w:pPr>
              <w:pStyle w:val="ListParagraph"/>
              <w:spacing w:after="0"/>
              <w:ind w:left="0"/>
              <w:rPr>
                <w:noProof/>
                <w:szCs w:val="24"/>
              </w:rPr>
            </w:pPr>
          </w:p>
        </w:tc>
      </w:tr>
      <w:tr>
        <w:trPr>
          <w:trHeight w:val="341"/>
        </w:trPr>
        <w:tc>
          <w:tcPr>
            <w:tcW w:w="1457" w:type="dxa"/>
          </w:tcPr>
          <w:p>
            <w:pPr>
              <w:rPr>
                <w:bCs/>
                <w:noProof/>
                <w:szCs w:val="24"/>
              </w:rPr>
            </w:pPr>
            <w:r>
              <w:rPr>
                <w:bCs/>
                <w:noProof/>
                <w:szCs w:val="24"/>
              </w:rPr>
              <w:t>The Netherlands</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There are three general collective redress mechanisms.</w:t>
            </w:r>
          </w:p>
          <w:p>
            <w:pPr>
              <w:ind w:left="4"/>
              <w:rPr>
                <w:noProof/>
                <w:szCs w:val="24"/>
              </w:rPr>
            </w:pPr>
            <w:r>
              <w:rPr>
                <w:noProof/>
                <w:szCs w:val="24"/>
              </w:rPr>
              <w:t xml:space="preserve">The Collective Settlements of Mass Claims Acts (WCAM). These are primarily monetary damages but can include other obligations that require specific performance as these are compensation of damage in kind. </w:t>
            </w:r>
          </w:p>
          <w:p>
            <w:pPr>
              <w:rPr>
                <w:noProof/>
                <w:szCs w:val="24"/>
              </w:rPr>
            </w:pPr>
            <w:r>
              <w:rPr>
                <w:noProof/>
                <w:szCs w:val="24"/>
              </w:rPr>
              <w:t xml:space="preserve">The collective action procedure based on articles 3:305a-305d Dutch Civil Code. Only injunctive or declaratory relief is possible.  (solely injunctive/declaratory). </w:t>
            </w:r>
          </w:p>
          <w:p>
            <w:pPr>
              <w:rPr>
                <w:noProof/>
                <w:szCs w:val="24"/>
              </w:rPr>
            </w:pPr>
            <w:r>
              <w:rPr>
                <w:noProof/>
                <w:szCs w:val="24"/>
              </w:rPr>
              <w:t xml:space="preserve">Action on the basis of mandate/power of attorney and/or transfer/assignment of claims to a special purpose vehicle. The mechanism is not specifically tailored to mass claims but is used in practice for collective redress. </w:t>
            </w:r>
          </w:p>
          <w:p>
            <w:pPr>
              <w:rPr>
                <w:noProof/>
                <w:szCs w:val="24"/>
              </w:rPr>
            </w:pPr>
            <w:r>
              <w:rPr>
                <w:noProof/>
                <w:szCs w:val="24"/>
              </w:rPr>
              <w:t xml:space="preserve">On standing, only non-profit entities, either ad-hoc or pre-existing, that meet certain criteria can act in collective actions or conclude collective settlements under the WCAM. The entities under the special purpose vehicle do not need to be of a non-profit character. </w:t>
            </w:r>
          </w:p>
          <w:p>
            <w:pPr>
              <w:rPr>
                <w:noProof/>
                <w:szCs w:val="24"/>
              </w:rPr>
            </w:pPr>
            <w:r>
              <w:rPr>
                <w:noProof/>
                <w:szCs w:val="24"/>
              </w:rPr>
              <w:t xml:space="preserve">A new legislative proposal on collective actions, including damages actions, started on 16 November 2016. The proposal covers all substantive areas of law. It proposes compensatory relief via the collective action procedure. </w:t>
            </w:r>
          </w:p>
        </w:tc>
      </w:tr>
      <w:tr>
        <w:trPr>
          <w:trHeight w:val="341"/>
        </w:trPr>
        <w:tc>
          <w:tcPr>
            <w:tcW w:w="1457" w:type="dxa"/>
          </w:tcPr>
          <w:p>
            <w:pPr>
              <w:rPr>
                <w:bCs/>
                <w:noProof/>
                <w:szCs w:val="24"/>
              </w:rPr>
            </w:pPr>
            <w:r>
              <w:rPr>
                <w:bCs/>
                <w:noProof/>
                <w:szCs w:val="24"/>
              </w:rPr>
              <w:t>Poland</w:t>
            </w:r>
          </w:p>
        </w:tc>
        <w:tc>
          <w:tcPr>
            <w:tcW w:w="3754" w:type="dxa"/>
            <w:shd w:val="clear" w:color="auto" w:fill="FDE9D9" w:themeFill="accent6" w:themeFillTint="33"/>
          </w:tcPr>
          <w:p>
            <w:pPr>
              <w:ind w:left="4"/>
              <w:rPr>
                <w:noProof/>
                <w:szCs w:val="24"/>
              </w:rPr>
            </w:pPr>
            <w:r>
              <w:rPr>
                <w:noProof/>
                <w:szCs w:val="24"/>
              </w:rPr>
              <w:t>The payment of interest referred to in Articles 5 to 7 may be claimed in the name and on behalf of the creditor referred to in Article 3 by the national or regional organisation acting on his request, provided that the Statute of the organisation concerned provides for the protection of interests of the entities such as the creditor.</w:t>
            </w:r>
          </w:p>
        </w:tc>
        <w:tc>
          <w:tcPr>
            <w:tcW w:w="5103" w:type="dxa"/>
          </w:tcPr>
          <w:p>
            <w:pPr>
              <w:ind w:left="4"/>
              <w:rPr>
                <w:noProof/>
                <w:szCs w:val="24"/>
              </w:rPr>
            </w:pPr>
            <w:r>
              <w:rPr>
                <w:noProof/>
                <w:szCs w:val="24"/>
              </w:rPr>
              <w:t>Polish civil procedure provides for:</w:t>
            </w:r>
          </w:p>
          <w:p>
            <w:pPr>
              <w:pStyle w:val="ListParagraph"/>
              <w:numPr>
                <w:ilvl w:val="0"/>
                <w:numId w:val="141"/>
              </w:numPr>
              <w:spacing w:before="60" w:after="0"/>
              <w:contextualSpacing w:val="0"/>
              <w:rPr>
                <w:noProof/>
                <w:szCs w:val="24"/>
              </w:rPr>
            </w:pPr>
            <w:r>
              <w:rPr>
                <w:noProof/>
                <w:szCs w:val="24"/>
              </w:rPr>
              <w:t>A class action procedure of judicial nature (injunctive and compensatory) available for: consumer law, product liability, other tort liability cases (environmental protection law, competition law, IP law, labour law, as far as they concern tortious acts).</w:t>
            </w:r>
          </w:p>
          <w:p>
            <w:pPr>
              <w:pStyle w:val="ListParagraph"/>
              <w:numPr>
                <w:ilvl w:val="0"/>
                <w:numId w:val="141"/>
              </w:numPr>
              <w:spacing w:before="60" w:after="0"/>
              <w:contextualSpacing w:val="0"/>
              <w:rPr>
                <w:noProof/>
                <w:szCs w:val="24"/>
              </w:rPr>
            </w:pPr>
            <w:r>
              <w:rPr>
                <w:noProof/>
                <w:szCs w:val="24"/>
              </w:rPr>
              <w:t>A representative procedure of an administrative nature in consumer cases (injunctive)</w:t>
            </w:r>
          </w:p>
          <w:p>
            <w:pPr>
              <w:spacing w:after="0"/>
              <w:rPr>
                <w:noProof/>
                <w:szCs w:val="24"/>
              </w:rPr>
            </w:pPr>
          </w:p>
        </w:tc>
      </w:tr>
      <w:tr>
        <w:trPr>
          <w:trHeight w:val="341"/>
        </w:trPr>
        <w:tc>
          <w:tcPr>
            <w:tcW w:w="1457" w:type="dxa"/>
          </w:tcPr>
          <w:p>
            <w:pPr>
              <w:rPr>
                <w:bCs/>
                <w:noProof/>
                <w:szCs w:val="24"/>
              </w:rPr>
            </w:pPr>
            <w:r>
              <w:rPr>
                <w:bCs/>
                <w:noProof/>
                <w:szCs w:val="24"/>
              </w:rPr>
              <w:t>Portugal</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noProof/>
                <w:szCs w:val="24"/>
              </w:rPr>
            </w:pPr>
            <w:r>
              <w:rPr>
                <w:noProof/>
                <w:szCs w:val="24"/>
              </w:rPr>
              <w:t xml:space="preserve">No general collective redress mechanism but sectoral in public health, environment, quality of life, protection of consumers, cultural heritage and public domain. With specific standing rules. This is known as a popular action. </w:t>
            </w:r>
          </w:p>
          <w:p>
            <w:pPr>
              <w:rPr>
                <w:noProof/>
                <w:szCs w:val="24"/>
              </w:rPr>
            </w:pPr>
            <w:r>
              <w:rPr>
                <w:noProof/>
                <w:szCs w:val="24"/>
              </w:rPr>
              <w:t xml:space="preserve">Once admitted, a popular action proceeds according to general rules of civil procedure, set out in the Code of Civil Procedure, which is supplemented in group claims by Law 83/95.  The claimant may therefore, obtain all the remedies which would ordinarily be available in civil actions, including compensatory damages and injunction as well as declaratory relief and interim relief. </w:t>
            </w:r>
          </w:p>
          <w:p>
            <w:pPr>
              <w:rPr>
                <w:noProof/>
                <w:szCs w:val="24"/>
              </w:rPr>
            </w:pPr>
            <w:r>
              <w:rPr>
                <w:noProof/>
                <w:szCs w:val="24"/>
              </w:rPr>
              <w:t xml:space="preserve">Any individual or association with legal personality may bring a popular action as a representative regardless of whether they have a direct interest in the dispute. There are no formal rules on standing, just that the associations bringing claims must not have a conflict of interest and their articles of association state that one of their purposes is the defending of the relevant interests at stake. In addition, local authorities have standing regarding the interests of their residents. </w:t>
            </w:r>
          </w:p>
          <w:p>
            <w:pPr>
              <w:rPr>
                <w:noProof/>
                <w:szCs w:val="24"/>
              </w:rPr>
            </w:pPr>
            <w:r>
              <w:rPr>
                <w:noProof/>
                <w:szCs w:val="24"/>
              </w:rPr>
              <w:t xml:space="preserve">In addition, there are procedures specific to the administrative courts, which are designed to deal with mass claims on a ‘test case’ type basis. This is a type of test case mechanism that is designed to accommodate large numbers of related claims being brought at any one time. </w:t>
            </w:r>
          </w:p>
        </w:tc>
      </w:tr>
      <w:tr>
        <w:trPr>
          <w:trHeight w:val="341"/>
        </w:trPr>
        <w:tc>
          <w:tcPr>
            <w:tcW w:w="1457" w:type="dxa"/>
          </w:tcPr>
          <w:p>
            <w:pPr>
              <w:rPr>
                <w:bCs/>
                <w:noProof/>
                <w:szCs w:val="24"/>
              </w:rPr>
            </w:pPr>
            <w:r>
              <w:rPr>
                <w:bCs/>
                <w:noProof/>
                <w:szCs w:val="24"/>
              </w:rPr>
              <w:t>Romania</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rFonts w:eastAsia="Calibri"/>
                <w:noProof/>
                <w:szCs w:val="24"/>
                <w:lang w:eastAsia="de-DE"/>
              </w:rPr>
            </w:pPr>
            <w:r>
              <w:rPr>
                <w:rFonts w:eastAsia="Calibri"/>
                <w:noProof/>
                <w:szCs w:val="24"/>
                <w:lang w:eastAsia="de-DE"/>
              </w:rPr>
              <w:t xml:space="preserve">No horizontal mechanism but procedural mechanisms of co-participation and voluntary intervention available in the Romanian Civil Procedure Code. Both injunctive and compensatory relief are available. In co-participation, several people may be claimants or defendants if the case refers to a common right or obligations, if the rights of obligations have a common cause or if between them, there is a close connection. In voluntary intervention, an intervention in support of the rights of its authority, or ancillary or in support of the main claimant is allowed. </w:t>
            </w:r>
          </w:p>
          <w:p>
            <w:pPr>
              <w:rPr>
                <w:noProof/>
                <w:szCs w:val="24"/>
              </w:rPr>
            </w:pPr>
            <w:r>
              <w:rPr>
                <w:noProof/>
                <w:szCs w:val="24"/>
              </w:rPr>
              <w:t xml:space="preserve">The Romanian Civil Procedure Code permits, in joint actions introduced by undertakings, compensation for non-realised profit (lucrum cessans) in addition to the effective damage (damnum energens). It is possible to seek an injunction and compensation in one single action. The injunction is of an interim nature. </w:t>
            </w:r>
          </w:p>
        </w:tc>
      </w:tr>
      <w:tr>
        <w:trPr>
          <w:trHeight w:val="341"/>
        </w:trPr>
        <w:tc>
          <w:tcPr>
            <w:tcW w:w="1457" w:type="dxa"/>
          </w:tcPr>
          <w:p>
            <w:pPr>
              <w:rPr>
                <w:bCs/>
                <w:noProof/>
                <w:szCs w:val="24"/>
              </w:rPr>
            </w:pPr>
            <w:r>
              <w:rPr>
                <w:bCs/>
                <w:noProof/>
                <w:szCs w:val="24"/>
              </w:rPr>
              <w:t>Slovakia</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noProof/>
                <w:szCs w:val="24"/>
              </w:rPr>
            </w:pPr>
            <w:r>
              <w:rPr>
                <w:noProof/>
                <w:szCs w:val="24"/>
              </w:rPr>
              <w:t xml:space="preserve">No comprehensive collective redress regime. </w:t>
            </w:r>
          </w:p>
          <w:p>
            <w:pPr>
              <w:rPr>
                <w:noProof/>
                <w:szCs w:val="24"/>
              </w:rPr>
            </w:pPr>
            <w:r>
              <w:rPr>
                <w:noProof/>
                <w:szCs w:val="24"/>
              </w:rPr>
              <w:t xml:space="preserve">The Code of Civil Procedure (sec. 126 CSP) contains elements of collective protection of rights in the procedure for representative actions. These are contained in the rules for the management of mass judicial claims where at least 10 submissions are addressed to the same court by the same entity during one day to deal with practical problems associated with mass submissions. </w:t>
            </w:r>
          </w:p>
          <w:p>
            <w:pPr>
              <w:rPr>
                <w:noProof/>
                <w:szCs w:val="24"/>
              </w:rPr>
            </w:pPr>
            <w:r>
              <w:rPr>
                <w:noProof/>
                <w:szCs w:val="24"/>
              </w:rPr>
              <w:t xml:space="preserve">Some special legal acts provide for the distinct role of specialised bodes in judicial proceedings (representative entities) authorising them to initiate selected types of procedure. This can be a lead claimant, a lawyer or association, depending on the type of claim. Despite the limitation of standing of such entities, proceedings follow the classical principles and rules of civil contentious proceedings with any special features of distinction. More over some of these proceedings involve a widespread application of lis pendens and res judicata principles. </w:t>
            </w:r>
          </w:p>
          <w:p>
            <w:pPr>
              <w:rPr>
                <w:noProof/>
                <w:szCs w:val="24"/>
              </w:rPr>
            </w:pPr>
            <w:r>
              <w:rPr>
                <w:noProof/>
                <w:szCs w:val="24"/>
              </w:rPr>
              <w:t xml:space="preserve">Only injunctive relief is available through these proceedings, restraining a defendant’s further conduct or the removal of unlawful situations. </w:t>
            </w:r>
          </w:p>
        </w:tc>
      </w:tr>
      <w:tr>
        <w:trPr>
          <w:trHeight w:val="341"/>
        </w:trPr>
        <w:tc>
          <w:tcPr>
            <w:tcW w:w="1457" w:type="dxa"/>
          </w:tcPr>
          <w:p>
            <w:pPr>
              <w:rPr>
                <w:bCs/>
                <w:noProof/>
                <w:szCs w:val="24"/>
              </w:rPr>
            </w:pPr>
            <w:r>
              <w:rPr>
                <w:bCs/>
                <w:noProof/>
                <w:szCs w:val="24"/>
              </w:rPr>
              <w:t>Slovenia</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noProof/>
                <w:szCs w:val="24"/>
              </w:rPr>
            </w:pPr>
            <w:r>
              <w:rPr>
                <w:noProof/>
                <w:szCs w:val="24"/>
              </w:rPr>
              <w:t xml:space="preserve">There is currently no horizontal collective redress mechanism. However, the Civil Procedure Act contains measures regarding the joinder of claims and, as of 2008, a so-called ‘model procedure’.  Although dealing with multi-party litigation, these mechanisms do not allow an action to be brought by a representative claimant, rather they seek to case managed existing claims in a more efficient and economic manner. </w:t>
            </w:r>
          </w:p>
          <w:p>
            <w:pPr>
              <w:ind w:left="4"/>
              <w:rPr>
                <w:rFonts w:eastAsia="Calibri"/>
                <w:noProof/>
                <w:szCs w:val="24"/>
                <w:lang w:eastAsia="de-DE"/>
              </w:rPr>
            </w:pPr>
            <w:r>
              <w:rPr>
                <w:noProof/>
                <w:szCs w:val="24"/>
              </w:rPr>
              <w:t xml:space="preserve">It is expected that a broader mechanism of collective redress shall be established in Slovenia, based on the Commission Recommendation. This Collective Redress Act will enter into force six months after is publication in the Official Gazette (presumably sometime in 2018) and will apply to events of mass damage occurring after its entry into force. The new act is supposed to serve as a basis for collective redress (injunctive and compensatory) in specific civil, commercial and labour law matters. </w:t>
            </w:r>
          </w:p>
        </w:tc>
      </w:tr>
      <w:tr>
        <w:trPr>
          <w:trHeight w:val="341"/>
        </w:trPr>
        <w:tc>
          <w:tcPr>
            <w:tcW w:w="1457" w:type="dxa"/>
          </w:tcPr>
          <w:p>
            <w:pPr>
              <w:rPr>
                <w:bCs/>
                <w:noProof/>
                <w:szCs w:val="24"/>
              </w:rPr>
            </w:pPr>
            <w:r>
              <w:rPr>
                <w:bCs/>
                <w:noProof/>
                <w:szCs w:val="24"/>
              </w:rPr>
              <w:t>Spain</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ind w:left="4"/>
              <w:rPr>
                <w:rFonts w:eastAsia="Calibri"/>
                <w:noProof/>
                <w:szCs w:val="24"/>
              </w:rPr>
            </w:pPr>
            <w:r>
              <w:rPr>
                <w:rFonts w:eastAsia="Calibri"/>
                <w:noProof/>
                <w:szCs w:val="24"/>
              </w:rPr>
              <w:t xml:space="preserve">The Code of Civil Procedure provides some rules on collective redress which are considered to be of general application. However, there is no specific horizontal or general collective redress mechanism. </w:t>
            </w:r>
          </w:p>
          <w:p>
            <w:pPr>
              <w:ind w:left="4"/>
              <w:rPr>
                <w:noProof/>
                <w:szCs w:val="24"/>
              </w:rPr>
            </w:pPr>
            <w:r>
              <w:rPr>
                <w:noProof/>
                <w:szCs w:val="24"/>
              </w:rPr>
              <w:t xml:space="preserve">In addition to specific rules on collective redress, it is possible to join claims of any type which are similar in nature under the regular rules of civil procedure at the discretion of the court. The claims must be identical or connected and arise out of the same facts and it must not be convenient for them to be heard separately. </w:t>
            </w:r>
          </w:p>
        </w:tc>
      </w:tr>
      <w:tr>
        <w:trPr>
          <w:trHeight w:val="341"/>
        </w:trPr>
        <w:tc>
          <w:tcPr>
            <w:tcW w:w="1457" w:type="dxa"/>
          </w:tcPr>
          <w:p>
            <w:pPr>
              <w:rPr>
                <w:bCs/>
                <w:noProof/>
                <w:szCs w:val="24"/>
              </w:rPr>
            </w:pPr>
            <w:r>
              <w:rPr>
                <w:bCs/>
                <w:noProof/>
                <w:szCs w:val="24"/>
              </w:rPr>
              <w:t>Sweden</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spacing w:after="120"/>
              <w:rPr>
                <w:rFonts w:eastAsia="Calibri"/>
                <w:noProof/>
                <w:szCs w:val="24"/>
              </w:rPr>
            </w:pPr>
            <w:r>
              <w:rPr>
                <w:rFonts w:eastAsia="Calibri"/>
                <w:noProof/>
                <w:szCs w:val="24"/>
              </w:rPr>
              <w:t>General mechanism under the Group Proceedings Act. Collective proceedings in all types of civil claims may be brought under this Act. Both compensatory and injunctive relief is available.</w:t>
            </w:r>
          </w:p>
          <w:p>
            <w:pPr>
              <w:spacing w:after="120"/>
              <w:rPr>
                <w:rFonts w:eastAsia="Calibri"/>
                <w:noProof/>
                <w:szCs w:val="24"/>
              </w:rPr>
            </w:pPr>
            <w:r>
              <w:rPr>
                <w:rFonts w:eastAsia="Calibri"/>
                <w:noProof/>
                <w:szCs w:val="24"/>
              </w:rPr>
              <w:t xml:space="preserve">Collective proceedings may be brought by : </w:t>
            </w:r>
          </w:p>
          <w:p>
            <w:pPr>
              <w:pStyle w:val="ListParagraph"/>
              <w:numPr>
                <w:ilvl w:val="0"/>
                <w:numId w:val="142"/>
              </w:numPr>
              <w:spacing w:before="60" w:after="120"/>
              <w:contextualSpacing w:val="0"/>
              <w:rPr>
                <w:noProof/>
                <w:szCs w:val="24"/>
              </w:rPr>
            </w:pPr>
            <w:r>
              <w:rPr>
                <w:noProof/>
                <w:szCs w:val="24"/>
              </w:rPr>
              <w:t xml:space="preserve">An individual member of the affected group,  which can either be a natural or a legal person. </w:t>
            </w:r>
          </w:p>
          <w:p>
            <w:pPr>
              <w:pStyle w:val="ListParagraph"/>
              <w:numPr>
                <w:ilvl w:val="0"/>
                <w:numId w:val="142"/>
              </w:numPr>
              <w:spacing w:before="60" w:after="120"/>
              <w:contextualSpacing w:val="0"/>
              <w:rPr>
                <w:noProof/>
                <w:szCs w:val="24"/>
              </w:rPr>
            </w:pPr>
            <w:r>
              <w:rPr>
                <w:noProof/>
                <w:szCs w:val="24"/>
              </w:rPr>
              <w:t xml:space="preserve">An association of consumers as part of an organisation group action. </w:t>
            </w:r>
          </w:p>
          <w:p>
            <w:pPr>
              <w:pStyle w:val="ListParagraph"/>
              <w:numPr>
                <w:ilvl w:val="0"/>
                <w:numId w:val="142"/>
              </w:numPr>
              <w:spacing w:before="60" w:after="120"/>
              <w:contextualSpacing w:val="0"/>
              <w:rPr>
                <w:noProof/>
                <w:szCs w:val="24"/>
              </w:rPr>
            </w:pPr>
            <w:r>
              <w:rPr>
                <w:noProof/>
                <w:szCs w:val="24"/>
              </w:rPr>
              <w:t xml:space="preserve">A public authority designated by the Government as competent to bring collective proceedings on behalf of the public in certain fields. </w:t>
            </w:r>
          </w:p>
          <w:p>
            <w:pPr>
              <w:rPr>
                <w:noProof/>
                <w:szCs w:val="24"/>
              </w:rPr>
            </w:pPr>
            <w:r>
              <w:rPr>
                <w:noProof/>
                <w:szCs w:val="24"/>
              </w:rPr>
              <w:t xml:space="preserve">Following an application by a prospective claimant, the Court will consider the commonality of the claims between members, whether the group is suitably identifiable and well defined and whether there is a clear advantage in bringing a group claim rather than the group members bringing separate individual actions. </w:t>
            </w:r>
          </w:p>
        </w:tc>
      </w:tr>
      <w:tr>
        <w:trPr>
          <w:trHeight w:val="341"/>
        </w:trPr>
        <w:tc>
          <w:tcPr>
            <w:tcW w:w="1457" w:type="dxa"/>
          </w:tcPr>
          <w:p>
            <w:pPr>
              <w:rPr>
                <w:bCs/>
                <w:noProof/>
                <w:szCs w:val="24"/>
              </w:rPr>
            </w:pPr>
            <w:r>
              <w:rPr>
                <w:bCs/>
                <w:noProof/>
                <w:szCs w:val="24"/>
              </w:rPr>
              <w:t>The United Kingdom</w:t>
            </w:r>
          </w:p>
        </w:tc>
        <w:tc>
          <w:tcPr>
            <w:tcW w:w="3754" w:type="dxa"/>
            <w:shd w:val="clear" w:color="auto" w:fill="DBE5F1" w:themeFill="accent1" w:themeFillTint="33"/>
          </w:tcPr>
          <w:p>
            <w:pPr>
              <w:rPr>
                <w:noProof/>
                <w:szCs w:val="24"/>
              </w:rPr>
            </w:pPr>
            <w:r>
              <w:rPr>
                <w:noProof/>
                <w:szCs w:val="24"/>
                <w:lang w:eastAsia="de-DE"/>
              </w:rPr>
              <w:t>Possibility exists under national law, but the role of representative organisations is strictly limited to asking the court to grant an injunction against contractual terms drawn up for general use on the ground they are grossly unfair.</w:t>
            </w:r>
          </w:p>
        </w:tc>
        <w:tc>
          <w:tcPr>
            <w:tcW w:w="5103" w:type="dxa"/>
          </w:tcPr>
          <w:p>
            <w:pPr>
              <w:rPr>
                <w:noProof/>
                <w:szCs w:val="24"/>
              </w:rPr>
            </w:pPr>
            <w:r>
              <w:rPr>
                <w:noProof/>
                <w:szCs w:val="24"/>
              </w:rPr>
              <w:t xml:space="preserve">Both general and sector specific collective redress mechanisms exist. Group Litigation Orders and representative proceedings can be used in all type of claims. </w:t>
            </w:r>
          </w:p>
          <w:p>
            <w:pPr>
              <w:rPr>
                <w:noProof/>
                <w:szCs w:val="24"/>
              </w:rPr>
            </w:pPr>
            <w:r>
              <w:rPr>
                <w:noProof/>
                <w:szCs w:val="24"/>
              </w:rPr>
              <w:t xml:space="preserve">Group Litigation Orders can be used in all types of claims and allows the court to group together cases which raise one or more common issues. There is no formal requirement for standing under the general collective redress mechanisms, it is enough for the claimants to have normal legal capacity. Under the Civil Procedure Rules, a representative claimant is required to have the same interest in the claim as those represented. Ultimately, whether or not a party may act as a representative is at the discretion of the court. </w:t>
            </w:r>
          </w:p>
        </w:tc>
      </w:tr>
    </w:tbl>
    <w:p>
      <w:pPr>
        <w:rPr>
          <w:b/>
          <w:bCs/>
          <w:noProof/>
          <w:szCs w:val="24"/>
        </w:rPr>
      </w:pPr>
    </w:p>
    <w:p>
      <w:pPr>
        <w:pStyle w:val="Heading1"/>
        <w:numPr>
          <w:ilvl w:val="0"/>
          <w:numId w:val="12"/>
        </w:numPr>
        <w:rPr>
          <w:noProof/>
        </w:rPr>
      </w:pPr>
      <w:bookmarkStart w:id="2234" w:name="_Toc511220560"/>
      <w:bookmarkStart w:id="2235" w:name="_Toc511220561"/>
      <w:bookmarkStart w:id="2236" w:name="_Toc511235006"/>
      <w:bookmarkStart w:id="2237" w:name="_Toc511292919"/>
      <w:bookmarkEnd w:id="2234"/>
      <w:r>
        <w:rPr>
          <w:noProof/>
        </w:rPr>
        <w:t>Overview of option elements to address the individual problems</w:t>
      </w:r>
      <w:bookmarkEnd w:id="2235"/>
      <w:bookmarkEnd w:id="2236"/>
      <w:bookmarkEnd w:id="2237"/>
    </w:p>
    <w:p>
      <w:pPr>
        <w:pStyle w:val="Text2"/>
        <w:ind w:left="0"/>
        <w:rPr>
          <w:noProof/>
        </w:rPr>
      </w:pPr>
      <w:r>
        <w:rPr>
          <w:noProof/>
        </w:rPr>
        <w:t xml:space="preserve">This Section provides an overview of the option elements available to address the specific problems identified in the problem analysis. For each specific problem a set of option elements is available. Table 1 lists option elements available to address each particular potentially harmful trading practice, while Table 2 focuses on the option elements available to address the lack of effective redress. </w:t>
      </w:r>
    </w:p>
    <w:p>
      <w:pPr>
        <w:pStyle w:val="Text2"/>
        <w:ind w:left="0"/>
        <w:rPr>
          <w:noProof/>
          <w:sz w:val="20"/>
        </w:rPr>
      </w:pPr>
      <w:bookmarkStart w:id="2238" w:name="_Toc507167074"/>
      <w:bookmarkStart w:id="2239" w:name="_Toc507168067"/>
      <w:bookmarkStart w:id="2240" w:name="_Toc507167075"/>
      <w:bookmarkStart w:id="2241" w:name="_Toc508297445"/>
      <w:bookmarkStart w:id="2242" w:name="_Toc508350207"/>
      <w:bookmarkStart w:id="2243" w:name="_Toc508351647"/>
      <w:bookmarkStart w:id="2244" w:name="_Toc508360061"/>
      <w:bookmarkEnd w:id="2238"/>
      <w:bookmarkEnd w:id="2239"/>
      <w:r>
        <w:rPr>
          <w:b/>
          <w:noProof/>
          <w:sz w:val="20"/>
        </w:rPr>
        <w:t>Table 1: Option elements</w:t>
      </w:r>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40"/>
      <w:bookmarkEnd w:id="2241"/>
      <w:bookmarkEnd w:id="2242"/>
      <w:bookmarkEnd w:id="2243"/>
      <w:bookmarkEnd w:id="2244"/>
      <w:r>
        <w:rPr>
          <w:b/>
          <w:noProof/>
          <w:sz w:val="20"/>
        </w:rPr>
        <w:t xml:space="preserve"> addressing the specific potentially harmful trading practices</w:t>
      </w:r>
      <w:r>
        <w:rPr>
          <w:noProof/>
          <w:sz w:val="20"/>
        </w:rPr>
        <w:t xml:space="preserve">. Option elements discarded at an earlier stage of the Initiative are highlighted in a darker shade. </w:t>
      </w:r>
    </w:p>
    <w:tbl>
      <w:tblPr>
        <w:tblStyle w:val="MediumGrid3-Accent5"/>
        <w:tblW w:w="9180" w:type="dxa"/>
        <w:tblLook w:val="04A0" w:firstRow="1" w:lastRow="0" w:firstColumn="1" w:lastColumn="0" w:noHBand="0" w:noVBand="1"/>
      </w:tblPr>
      <w:tblGrid>
        <w:gridCol w:w="1717"/>
        <w:gridCol w:w="1793"/>
        <w:gridCol w:w="5670"/>
      </w:tblGrid>
      <w:tr>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717" w:type="dxa"/>
            <w:shd w:val="clear" w:color="auto" w:fill="4F81BD" w:themeFill="accent1"/>
            <w:vAlign w:val="center"/>
          </w:tcPr>
          <w:p>
            <w:pPr>
              <w:spacing w:after="0"/>
              <w:jc w:val="center"/>
              <w:rPr>
                <w:b w:val="0"/>
                <w:noProof/>
                <w:sz w:val="18"/>
                <w:u w:val="single"/>
              </w:rPr>
            </w:pPr>
            <w:r>
              <w:rPr>
                <w:noProof/>
                <w:sz w:val="18"/>
                <w:u w:val="single"/>
              </w:rPr>
              <w:t>Potentially harmful trading practice</w:t>
            </w:r>
          </w:p>
        </w:tc>
        <w:tc>
          <w:tcPr>
            <w:tcW w:w="1793" w:type="dxa"/>
            <w:shd w:val="clear" w:color="auto" w:fill="4F81BD"/>
            <w:vAlign w:val="center"/>
          </w:tcPr>
          <w:p>
            <w:pPr>
              <w:spacing w:after="0"/>
              <w:jc w:val="center"/>
              <w:cnfStyle w:val="100000000000" w:firstRow="1" w:lastRow="0" w:firstColumn="0" w:lastColumn="0" w:oddVBand="0" w:evenVBand="0" w:oddHBand="0" w:evenHBand="0" w:firstRowFirstColumn="0" w:firstRowLastColumn="0" w:lastRowFirstColumn="0" w:lastRowLastColumn="0"/>
              <w:rPr>
                <w:b w:val="0"/>
                <w:noProof/>
                <w:sz w:val="18"/>
                <w:u w:val="single"/>
              </w:rPr>
            </w:pPr>
            <w:r>
              <w:rPr>
                <w:noProof/>
                <w:sz w:val="18"/>
                <w:u w:val="single"/>
              </w:rPr>
              <w:t>Option elements</w:t>
            </w:r>
          </w:p>
        </w:tc>
        <w:tc>
          <w:tcPr>
            <w:tcW w:w="5670" w:type="dxa"/>
            <w:shd w:val="clear" w:color="auto" w:fill="4F81BD" w:themeFill="accent1"/>
            <w:vAlign w:val="center"/>
          </w:tcPr>
          <w:p>
            <w:pPr>
              <w:spacing w:after="0"/>
              <w:jc w:val="center"/>
              <w:cnfStyle w:val="100000000000" w:firstRow="1" w:lastRow="0" w:firstColumn="0" w:lastColumn="0" w:oddVBand="0" w:evenVBand="0" w:oddHBand="0" w:evenHBand="0" w:firstRowFirstColumn="0" w:firstRowLastColumn="0" w:lastRowFirstColumn="0" w:lastRowLastColumn="0"/>
              <w:rPr>
                <w:b w:val="0"/>
                <w:noProof/>
                <w:sz w:val="18"/>
                <w:u w:val="single"/>
              </w:rPr>
            </w:pPr>
            <w:r>
              <w:rPr>
                <w:noProof/>
                <w:sz w:val="18"/>
                <w:u w:val="single"/>
              </w:rPr>
              <w:t>What would the option elements entail?</w:t>
            </w:r>
          </w:p>
        </w:tc>
      </w:tr>
      <w:tr>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1717" w:type="dxa"/>
            <w:vMerge w:val="restart"/>
            <w:shd w:val="clear" w:color="auto" w:fill="4F81BD"/>
            <w:vAlign w:val="center"/>
          </w:tcPr>
          <w:p>
            <w:pPr>
              <w:pStyle w:val="ListParagraph"/>
              <w:tabs>
                <w:tab w:val="left" w:pos="175"/>
              </w:tabs>
              <w:ind w:left="0"/>
              <w:jc w:val="left"/>
              <w:rPr>
                <w:b w:val="0"/>
                <w:noProof/>
                <w:sz w:val="18"/>
              </w:rPr>
            </w:pPr>
            <w:r>
              <w:rPr>
                <w:b w:val="0"/>
                <w:noProof/>
                <w:sz w:val="18"/>
              </w:rPr>
              <w:t>Sudden, unilateral changes to terms and conditions</w:t>
            </w:r>
          </w:p>
        </w:tc>
        <w:tc>
          <w:tcPr>
            <w:tcW w:w="1793" w:type="dxa"/>
            <w:shd w:val="clear" w:color="auto" w:fill="D9D9D9" w:themeFill="background1" w:themeFillShade="D9"/>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Transparency </w:t>
            </w:r>
          </w:p>
        </w:tc>
        <w:tc>
          <w:tcPr>
            <w:tcW w:w="5670" w:type="dxa"/>
            <w:shd w:val="clear" w:color="auto" w:fill="D9D9D9" w:themeFill="background1" w:themeFillShade="D9"/>
          </w:tcPr>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Platforms to inform business users of significant changes to terms and conditions in clear, layman language and to grant them a minimum notice or grace period for the introduction of changes. This option would be without prejudice to overriding reasons of public interest (e.g. security).</w:t>
            </w:r>
          </w:p>
        </w:tc>
      </w:tr>
      <w:tr>
        <w:trPr>
          <w:trHeight w:val="85"/>
        </w:trPr>
        <w:tc>
          <w:tcPr>
            <w:cnfStyle w:val="001000000000" w:firstRow="0" w:lastRow="0" w:firstColumn="1" w:lastColumn="0" w:oddVBand="0" w:evenVBand="0" w:oddHBand="0" w:evenHBand="0" w:firstRowFirstColumn="0" w:firstRowLastColumn="0" w:lastRowFirstColumn="0" w:lastRowLastColumn="0"/>
            <w:tcW w:w="1717" w:type="dxa"/>
            <w:vMerge/>
            <w:tcBorders>
              <w:left w:val="none" w:sz="0" w:space="0" w:color="auto"/>
              <w:bottom w:val="none" w:sz="0" w:space="0" w:color="auto"/>
              <w:right w:val="none" w:sz="0" w:space="0" w:color="auto"/>
            </w:tcBorders>
            <w:shd w:val="clear" w:color="auto" w:fill="D9D9D9" w:themeFill="background1" w:themeFillShade="D9"/>
            <w:vAlign w:val="center"/>
          </w:tcPr>
          <w:p>
            <w:pPr>
              <w:pStyle w:val="ListParagraph"/>
              <w:tabs>
                <w:tab w:val="left" w:pos="175"/>
              </w:tabs>
              <w:ind w:left="0"/>
              <w:jc w:val="left"/>
              <w:rPr>
                <w:b w:val="0"/>
                <w:noProof/>
                <w:sz w:val="18"/>
              </w:rPr>
            </w:pPr>
          </w:p>
        </w:tc>
        <w:tc>
          <w:tcPr>
            <w:tcW w:w="1793" w:type="dxa"/>
            <w:shd w:val="clear" w:color="auto" w:fill="A6A6A6" w:themeFill="background1" w:themeFillShade="A6"/>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Fixed, mandatory notice periods</w:t>
            </w:r>
          </w:p>
        </w:tc>
        <w:tc>
          <w:tcPr>
            <w:tcW w:w="5670" w:type="dxa"/>
            <w:shd w:val="clear" w:color="auto" w:fill="A6A6A6" w:themeFill="background1" w:themeFillShade="A6"/>
          </w:tcPr>
          <w:p>
            <w:pPr>
              <w:spacing w:after="0"/>
              <w:contextualSpacing/>
              <w:jc w:val="left"/>
              <w:cnfStyle w:val="000000000000" w:firstRow="0" w:lastRow="0" w:firstColumn="0" w:lastColumn="0" w:oddVBand="0" w:evenVBand="0" w:oddHBand="0" w:evenHBand="0" w:firstRowFirstColumn="0" w:firstRowLastColumn="0" w:lastRowFirstColumn="0" w:lastRowLastColumn="0"/>
              <w:rPr>
                <w:i/>
                <w:noProof/>
                <w:sz w:val="18"/>
              </w:rPr>
            </w:pPr>
            <w:r>
              <w:rPr>
                <w:noProof/>
                <w:sz w:val="18"/>
              </w:rPr>
              <w:t>Imposition of fixed, mandatory notice periods for changes of Terms and Conditions</w:t>
            </w:r>
          </w:p>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i/>
                <w:noProof/>
                <w:sz w:val="18"/>
              </w:rPr>
              <w:t xml:space="preserve">This option is discarded as an inappropriate 'one-size fits all' approach unsuitable to the diversity of different platform business models, which could imply unpredictable burdens on the side of platforms. </w:t>
            </w:r>
          </w:p>
        </w:tc>
      </w:tr>
      <w:tr>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717" w:type="dxa"/>
            <w:vMerge w:val="restart"/>
            <w:shd w:val="clear" w:color="auto" w:fill="4F81BD"/>
            <w:vAlign w:val="center"/>
          </w:tcPr>
          <w:p>
            <w:pPr>
              <w:pStyle w:val="ListParagraph"/>
              <w:tabs>
                <w:tab w:val="left" w:pos="175"/>
              </w:tabs>
              <w:ind w:left="0"/>
              <w:jc w:val="left"/>
              <w:rPr>
                <w:b w:val="0"/>
                <w:noProof/>
                <w:sz w:val="18"/>
              </w:rPr>
            </w:pPr>
            <w:r>
              <w:rPr>
                <w:b w:val="0"/>
                <w:noProof/>
                <w:sz w:val="18"/>
              </w:rPr>
              <w:t>Delisting/suspension</w:t>
            </w:r>
          </w:p>
        </w:tc>
        <w:tc>
          <w:tcPr>
            <w:tcW w:w="1793" w:type="dxa"/>
            <w:shd w:val="clear" w:color="auto" w:fill="D9D9D9" w:themeFill="background1" w:themeFillShade="D9"/>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Transparency </w:t>
            </w:r>
          </w:p>
        </w:tc>
        <w:tc>
          <w:tcPr>
            <w:tcW w:w="5670" w:type="dxa"/>
            <w:shd w:val="clear" w:color="auto" w:fill="D9D9D9" w:themeFill="background1" w:themeFillShade="D9"/>
          </w:tcPr>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Online platforms to state clear reasons for suspending or delisting their trader users' accounts or services/products – except for overriding reasons of public security.</w:t>
            </w:r>
          </w:p>
        </w:tc>
      </w:tr>
      <w:tr>
        <w:trPr>
          <w:trHeight w:val="85"/>
        </w:trPr>
        <w:tc>
          <w:tcPr>
            <w:cnfStyle w:val="001000000000" w:firstRow="0" w:lastRow="0" w:firstColumn="1" w:lastColumn="0" w:oddVBand="0" w:evenVBand="0" w:oddHBand="0" w:evenHBand="0" w:firstRowFirstColumn="0" w:firstRowLastColumn="0" w:lastRowFirstColumn="0" w:lastRowLastColumn="0"/>
            <w:tcW w:w="1717" w:type="dxa"/>
            <w:vMerge/>
            <w:tcBorders>
              <w:left w:val="none" w:sz="0" w:space="0" w:color="auto"/>
              <w:bottom w:val="none" w:sz="0" w:space="0" w:color="auto"/>
              <w:right w:val="none" w:sz="0" w:space="0" w:color="auto"/>
            </w:tcBorders>
            <w:shd w:val="clear" w:color="auto" w:fill="D9D9D9" w:themeFill="background1" w:themeFillShade="D9"/>
            <w:vAlign w:val="center"/>
          </w:tcPr>
          <w:p>
            <w:pPr>
              <w:pStyle w:val="ListParagraph"/>
              <w:tabs>
                <w:tab w:val="left" w:pos="175"/>
              </w:tabs>
              <w:ind w:left="0"/>
              <w:jc w:val="left"/>
              <w:rPr>
                <w:b w:val="0"/>
                <w:noProof/>
                <w:sz w:val="18"/>
              </w:rPr>
            </w:pPr>
          </w:p>
        </w:tc>
        <w:tc>
          <w:tcPr>
            <w:tcW w:w="1793" w:type="dxa"/>
            <w:shd w:val="clear" w:color="auto" w:fill="A6A6A6" w:themeFill="background1" w:themeFillShade="A6"/>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Regulating the reasons for delisting/ termination</w:t>
            </w:r>
          </w:p>
        </w:tc>
        <w:tc>
          <w:tcPr>
            <w:tcW w:w="5670" w:type="dxa"/>
            <w:shd w:val="clear" w:color="auto" w:fill="A6A6A6" w:themeFill="background1" w:themeFillShade="A6"/>
          </w:tcPr>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Establishing a list of permitted or forbidden reasons for delisting/suspension.</w:t>
            </w:r>
          </w:p>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i/>
                <w:noProof/>
                <w:sz w:val="18"/>
              </w:rPr>
              <w:t>This option is discarded as it would be burdensome, is not future-proof and could be circumvented by stipulating 'false' reasons.</w:t>
            </w:r>
          </w:p>
        </w:tc>
      </w:tr>
      <w:tr>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717" w:type="dxa"/>
            <w:vMerge w:val="restart"/>
            <w:shd w:val="clear" w:color="auto" w:fill="4F81BD"/>
            <w:vAlign w:val="center"/>
          </w:tcPr>
          <w:p>
            <w:pPr>
              <w:spacing w:after="0"/>
              <w:contextualSpacing/>
              <w:jc w:val="left"/>
              <w:rPr>
                <w:bCs w:val="0"/>
                <w:noProof/>
                <w:sz w:val="18"/>
              </w:rPr>
            </w:pPr>
          </w:p>
          <w:p>
            <w:pPr>
              <w:spacing w:after="0"/>
              <w:contextualSpacing/>
              <w:jc w:val="left"/>
              <w:rPr>
                <w:bCs w:val="0"/>
                <w:noProof/>
                <w:sz w:val="18"/>
              </w:rPr>
            </w:pPr>
          </w:p>
          <w:p>
            <w:pPr>
              <w:spacing w:after="0"/>
              <w:contextualSpacing/>
              <w:jc w:val="left"/>
              <w:rPr>
                <w:b w:val="0"/>
                <w:noProof/>
                <w:sz w:val="18"/>
              </w:rPr>
            </w:pPr>
            <w:r>
              <w:rPr>
                <w:b w:val="0"/>
                <w:noProof/>
                <w:sz w:val="18"/>
              </w:rPr>
              <w:t>Ranking</w:t>
            </w:r>
          </w:p>
        </w:tc>
        <w:tc>
          <w:tcPr>
            <w:tcW w:w="1793" w:type="dxa"/>
            <w:shd w:val="clear" w:color="auto" w:fill="D9D9D9" w:themeFill="background1" w:themeFillShade="D9"/>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Industry standards and trust marks</w:t>
            </w:r>
          </w:p>
        </w:tc>
        <w:tc>
          <w:tcPr>
            <w:tcW w:w="5670" w:type="dxa"/>
            <w:shd w:val="clear" w:color="auto" w:fill="D9D9D9" w:themeFill="background1" w:themeFillShade="D9"/>
          </w:tcPr>
          <w:p>
            <w:pPr>
              <w:contextualSpacing/>
              <w:jc w:val="left"/>
              <w:cnfStyle w:val="000000100000" w:firstRow="0" w:lastRow="0" w:firstColumn="0" w:lastColumn="0" w:oddVBand="0" w:evenVBand="0" w:oddHBand="1" w:evenHBand="0" w:firstRowFirstColumn="0" w:firstRowLastColumn="0" w:lastRowFirstColumn="0" w:lastRowLastColumn="0"/>
              <w:rPr>
                <w:b/>
                <w:bCs/>
                <w:noProof/>
                <w:sz w:val="18"/>
              </w:rPr>
            </w:pPr>
            <w:r>
              <w:rPr>
                <w:noProof/>
                <w:sz w:val="18"/>
              </w:rPr>
              <w:t xml:space="preserve">Stakeholder group to share best practices on natural and paid-for ranking functionalities. Encourage the development of industry standards for trusted ranking, trust marks and auditing. </w:t>
            </w:r>
          </w:p>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p>
        </w:tc>
      </w:tr>
      <w:tr>
        <w:trPr>
          <w:trHeight w:val="1275"/>
        </w:trPr>
        <w:tc>
          <w:tcPr>
            <w:cnfStyle w:val="001000000000" w:firstRow="0" w:lastRow="0" w:firstColumn="1" w:lastColumn="0" w:oddVBand="0" w:evenVBand="0" w:oddHBand="0" w:evenHBand="0" w:firstRowFirstColumn="0" w:firstRowLastColumn="0" w:lastRowFirstColumn="0" w:lastRowLastColumn="0"/>
            <w:tcW w:w="1717" w:type="dxa"/>
            <w:vMerge/>
            <w:shd w:val="clear" w:color="auto" w:fill="4F81BD"/>
            <w:vAlign w:val="center"/>
          </w:tcPr>
          <w:p>
            <w:pPr>
              <w:spacing w:after="0"/>
              <w:contextualSpacing/>
              <w:jc w:val="left"/>
              <w:rPr>
                <w:b w:val="0"/>
                <w:noProof/>
                <w:sz w:val="18"/>
              </w:rPr>
            </w:pPr>
          </w:p>
        </w:tc>
        <w:tc>
          <w:tcPr>
            <w:tcW w:w="1793" w:type="dxa"/>
            <w:shd w:val="clear" w:color="auto" w:fill="D9D9D9" w:themeFill="background1" w:themeFillShade="D9"/>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Disclosure of the general criteria for ranking traders,  on the platform</w:t>
            </w:r>
          </w:p>
        </w:tc>
        <w:tc>
          <w:tcPr>
            <w:tcW w:w="5670" w:type="dxa"/>
            <w:shd w:val="clear" w:color="auto" w:fill="D9D9D9" w:themeFill="background1" w:themeFillShade="D9"/>
          </w:tcPr>
          <w:p>
            <w:pPr>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Online platforms would explain in their contractual terms and conditions the high-level criteria for natural and paid-for ranking mechanism on the platforms, with due safeguards to trade secrets.</w:t>
            </w:r>
          </w:p>
        </w:tc>
      </w:tr>
      <w:tr>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717" w:type="dxa"/>
            <w:vMerge/>
            <w:shd w:val="clear" w:color="auto" w:fill="4F81BD"/>
            <w:vAlign w:val="center"/>
          </w:tcPr>
          <w:p>
            <w:pPr>
              <w:spacing w:after="0"/>
              <w:contextualSpacing/>
              <w:jc w:val="left"/>
              <w:rPr>
                <w:b w:val="0"/>
                <w:noProof/>
                <w:sz w:val="18"/>
              </w:rPr>
            </w:pPr>
          </w:p>
        </w:tc>
        <w:tc>
          <w:tcPr>
            <w:tcW w:w="1793" w:type="dxa"/>
            <w:shd w:val="clear" w:color="auto" w:fill="D9D9D9" w:themeFill="background1" w:themeFillShade="D9"/>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Paid-for-ranking transparency in relation to general conditions and expected effects of </w:t>
            </w:r>
          </w:p>
        </w:tc>
        <w:tc>
          <w:tcPr>
            <w:tcW w:w="5670" w:type="dxa"/>
            <w:shd w:val="clear" w:color="auto" w:fill="D9D9D9" w:themeFill="background1" w:themeFillShade="D9"/>
          </w:tcPr>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Online platforms would make transparent the general conditions and expected effects of paid-for-ranking for the business users contracting to use the service.</w:t>
            </w:r>
          </w:p>
        </w:tc>
      </w:tr>
      <w:tr>
        <w:trPr>
          <w:trHeight w:val="40"/>
        </w:trPr>
        <w:tc>
          <w:tcPr>
            <w:cnfStyle w:val="001000000000" w:firstRow="0" w:lastRow="0" w:firstColumn="1" w:lastColumn="0" w:oddVBand="0" w:evenVBand="0" w:oddHBand="0" w:evenHBand="0" w:firstRowFirstColumn="0" w:firstRowLastColumn="0" w:lastRowFirstColumn="0" w:lastRowLastColumn="0"/>
            <w:tcW w:w="1717" w:type="dxa"/>
            <w:vMerge/>
            <w:tcBorders>
              <w:bottom w:val="single" w:sz="8" w:space="0" w:color="FFFFFF" w:themeColor="background1"/>
            </w:tcBorders>
            <w:shd w:val="clear" w:color="auto" w:fill="D9D9D9" w:themeFill="background1" w:themeFillShade="D9"/>
            <w:vAlign w:val="center"/>
          </w:tcPr>
          <w:p>
            <w:pPr>
              <w:spacing w:after="0"/>
              <w:contextualSpacing/>
              <w:jc w:val="left"/>
              <w:rPr>
                <w:b w:val="0"/>
                <w:noProof/>
                <w:sz w:val="18"/>
              </w:rPr>
            </w:pPr>
          </w:p>
        </w:tc>
        <w:tc>
          <w:tcPr>
            <w:tcW w:w="1793" w:type="dxa"/>
            <w:shd w:val="clear" w:color="auto" w:fill="A6A6A6" w:themeFill="background1" w:themeFillShade="A6"/>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Transparency of the ranking algorithm</w:t>
            </w:r>
          </w:p>
        </w:tc>
        <w:tc>
          <w:tcPr>
            <w:tcW w:w="5670" w:type="dxa"/>
            <w:shd w:val="clear" w:color="auto" w:fill="A6A6A6" w:themeFill="background1" w:themeFillShade="A6"/>
          </w:tcPr>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Requirement for platforms to disclose to their business users the algorithms used and changes to them.</w:t>
            </w:r>
          </w:p>
          <w:p>
            <w:pPr>
              <w:spacing w:after="0"/>
              <w:contextualSpacing/>
              <w:jc w:val="left"/>
              <w:cnfStyle w:val="000000000000" w:firstRow="0" w:lastRow="0" w:firstColumn="0" w:lastColumn="0" w:oddVBand="0" w:evenVBand="0" w:oddHBand="0" w:evenHBand="0" w:firstRowFirstColumn="0" w:firstRowLastColumn="0" w:lastRowFirstColumn="0" w:lastRowLastColumn="0"/>
              <w:rPr>
                <w:i/>
                <w:noProof/>
                <w:sz w:val="18"/>
              </w:rPr>
            </w:pPr>
            <w:r>
              <w:rPr>
                <w:i/>
                <w:noProof/>
                <w:sz w:val="18"/>
              </w:rPr>
              <w:t>This option is discarded as it would generally interfere with trade secrets and make the functioning of the ranking algorithm vulnerable to interference. It would not effectively address the problem faced by the business users.</w:t>
            </w:r>
            <w:r>
              <w:rPr>
                <w:rStyle w:val="FootnoteReference"/>
                <w:i/>
                <w:noProof/>
                <w:sz w:val="18"/>
              </w:rPr>
              <w:footnoteReference w:id="158"/>
            </w:r>
          </w:p>
        </w:tc>
      </w:tr>
      <w:tr>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717" w:type="dxa"/>
            <w:vMerge w:val="restart"/>
            <w:shd w:val="clear" w:color="auto" w:fill="4F81BD"/>
            <w:vAlign w:val="center"/>
          </w:tcPr>
          <w:p>
            <w:pPr>
              <w:spacing w:after="0"/>
              <w:contextualSpacing/>
              <w:jc w:val="left"/>
              <w:rPr>
                <w:b w:val="0"/>
                <w:noProof/>
                <w:sz w:val="18"/>
              </w:rPr>
            </w:pPr>
            <w:r>
              <w:rPr>
                <w:b w:val="0"/>
                <w:noProof/>
                <w:sz w:val="18"/>
              </w:rPr>
              <w:t>Data</w:t>
            </w:r>
          </w:p>
        </w:tc>
        <w:tc>
          <w:tcPr>
            <w:tcW w:w="1793" w:type="dxa"/>
            <w:tcBorders>
              <w:top w:val="single" w:sz="4" w:space="0" w:color="auto"/>
            </w:tcBorders>
            <w:shd w:val="clear" w:color="auto" w:fill="D9D9D9" w:themeFill="background1" w:themeFillShade="D9"/>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Monitoring of development of data-related issues in the platform-to-business relation</w:t>
            </w:r>
          </w:p>
        </w:tc>
        <w:tc>
          <w:tcPr>
            <w:tcW w:w="5670" w:type="dxa"/>
            <w:shd w:val="clear" w:color="auto" w:fill="D9D9D9" w:themeFill="background1" w:themeFillShade="D9"/>
          </w:tcPr>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An EU Observatory of the Digital Platform Economy ('EU Observatory') set up through an expert group would have as part of its mandate to monitor the evolution and emergence of issues related to data access and use by both platforms and their business users. </w:t>
            </w:r>
          </w:p>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This would include sharing of both non-personal and personal data, e.g. e-mail addresses, with business users, and to what extent business users request access to such data in full compliance with the GDPR.</w:t>
            </w:r>
          </w:p>
        </w:tc>
      </w:tr>
      <w:tr>
        <w:trPr>
          <w:trHeight w:val="40"/>
        </w:trPr>
        <w:tc>
          <w:tcPr>
            <w:cnfStyle w:val="001000000000" w:firstRow="0" w:lastRow="0" w:firstColumn="1" w:lastColumn="0" w:oddVBand="0" w:evenVBand="0" w:oddHBand="0" w:evenHBand="0" w:firstRowFirstColumn="0" w:firstRowLastColumn="0" w:lastRowFirstColumn="0" w:lastRowLastColumn="0"/>
            <w:tcW w:w="1717" w:type="dxa"/>
            <w:vMerge/>
            <w:shd w:val="clear" w:color="auto" w:fill="4F81BD"/>
            <w:vAlign w:val="center"/>
          </w:tcPr>
          <w:p>
            <w:pPr>
              <w:spacing w:after="0"/>
              <w:contextualSpacing/>
              <w:jc w:val="left"/>
              <w:rPr>
                <w:b w:val="0"/>
                <w:noProof/>
                <w:sz w:val="18"/>
              </w:rPr>
            </w:pPr>
          </w:p>
        </w:tc>
        <w:tc>
          <w:tcPr>
            <w:tcW w:w="1793" w:type="dxa"/>
            <w:tcBorders>
              <w:top w:val="single" w:sz="4" w:space="0" w:color="auto"/>
            </w:tcBorders>
            <w:shd w:val="clear" w:color="auto" w:fill="D9D9D9" w:themeFill="background1" w:themeFillShade="D9"/>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Supporting measures would encourage industry sharing, access and use of non-personal data</w:t>
            </w:r>
          </w:p>
        </w:tc>
        <w:tc>
          <w:tcPr>
            <w:tcW w:w="5670" w:type="dxa"/>
            <w:shd w:val="clear" w:color="auto" w:fill="D9D9D9" w:themeFill="background1" w:themeFillShade="D9"/>
          </w:tcPr>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 xml:space="preserve">This would be part of a wider Commission initiative on the data economy in 2018. It would include a series of complementary measures that would encourage fair policies of non-personal data sharing, e.g. by guidelines, provide technical support, e.g. by establishing data support body and spread good practices in the industry. </w:t>
            </w:r>
          </w:p>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p>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The process and effectiveness of the measures would inform the monitoring mandate of the EU Observatory.</w:t>
            </w:r>
          </w:p>
        </w:tc>
      </w:tr>
      <w:tr>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717" w:type="dxa"/>
            <w:vMerge/>
            <w:shd w:val="clear" w:color="auto" w:fill="4F81BD"/>
            <w:vAlign w:val="center"/>
          </w:tcPr>
          <w:p>
            <w:pPr>
              <w:spacing w:after="0"/>
              <w:contextualSpacing/>
              <w:jc w:val="left"/>
              <w:rPr>
                <w:b w:val="0"/>
                <w:noProof/>
                <w:sz w:val="18"/>
              </w:rPr>
            </w:pPr>
          </w:p>
        </w:tc>
        <w:tc>
          <w:tcPr>
            <w:tcW w:w="1793" w:type="dxa"/>
            <w:tcBorders>
              <w:top w:val="single" w:sz="4" w:space="0" w:color="auto"/>
            </w:tcBorders>
            <w:shd w:val="clear" w:color="auto" w:fill="D9D9D9" w:themeFill="background1" w:themeFillShade="D9"/>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Transparency of platforms' data policy</w:t>
            </w:r>
          </w:p>
        </w:tc>
        <w:tc>
          <w:tcPr>
            <w:tcW w:w="5670" w:type="dxa"/>
            <w:shd w:val="clear" w:color="auto" w:fill="D9D9D9" w:themeFill="background1" w:themeFillShade="D9"/>
          </w:tcPr>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Platforms to provide business users with a clear, accessible explanation of the platforms' data access and use policy in their terms and conditions.</w:t>
            </w:r>
          </w:p>
        </w:tc>
      </w:tr>
      <w:tr>
        <w:trPr>
          <w:trHeight w:val="40"/>
        </w:trPr>
        <w:tc>
          <w:tcPr>
            <w:cnfStyle w:val="001000000000" w:firstRow="0" w:lastRow="0" w:firstColumn="1" w:lastColumn="0" w:oddVBand="0" w:evenVBand="0" w:oddHBand="0" w:evenHBand="0" w:firstRowFirstColumn="0" w:firstRowLastColumn="0" w:lastRowFirstColumn="0" w:lastRowLastColumn="0"/>
            <w:tcW w:w="1717" w:type="dxa"/>
            <w:vMerge/>
            <w:tcBorders>
              <w:bottom w:val="single" w:sz="8" w:space="0" w:color="FFFFFF" w:themeColor="background1"/>
              <w:right w:val="single" w:sz="8" w:space="0" w:color="FFFFFF" w:themeColor="background1"/>
            </w:tcBorders>
            <w:shd w:val="clear" w:color="auto" w:fill="D9D9D9" w:themeFill="background1" w:themeFillShade="D9"/>
            <w:vAlign w:val="center"/>
          </w:tcPr>
          <w:p>
            <w:pPr>
              <w:spacing w:after="0"/>
              <w:contextualSpacing/>
              <w:jc w:val="left"/>
              <w:rPr>
                <w:b w:val="0"/>
                <w:noProof/>
                <w:sz w:val="18"/>
              </w:rPr>
            </w:pPr>
          </w:p>
        </w:tc>
        <w:tc>
          <w:tcPr>
            <w:tcW w:w="1793" w:type="dxa"/>
            <w:tcBorders>
              <w:top w:val="single" w:sz="4" w:space="0" w:color="auto"/>
            </w:tcBorders>
            <w:shd w:val="clear" w:color="auto" w:fill="A6A6A6" w:themeFill="background1" w:themeFillShade="A6"/>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Data access (for business users) obligations imposed on platforms</w:t>
            </w:r>
          </w:p>
        </w:tc>
        <w:tc>
          <w:tcPr>
            <w:tcW w:w="5670" w:type="dxa"/>
            <w:shd w:val="clear" w:color="auto" w:fill="A6A6A6" w:themeFill="background1" w:themeFillShade="A6"/>
          </w:tcPr>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Platforms to extend data access rights to business users for specific categories of data</w:t>
            </w:r>
          </w:p>
          <w:p>
            <w:pPr>
              <w:spacing w:after="0"/>
              <w:contextualSpacing/>
              <w:jc w:val="left"/>
              <w:cnfStyle w:val="000000000000" w:firstRow="0" w:lastRow="0" w:firstColumn="0" w:lastColumn="0" w:oddVBand="0" w:evenVBand="0" w:oddHBand="0" w:evenHBand="0" w:firstRowFirstColumn="0" w:firstRowLastColumn="0" w:lastRowFirstColumn="0" w:lastRowLastColumn="0"/>
              <w:rPr>
                <w:i/>
                <w:noProof/>
                <w:sz w:val="18"/>
              </w:rPr>
            </w:pPr>
            <w:r>
              <w:rPr>
                <w:i/>
                <w:noProof/>
                <w:sz w:val="18"/>
              </w:rPr>
              <w:t>The measure would have significant legal and technical costs for platforms.</w:t>
            </w:r>
            <w:r>
              <w:rPr>
                <w:i/>
                <w:noProof/>
              </w:rPr>
              <w:t xml:space="preserve"> </w:t>
            </w:r>
            <w:r>
              <w:rPr>
                <w:i/>
                <w:noProof/>
                <w:sz w:val="18"/>
              </w:rPr>
              <w:t>Importantly, the impact of mandated access to specific sets of data for business users on the platforms' business model cannot be precisely quantified. The option is therefore discarded at this stage as disproportionate in light of available evidence.</w:t>
            </w:r>
          </w:p>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p>
        </w:tc>
      </w:tr>
      <w:tr>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717" w:type="dxa"/>
            <w:vMerge/>
            <w:tcBorders>
              <w:left w:val="none" w:sz="0" w:space="0" w:color="auto"/>
              <w:bottom w:val="none" w:sz="0" w:space="0" w:color="auto"/>
              <w:right w:val="none" w:sz="0" w:space="0" w:color="auto"/>
            </w:tcBorders>
            <w:shd w:val="clear" w:color="auto" w:fill="D9D9D9" w:themeFill="background1" w:themeFillShade="D9"/>
            <w:vAlign w:val="center"/>
          </w:tcPr>
          <w:p>
            <w:pPr>
              <w:spacing w:after="0"/>
              <w:contextualSpacing/>
              <w:jc w:val="left"/>
              <w:rPr>
                <w:b w:val="0"/>
                <w:noProof/>
                <w:sz w:val="18"/>
              </w:rPr>
            </w:pPr>
          </w:p>
        </w:tc>
        <w:tc>
          <w:tcPr>
            <w:tcW w:w="1793" w:type="dxa"/>
            <w:tcBorders>
              <w:top w:val="single" w:sz="4" w:space="0" w:color="auto"/>
            </w:tcBorders>
            <w:shd w:val="clear" w:color="auto" w:fill="A6A6A6" w:themeFill="background1" w:themeFillShade="A6"/>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Ban on contractual clauses that prevent business users from retrieving and/or using specific types of data outside the platform</w:t>
            </w:r>
          </w:p>
        </w:tc>
        <w:tc>
          <w:tcPr>
            <w:tcW w:w="5670" w:type="dxa"/>
            <w:tcBorders>
              <w:top w:val="single" w:sz="4" w:space="0" w:color="auto"/>
            </w:tcBorders>
            <w:shd w:val="clear" w:color="auto" w:fill="A6A6A6" w:themeFill="background1" w:themeFillShade="A6"/>
          </w:tcPr>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Requirement for platforms not to prevent business users from using data accessed from, or through their activity on the platform outside the platform. </w:t>
            </w:r>
          </w:p>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i/>
                <w:noProof/>
                <w:sz w:val="18"/>
              </w:rPr>
              <w:t xml:space="preserve">This option is discarded as such clauses cover a too broad variety of reasons why the platform is protecting its business secrets or, more generally, its business model as an intermediary. A wide block ban of such clauses would favour business users (beyond general fairness principles) but create significant risk of harm to platforms and consumers. </w:t>
            </w:r>
          </w:p>
        </w:tc>
      </w:tr>
      <w:tr>
        <w:trPr>
          <w:trHeight w:val="40"/>
        </w:trPr>
        <w:tc>
          <w:tcPr>
            <w:cnfStyle w:val="001000000000" w:firstRow="0" w:lastRow="0" w:firstColumn="1" w:lastColumn="0" w:oddVBand="0" w:evenVBand="0" w:oddHBand="0" w:evenHBand="0" w:firstRowFirstColumn="0" w:firstRowLastColumn="0" w:lastRowFirstColumn="0" w:lastRowLastColumn="0"/>
            <w:tcW w:w="1717" w:type="dxa"/>
            <w:vMerge/>
            <w:shd w:val="clear" w:color="auto" w:fill="4F81BD"/>
            <w:vAlign w:val="center"/>
          </w:tcPr>
          <w:p>
            <w:pPr>
              <w:spacing w:after="0"/>
              <w:contextualSpacing/>
              <w:jc w:val="left"/>
              <w:rPr>
                <w:b w:val="0"/>
                <w:noProof/>
                <w:sz w:val="18"/>
              </w:rPr>
            </w:pPr>
          </w:p>
        </w:tc>
        <w:tc>
          <w:tcPr>
            <w:tcW w:w="1793" w:type="dxa"/>
            <w:tcBorders>
              <w:top w:val="single" w:sz="4" w:space="0" w:color="auto"/>
            </w:tcBorders>
            <w:shd w:val="clear" w:color="auto" w:fill="D9D9D9" w:themeFill="background1" w:themeFillShade="D9"/>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 xml:space="preserve">Possibility for business users to ask </w:t>
            </w:r>
            <w:r>
              <w:rPr>
                <w:noProof/>
                <w:sz w:val="18"/>
                <w:szCs w:val="18"/>
              </w:rPr>
              <w:t xml:space="preserve">for </w:t>
            </w:r>
            <w:r>
              <w:rPr>
                <w:noProof/>
                <w:sz w:val="18"/>
              </w:rPr>
              <w:t>customers' consent to obtain and process e-mail addresses</w:t>
            </w:r>
          </w:p>
        </w:tc>
        <w:tc>
          <w:tcPr>
            <w:tcW w:w="5670" w:type="dxa"/>
            <w:shd w:val="clear" w:color="auto" w:fill="D9D9D9" w:themeFill="background1" w:themeFillShade="D9"/>
          </w:tcPr>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 xml:space="preserve">Platforms to give business users the opportunity, after the completion of a transaction and the payment of the commission, to ask consumers for their consent for both obtaining and for processing their e-mail addresses in full compliance with the GDPR. </w:t>
            </w:r>
          </w:p>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p>
        </w:tc>
      </w:tr>
      <w:tr>
        <w:trPr>
          <w:cnfStyle w:val="000000100000" w:firstRow="0" w:lastRow="0" w:firstColumn="0" w:lastColumn="0" w:oddVBand="0" w:evenVBand="0" w:oddHBand="1" w:evenHBand="0" w:firstRowFirstColumn="0" w:firstRowLastColumn="0" w:lastRowFirstColumn="0" w:lastRowLastColumn="0"/>
          <w:trHeight w:val="1533"/>
        </w:trPr>
        <w:tc>
          <w:tcPr>
            <w:cnfStyle w:val="001000000000" w:firstRow="0" w:lastRow="0" w:firstColumn="1" w:lastColumn="0" w:oddVBand="0" w:evenVBand="0" w:oddHBand="0" w:evenHBand="0" w:firstRowFirstColumn="0" w:firstRowLastColumn="0" w:lastRowFirstColumn="0" w:lastRowLastColumn="0"/>
            <w:tcW w:w="1717" w:type="dxa"/>
            <w:vMerge w:val="restart"/>
            <w:tcBorders>
              <w:left w:val="none" w:sz="0" w:space="0" w:color="auto"/>
              <w:bottom w:val="none" w:sz="0" w:space="0" w:color="auto"/>
              <w:right w:val="none" w:sz="0" w:space="0" w:color="auto"/>
            </w:tcBorders>
            <w:shd w:val="clear" w:color="auto" w:fill="4F81BD"/>
            <w:vAlign w:val="center"/>
          </w:tcPr>
          <w:p>
            <w:pPr>
              <w:jc w:val="left"/>
              <w:rPr>
                <w:noProof/>
                <w:sz w:val="18"/>
              </w:rPr>
            </w:pPr>
            <w:r>
              <w:rPr>
                <w:noProof/>
                <w:sz w:val="18"/>
              </w:rPr>
              <w:t>Discrimination</w:t>
            </w:r>
            <w:r>
              <w:rPr>
                <w:b w:val="0"/>
                <w:noProof/>
                <w:sz w:val="18"/>
              </w:rPr>
              <w:t xml:space="preserve"> </w:t>
            </w:r>
            <w:r>
              <w:rPr>
                <w:noProof/>
                <w:sz w:val="18"/>
              </w:rPr>
              <w:t xml:space="preserve"> </w:t>
            </w:r>
          </w:p>
          <w:p>
            <w:pPr>
              <w:jc w:val="left"/>
              <w:rPr>
                <w:b w:val="0"/>
                <w:noProof/>
                <w:sz w:val="18"/>
              </w:rPr>
            </w:pPr>
          </w:p>
        </w:tc>
        <w:tc>
          <w:tcPr>
            <w:tcW w:w="1793" w:type="dxa"/>
            <w:shd w:val="clear" w:color="auto" w:fill="D9D9D9" w:themeFill="background1" w:themeFillShade="D9"/>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Transparency on differential treatment</w:t>
            </w:r>
          </w:p>
        </w:tc>
        <w:tc>
          <w:tcPr>
            <w:tcW w:w="5670" w:type="dxa"/>
            <w:shd w:val="clear" w:color="auto" w:fill="D9D9D9" w:themeFill="background1" w:themeFillShade="D9"/>
          </w:tcPr>
          <w:p>
            <w:pPr>
              <w:spacing w:after="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Platforms to publish general policy guidelines spelling out any differential treatment they apply as regards entities controlled by them as compared to (third party) business users. </w:t>
            </w:r>
          </w:p>
        </w:tc>
      </w:tr>
      <w:tr>
        <w:trPr>
          <w:trHeight w:val="233"/>
        </w:trPr>
        <w:tc>
          <w:tcPr>
            <w:cnfStyle w:val="001000000000" w:firstRow="0" w:lastRow="0" w:firstColumn="1" w:lastColumn="0" w:oddVBand="0" w:evenVBand="0" w:oddHBand="0" w:evenHBand="0" w:firstRowFirstColumn="0" w:firstRowLastColumn="0" w:lastRowFirstColumn="0" w:lastRowLastColumn="0"/>
            <w:tcW w:w="1717" w:type="dxa"/>
            <w:vMerge/>
            <w:shd w:val="clear" w:color="auto" w:fill="4F81BD"/>
            <w:vAlign w:val="center"/>
          </w:tcPr>
          <w:p>
            <w:pPr>
              <w:jc w:val="left"/>
              <w:rPr>
                <w:b w:val="0"/>
                <w:noProof/>
                <w:sz w:val="18"/>
              </w:rPr>
            </w:pPr>
          </w:p>
        </w:tc>
        <w:tc>
          <w:tcPr>
            <w:tcW w:w="1793" w:type="dxa"/>
            <w:tcBorders>
              <w:bottom w:val="single" w:sz="4" w:space="0" w:color="auto"/>
            </w:tcBorders>
            <w:shd w:val="clear" w:color="auto" w:fill="D9D9D9" w:themeFill="background1" w:themeFillShade="D9"/>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Transparency on conditions for use principal and auxiliary services</w:t>
            </w:r>
          </w:p>
        </w:tc>
        <w:tc>
          <w:tcPr>
            <w:tcW w:w="5670" w:type="dxa"/>
            <w:tcBorders>
              <w:bottom w:val="single" w:sz="4" w:space="0" w:color="auto"/>
            </w:tcBorders>
            <w:shd w:val="clear" w:color="auto" w:fill="D9D9D9" w:themeFill="background1" w:themeFillShade="D9"/>
          </w:tcPr>
          <w:p>
            <w:pPr>
              <w:spacing w:after="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For advertising and billing purposes, platforms shall clearly separate auxiliary services and conditions for their use from the principal online intermediation service.</w:t>
            </w:r>
          </w:p>
        </w:tc>
      </w:tr>
      <w:tr>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1717" w:type="dxa"/>
            <w:vMerge/>
            <w:tcBorders>
              <w:left w:val="none" w:sz="0" w:space="0" w:color="auto"/>
              <w:bottom w:val="none" w:sz="0" w:space="0" w:color="auto"/>
              <w:right w:val="none" w:sz="0" w:space="0" w:color="auto"/>
            </w:tcBorders>
            <w:shd w:val="clear" w:color="auto" w:fill="4F81BD"/>
            <w:vAlign w:val="center"/>
          </w:tcPr>
          <w:p>
            <w:pPr>
              <w:jc w:val="left"/>
              <w:rPr>
                <w:b w:val="0"/>
                <w:noProof/>
                <w:sz w:val="18"/>
              </w:rPr>
            </w:pPr>
          </w:p>
        </w:tc>
        <w:tc>
          <w:tcPr>
            <w:tcW w:w="1793" w:type="dxa"/>
            <w:shd w:val="clear" w:color="auto" w:fill="A6A6A6" w:themeFill="background1" w:themeFillShade="A6"/>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General non-discrimination obligation</w:t>
            </w:r>
          </w:p>
        </w:tc>
        <w:tc>
          <w:tcPr>
            <w:tcW w:w="5670" w:type="dxa"/>
            <w:shd w:val="clear" w:color="auto" w:fill="A6A6A6" w:themeFill="background1" w:themeFillShade="A6"/>
          </w:tcPr>
          <w:p>
            <w:pPr>
              <w:spacing w:after="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Platforms would be banned from favouring certain businesses active on their market places, including platform-owned business users or bundled, auxiliary services (e.g. payment, advertising), be it in terms of transparency, access or any other conditions. </w:t>
            </w:r>
          </w:p>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i/>
                <w:noProof/>
                <w:sz w:val="18"/>
              </w:rPr>
              <w:t>This option is discarded as it would be disproportionate, as platforms would not be free to determine their price structure and bundle services.</w:t>
            </w:r>
          </w:p>
        </w:tc>
      </w:tr>
      <w:tr>
        <w:trPr>
          <w:trHeight w:val="40"/>
        </w:trPr>
        <w:tc>
          <w:tcPr>
            <w:cnfStyle w:val="001000000000" w:firstRow="0" w:lastRow="0" w:firstColumn="1" w:lastColumn="0" w:oddVBand="0" w:evenVBand="0" w:oddHBand="0" w:evenHBand="0" w:firstRowFirstColumn="0" w:firstRowLastColumn="0" w:lastRowFirstColumn="0" w:lastRowLastColumn="0"/>
            <w:tcW w:w="1717" w:type="dxa"/>
            <w:vMerge w:val="restart"/>
            <w:tcBorders>
              <w:bottom w:val="single" w:sz="8" w:space="0" w:color="FFFFFF" w:themeColor="background1"/>
              <w:right w:val="single" w:sz="8" w:space="0" w:color="FFFFFF" w:themeColor="background1"/>
            </w:tcBorders>
            <w:shd w:val="clear" w:color="auto" w:fill="4F81BD"/>
            <w:vAlign w:val="center"/>
          </w:tcPr>
          <w:p>
            <w:pPr>
              <w:jc w:val="left"/>
              <w:rPr>
                <w:b w:val="0"/>
                <w:noProof/>
                <w:sz w:val="18"/>
              </w:rPr>
            </w:pPr>
            <w:r>
              <w:rPr>
                <w:noProof/>
                <w:sz w:val="18"/>
              </w:rPr>
              <w:t>Most-favoured-nation clauses</w:t>
            </w:r>
            <w:r>
              <w:rPr>
                <w:b w:val="0"/>
                <w:noProof/>
                <w:sz w:val="18"/>
              </w:rPr>
              <w:t xml:space="preserve"> </w:t>
            </w:r>
          </w:p>
        </w:tc>
        <w:tc>
          <w:tcPr>
            <w:tcW w:w="1793" w:type="dxa"/>
            <w:shd w:val="clear" w:color="auto" w:fill="D9D9D9" w:themeFill="background1" w:themeFillShade="D9"/>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Transparency on use of MFN-clauses and requirement to justify their use</w:t>
            </w:r>
          </w:p>
        </w:tc>
        <w:tc>
          <w:tcPr>
            <w:tcW w:w="5670" w:type="dxa"/>
            <w:shd w:val="clear" w:color="auto" w:fill="D9D9D9" w:themeFill="background1" w:themeFillShade="D9"/>
          </w:tcPr>
          <w:p>
            <w:pPr>
              <w:spacing w:after="0"/>
              <w:contextualSpacing/>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Platforms would be required to explicitly justify the use of MFN clauses in their contractual terms and conditions.</w:t>
            </w:r>
          </w:p>
        </w:tc>
      </w:tr>
      <w:tr>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717" w:type="dxa"/>
            <w:vMerge/>
            <w:tcBorders>
              <w:left w:val="none" w:sz="0" w:space="0" w:color="auto"/>
              <w:right w:val="none" w:sz="0" w:space="0" w:color="auto"/>
            </w:tcBorders>
            <w:shd w:val="clear" w:color="auto" w:fill="4F81BD"/>
            <w:vAlign w:val="center"/>
          </w:tcPr>
          <w:p>
            <w:pPr>
              <w:jc w:val="left"/>
              <w:rPr>
                <w:noProof/>
                <w:sz w:val="18"/>
              </w:rPr>
            </w:pPr>
          </w:p>
        </w:tc>
        <w:tc>
          <w:tcPr>
            <w:tcW w:w="1793" w:type="dxa"/>
            <w:shd w:val="clear" w:color="auto" w:fill="A6A6A6" w:themeFill="background1" w:themeFillShade="A6"/>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Ban of MFN-clauses</w:t>
            </w:r>
          </w:p>
        </w:tc>
        <w:tc>
          <w:tcPr>
            <w:tcW w:w="5670" w:type="dxa"/>
            <w:shd w:val="clear" w:color="auto" w:fill="A6A6A6" w:themeFill="background1" w:themeFillShade="A6"/>
          </w:tcPr>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The use by online platforms of most-favoured-nation clauses (whether on price, availability, quality) would be banned, either outright or in specific forms.</w:t>
            </w:r>
          </w:p>
          <w:p>
            <w:pPr>
              <w:spacing w:after="0"/>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i/>
                <w:noProof/>
                <w:sz w:val="18"/>
              </w:rPr>
              <w:t xml:space="preserve">This option is discarded at this stage as it would be disproportionate in view of current evidence. </w:t>
            </w:r>
          </w:p>
        </w:tc>
      </w:tr>
    </w:tbl>
    <w:p>
      <w:pPr>
        <w:spacing w:after="0"/>
        <w:jc w:val="left"/>
        <w:rPr>
          <w:noProof/>
        </w:rPr>
      </w:pPr>
    </w:p>
    <w:p>
      <w:pPr>
        <w:pStyle w:val="Caption"/>
        <w:rPr>
          <w:noProof/>
        </w:rPr>
      </w:pPr>
      <w:r>
        <w:rPr>
          <w:noProof/>
        </w:rPr>
        <w:t xml:space="preserve">Table 2: Option elements for addressing the lack of effective redress. Options discarded at an earlier stage of the Initiative are highlighted in a darker shade. </w:t>
      </w:r>
    </w:p>
    <w:tbl>
      <w:tblPr>
        <w:tblStyle w:val="MediumGrid3-Accent5"/>
        <w:tblW w:w="9180" w:type="dxa"/>
        <w:tblLook w:val="04A0" w:firstRow="1" w:lastRow="0" w:firstColumn="1" w:lastColumn="0" w:noHBand="0" w:noVBand="1"/>
      </w:tblPr>
      <w:tblGrid>
        <w:gridCol w:w="1668"/>
        <w:gridCol w:w="1842"/>
        <w:gridCol w:w="5670"/>
      </w:tblGrid>
      <w:tr>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68" w:type="dxa"/>
            <w:shd w:val="clear" w:color="auto" w:fill="4F81BD" w:themeFill="accent1"/>
          </w:tcPr>
          <w:p>
            <w:pPr>
              <w:spacing w:after="0"/>
              <w:jc w:val="center"/>
              <w:rPr>
                <w:b w:val="0"/>
                <w:noProof/>
                <w:sz w:val="18"/>
                <w:u w:val="single"/>
              </w:rPr>
            </w:pPr>
            <w:r>
              <w:rPr>
                <w:noProof/>
                <w:sz w:val="18"/>
                <w:u w:val="single"/>
              </w:rPr>
              <w:t>Problem</w:t>
            </w:r>
          </w:p>
        </w:tc>
        <w:tc>
          <w:tcPr>
            <w:tcW w:w="1842" w:type="dxa"/>
            <w:shd w:val="clear" w:color="auto" w:fill="4F81BD" w:themeFill="accent1"/>
          </w:tcPr>
          <w:p>
            <w:pPr>
              <w:contextualSpacing/>
              <w:jc w:val="center"/>
              <w:cnfStyle w:val="100000000000" w:firstRow="1" w:lastRow="0" w:firstColumn="0" w:lastColumn="0" w:oddVBand="0" w:evenVBand="0" w:oddHBand="0" w:evenHBand="0" w:firstRowFirstColumn="0" w:firstRowLastColumn="0" w:lastRowFirstColumn="0" w:lastRowLastColumn="0"/>
              <w:rPr>
                <w:b w:val="0"/>
                <w:noProof/>
                <w:sz w:val="18"/>
                <w:u w:val="single"/>
              </w:rPr>
            </w:pPr>
            <w:r>
              <w:rPr>
                <w:noProof/>
                <w:sz w:val="18"/>
                <w:u w:val="single"/>
              </w:rPr>
              <w:t>Option elements</w:t>
            </w:r>
          </w:p>
        </w:tc>
        <w:tc>
          <w:tcPr>
            <w:tcW w:w="5670" w:type="dxa"/>
            <w:shd w:val="clear" w:color="auto" w:fill="4F81BD" w:themeFill="accent1"/>
          </w:tcPr>
          <w:p>
            <w:pPr>
              <w:ind w:left="-108"/>
              <w:contextualSpacing/>
              <w:jc w:val="center"/>
              <w:cnfStyle w:val="100000000000" w:firstRow="1" w:lastRow="0" w:firstColumn="0" w:lastColumn="0" w:oddVBand="0" w:evenVBand="0" w:oddHBand="0" w:evenHBand="0" w:firstRowFirstColumn="0" w:firstRowLastColumn="0" w:lastRowFirstColumn="0" w:lastRowLastColumn="0"/>
              <w:rPr>
                <w:b w:val="0"/>
                <w:noProof/>
                <w:sz w:val="18"/>
                <w:u w:val="single"/>
              </w:rPr>
            </w:pPr>
            <w:r>
              <w:rPr>
                <w:noProof/>
                <w:sz w:val="18"/>
                <w:u w:val="single"/>
              </w:rPr>
              <w:t>What would the option element entail?</w:t>
            </w:r>
          </w:p>
        </w:tc>
      </w:tr>
      <w:tr>
        <w:trPr>
          <w:cnfStyle w:val="000000100000" w:firstRow="0" w:lastRow="0" w:firstColumn="0" w:lastColumn="0" w:oddVBand="0" w:evenVBand="0" w:oddHBand="1" w:evenHBand="0" w:firstRowFirstColumn="0" w:firstRowLastColumn="0" w:lastRowFirstColumn="0" w:lastRowLastColumn="0"/>
          <w:trHeight w:val="1032"/>
        </w:trPr>
        <w:tc>
          <w:tcPr>
            <w:cnfStyle w:val="001000000000" w:firstRow="0" w:lastRow="0" w:firstColumn="1" w:lastColumn="0" w:oddVBand="0" w:evenVBand="0" w:oddHBand="0" w:evenHBand="0" w:firstRowFirstColumn="0" w:firstRowLastColumn="0" w:lastRowFirstColumn="0" w:lastRowLastColumn="0"/>
            <w:tcW w:w="1668" w:type="dxa"/>
            <w:shd w:val="clear" w:color="auto" w:fill="4F81BD"/>
          </w:tcPr>
          <w:p>
            <w:pPr>
              <w:spacing w:after="0"/>
              <w:jc w:val="left"/>
              <w:rPr>
                <w:noProof/>
                <w:sz w:val="18"/>
              </w:rPr>
            </w:pPr>
            <w:r>
              <w:rPr>
                <w:noProof/>
                <w:sz w:val="18"/>
              </w:rPr>
              <w:t>Ineffective internal escalation procedures</w:t>
            </w:r>
          </w:p>
          <w:p>
            <w:pPr>
              <w:spacing w:after="0"/>
              <w:jc w:val="left"/>
              <w:rPr>
                <w:noProof/>
                <w:sz w:val="18"/>
              </w:rPr>
            </w:pPr>
          </w:p>
        </w:tc>
        <w:tc>
          <w:tcPr>
            <w:tcW w:w="1842" w:type="dxa"/>
            <w:shd w:val="clear" w:color="auto" w:fill="D9D9D9" w:themeFill="background1" w:themeFillShade="D9"/>
          </w:tcPr>
          <w:p>
            <w:pPr>
              <w:contextualSpacing/>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Requirement for an effective internal escalation mechanism</w:t>
            </w:r>
          </w:p>
        </w:tc>
        <w:tc>
          <w:tcPr>
            <w:tcW w:w="5670" w:type="dxa"/>
            <w:shd w:val="clear" w:color="auto" w:fill="D9D9D9" w:themeFill="background1" w:themeFillShade="D9"/>
          </w:tcPr>
          <w:p>
            <w:pPr>
              <w:ind w:left="-108"/>
              <w:contextualSpacing/>
              <w:cnfStyle w:val="000000100000" w:firstRow="0" w:lastRow="0" w:firstColumn="0" w:lastColumn="0" w:oddVBand="0" w:evenVBand="0" w:oddHBand="1" w:evenHBand="0" w:firstRowFirstColumn="0" w:firstRowLastColumn="0" w:lastRowFirstColumn="0" w:lastRowLastColumn="0"/>
              <w:rPr>
                <w:noProof/>
                <w:sz w:val="18"/>
              </w:rPr>
            </w:pPr>
            <w:r>
              <w:rPr>
                <w:noProof/>
                <w:sz w:val="18"/>
              </w:rPr>
              <w:t>Platforms to provide an internal complaint-handling mechanism, which should comply with certain effectiveness principles: speed, accessibility, accountability.</w:t>
            </w:r>
          </w:p>
        </w:tc>
      </w:tr>
      <w:tr>
        <w:trPr>
          <w:trHeight w:val="1324"/>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4F81BD"/>
          </w:tcPr>
          <w:p>
            <w:pPr>
              <w:spacing w:after="0"/>
              <w:jc w:val="left"/>
              <w:rPr>
                <w:noProof/>
                <w:sz w:val="18"/>
              </w:rPr>
            </w:pPr>
            <w:r>
              <w:rPr>
                <w:noProof/>
                <w:sz w:val="18"/>
              </w:rPr>
              <w:t xml:space="preserve">Inexistent </w:t>
            </w:r>
            <w:r>
              <w:rPr>
                <w:b w:val="0"/>
                <w:noProof/>
                <w:sz w:val="18"/>
              </w:rPr>
              <w:t xml:space="preserve">external </w:t>
            </w:r>
            <w:r>
              <w:rPr>
                <w:noProof/>
                <w:sz w:val="18"/>
              </w:rPr>
              <w:t>redress mechanisms</w:t>
            </w:r>
          </w:p>
          <w:p>
            <w:pPr>
              <w:spacing w:after="0"/>
              <w:contextualSpacing/>
              <w:jc w:val="left"/>
              <w:rPr>
                <w:b w:val="0"/>
                <w:noProof/>
                <w:sz w:val="18"/>
              </w:rPr>
            </w:pPr>
          </w:p>
        </w:tc>
        <w:tc>
          <w:tcPr>
            <w:tcW w:w="1842" w:type="dxa"/>
            <w:shd w:val="clear" w:color="auto" w:fill="D9D9D9" w:themeFill="background1" w:themeFillShade="D9"/>
            <w:vAlign w:val="center"/>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Industry-led alternative dispute resolution (mediation)</w:t>
            </w: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tc>
        <w:tc>
          <w:tcPr>
            <w:tcW w:w="5670" w:type="dxa"/>
            <w:shd w:val="clear" w:color="auto" w:fill="D9D9D9" w:themeFill="background1" w:themeFillShade="D9"/>
          </w:tcPr>
          <w:p>
            <w:pPr>
              <w:spacing w:after="0"/>
              <w:contextualSpacing/>
              <w:cnfStyle w:val="000000000000" w:firstRow="0" w:lastRow="0" w:firstColumn="0" w:lastColumn="0" w:oddVBand="0" w:evenVBand="0" w:oddHBand="0" w:evenHBand="0" w:firstRowFirstColumn="0" w:firstRowLastColumn="0" w:lastRowFirstColumn="0" w:lastRowLastColumn="0"/>
              <w:rPr>
                <w:noProof/>
                <w:sz w:val="18"/>
              </w:rPr>
            </w:pPr>
            <w:r>
              <w:rPr>
                <w:noProof/>
                <w:sz w:val="18"/>
              </w:rPr>
              <w:t xml:space="preserve">Call on industry to create and fund an EU-wide external Alternative Dispute Resolution (ADR) mechanism to provide quick, independent and confidential outcomes. It should comply with certain quality requirements to ensure its effectiveness: independence, fairness, speed, transparency (i.e. procedural outcomes to be published, public decisions), accessibility, affordability. </w:t>
            </w:r>
          </w:p>
          <w:p>
            <w:pPr>
              <w:pStyle w:val="ListParagraph"/>
              <w:tabs>
                <w:tab w:val="left" w:pos="175"/>
              </w:tabs>
              <w:ind w:left="0"/>
              <w:cnfStyle w:val="000000000000" w:firstRow="0" w:lastRow="0" w:firstColumn="0" w:lastColumn="0" w:oddVBand="0" w:evenVBand="0" w:oddHBand="0" w:evenHBand="0" w:firstRowFirstColumn="0" w:firstRowLastColumn="0" w:lastRowFirstColumn="0" w:lastRowLastColumn="0"/>
              <w:rPr>
                <w:noProof/>
                <w:sz w:val="18"/>
              </w:rPr>
            </w:pPr>
          </w:p>
        </w:tc>
      </w:tr>
      <w:tr>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4F81BD"/>
            <w:vAlign w:val="center"/>
          </w:tcPr>
          <w:p>
            <w:pPr>
              <w:spacing w:after="0"/>
              <w:jc w:val="left"/>
              <w:rPr>
                <w:noProof/>
                <w:sz w:val="18"/>
              </w:rPr>
            </w:pPr>
          </w:p>
        </w:tc>
        <w:tc>
          <w:tcPr>
            <w:tcW w:w="1842" w:type="dxa"/>
            <w:shd w:val="clear" w:color="auto" w:fill="D9D9D9" w:themeFill="background1" w:themeFillShade="D9"/>
            <w:vAlign w:val="center"/>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Platforms to list existing EU mediation bodies or the industry-led alternative dispute resolution mechanism in their contractual terms and conditions coupled with an obligation to act in good faith in relation to such proceedings</w:t>
            </w:r>
          </w:p>
        </w:tc>
        <w:tc>
          <w:tcPr>
            <w:tcW w:w="5670" w:type="dxa"/>
            <w:shd w:val="clear" w:color="auto" w:fill="D9D9D9" w:themeFill="background1" w:themeFillShade="D9"/>
          </w:tcPr>
          <w:p>
            <w:pPr>
              <w:spacing w:after="0"/>
              <w:contextualSpacing/>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Platforms to inform business-users in their contractual terms and conditions of either (i) existing EU mediation bodies that adhere to the European Code of Conduct of  sectorial mediation codes of conduct that have been inspired by the former, or to bodies that are accredited under any national accreditation and registration procedures or (ii) the industry-led alternative dispute resolution mechanism if set up, that can be used for dispute resolution. This would be coupled by an obligation for platforms to act in good faith in relation to such proceedings. </w:t>
            </w:r>
          </w:p>
        </w:tc>
      </w:tr>
      <w:tr>
        <w:trPr>
          <w:trHeight w:val="1412"/>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9D9D9" w:themeFill="background1" w:themeFillShade="D9"/>
            <w:vAlign w:val="center"/>
          </w:tcPr>
          <w:p>
            <w:pPr>
              <w:spacing w:after="0"/>
              <w:jc w:val="left"/>
              <w:rPr>
                <w:noProof/>
                <w:sz w:val="18"/>
              </w:rPr>
            </w:pPr>
          </w:p>
        </w:tc>
        <w:tc>
          <w:tcPr>
            <w:tcW w:w="1842" w:type="dxa"/>
            <w:shd w:val="clear" w:color="auto" w:fill="A6A6A6" w:themeFill="background1" w:themeFillShade="A6"/>
            <w:vAlign w:val="center"/>
          </w:tcPr>
          <w:p>
            <w:pPr>
              <w:pStyle w:val="ListParagraph"/>
              <w:tabs>
                <w:tab w:val="left" w:pos="175"/>
              </w:tabs>
              <w:ind w:left="0"/>
              <w:cnfStyle w:val="000000000000" w:firstRow="0" w:lastRow="0" w:firstColumn="0" w:lastColumn="0" w:oddVBand="0" w:evenVBand="0" w:oddHBand="0" w:evenHBand="0" w:firstRowFirstColumn="0" w:firstRowLastColumn="0" w:lastRowFirstColumn="0" w:lastRowLastColumn="0"/>
              <w:rPr>
                <w:noProof/>
                <w:sz w:val="18"/>
              </w:rPr>
            </w:pPr>
            <w:r>
              <w:rPr>
                <w:noProof/>
                <w:sz w:val="18"/>
              </w:rPr>
              <w:t xml:space="preserve">National competent authorities to be designated by Member States to be used for dispute resolution. </w:t>
            </w: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tc>
        <w:tc>
          <w:tcPr>
            <w:tcW w:w="5670" w:type="dxa"/>
            <w:shd w:val="clear" w:color="auto" w:fill="A6A6A6" w:themeFill="background1" w:themeFillShade="A6"/>
          </w:tcPr>
          <w:p>
            <w:pPr>
              <w:pStyle w:val="ListParagraph"/>
              <w:tabs>
                <w:tab w:val="left" w:pos="175"/>
              </w:tabs>
              <w:ind w:left="0"/>
              <w:cnfStyle w:val="000000000000" w:firstRow="0" w:lastRow="0" w:firstColumn="0" w:lastColumn="0" w:oddVBand="0" w:evenVBand="0" w:oddHBand="0" w:evenHBand="0" w:firstRowFirstColumn="0" w:firstRowLastColumn="0" w:lastRowFirstColumn="0" w:lastRowLastColumn="0"/>
              <w:rPr>
                <w:noProof/>
                <w:sz w:val="18"/>
              </w:rPr>
            </w:pPr>
            <w:r>
              <w:rPr>
                <w:noProof/>
                <w:sz w:val="18"/>
              </w:rPr>
              <w:t>Obligations for Member States to ensure effective enforcement and efficient dispute resolution of the P2B rules by designating competent authorities.</w:t>
            </w:r>
          </w:p>
          <w:p>
            <w:pPr>
              <w:pStyle w:val="ListParagraph"/>
              <w:tabs>
                <w:tab w:val="left" w:pos="175"/>
              </w:tabs>
              <w:ind w:left="0"/>
              <w:cnfStyle w:val="000000000000" w:firstRow="0" w:lastRow="0" w:firstColumn="0" w:lastColumn="0" w:oddVBand="0" w:evenVBand="0" w:oddHBand="0" w:evenHBand="0" w:firstRowFirstColumn="0" w:firstRowLastColumn="0" w:lastRowFirstColumn="0" w:lastRowLastColumn="0"/>
              <w:rPr>
                <w:noProof/>
                <w:sz w:val="18"/>
              </w:rPr>
            </w:pPr>
            <w:r>
              <w:rPr>
                <w:i/>
                <w:noProof/>
                <w:sz w:val="18"/>
              </w:rPr>
              <w:t xml:space="preserve">This option is discarded, as it would have a disproportionately high costs for Member States who would need to either create a new authority or designate an existing one and in both cases provide sufficient resources for the authority to fulfil its (additional) tasks. </w:t>
            </w:r>
          </w:p>
        </w:tc>
      </w:tr>
      <w:tr>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9D9D9" w:themeFill="background1" w:themeFillShade="D9"/>
            <w:vAlign w:val="center"/>
          </w:tcPr>
          <w:p>
            <w:pPr>
              <w:spacing w:after="0"/>
              <w:jc w:val="left"/>
              <w:rPr>
                <w:noProof/>
                <w:sz w:val="18"/>
              </w:rPr>
            </w:pPr>
          </w:p>
        </w:tc>
        <w:tc>
          <w:tcPr>
            <w:tcW w:w="1842" w:type="dxa"/>
            <w:vMerge w:val="restart"/>
            <w:shd w:val="clear" w:color="auto" w:fill="D9D9D9" w:themeFill="background1" w:themeFillShade="D9"/>
            <w:vAlign w:val="center"/>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EU level monitoring, coordination or enforcement</w:t>
            </w:r>
          </w:p>
        </w:tc>
        <w:tc>
          <w:tcPr>
            <w:tcW w:w="5670" w:type="dxa"/>
            <w:shd w:val="clear" w:color="auto" w:fill="D9D9D9" w:themeFill="background1" w:themeFillShade="D9"/>
          </w:tcPr>
          <w:p>
            <w:pPr>
              <w:spacing w:after="0"/>
              <w:contextualSpacing/>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Setting up an EU Observatory of the Digital Platform Economy  ('EU Observatory') through an expert group to monitor online platform ecosystems, with the possibility of publishing opinions and recommendations. An Internet portal will be launched in parallel where business users can anonymously register specific problems they have encountered in their dealings with online platforms. </w:t>
            </w:r>
          </w:p>
        </w:tc>
      </w:tr>
      <w:tr>
        <w:trPr>
          <w:trHeight w:val="707"/>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9D9D9" w:themeFill="background1" w:themeFillShade="D9"/>
            <w:vAlign w:val="center"/>
          </w:tcPr>
          <w:p>
            <w:pPr>
              <w:spacing w:after="0"/>
              <w:jc w:val="left"/>
              <w:rPr>
                <w:noProof/>
                <w:sz w:val="18"/>
              </w:rPr>
            </w:pPr>
          </w:p>
        </w:tc>
        <w:tc>
          <w:tcPr>
            <w:tcW w:w="1842" w:type="dxa"/>
            <w:vMerge/>
            <w:shd w:val="clear" w:color="auto" w:fill="D9D9D9" w:themeFill="background1" w:themeFillShade="D9"/>
            <w:vAlign w:val="center"/>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tc>
        <w:tc>
          <w:tcPr>
            <w:tcW w:w="5670" w:type="dxa"/>
            <w:shd w:val="clear" w:color="auto" w:fill="D9D9D9" w:themeFill="background1" w:themeFillShade="D9"/>
          </w:tcPr>
          <w:p>
            <w:pPr>
              <w:spacing w:after="0"/>
              <w:contextualSpacing/>
              <w:cnfStyle w:val="000000000000" w:firstRow="0" w:lastRow="0" w:firstColumn="0" w:lastColumn="0" w:oddVBand="0" w:evenVBand="0" w:oddHBand="0" w:evenHBand="0" w:firstRowFirstColumn="0" w:firstRowLastColumn="0" w:lastRowFirstColumn="0" w:lastRowLastColumn="0"/>
              <w:rPr>
                <w:noProof/>
                <w:sz w:val="18"/>
              </w:rPr>
            </w:pPr>
            <w:r>
              <w:rPr>
                <w:noProof/>
                <w:sz w:val="18"/>
              </w:rPr>
              <w:t>Legal reporting obligation on platforms on the use and effectiveness of their internal complaint-handling mechanisms.</w:t>
            </w:r>
          </w:p>
        </w:tc>
      </w:tr>
      <w:tr>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9D9D9" w:themeFill="background1" w:themeFillShade="D9"/>
            <w:vAlign w:val="center"/>
          </w:tcPr>
          <w:p>
            <w:pPr>
              <w:spacing w:after="0"/>
              <w:jc w:val="left"/>
              <w:rPr>
                <w:noProof/>
                <w:sz w:val="18"/>
              </w:rPr>
            </w:pPr>
          </w:p>
        </w:tc>
        <w:tc>
          <w:tcPr>
            <w:tcW w:w="1842" w:type="dxa"/>
            <w:vMerge/>
            <w:shd w:val="clear" w:color="auto" w:fill="D9D9D9" w:themeFill="background1" w:themeFillShade="D9"/>
            <w:vAlign w:val="center"/>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p>
        </w:tc>
        <w:tc>
          <w:tcPr>
            <w:tcW w:w="5670" w:type="dxa"/>
            <w:shd w:val="clear" w:color="auto" w:fill="D9D9D9" w:themeFill="background1" w:themeFillShade="D9"/>
          </w:tcPr>
          <w:p>
            <w:pPr>
              <w:spacing w:after="0"/>
              <w:contextualSpacing/>
              <w:cnfStyle w:val="000000100000" w:firstRow="0" w:lastRow="0" w:firstColumn="0" w:lastColumn="0" w:oddVBand="0" w:evenVBand="0" w:oddHBand="1" w:evenHBand="0" w:firstRowFirstColumn="0" w:firstRowLastColumn="0" w:lastRowFirstColumn="0" w:lastRowLastColumn="0"/>
              <w:rPr>
                <w:noProof/>
                <w:sz w:val="18"/>
              </w:rPr>
            </w:pPr>
            <w:r>
              <w:rPr>
                <w:noProof/>
                <w:sz w:val="18"/>
              </w:rPr>
              <w:t>Review clause in legal instrument to (i) set a time frame for additional measures to improve redress for business users in case of non-compliance or lack of effectiveness including any industry-led mechanism, and (ii) assess the effectiveness of industry-action on P2B problems involving ranking, discrimination and data.</w:t>
            </w:r>
          </w:p>
        </w:tc>
      </w:tr>
      <w:tr>
        <w:trPr>
          <w:trHeight w:val="707"/>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D9D9D9" w:themeFill="background1" w:themeFillShade="D9"/>
            <w:vAlign w:val="center"/>
          </w:tcPr>
          <w:p>
            <w:pPr>
              <w:spacing w:after="0"/>
              <w:jc w:val="left"/>
              <w:rPr>
                <w:noProof/>
                <w:sz w:val="18"/>
              </w:rPr>
            </w:pPr>
          </w:p>
        </w:tc>
        <w:tc>
          <w:tcPr>
            <w:tcW w:w="1842" w:type="dxa"/>
            <w:vMerge/>
            <w:shd w:val="clear" w:color="auto" w:fill="D9D9D9" w:themeFill="background1" w:themeFillShade="D9"/>
            <w:vAlign w:val="center"/>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tc>
        <w:tc>
          <w:tcPr>
            <w:tcW w:w="5670" w:type="dxa"/>
            <w:shd w:val="clear" w:color="auto" w:fill="A6A6A6" w:themeFill="background1" w:themeFillShade="A6"/>
          </w:tcPr>
          <w:p>
            <w:pPr>
              <w:spacing w:after="0"/>
              <w:contextualSpacing/>
              <w:cnfStyle w:val="000000000000" w:firstRow="0" w:lastRow="0" w:firstColumn="0" w:lastColumn="0" w:oddVBand="0" w:evenVBand="0" w:oddHBand="0" w:evenHBand="0" w:firstRowFirstColumn="0" w:firstRowLastColumn="0" w:lastRowFirstColumn="0" w:lastRowLastColumn="0"/>
              <w:rPr>
                <w:noProof/>
                <w:sz w:val="18"/>
              </w:rPr>
            </w:pPr>
            <w:r>
              <w:rPr>
                <w:noProof/>
                <w:sz w:val="18"/>
              </w:rPr>
              <w:t>EU-level ombudsman to be set-up to deal with referrals from national mediators, and to assess recurring transversal and cross-border issues.</w:t>
            </w:r>
          </w:p>
          <w:p>
            <w:pPr>
              <w:spacing w:after="0"/>
              <w:contextualSpacing/>
              <w:cnfStyle w:val="000000000000" w:firstRow="0" w:lastRow="0" w:firstColumn="0" w:lastColumn="0" w:oddVBand="0" w:evenVBand="0" w:oddHBand="0" w:evenHBand="0" w:firstRowFirstColumn="0" w:firstRowLastColumn="0" w:lastRowFirstColumn="0" w:lastRowLastColumn="0"/>
              <w:rPr>
                <w:i/>
                <w:noProof/>
                <w:sz w:val="18"/>
              </w:rPr>
            </w:pPr>
            <w:r>
              <w:rPr>
                <w:i/>
                <w:noProof/>
                <w:sz w:val="18"/>
              </w:rPr>
              <w:t>This option is discarded as it is disproportionate.</w:t>
            </w:r>
          </w:p>
        </w:tc>
      </w:tr>
      <w:tr>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668" w:type="dxa"/>
            <w:vMerge/>
            <w:tcBorders>
              <w:bottom w:val="single" w:sz="8" w:space="0" w:color="FFFFFF" w:themeColor="background1"/>
            </w:tcBorders>
            <w:shd w:val="clear" w:color="auto" w:fill="D9D9D9" w:themeFill="background1" w:themeFillShade="D9"/>
            <w:vAlign w:val="center"/>
          </w:tcPr>
          <w:p>
            <w:pPr>
              <w:spacing w:after="0"/>
              <w:jc w:val="left"/>
              <w:rPr>
                <w:noProof/>
                <w:sz w:val="18"/>
              </w:rPr>
            </w:pPr>
          </w:p>
        </w:tc>
        <w:tc>
          <w:tcPr>
            <w:tcW w:w="1842" w:type="dxa"/>
            <w:vMerge/>
            <w:shd w:val="clear" w:color="auto" w:fill="D9D9D9" w:themeFill="background1" w:themeFillShade="D9"/>
            <w:vAlign w:val="center"/>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p>
        </w:tc>
        <w:tc>
          <w:tcPr>
            <w:tcW w:w="5670" w:type="dxa"/>
            <w:shd w:val="clear" w:color="auto" w:fill="A6A6A6" w:themeFill="background1" w:themeFillShade="A6"/>
          </w:tcPr>
          <w:p>
            <w:pPr>
              <w:spacing w:after="0"/>
              <w:contextualSpacing/>
              <w:cnfStyle w:val="000000100000" w:firstRow="0" w:lastRow="0" w:firstColumn="0" w:lastColumn="0" w:oddVBand="0" w:evenVBand="0" w:oddHBand="1" w:evenHBand="0" w:firstRowFirstColumn="0" w:firstRowLastColumn="0" w:lastRowFirstColumn="0" w:lastRowLastColumn="0"/>
              <w:rPr>
                <w:noProof/>
                <w:sz w:val="18"/>
              </w:rPr>
            </w:pPr>
            <w:r>
              <w:rPr>
                <w:noProof/>
                <w:sz w:val="18"/>
              </w:rPr>
              <w:t>Creation of a fully-fledged EU agency to enforce the proposed fairness P2B principles.</w:t>
            </w:r>
          </w:p>
          <w:p>
            <w:pPr>
              <w:spacing w:after="0"/>
              <w:contextualSpacing/>
              <w:cnfStyle w:val="000000100000" w:firstRow="0" w:lastRow="0" w:firstColumn="0" w:lastColumn="0" w:oddVBand="0" w:evenVBand="0" w:oddHBand="1" w:evenHBand="0" w:firstRowFirstColumn="0" w:firstRowLastColumn="0" w:lastRowFirstColumn="0" w:lastRowLastColumn="0"/>
              <w:rPr>
                <w:noProof/>
                <w:sz w:val="18"/>
              </w:rPr>
            </w:pPr>
            <w:r>
              <w:rPr>
                <w:i/>
                <w:noProof/>
                <w:sz w:val="18"/>
              </w:rPr>
              <w:t>This option is discarded as it is disproportionate.</w:t>
            </w:r>
          </w:p>
        </w:tc>
      </w:tr>
      <w:tr>
        <w:trPr>
          <w:trHeight w:val="707"/>
        </w:trPr>
        <w:tc>
          <w:tcPr>
            <w:cnfStyle w:val="001000000000" w:firstRow="0" w:lastRow="0" w:firstColumn="1" w:lastColumn="0" w:oddVBand="0" w:evenVBand="0" w:oddHBand="0" w:evenHBand="0" w:firstRowFirstColumn="0" w:firstRowLastColumn="0" w:lastRowFirstColumn="0" w:lastRowLastColumn="0"/>
            <w:tcW w:w="1668" w:type="dxa"/>
            <w:vMerge w:val="restart"/>
            <w:tcBorders>
              <w:left w:val="none" w:sz="0" w:space="0" w:color="auto"/>
              <w:bottom w:val="none" w:sz="0" w:space="0" w:color="auto"/>
              <w:right w:val="none" w:sz="0" w:space="0" w:color="auto"/>
            </w:tcBorders>
            <w:shd w:val="clear" w:color="auto" w:fill="4F81BD"/>
            <w:vAlign w:val="center"/>
          </w:tcPr>
          <w:p>
            <w:pPr>
              <w:spacing w:after="0"/>
              <w:jc w:val="left"/>
              <w:rPr>
                <w:noProof/>
                <w:sz w:val="18"/>
              </w:rPr>
            </w:pPr>
            <w:r>
              <w:rPr>
                <w:noProof/>
                <w:sz w:val="18"/>
              </w:rPr>
              <w:t xml:space="preserve">Limited </w:t>
            </w:r>
            <w:r>
              <w:rPr>
                <w:b w:val="0"/>
                <w:noProof/>
                <w:sz w:val="18"/>
              </w:rPr>
              <w:t>access to judicial remedies</w:t>
            </w:r>
          </w:p>
          <w:p>
            <w:pPr>
              <w:spacing w:after="0"/>
              <w:contextualSpacing/>
              <w:jc w:val="left"/>
              <w:rPr>
                <w:noProof/>
                <w:sz w:val="18"/>
              </w:rPr>
            </w:pPr>
          </w:p>
        </w:tc>
        <w:tc>
          <w:tcPr>
            <w:tcW w:w="1842" w:type="dxa"/>
            <w:shd w:val="clear" w:color="auto" w:fill="A6A6A6" w:themeFill="background1" w:themeFillShade="A6"/>
            <w:vAlign w:val="center"/>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Improved access to injunction proceedings</w:t>
            </w: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tc>
        <w:tc>
          <w:tcPr>
            <w:tcW w:w="5670" w:type="dxa"/>
            <w:shd w:val="clear" w:color="auto" w:fill="A6A6A6" w:themeFill="background1" w:themeFillShade="A6"/>
          </w:tcPr>
          <w:p>
            <w:pPr>
              <w:spacing w:after="0"/>
              <w:contextualSpacing/>
              <w:cnfStyle w:val="000000000000" w:firstRow="0" w:lastRow="0" w:firstColumn="0" w:lastColumn="0" w:oddVBand="0" w:evenVBand="0" w:oddHBand="0" w:evenHBand="0" w:firstRowFirstColumn="0" w:firstRowLastColumn="0" w:lastRowFirstColumn="0" w:lastRowLastColumn="0"/>
              <w:rPr>
                <w:noProof/>
                <w:sz w:val="18"/>
              </w:rPr>
            </w:pPr>
            <w:r>
              <w:rPr>
                <w:noProof/>
                <w:sz w:val="18"/>
              </w:rPr>
              <w:t xml:space="preserve">Improved access to injunction proceedings to ensure more expeditious and effective cessation of infringements of P2B rules. </w:t>
            </w:r>
          </w:p>
          <w:p>
            <w:pPr>
              <w:spacing w:after="0"/>
              <w:contextualSpacing/>
              <w:cnfStyle w:val="000000000000" w:firstRow="0" w:lastRow="0" w:firstColumn="0" w:lastColumn="0" w:oddVBand="0" w:evenVBand="0" w:oddHBand="0" w:evenHBand="0" w:firstRowFirstColumn="0" w:firstRowLastColumn="0" w:lastRowFirstColumn="0" w:lastRowLastColumn="0"/>
              <w:rPr>
                <w:i/>
                <w:noProof/>
                <w:sz w:val="18"/>
              </w:rPr>
            </w:pPr>
            <w:r>
              <w:rPr>
                <w:i/>
                <w:noProof/>
                <w:sz w:val="18"/>
              </w:rPr>
              <w:t>This option is discarded as most Member States have in place injunction proceedings that can be used by business-users for B2B disputes</w:t>
            </w:r>
            <w:r>
              <w:rPr>
                <w:rStyle w:val="FootnoteReference"/>
                <w:i/>
                <w:noProof/>
                <w:sz w:val="18"/>
              </w:rPr>
              <w:footnoteReference w:id="159"/>
            </w:r>
            <w:r>
              <w:rPr>
                <w:i/>
                <w:noProof/>
                <w:sz w:val="18"/>
              </w:rPr>
              <w:t>. Therefore, there is little added value in introducing a dedicated instrument where more legal certainty on P2B rules is required to give business-users the required confidence and predictability in using  existing injunction procedures to provide an effective remedy.</w:t>
            </w:r>
            <w:bookmarkStart w:id="2245" w:name="_Ref497742820"/>
            <w:r>
              <w:rPr>
                <w:rStyle w:val="FootnoteReference"/>
                <w:i/>
                <w:noProof/>
                <w:sz w:val="18"/>
              </w:rPr>
              <w:footnoteReference w:id="160"/>
            </w:r>
            <w:bookmarkEnd w:id="2245"/>
          </w:p>
        </w:tc>
      </w:tr>
      <w:tr>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668" w:type="dxa"/>
            <w:vMerge/>
            <w:tcBorders>
              <w:bottom w:val="single" w:sz="8" w:space="0" w:color="FFFFFF" w:themeColor="background1"/>
              <w:right w:val="single" w:sz="8" w:space="0" w:color="FFFFFF" w:themeColor="background1"/>
            </w:tcBorders>
            <w:shd w:val="clear" w:color="auto" w:fill="4F81BD"/>
            <w:vAlign w:val="center"/>
          </w:tcPr>
          <w:p>
            <w:pPr>
              <w:spacing w:after="0"/>
              <w:contextualSpacing/>
              <w:jc w:val="left"/>
              <w:rPr>
                <w:noProof/>
                <w:sz w:val="18"/>
              </w:rPr>
            </w:pPr>
          </w:p>
        </w:tc>
        <w:tc>
          <w:tcPr>
            <w:tcW w:w="1842" w:type="dxa"/>
            <w:shd w:val="clear" w:color="auto" w:fill="A6A6A6" w:themeFill="background1" w:themeFillShade="A6"/>
            <w:vAlign w:val="center"/>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noProof/>
                <w:sz w:val="18"/>
              </w:rPr>
            </w:pPr>
            <w:r>
              <w:rPr>
                <w:noProof/>
                <w:sz w:val="18"/>
              </w:rPr>
              <w:t>Ban of exclusive choice of law/forum clauses in favour of extra-EU law/jurisdictions</w:t>
            </w:r>
          </w:p>
        </w:tc>
        <w:tc>
          <w:tcPr>
            <w:tcW w:w="5670" w:type="dxa"/>
            <w:tcBorders>
              <w:top w:val="none" w:sz="0" w:space="0" w:color="auto"/>
              <w:left w:val="none" w:sz="0" w:space="0" w:color="auto"/>
              <w:bottom w:val="none" w:sz="0" w:space="0" w:color="auto"/>
              <w:right w:val="none" w:sz="0" w:space="0" w:color="auto"/>
            </w:tcBorders>
            <w:shd w:val="clear" w:color="auto" w:fill="A6A6A6" w:themeFill="background1" w:themeFillShade="A6"/>
          </w:tcPr>
          <w:p>
            <w:pPr>
              <w:spacing w:after="0"/>
              <w:contextualSpacing/>
              <w:cnfStyle w:val="000000100000" w:firstRow="0" w:lastRow="0" w:firstColumn="0" w:lastColumn="0" w:oddVBand="0" w:evenVBand="0" w:oddHBand="1" w:evenHBand="0" w:firstRowFirstColumn="0" w:firstRowLastColumn="0" w:lastRowFirstColumn="0" w:lastRowLastColumn="0"/>
              <w:rPr>
                <w:noProof/>
                <w:sz w:val="18"/>
              </w:rPr>
            </w:pPr>
            <w:r>
              <w:rPr>
                <w:noProof/>
                <w:sz w:val="18"/>
              </w:rPr>
              <w:t xml:space="preserve">Platforms that intermediate EU businesses and consumers would be banned from using exclusive jurisdiction/law clauses in their terms and conditions. </w:t>
            </w:r>
          </w:p>
          <w:p>
            <w:pPr>
              <w:pStyle w:val="Text1"/>
              <w:ind w:left="0"/>
              <w:cnfStyle w:val="000000100000" w:firstRow="0" w:lastRow="0" w:firstColumn="0" w:lastColumn="0" w:oddVBand="0" w:evenVBand="0" w:oddHBand="1" w:evenHBand="0" w:firstRowFirstColumn="0" w:firstRowLastColumn="0" w:lastRowFirstColumn="0" w:lastRowLastColumn="0"/>
              <w:rPr>
                <w:noProof/>
                <w:sz w:val="18"/>
              </w:rPr>
            </w:pPr>
            <w:r>
              <w:rPr>
                <w:i/>
                <w:noProof/>
                <w:sz w:val="18"/>
              </w:rPr>
              <w:t>This is discarded as such a ban would be inconsistent with businesses' freedom to contract</w:t>
            </w:r>
            <w:r>
              <w:rPr>
                <w:i/>
                <w:noProof/>
                <w:sz w:val="20"/>
              </w:rPr>
              <w:t>.</w:t>
            </w:r>
            <w:r>
              <w:rPr>
                <w:rStyle w:val="FootnoteReference"/>
                <w:noProof/>
                <w:sz w:val="20"/>
              </w:rPr>
              <w:footnoteReference w:id="161"/>
            </w:r>
            <w:r>
              <w:rPr>
                <w:noProof/>
              </w:rPr>
              <w:t xml:space="preserve"> </w:t>
            </w:r>
          </w:p>
        </w:tc>
      </w:tr>
      <w:tr>
        <w:trPr>
          <w:trHeight w:val="707"/>
        </w:trPr>
        <w:tc>
          <w:tcPr>
            <w:cnfStyle w:val="001000000000" w:firstRow="0" w:lastRow="0" w:firstColumn="1" w:lastColumn="0" w:oddVBand="0" w:evenVBand="0" w:oddHBand="0" w:evenHBand="0" w:firstRowFirstColumn="0" w:firstRowLastColumn="0" w:lastRowFirstColumn="0" w:lastRowLastColumn="0"/>
            <w:tcW w:w="1668" w:type="dxa"/>
            <w:shd w:val="clear" w:color="auto" w:fill="4F81BD"/>
            <w:vAlign w:val="center"/>
          </w:tcPr>
          <w:p>
            <w:pPr>
              <w:spacing w:after="0"/>
              <w:contextualSpacing/>
              <w:jc w:val="left"/>
              <w:rPr>
                <w:noProof/>
                <w:sz w:val="18"/>
              </w:rPr>
            </w:pPr>
          </w:p>
        </w:tc>
        <w:tc>
          <w:tcPr>
            <w:tcW w:w="1842" w:type="dxa"/>
            <w:shd w:val="clear" w:color="auto" w:fill="D9D9D9" w:themeFill="background1" w:themeFillShade="D9"/>
            <w:vAlign w:val="center"/>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Provisions to improve business user's access to court</w:t>
            </w:r>
            <w:r>
              <w:rPr>
                <w:rStyle w:val="FootnoteReference"/>
                <w:noProof/>
                <w:sz w:val="18"/>
              </w:rPr>
              <w:footnoteReference w:id="162"/>
            </w: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tc>
        <w:tc>
          <w:tcPr>
            <w:tcW w:w="5670" w:type="dxa"/>
            <w:shd w:val="clear" w:color="auto" w:fill="D9D9D9" w:themeFill="background1" w:themeFillShade="D9"/>
          </w:tcPr>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 xml:space="preserve">Harmonised EU rules that are specific to P2B relations will provide more legal clarity than any general B2B rules. Their effective application will in addition not be impaired solely as a result of the cross-border nature of P2B relations, as is the case for existing national B2B legislation. The enforceability of these rules in court will therefore face lower barriers than any existing legislation. </w:t>
            </w: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r>
              <w:rPr>
                <w:noProof/>
                <w:sz w:val="18"/>
              </w:rPr>
              <w:t xml:space="preserve">Provisions giving associations representing businesses a right to seek redress can further improve the enforceability of any harmonised EU rules on P2B relations. Given their dependency-induced fear of retaliation, business users themselves may namely continue to leave issues unresolved. </w:t>
            </w: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sz w:val="18"/>
              </w:rPr>
            </w:pPr>
          </w:p>
          <w:p>
            <w:pPr>
              <w:pStyle w:val="ListParagraph"/>
              <w:tabs>
                <w:tab w:val="left" w:pos="175"/>
              </w:tabs>
              <w:ind w:left="0"/>
              <w:jc w:val="left"/>
              <w:cnfStyle w:val="000000000000" w:firstRow="0" w:lastRow="0" w:firstColumn="0" w:lastColumn="0" w:oddVBand="0" w:evenVBand="0" w:oddHBand="0" w:evenHBand="0" w:firstRowFirstColumn="0" w:firstRowLastColumn="0" w:lastRowFirstColumn="0" w:lastRowLastColumn="0"/>
              <w:rPr>
                <w:noProof/>
              </w:rPr>
            </w:pPr>
            <w:r>
              <w:rPr>
                <w:noProof/>
                <w:sz w:val="18"/>
              </w:rPr>
              <w:t>Such collective interest redress possibilities to enforce mandatory EU rules on P2B in addition optimise the likelihood that any court in the Member State of the business user (and of their representative bodies) declare themselves competent to deal with cases brought under such rules regardless of whether the contract between the platform and the business user declares another forum and law applicable. Harmonised, non-contractual P2B obligations cannot namely, in principle, be derogated from by contract and renders courts competent in the Member State of any business user that suffered harm resulting from a breach of those same rules. If a case is brought by a representative body with the aim of remedying or preventing widespread harm to business users of platforms, the likelihood that national courts accept that such cases are brought in the public interest and lie outside any individual contractual relationship between platforms and their business users will be further increased.</w:t>
            </w:r>
            <w:r>
              <w:rPr>
                <w:rStyle w:val="FootnoteReference"/>
                <w:noProof/>
                <w:sz w:val="18"/>
              </w:rPr>
              <w:footnoteReference w:id="163"/>
            </w:r>
            <w:r>
              <w:rPr>
                <w:noProof/>
                <w:sz w:val="18"/>
              </w:rPr>
              <w:t xml:space="preserve"> Collective interest redress thus improves the enforceability of any EU rules on P2B relations in full compliance with the applicable rules on jurisdiction (notably Brussels, Rome Regulations, and the Hague Convention). This is the case regardless of whether EU or extra-EU courts and laws have been declared by contract to apply to </w:t>
            </w:r>
            <w:r>
              <w:rPr>
                <w:i/>
                <w:noProof/>
                <w:sz w:val="18"/>
              </w:rPr>
              <w:t>contractual</w:t>
            </w:r>
            <w:r>
              <w:rPr>
                <w:noProof/>
                <w:sz w:val="18"/>
              </w:rPr>
              <w:t xml:space="preserve"> obligations.</w:t>
            </w:r>
          </w:p>
        </w:tc>
      </w:tr>
    </w:tbl>
    <w:p>
      <w:pPr>
        <w:spacing w:after="0"/>
        <w:contextualSpacing/>
        <w:rPr>
          <w:b/>
          <w:noProof/>
          <w:sz w:val="22"/>
        </w:rPr>
        <w:sectPr>
          <w:headerReference w:type="even" r:id="rId51"/>
          <w:headerReference w:type="default" r:id="rId52"/>
          <w:footerReference w:type="even" r:id="rId53"/>
          <w:footerReference w:type="default" r:id="rId54"/>
          <w:headerReference w:type="first" r:id="rId55"/>
          <w:footerReference w:type="first" r:id="rId56"/>
          <w:pgSz w:w="11906" w:h="16838"/>
          <w:pgMar w:top="1417" w:right="1417" w:bottom="1417" w:left="1417" w:header="708" w:footer="708" w:gutter="0"/>
          <w:cols w:space="708"/>
          <w:titlePg/>
          <w:docGrid w:linePitch="360"/>
        </w:sectPr>
      </w:pPr>
    </w:p>
    <w:p>
      <w:pPr>
        <w:spacing w:after="0"/>
        <w:contextualSpacing/>
        <w:rPr>
          <w:b/>
          <w:noProof/>
          <w:sz w:val="22"/>
        </w:rPr>
      </w:pPr>
    </w:p>
    <w:p>
      <w:pPr>
        <w:pStyle w:val="Heading1"/>
        <w:numPr>
          <w:ilvl w:val="0"/>
          <w:numId w:val="12"/>
        </w:numPr>
        <w:rPr>
          <w:noProof/>
        </w:rPr>
      </w:pPr>
      <w:bookmarkStart w:id="2246" w:name="_Toc508294510"/>
      <w:bookmarkStart w:id="2247" w:name="_Toc508295161"/>
      <w:bookmarkStart w:id="2248" w:name="_Toc508297446"/>
      <w:bookmarkStart w:id="2249" w:name="_Toc508302183"/>
      <w:bookmarkStart w:id="2250" w:name="_Toc508348814"/>
      <w:bookmarkStart w:id="2251" w:name="_Toc508348922"/>
      <w:bookmarkStart w:id="2252" w:name="_Toc508349036"/>
      <w:bookmarkStart w:id="2253" w:name="_Toc508349531"/>
      <w:bookmarkStart w:id="2254" w:name="_Toc508349693"/>
      <w:bookmarkStart w:id="2255" w:name="_Toc508350105"/>
      <w:bookmarkStart w:id="2256" w:name="_Toc508350208"/>
      <w:bookmarkStart w:id="2257" w:name="_Toc508350311"/>
      <w:bookmarkStart w:id="2258" w:name="_Toc508294511"/>
      <w:bookmarkStart w:id="2259" w:name="_Toc508295162"/>
      <w:bookmarkStart w:id="2260" w:name="_Toc508297447"/>
      <w:bookmarkStart w:id="2261" w:name="_Toc508302184"/>
      <w:bookmarkStart w:id="2262" w:name="_Toc508348815"/>
      <w:bookmarkStart w:id="2263" w:name="_Toc508348923"/>
      <w:bookmarkStart w:id="2264" w:name="_Toc508349037"/>
      <w:bookmarkStart w:id="2265" w:name="_Toc508349532"/>
      <w:bookmarkStart w:id="2266" w:name="_Toc508349694"/>
      <w:bookmarkStart w:id="2267" w:name="_Toc508350106"/>
      <w:bookmarkStart w:id="2268" w:name="_Toc508350209"/>
      <w:bookmarkStart w:id="2269" w:name="_Toc508350312"/>
      <w:bookmarkStart w:id="2270" w:name="_Toc500262148"/>
      <w:bookmarkStart w:id="2271" w:name="_Toc507167076"/>
      <w:bookmarkStart w:id="2272" w:name="_Toc508297448"/>
      <w:bookmarkStart w:id="2273" w:name="_Toc508350210"/>
      <w:bookmarkStart w:id="2274" w:name="_Toc508351648"/>
      <w:bookmarkStart w:id="2275" w:name="_Toc508360062"/>
      <w:bookmarkStart w:id="2276" w:name="_Toc511220562"/>
      <w:bookmarkStart w:id="2277" w:name="_Toc511235007"/>
      <w:bookmarkStart w:id="2278" w:name="_Toc511292920"/>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r>
        <w:rPr>
          <w:noProof/>
        </w:rPr>
        <w:t>Individual assessment of option elements</w:t>
      </w:r>
      <w:bookmarkEnd w:id="2270"/>
      <w:bookmarkEnd w:id="2271"/>
      <w:bookmarkEnd w:id="2272"/>
      <w:bookmarkEnd w:id="2273"/>
      <w:bookmarkEnd w:id="2274"/>
      <w:bookmarkEnd w:id="2275"/>
      <w:bookmarkEnd w:id="2276"/>
      <w:bookmarkEnd w:id="2277"/>
      <w:bookmarkEnd w:id="2278"/>
      <w:r>
        <w:rPr>
          <w:noProof/>
        </w:rPr>
        <w:t xml:space="preserve"> </w:t>
      </w:r>
    </w:p>
    <w:p>
      <w:pPr>
        <w:rPr>
          <w:noProof/>
        </w:rPr>
      </w:pPr>
      <w:r>
        <w:rPr>
          <w:noProof/>
        </w:rPr>
        <w:t>Table 1 and 2 below assess the individual option elements based on their effectiveness, cost efficiency and coherence.</w:t>
      </w:r>
    </w:p>
    <w:p>
      <w:pPr>
        <w:rPr>
          <w:noProof/>
        </w:rPr>
      </w:pPr>
      <w:r>
        <w:rPr>
          <w:noProof/>
        </w:rPr>
        <w:t>Based on analysis carried out in these tables, Table 3 gives an overview of discarded policy elements.</w:t>
      </w:r>
    </w:p>
    <w:p>
      <w:pPr>
        <w:pStyle w:val="Caption"/>
        <w:rPr>
          <w:noProof/>
        </w:rPr>
      </w:pPr>
      <w:r>
        <w:rPr>
          <w:noProof/>
        </w:rPr>
        <w:t>Table 1 Assessment of option elements to address potentially harmful practices</w:t>
      </w:r>
    </w:p>
    <w:tbl>
      <w:tblPr>
        <w:tblStyle w:val="MediumShading2-Accent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972"/>
        <w:gridCol w:w="12"/>
        <w:gridCol w:w="3770"/>
        <w:gridCol w:w="9"/>
        <w:gridCol w:w="3779"/>
        <w:gridCol w:w="2933"/>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5" w:type="dxa"/>
          </w:tcPr>
          <w:p>
            <w:pPr>
              <w:contextualSpacing/>
              <w:jc w:val="center"/>
              <w:rPr>
                <w:noProof/>
                <w:u w:val="single"/>
              </w:rPr>
            </w:pPr>
            <w:r>
              <w:rPr>
                <w:noProof/>
                <w:u w:val="single"/>
              </w:rPr>
              <w:t>Practices</w:t>
            </w:r>
          </w:p>
          <w:p>
            <w:pPr>
              <w:contextualSpacing/>
              <w:jc w:val="center"/>
              <w:rPr>
                <w:noProof/>
              </w:rPr>
            </w:pPr>
          </w:p>
        </w:tc>
        <w:tc>
          <w:tcPr>
            <w:tcW w:w="1984" w:type="dxa"/>
            <w:gridSpan w:val="2"/>
          </w:tcPr>
          <w:p>
            <w:pPr>
              <w:contextualSpacing/>
              <w:jc w:val="center"/>
              <w:cnfStyle w:val="100000000000" w:firstRow="1" w:lastRow="0" w:firstColumn="0" w:lastColumn="0" w:oddVBand="0" w:evenVBand="0" w:oddHBand="0" w:evenHBand="0" w:firstRowFirstColumn="0" w:firstRowLastColumn="0" w:lastRowFirstColumn="0" w:lastRowLastColumn="0"/>
              <w:rPr>
                <w:noProof/>
                <w:szCs w:val="24"/>
              </w:rPr>
            </w:pPr>
            <w:r>
              <w:rPr>
                <w:noProof/>
                <w:u w:val="single"/>
              </w:rPr>
              <w:t>Option elements</w:t>
            </w:r>
          </w:p>
        </w:tc>
        <w:tc>
          <w:tcPr>
            <w:tcW w:w="3779" w:type="dxa"/>
            <w:gridSpan w:val="2"/>
          </w:tcPr>
          <w:p>
            <w:pPr>
              <w:contextualSpacing/>
              <w:jc w:val="center"/>
              <w:cnfStyle w:val="100000000000" w:firstRow="1" w:lastRow="0" w:firstColumn="0" w:lastColumn="0" w:oddVBand="0" w:evenVBand="0" w:oddHBand="0" w:evenHBand="0" w:firstRowFirstColumn="0" w:firstRowLastColumn="0" w:lastRowFirstColumn="0" w:lastRowLastColumn="0"/>
              <w:rPr>
                <w:noProof/>
                <w:u w:val="single"/>
              </w:rPr>
            </w:pPr>
            <w:r>
              <w:rPr>
                <w:noProof/>
                <w:u w:val="single"/>
              </w:rPr>
              <w:t>Effectiveness</w:t>
            </w:r>
          </w:p>
          <w:p>
            <w:pPr>
              <w:contextualSpacing/>
              <w:jc w:val="center"/>
              <w:cnfStyle w:val="100000000000" w:firstRow="1" w:lastRow="0" w:firstColumn="0" w:lastColumn="0" w:oddVBand="0" w:evenVBand="0" w:oddHBand="0" w:evenHBand="0" w:firstRowFirstColumn="0" w:firstRowLastColumn="0" w:lastRowFirstColumn="0" w:lastRowLastColumn="0"/>
              <w:rPr>
                <w:noProof/>
                <w:u w:val="single"/>
              </w:rPr>
            </w:pPr>
          </w:p>
          <w:p>
            <w:pPr>
              <w:contextualSpacing/>
              <w:jc w:val="center"/>
              <w:cnfStyle w:val="100000000000" w:firstRow="1" w:lastRow="0" w:firstColumn="0" w:lastColumn="0" w:oddVBand="0" w:evenVBand="0" w:oddHBand="0" w:evenHBand="0" w:firstRowFirstColumn="0" w:firstRowLastColumn="0" w:lastRowFirstColumn="0" w:lastRowLastColumn="0"/>
              <w:rPr>
                <w:i/>
                <w:noProof/>
              </w:rPr>
            </w:pPr>
            <w:r>
              <w:rPr>
                <w:i/>
                <w:noProof/>
                <w:sz w:val="20"/>
              </w:rPr>
              <w:t>To what extent would the option element attain the specific objectives?</w:t>
            </w:r>
          </w:p>
        </w:tc>
        <w:tc>
          <w:tcPr>
            <w:tcW w:w="3779" w:type="dxa"/>
          </w:tcPr>
          <w:p>
            <w:pPr>
              <w:contextualSpacing/>
              <w:jc w:val="center"/>
              <w:cnfStyle w:val="100000000000" w:firstRow="1" w:lastRow="0" w:firstColumn="0" w:lastColumn="0" w:oddVBand="0" w:evenVBand="0" w:oddHBand="0" w:evenHBand="0" w:firstRowFirstColumn="0" w:firstRowLastColumn="0" w:lastRowFirstColumn="0" w:lastRowLastColumn="0"/>
              <w:rPr>
                <w:noProof/>
                <w:u w:val="single"/>
              </w:rPr>
            </w:pPr>
            <w:r>
              <w:rPr>
                <w:noProof/>
                <w:u w:val="single"/>
              </w:rPr>
              <w:t>Cost efficiency</w:t>
            </w:r>
          </w:p>
          <w:p>
            <w:pPr>
              <w:contextualSpacing/>
              <w:jc w:val="center"/>
              <w:cnfStyle w:val="100000000000" w:firstRow="1" w:lastRow="0" w:firstColumn="0" w:lastColumn="0" w:oddVBand="0" w:evenVBand="0" w:oddHBand="0" w:evenHBand="0" w:firstRowFirstColumn="0" w:firstRowLastColumn="0" w:lastRowFirstColumn="0" w:lastRowLastColumn="0"/>
              <w:rPr>
                <w:noProof/>
                <w:u w:val="single"/>
              </w:rPr>
            </w:pPr>
          </w:p>
          <w:p>
            <w:pPr>
              <w:contextualSpacing/>
              <w:jc w:val="center"/>
              <w:cnfStyle w:val="100000000000" w:firstRow="1" w:lastRow="0" w:firstColumn="0" w:lastColumn="0" w:oddVBand="0" w:evenVBand="0" w:oddHBand="0" w:evenHBand="0" w:firstRowFirstColumn="0" w:firstRowLastColumn="0" w:lastRowFirstColumn="0" w:lastRowLastColumn="0"/>
              <w:rPr>
                <w:b w:val="0"/>
                <w:noProof/>
                <w:u w:val="single"/>
              </w:rPr>
            </w:pPr>
            <w:r>
              <w:rPr>
                <w:i/>
                <w:noProof/>
                <w:sz w:val="20"/>
              </w:rPr>
              <w:t>What is the cost/benefit ratio in attaining the specific objective?</w:t>
            </w:r>
          </w:p>
        </w:tc>
        <w:tc>
          <w:tcPr>
            <w:tcW w:w="2933" w:type="dxa"/>
          </w:tcPr>
          <w:p>
            <w:pPr>
              <w:contextualSpacing/>
              <w:jc w:val="center"/>
              <w:cnfStyle w:val="100000000000" w:firstRow="1" w:lastRow="0" w:firstColumn="0" w:lastColumn="0" w:oddVBand="0" w:evenVBand="0" w:oddHBand="0" w:evenHBand="0" w:firstRowFirstColumn="0" w:firstRowLastColumn="0" w:lastRowFirstColumn="0" w:lastRowLastColumn="0"/>
              <w:rPr>
                <w:noProof/>
                <w:u w:val="single"/>
              </w:rPr>
            </w:pPr>
            <w:r>
              <w:rPr>
                <w:noProof/>
                <w:u w:val="single"/>
              </w:rPr>
              <w:t>Coherence/</w:t>
            </w:r>
            <w:r>
              <w:rPr>
                <w:noProof/>
              </w:rPr>
              <w:t xml:space="preserve"> </w:t>
            </w:r>
            <w:r>
              <w:rPr>
                <w:noProof/>
                <w:u w:val="single"/>
              </w:rPr>
              <w:t>/Fundamental Rights/Consumer Protection/Data protection/ Innovation</w:t>
            </w:r>
          </w:p>
          <w:p>
            <w:pPr>
              <w:contextualSpacing/>
              <w:jc w:val="center"/>
              <w:cnfStyle w:val="100000000000" w:firstRow="1" w:lastRow="0" w:firstColumn="0" w:lastColumn="0" w:oddVBand="0" w:evenVBand="0" w:oddHBand="0" w:evenHBand="0" w:firstRowFirstColumn="0" w:firstRowLastColumn="0" w:lastRowFirstColumn="0" w:lastRowLastColumn="0"/>
              <w:rPr>
                <w:noProof/>
                <w:u w:val="single"/>
              </w:rPr>
            </w:pPr>
          </w:p>
          <w:p>
            <w:pPr>
              <w:contextualSpacing/>
              <w:jc w:val="center"/>
              <w:cnfStyle w:val="100000000000" w:firstRow="1" w:lastRow="0" w:firstColumn="0" w:lastColumn="0" w:oddVBand="0" w:evenVBand="0" w:oddHBand="0" w:evenHBand="0" w:firstRowFirstColumn="0" w:firstRowLastColumn="0" w:lastRowFirstColumn="0" w:lastRowLastColumn="0"/>
              <w:rPr>
                <w:b w:val="0"/>
                <w:noProof/>
                <w:u w:val="single"/>
              </w:rPr>
            </w:pPr>
            <w:r>
              <w:rPr>
                <w:i/>
                <w:noProof/>
                <w:sz w:val="20"/>
              </w:rPr>
              <w:t>Is the option element coherent with the objective for the healthy platform ecosystem?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pPr>
              <w:spacing w:after="0"/>
              <w:rPr>
                <w:noProof/>
                <w:szCs w:val="24"/>
              </w:rPr>
            </w:pPr>
            <w:r>
              <w:rPr>
                <w:noProof/>
                <w:szCs w:val="24"/>
              </w:rPr>
              <w:t>Sudden, unilateral changes to terms and conditions absent notice period</w:t>
            </w:r>
          </w:p>
        </w:tc>
        <w:tc>
          <w:tcPr>
            <w:tcW w:w="1984" w:type="dxa"/>
            <w:gridSpan w:val="2"/>
            <w:shd w:val="clear" w:color="auto" w:fill="auto"/>
          </w:tcPr>
          <w:p>
            <w:pPr>
              <w:spacing w:after="0"/>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 xml:space="preserve">Transparency: </w:t>
            </w:r>
          </w:p>
          <w:p>
            <w:pPr>
              <w:spacing w:after="0"/>
              <w:cnfStyle w:val="000000100000" w:firstRow="0" w:lastRow="0" w:firstColumn="0" w:lastColumn="0" w:oddVBand="0" w:evenVBand="0" w:oddHBand="1" w:evenHBand="0" w:firstRowFirstColumn="0" w:firstRowLastColumn="0" w:lastRowFirstColumn="0" w:lastRowLastColumn="0"/>
              <w:rPr>
                <w:noProof/>
                <w:sz w:val="20"/>
              </w:rPr>
            </w:pPr>
            <w:r>
              <w:rPr>
                <w:noProof/>
                <w:sz w:val="20"/>
              </w:rPr>
              <w:t>Platforms</w:t>
            </w:r>
            <w:r>
              <w:rPr>
                <w:rStyle w:val="FootnoteReference"/>
                <w:noProof/>
                <w:sz w:val="20"/>
              </w:rPr>
              <w:footnoteReference w:id="164"/>
            </w:r>
            <w:r>
              <w:rPr>
                <w:noProof/>
                <w:sz w:val="20"/>
              </w:rPr>
              <w:t xml:space="preserve"> to (i) inform business users of significant changes to terms and conditions, and (ii) grant a reasonable notice or grace period for firms to adapt.</w:t>
            </w:r>
          </w:p>
        </w:tc>
        <w:tc>
          <w:tcPr>
            <w:tcW w:w="3779" w:type="dxa"/>
            <w:gridSpan w:val="2"/>
            <w:shd w:val="clear" w:color="auto" w:fill="auto"/>
          </w:tcPr>
          <w:p>
            <w:pPr>
              <w:pStyle w:val="ListParagraph"/>
              <w:numPr>
                <w:ilvl w:val="0"/>
                <w:numId w:val="57"/>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 Ensures transparency of terms and conditions changes for business users</w:t>
            </w:r>
          </w:p>
          <w:p>
            <w:pPr>
              <w:pStyle w:val="ListParagraph"/>
              <w:numPr>
                <w:ilvl w:val="0"/>
                <w:numId w:val="57"/>
              </w:numPr>
              <w:spacing w:after="0"/>
              <w:ind w:left="146" w:hanging="146"/>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 Contributes to a more predictable business environment: a reasonable notice period allows businesses to adequately prepare to announced changes thus limiting possible negative effects.</w:t>
            </w:r>
          </w:p>
          <w:p>
            <w:pPr>
              <w:pStyle w:val="ListParagraph"/>
              <w:spacing w:after="0"/>
              <w:ind w:left="146" w:hanging="146"/>
              <w:jc w:val="left"/>
              <w:cnfStyle w:val="000000100000" w:firstRow="0" w:lastRow="0" w:firstColumn="0" w:lastColumn="0" w:oddVBand="0" w:evenVBand="0" w:oddHBand="1" w:evenHBand="0" w:firstRowFirstColumn="0" w:firstRowLastColumn="0" w:lastRowFirstColumn="0" w:lastRowLastColumn="0"/>
              <w:rPr>
                <w:noProof/>
                <w:sz w:val="20"/>
              </w:rPr>
            </w:pPr>
          </w:p>
        </w:tc>
        <w:tc>
          <w:tcPr>
            <w:tcW w:w="3779" w:type="dxa"/>
            <w:shd w:val="clear" w:color="auto" w:fill="auto"/>
          </w:tcPr>
          <w:p>
            <w:pPr>
              <w:pStyle w:val="ListParagraph"/>
              <w:numPr>
                <w:ilvl w:val="0"/>
                <w:numId w:val="57"/>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Operational and financial impacts can be expected to be minimal, i.e. one-off effort for platforms to adapt their implementation and communication of their terms and conditions policy. </w:t>
            </w:r>
          </w:p>
          <w:p>
            <w:pPr>
              <w:pStyle w:val="ListParagraph"/>
              <w:numPr>
                <w:ilvl w:val="0"/>
                <w:numId w:val="57"/>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Could reduce platforms' and businesses' litigation costs if the option results in a reduced number of P2B disputes.</w:t>
            </w:r>
          </w:p>
          <w:p>
            <w:pPr>
              <w:pStyle w:val="ListParagraph"/>
              <w:numPr>
                <w:ilvl w:val="0"/>
                <w:numId w:val="57"/>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Would reduce legal uncertainty for business users (especially small enterprises), i.e. decreased costs for external legal expertise used for complying with contractual obligations at a short notice.</w:t>
            </w:r>
          </w:p>
        </w:tc>
        <w:tc>
          <w:tcPr>
            <w:tcW w:w="2933" w:type="dxa"/>
            <w:shd w:val="clear" w:color="auto" w:fill="auto"/>
          </w:tcPr>
          <w:p>
            <w:pPr>
              <w:pStyle w:val="ListParagraph"/>
              <w:numPr>
                <w:ilvl w:val="0"/>
                <w:numId w:val="57"/>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Platforms remain free to set their general policy and to organise their business. </w:t>
            </w:r>
          </w:p>
          <w:p>
            <w:pPr>
              <w:pStyle w:val="ListParagraph"/>
              <w:numPr>
                <w:ilvl w:val="0"/>
                <w:numId w:val="57"/>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Innovation potential is not impacted since platforms may upgrade the functionality of the product/service proposed. Most often, these functionality upgrades are minor and do not trigger changes in the terms and conditions, but are simply rolled out to the business users and consumers. Major innovating features that involve terms and conditions changes can still be implemented in schedules fully controlled by the platforms, if needed with predictable grace periods for adaptation. </w:t>
            </w:r>
          </w:p>
          <w:p>
            <w:pPr>
              <w:pStyle w:val="ListParagraph"/>
              <w:numPr>
                <w:ilvl w:val="0"/>
                <w:numId w:val="57"/>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This increased transparency in the contractual platform to business relationship will positively impact on the data subjects' rights relating to information on changes in the data processing policy of platforms.</w:t>
            </w:r>
          </w:p>
          <w:p>
            <w:pPr>
              <w:pStyle w:val="ListParagraph"/>
              <w:spacing w:after="0"/>
              <w:ind w:left="146"/>
              <w:cnfStyle w:val="000000100000" w:firstRow="0" w:lastRow="0" w:firstColumn="0" w:lastColumn="0" w:oddVBand="0" w:evenVBand="0" w:oddHBand="1" w:evenHBand="0" w:firstRowFirstColumn="0" w:firstRowLastColumn="0" w:lastRowFirstColumn="0" w:lastRowLastColumn="0"/>
              <w:rPr>
                <w:noProof/>
                <w:sz w:val="20"/>
              </w:rPr>
            </w:pPr>
          </w:p>
        </w:tc>
      </w:tr>
      <w:tr>
        <w:tc>
          <w:tcPr>
            <w:cnfStyle w:val="001000000000" w:firstRow="0" w:lastRow="0" w:firstColumn="1" w:lastColumn="0" w:oddVBand="0" w:evenVBand="0" w:oddHBand="0" w:evenHBand="0" w:firstRowFirstColumn="0" w:firstRowLastColumn="0" w:lastRowFirstColumn="0" w:lastRowLastColumn="0"/>
            <w:tcW w:w="1525" w:type="dxa"/>
          </w:tcPr>
          <w:p>
            <w:pPr>
              <w:spacing w:after="0"/>
              <w:rPr>
                <w:noProof/>
                <w:szCs w:val="24"/>
              </w:rPr>
            </w:pPr>
            <w:r>
              <w:rPr>
                <w:noProof/>
                <w:szCs w:val="24"/>
              </w:rPr>
              <w:t>Delisting of products, services or businesses or suspension of accounts without clear statement of reasons</w:t>
            </w:r>
          </w:p>
        </w:tc>
        <w:tc>
          <w:tcPr>
            <w:tcW w:w="1984" w:type="dxa"/>
            <w:gridSpan w:val="2"/>
            <w:shd w:val="clear" w:color="auto" w:fill="auto"/>
          </w:tcPr>
          <w:p>
            <w:pPr>
              <w:spacing w:after="0"/>
              <w:cnfStyle w:val="000000000000" w:firstRow="0" w:lastRow="0" w:firstColumn="0" w:lastColumn="0" w:oddVBand="0" w:evenVBand="0" w:oddHBand="0" w:evenHBand="0" w:firstRowFirstColumn="0" w:firstRowLastColumn="0" w:lastRowFirstColumn="0" w:lastRowLastColumn="0"/>
              <w:rPr>
                <w:b/>
                <w:noProof/>
                <w:sz w:val="20"/>
              </w:rPr>
            </w:pPr>
            <w:r>
              <w:rPr>
                <w:b/>
                <w:noProof/>
                <w:sz w:val="20"/>
              </w:rPr>
              <w:t>Transparency:</w:t>
            </w:r>
          </w:p>
          <w:p>
            <w:pPr>
              <w:spacing w:after="0"/>
              <w:cnfStyle w:val="000000000000" w:firstRow="0" w:lastRow="0" w:firstColumn="0" w:lastColumn="0" w:oddVBand="0" w:evenVBand="0" w:oddHBand="0" w:evenHBand="0" w:firstRowFirstColumn="0" w:firstRowLastColumn="0" w:lastRowFirstColumn="0" w:lastRowLastColumn="0"/>
              <w:rPr>
                <w:b/>
                <w:noProof/>
                <w:sz w:val="20"/>
              </w:rPr>
            </w:pPr>
            <w:r>
              <w:rPr>
                <w:noProof/>
                <w:sz w:val="20"/>
              </w:rPr>
              <w:t>Platforms to provide relevant business users with an actionable statement of reasons upon delisting of accounts/individual</w:t>
            </w:r>
            <w:r>
              <w:rPr>
                <w:b/>
                <w:noProof/>
                <w:sz w:val="20"/>
              </w:rPr>
              <w:t xml:space="preserve"> </w:t>
            </w:r>
            <w:r>
              <w:rPr>
                <w:noProof/>
                <w:sz w:val="20"/>
              </w:rPr>
              <w:t>products/ services.</w:t>
            </w:r>
          </w:p>
        </w:tc>
        <w:tc>
          <w:tcPr>
            <w:tcW w:w="3779" w:type="dxa"/>
            <w:gridSpan w:val="2"/>
            <w:shd w:val="clear" w:color="auto" w:fill="auto"/>
          </w:tcPr>
          <w:p>
            <w:pPr>
              <w:pStyle w:val="ListParagraph"/>
              <w:numPr>
                <w:ilvl w:val="0"/>
                <w:numId w:val="5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Clear justification of the delisting (with reference to the relevant clause in terms and conditions), or additional explanations where necessary to make the justification actionable. This would give the business user the possibility, when content is removed, to appeal that decision or to take the necessary measures to be reenlisted as soon as possible. </w:t>
            </w:r>
          </w:p>
          <w:p>
            <w:pPr>
              <w:pStyle w:val="ListParagraph"/>
              <w:numPr>
                <w:ilvl w:val="0"/>
                <w:numId w:val="5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Increase of the perceived fairness of the online platform ecosystem.</w:t>
            </w:r>
          </w:p>
        </w:tc>
        <w:tc>
          <w:tcPr>
            <w:tcW w:w="3779" w:type="dxa"/>
            <w:shd w:val="clear" w:color="auto" w:fill="auto"/>
          </w:tcPr>
          <w:p>
            <w:pPr>
              <w:pStyle w:val="ListParagraph"/>
              <w:numPr>
                <w:ilvl w:val="0"/>
                <w:numId w:val="5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Costs for platforms would be linked to the one-off adjustment in the platforms' information systems. </w:t>
            </w:r>
          </w:p>
          <w:p>
            <w:pPr>
              <w:pStyle w:val="ListParagraph"/>
              <w:numPr>
                <w:ilvl w:val="0"/>
                <w:numId w:val="5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More transparency on delisting could lead to fewer complaints for businesses and thus to reduced administrative and legal costs for platforms.</w:t>
            </w:r>
          </w:p>
          <w:p>
            <w:pPr>
              <w:pStyle w:val="ListParagraph"/>
              <w:numPr>
                <w:ilvl w:val="0"/>
                <w:numId w:val="5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Reduced costs for businesses when remedying issues: both less direct costs in resources spent pinpointing the exact issue, and less downtime until the problem is solved, in case of associated suspensions or product delistings.</w:t>
            </w:r>
          </w:p>
          <w:p>
            <w:pPr>
              <w:pStyle w:val="ListParagraph"/>
              <w:numPr>
                <w:ilvl w:val="0"/>
                <w:numId w:val="5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Platforms could face additional costs in safeguarding their customers and businesses against fraudulent businesses who might use the additional information received to circumvent or 'game' existing safeguarding measures.</w:t>
            </w:r>
          </w:p>
          <w:p>
            <w:pPr>
              <w:pStyle w:val="ListParagraph"/>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p>
        </w:tc>
        <w:tc>
          <w:tcPr>
            <w:tcW w:w="2933" w:type="dxa"/>
            <w:shd w:val="clear" w:color="auto" w:fill="auto"/>
          </w:tcPr>
          <w:p>
            <w:pPr>
              <w:pStyle w:val="ListParagraph"/>
              <w:numPr>
                <w:ilvl w:val="0"/>
                <w:numId w:val="5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Platforms remain free to delist or suspend when they deem necessary.</w:t>
            </w:r>
          </w:p>
          <w:p>
            <w:pPr>
              <w:pStyle w:val="ListParagraph"/>
              <w:numPr>
                <w:ilvl w:val="0"/>
                <w:numId w:val="5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This measure has no direct impact on innovation.</w:t>
            </w:r>
          </w:p>
          <w:p>
            <w:pPr>
              <w:cnfStyle w:val="000000000000" w:firstRow="0" w:lastRow="0" w:firstColumn="0" w:lastColumn="0" w:oddVBand="0" w:evenVBand="0" w:oddHBand="0" w:evenHBand="0" w:firstRowFirstColumn="0" w:firstRowLastColumn="0" w:lastRowFirstColumn="0" w:lastRowLastColumn="0"/>
              <w:rPr>
                <w:noProof/>
                <w:sz w:val="20"/>
              </w:rPr>
            </w:pPr>
            <w:r>
              <w:rPr>
                <w:noProof/>
                <w:sz w:val="20"/>
              </w:rPr>
              <w:t>Improving  information on delisting contributes to safeguarding the fundamental freedom to conduct a business  in Article 16 of the Charter</w:t>
            </w:r>
            <w:r>
              <w:rPr>
                <w:rStyle w:val="FootnoteReference"/>
                <w:noProof/>
                <w:sz w:val="20"/>
              </w:rPr>
              <w:footnoteReference w:id="165"/>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val="restart"/>
          </w:tcPr>
          <w:p>
            <w:pPr>
              <w:spacing w:after="0"/>
              <w:rPr>
                <w:b w:val="0"/>
                <w:bCs w:val="0"/>
                <w:noProof/>
                <w:szCs w:val="24"/>
              </w:rPr>
            </w:pPr>
            <w:r>
              <w:rPr>
                <w:noProof/>
              </w:rPr>
              <w:t xml:space="preserve">Ranking </w:t>
            </w:r>
          </w:p>
          <w:p>
            <w:pPr>
              <w:spacing w:after="0"/>
              <w:rPr>
                <w:noProof/>
                <w:szCs w:val="24"/>
              </w:rPr>
            </w:pPr>
          </w:p>
        </w:tc>
        <w:tc>
          <w:tcPr>
            <w:tcW w:w="1972" w:type="dxa"/>
            <w:shd w:val="clear" w:color="auto" w:fill="auto"/>
          </w:tcPr>
          <w:p>
            <w:pPr>
              <w:spacing w:after="0"/>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 xml:space="preserve">Transparency </w:t>
            </w:r>
            <w:r>
              <w:rPr>
                <w:noProof/>
                <w:sz w:val="20"/>
              </w:rPr>
              <w:t>in rel</w:t>
            </w:r>
            <w:r>
              <w:rPr>
                <w:noProof/>
                <w:sz w:val="20"/>
                <w:lang w:val="en-US"/>
              </w:rPr>
              <w:t>ation to general conditions and expected effects of paid-for ranking.</w:t>
            </w:r>
          </w:p>
        </w:tc>
        <w:tc>
          <w:tcPr>
            <w:tcW w:w="3782" w:type="dxa"/>
            <w:gridSpan w:val="2"/>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Increase to the predictability for business users, and allow them to make better informed business decisions, avoiding them unnecessary spending on platform features that under-deliver or do not deliver a return.  </w:t>
            </w:r>
          </w:p>
          <w:p>
            <w:pPr>
              <w:pStyle w:val="ListParagraph"/>
              <w:spacing w:after="0"/>
              <w:ind w:left="146"/>
              <w:cnfStyle w:val="000000100000" w:firstRow="0" w:lastRow="0" w:firstColumn="0" w:lastColumn="0" w:oddVBand="0" w:evenVBand="0" w:oddHBand="1" w:evenHBand="0" w:firstRowFirstColumn="0" w:firstRowLastColumn="0" w:lastRowFirstColumn="0" w:lastRowLastColumn="0"/>
              <w:rPr>
                <w:noProof/>
                <w:sz w:val="20"/>
              </w:rPr>
            </w:pPr>
          </w:p>
        </w:tc>
        <w:tc>
          <w:tcPr>
            <w:tcW w:w="3788" w:type="dxa"/>
            <w:gridSpan w:val="2"/>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Limited cost burden on the platforms</w:t>
            </w:r>
            <w:r>
              <w:rPr>
                <w:rStyle w:val="FootnoteReference"/>
                <w:noProof/>
                <w:sz w:val="20"/>
              </w:rPr>
              <w:footnoteReference w:id="166"/>
            </w:r>
            <w:r>
              <w:rPr>
                <w:noProof/>
                <w:sz w:val="20"/>
              </w:rPr>
              <w:t xml:space="preserve"> for rendering transparent in their terms and conditions and possibly other supporting media the specific conditions of their ranking mechanisms. </w:t>
            </w:r>
          </w:p>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rFonts w:eastAsia="Calibri"/>
                <w:noProof/>
                <w:sz w:val="20"/>
              </w:rPr>
            </w:pPr>
            <w:r>
              <w:rPr>
                <w:noProof/>
                <w:sz w:val="20"/>
              </w:rPr>
              <w:t xml:space="preserve">The businesses on the other hand would in part save money, improving the ecosystem's overall efficiency. </w:t>
            </w:r>
            <w:r>
              <w:rPr>
                <w:rStyle w:val="FootnoteReference"/>
                <w:noProof/>
                <w:sz w:val="20"/>
              </w:rPr>
              <w:footnoteReference w:id="167"/>
            </w:r>
          </w:p>
        </w:tc>
        <w:tc>
          <w:tcPr>
            <w:tcW w:w="2933" w:type="dxa"/>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rFonts w:eastAsia="Calibri"/>
                <w:noProof/>
                <w:sz w:val="20"/>
              </w:rPr>
            </w:pPr>
            <w:r>
              <w:rPr>
                <w:noProof/>
                <w:sz w:val="20"/>
              </w:rPr>
              <w:t>The obligation would not include in any way revealing trade secrets such as or other sensitive data. It would thus have a positive effect on the trust in the platform economy, without creating vulnerabilities for the ranking algorithm, security of the platform, or its business model. It would allow for innovation (business or technical), while ensuring the general principle of transparency towards the business users of any emerging system.</w:t>
            </w:r>
          </w:p>
        </w:tc>
      </w:tr>
      <w:tr>
        <w:tc>
          <w:tcPr>
            <w:cnfStyle w:val="001000000000" w:firstRow="0" w:lastRow="0" w:firstColumn="1" w:lastColumn="0" w:oddVBand="0" w:evenVBand="0" w:oddHBand="0" w:evenHBand="0" w:firstRowFirstColumn="0" w:firstRowLastColumn="0" w:lastRowFirstColumn="0" w:lastRowLastColumn="0"/>
            <w:tcW w:w="1525" w:type="dxa"/>
            <w:vMerge/>
          </w:tcPr>
          <w:p>
            <w:pPr>
              <w:spacing w:after="0"/>
              <w:rPr>
                <w:noProof/>
                <w:szCs w:val="24"/>
              </w:rPr>
            </w:pPr>
          </w:p>
        </w:tc>
        <w:tc>
          <w:tcPr>
            <w:tcW w:w="1972" w:type="dxa"/>
            <w:shd w:val="clear" w:color="auto" w:fill="auto"/>
          </w:tcPr>
          <w:p>
            <w:pPr>
              <w:cnfStyle w:val="000000000000" w:firstRow="0" w:lastRow="0" w:firstColumn="0" w:lastColumn="0" w:oddVBand="0" w:evenVBand="0" w:oddHBand="0" w:evenHBand="0" w:firstRowFirstColumn="0" w:firstRowLastColumn="0" w:lastRowFirstColumn="0" w:lastRowLastColumn="0"/>
              <w:rPr>
                <w:b/>
                <w:noProof/>
                <w:sz w:val="20"/>
              </w:rPr>
            </w:pPr>
            <w:r>
              <w:rPr>
                <w:b/>
                <w:noProof/>
                <w:sz w:val="20"/>
              </w:rPr>
              <w:t>Industry dialogues, standards and trust marks, both for natural and paid-for ranking</w:t>
            </w:r>
          </w:p>
        </w:tc>
        <w:tc>
          <w:tcPr>
            <w:tcW w:w="3782" w:type="dxa"/>
            <w:gridSpan w:val="2"/>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A prerequisite for the effectiveness of this measure is the alignment of all interest involved and the existence of sufficient incentives for both business users and platforms to participate. Achieving this, particularly regarding ranking, is not realistic. In addition, stakeholders need to be represented equally, a criterion that leaves the much less organized business stakeholders at a disadvantage. </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Could in theory allow for the possibility to issue-specific technical solutions and give flexibility in adapting to fast-evolving technologies.</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Could support industry-trust, through dialogues and voluntary auditing, in addition to the transparency of paid-for-ranking legally required by consumer law. </w:t>
            </w:r>
          </w:p>
          <w:p>
            <w:pPr>
              <w:pStyle w:val="ListParagraph"/>
              <w:spacing w:after="0"/>
              <w:ind w:left="146"/>
              <w:cnfStyle w:val="000000000000" w:firstRow="0" w:lastRow="0" w:firstColumn="0" w:lastColumn="0" w:oddVBand="0" w:evenVBand="0" w:oddHBand="0" w:evenHBand="0" w:firstRowFirstColumn="0" w:firstRowLastColumn="0" w:lastRowFirstColumn="0" w:lastRowLastColumn="0"/>
              <w:rPr>
                <w:noProof/>
                <w:sz w:val="20"/>
              </w:rPr>
            </w:pPr>
          </w:p>
        </w:tc>
        <w:tc>
          <w:tcPr>
            <w:tcW w:w="3788" w:type="dxa"/>
            <w:gridSpan w:val="2"/>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Low participation cost from platforms to industry structured dialogues.</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A call to engage in voluntary audits would place a moderate cost burden on platforms.</w:t>
            </w:r>
          </w:p>
          <w:p>
            <w:pPr>
              <w:pStyle w:val="ListParagraph"/>
              <w:spacing w:after="0"/>
              <w:ind w:left="146"/>
              <w:cnfStyle w:val="000000000000" w:firstRow="0" w:lastRow="0" w:firstColumn="0" w:lastColumn="0" w:oddVBand="0" w:evenVBand="0" w:oddHBand="0" w:evenHBand="0" w:firstRowFirstColumn="0" w:firstRowLastColumn="0" w:lastRowFirstColumn="0" w:lastRowLastColumn="0"/>
              <w:rPr>
                <w:noProof/>
                <w:sz w:val="20"/>
              </w:rPr>
            </w:pPr>
          </w:p>
        </w:tc>
        <w:tc>
          <w:tcPr>
            <w:tcW w:w="2933" w:type="dxa"/>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Could have positive effects on the platforms' ability to retain and attract business users, through enhanced transparency and trust in the platforms' services.</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Particularly beneficial to small platforms, opting into transparency and being exposed to dialogues on best practice with competitors and users.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tcPr>
          <w:p>
            <w:pPr>
              <w:spacing w:after="0"/>
              <w:rPr>
                <w:noProof/>
                <w:szCs w:val="24"/>
              </w:rPr>
            </w:pPr>
          </w:p>
        </w:tc>
        <w:tc>
          <w:tcPr>
            <w:tcW w:w="1972" w:type="dxa"/>
            <w:shd w:val="clear" w:color="auto" w:fill="auto"/>
          </w:tcPr>
          <w:p>
            <w:pPr>
              <w:cnfStyle w:val="000000100000" w:firstRow="0" w:lastRow="0" w:firstColumn="0" w:lastColumn="0" w:oddVBand="0" w:evenVBand="0" w:oddHBand="1" w:evenHBand="0" w:firstRowFirstColumn="0" w:firstRowLastColumn="0" w:lastRowFirstColumn="0" w:lastRowLastColumn="0"/>
              <w:rPr>
                <w:b/>
                <w:noProof/>
                <w:sz w:val="20"/>
              </w:rPr>
            </w:pPr>
            <w:r>
              <w:rPr>
                <w:b/>
                <w:noProof/>
                <w:sz w:val="20"/>
                <w:lang w:val="en-US"/>
              </w:rPr>
              <w:t xml:space="preserve">Disclosure of the criteria for natural and paid-for ranking </w:t>
            </w:r>
          </w:p>
        </w:tc>
        <w:tc>
          <w:tcPr>
            <w:tcW w:w="3782" w:type="dxa"/>
            <w:gridSpan w:val="2"/>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Such disclosure would assure business users of a predictable environment for how their offers are presented to consumers on the platform, for both natural and paid-for ranking.</w:t>
            </w:r>
          </w:p>
        </w:tc>
        <w:tc>
          <w:tcPr>
            <w:tcW w:w="3788" w:type="dxa"/>
            <w:gridSpan w:val="2"/>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Limited cost burden on the platforms for rendering transparent in their terms and conditions.</w:t>
            </w:r>
          </w:p>
        </w:tc>
        <w:tc>
          <w:tcPr>
            <w:tcW w:w="2933" w:type="dxa"/>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The disclosure requirement would not be as prescriptive as to hinder the platforms' trade secrets concerning their ranking algorithms, or lead to inadvertent manipulation. It would give up-front clarity to the service the platform offers to its business users and should lead to enhancing trust of both business users and consumers in the platform.</w:t>
            </w:r>
          </w:p>
        </w:tc>
      </w:tr>
      <w:tr>
        <w:tc>
          <w:tcPr>
            <w:cnfStyle w:val="001000000000" w:firstRow="0" w:lastRow="0" w:firstColumn="1" w:lastColumn="0" w:oddVBand="0" w:evenVBand="0" w:oddHBand="0" w:evenHBand="0" w:firstRowFirstColumn="0" w:firstRowLastColumn="0" w:lastRowFirstColumn="0" w:lastRowLastColumn="0"/>
            <w:tcW w:w="1525" w:type="dxa"/>
            <w:vMerge w:val="restart"/>
          </w:tcPr>
          <w:p>
            <w:pPr>
              <w:spacing w:after="0"/>
              <w:rPr>
                <w:b w:val="0"/>
                <w:bCs w:val="0"/>
                <w:noProof/>
                <w:szCs w:val="24"/>
              </w:rPr>
            </w:pPr>
            <w:r>
              <w:rPr>
                <w:noProof/>
                <w:szCs w:val="24"/>
              </w:rPr>
              <w:t>Data</w:t>
            </w:r>
          </w:p>
          <w:p>
            <w:pPr>
              <w:spacing w:after="0"/>
              <w:rPr>
                <w:b w:val="0"/>
                <w:bCs w:val="0"/>
                <w:noProof/>
                <w:szCs w:val="24"/>
              </w:rPr>
            </w:pPr>
          </w:p>
          <w:p>
            <w:pPr>
              <w:spacing w:after="0"/>
              <w:rPr>
                <w:b w:val="0"/>
                <w:bCs w:val="0"/>
                <w:noProof/>
                <w:szCs w:val="24"/>
              </w:rPr>
            </w:pPr>
          </w:p>
          <w:p>
            <w:pPr>
              <w:spacing w:after="0"/>
              <w:rPr>
                <w:b w:val="0"/>
                <w:bCs w:val="0"/>
                <w:noProof/>
                <w:szCs w:val="24"/>
              </w:rPr>
            </w:pPr>
          </w:p>
          <w:p>
            <w:pPr>
              <w:spacing w:after="0"/>
              <w:rPr>
                <w:noProof/>
                <w:szCs w:val="24"/>
              </w:rPr>
            </w:pPr>
          </w:p>
        </w:tc>
        <w:tc>
          <w:tcPr>
            <w:tcW w:w="1972"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b/>
                <w:noProof/>
                <w:sz w:val="20"/>
              </w:rPr>
            </w:pPr>
            <w:r>
              <w:rPr>
                <w:b/>
                <w:noProof/>
                <w:sz w:val="20"/>
              </w:rPr>
              <w:t xml:space="preserve">Supporting measures </w:t>
            </w:r>
            <w:r>
              <w:rPr>
                <w:noProof/>
                <w:sz w:val="20"/>
              </w:rPr>
              <w:t>would encourage industry sharing, access and use of non-personal data</w:t>
            </w:r>
          </w:p>
        </w:tc>
        <w:tc>
          <w:tcPr>
            <w:tcW w:w="3782" w:type="dxa"/>
            <w:gridSpan w:val="2"/>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Supporting measures would address practical technical or legal issues encountered by businesses (both platforms and their business users) and aim at offering practical solutions.</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Structured dialogues with industry will surface good practices, and could lead to sector or issue-specific recommendations. This would punctually solve issues pointed at by businesses. </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The coordination and sharing of good practices would have positive effects on the lack of awareness and clarity on the policy on non-personal data in relation to the business users. </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The option would not, however, address issues related to the access to and the sharing of personal data in a P2B relationship, e.g. customer e-mail addresses.</w:t>
            </w:r>
          </w:p>
        </w:tc>
        <w:tc>
          <w:tcPr>
            <w:tcW w:w="3788" w:type="dxa"/>
            <w:gridSpan w:val="2"/>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This would have minimal cost implications on the platforms' side, but potentially significant benefits in terms of improving clarity and awareness of data policy, as well as surfacing emerging issues related to data.</w:t>
            </w:r>
          </w:p>
        </w:tc>
        <w:tc>
          <w:tcPr>
            <w:tcW w:w="2933" w:type="dxa"/>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Through the involvement of industry – platforms, business users, and data intermediaries – the option would include by its design safeguards for platform innovation. </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It should encourage innovative solutions to allow for increasing access to and sharing of non-personal data and expansion of good practices across industries.</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rFonts w:eastAsia="Calibri"/>
                <w:noProof/>
                <w:sz w:val="20"/>
              </w:rPr>
            </w:pPr>
            <w:r>
              <w:rPr>
                <w:noProof/>
                <w:sz w:val="20"/>
              </w:rPr>
              <w:t>The option would not only target a fairness objective in business relations, but would support data-driven innovation across the value chain, supporting European businesses in developing their capability for data-driven innovation.</w:t>
            </w:r>
          </w:p>
          <w:p>
            <w:pPr>
              <w:pStyle w:val="ListParagraph"/>
              <w:spacing w:after="0"/>
              <w:ind w:left="146"/>
              <w:cnfStyle w:val="000000000000" w:firstRow="0" w:lastRow="0" w:firstColumn="0" w:lastColumn="0" w:oddVBand="0" w:evenVBand="0" w:oddHBand="0" w:evenHBand="0" w:firstRowFirstColumn="0" w:firstRowLastColumn="0" w:lastRowFirstColumn="0" w:lastRowLastColumn="0"/>
              <w:rPr>
                <w:noProof/>
                <w:sz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tcPr>
          <w:p>
            <w:pPr>
              <w:spacing w:after="0"/>
              <w:rPr>
                <w:noProof/>
                <w:szCs w:val="24"/>
              </w:rPr>
            </w:pPr>
          </w:p>
        </w:tc>
        <w:tc>
          <w:tcPr>
            <w:tcW w:w="1972" w:type="dxa"/>
            <w:shd w:val="clear" w:color="auto" w:fill="auto"/>
          </w:tcPr>
          <w:p>
            <w:pPr>
              <w:spacing w:after="0"/>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Monitoring of development of data-related issues in the platform-to-business relation</w:t>
            </w:r>
          </w:p>
        </w:tc>
        <w:tc>
          <w:tcPr>
            <w:tcW w:w="3782" w:type="dxa"/>
            <w:gridSpan w:val="2"/>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The monitoring function of the EU Observatory would help surface and raise awareness of the issues emerging. </w:t>
            </w:r>
          </w:p>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The monitoring function would ensure that adaptive and responsive intervention is designed as the data-related issues evolve, and particularly the issue of access to and sharing of customers' e-mail addresses. </w:t>
            </w:r>
          </w:p>
        </w:tc>
        <w:tc>
          <w:tcPr>
            <w:tcW w:w="3788" w:type="dxa"/>
            <w:gridSpan w:val="2"/>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Cost implications for the EU Observatory will arise for the European Commission. </w:t>
            </w:r>
          </w:p>
        </w:tc>
        <w:tc>
          <w:tcPr>
            <w:tcW w:w="2933" w:type="dxa"/>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The monitoring function would directly address the need for coherence and proportionality of measures as the issues evolve. </w:t>
            </w:r>
          </w:p>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In particular, the EU Observatory would integrate findings from the evolution of the supporting measures for the data economy.</w:t>
            </w:r>
          </w:p>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Cs w:val="24"/>
              </w:rPr>
            </w:pPr>
            <w:r>
              <w:rPr>
                <w:noProof/>
                <w:sz w:val="20"/>
              </w:rPr>
              <w:t xml:space="preserve"> Monitoring developments of data usage would further complement and support the implementation of the GDPR. More specifically, such monitoring may better inform the Commission in formulating standard conditions in the relationship between data controllers and data processors</w:t>
            </w:r>
            <w:r>
              <w:rPr>
                <w:rStyle w:val="FootnoteReference"/>
                <w:noProof/>
              </w:rPr>
              <w:footnoteReference w:id="168"/>
            </w:r>
            <w:r>
              <w:rPr>
                <w:noProof/>
              </w:rPr>
              <w:t xml:space="preserve"> and </w:t>
            </w:r>
            <w:r>
              <w:rPr>
                <w:noProof/>
                <w:sz w:val="20"/>
              </w:rPr>
              <w:t>help data controllersdemonstrate they have complied with their obligations under the GDPR.</w:t>
            </w:r>
            <w:r>
              <w:rPr>
                <w:noProof/>
              </w:rPr>
              <w:t xml:space="preserve"> </w:t>
            </w:r>
          </w:p>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p>
        </w:tc>
      </w:tr>
      <w:tr>
        <w:tc>
          <w:tcPr>
            <w:cnfStyle w:val="001000000000" w:firstRow="0" w:lastRow="0" w:firstColumn="1" w:lastColumn="0" w:oddVBand="0" w:evenVBand="0" w:oddHBand="0" w:evenHBand="0" w:firstRowFirstColumn="0" w:firstRowLastColumn="0" w:lastRowFirstColumn="0" w:lastRowLastColumn="0"/>
            <w:tcW w:w="1525" w:type="dxa"/>
            <w:vMerge/>
          </w:tcPr>
          <w:p>
            <w:pPr>
              <w:spacing w:after="0"/>
              <w:rPr>
                <w:noProof/>
                <w:szCs w:val="24"/>
              </w:rPr>
            </w:pPr>
          </w:p>
        </w:tc>
        <w:tc>
          <w:tcPr>
            <w:tcW w:w="1972"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b/>
                <w:noProof/>
                <w:sz w:val="20"/>
              </w:rPr>
            </w:pPr>
            <w:r>
              <w:rPr>
                <w:b/>
                <w:noProof/>
                <w:sz w:val="20"/>
              </w:rPr>
              <w:t>Transparency on data policy</w:t>
            </w:r>
          </w:p>
          <w:p>
            <w:pPr>
              <w:spacing w:after="0"/>
              <w:cnfStyle w:val="000000000000" w:firstRow="0" w:lastRow="0" w:firstColumn="0" w:lastColumn="0" w:oddVBand="0" w:evenVBand="0" w:oddHBand="0" w:evenHBand="0" w:firstRowFirstColumn="0" w:firstRowLastColumn="0" w:lastRowFirstColumn="0" w:lastRowLastColumn="0"/>
              <w:rPr>
                <w:b/>
                <w:noProof/>
                <w:sz w:val="20"/>
              </w:rPr>
            </w:pPr>
          </w:p>
        </w:tc>
        <w:tc>
          <w:tcPr>
            <w:tcW w:w="3782" w:type="dxa"/>
            <w:gridSpan w:val="2"/>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The legal provision could bring more certainty and predictability to both business users and to platforms in the use of data. </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The measure could lead to more restrictive data policies imposed in the terms and conditions of online platforms. Platforms would be incentivized to spell out clearly their right to collect and use for wide purposes data from their business users and the transactions they generate on the platform, while defining more restrictively what data business users can access and use.</w:t>
            </w:r>
          </w:p>
        </w:tc>
        <w:tc>
          <w:tcPr>
            <w:tcW w:w="3788" w:type="dxa"/>
            <w:gridSpan w:val="2"/>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The initial cost on the platform should be limited to legal expertise and revision of the terms and conditions, where unclear language is used currently.</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The measure could be burdensome, however, for small platforms who have not defined clearly a data policy. They would be incentivized to adopt broad clauses, restrictive on their business users, to limit risks and legal costs. </w:t>
            </w:r>
          </w:p>
          <w:p>
            <w:pPr>
              <w:spacing w:after="0"/>
              <w:cnfStyle w:val="000000000000" w:firstRow="0" w:lastRow="0" w:firstColumn="0" w:lastColumn="0" w:oddVBand="0" w:evenVBand="0" w:oddHBand="0" w:evenHBand="0" w:firstRowFirstColumn="0" w:firstRowLastColumn="0" w:lastRowFirstColumn="0" w:lastRowLastColumn="0"/>
              <w:rPr>
                <w:noProof/>
                <w:sz w:val="20"/>
              </w:rPr>
            </w:pPr>
          </w:p>
        </w:tc>
        <w:tc>
          <w:tcPr>
            <w:tcW w:w="2933" w:type="dxa"/>
            <w:shd w:val="clear" w:color="auto" w:fill="auto"/>
          </w:tcPr>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As the core of the measure is transparency of the data policy in what concerns data collected and used by the platform and by the business user, the measure should have limited effect on the platform's ability to innovate.</w:t>
            </w:r>
          </w:p>
          <w:p>
            <w:pPr>
              <w:pStyle w:val="ListParagraph"/>
              <w:numPr>
                <w:ilvl w:val="0"/>
                <w:numId w:val="129"/>
              </w:numPr>
              <w:spacing w:after="0"/>
              <w:ind w:left="146" w:hanging="146"/>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An increase in transparency can have positive effects for the innovation potential of business users.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pPr>
              <w:spacing w:after="0"/>
              <w:rPr>
                <w:noProof/>
                <w:szCs w:val="24"/>
              </w:rPr>
            </w:pPr>
          </w:p>
        </w:tc>
        <w:tc>
          <w:tcPr>
            <w:tcW w:w="1984" w:type="dxa"/>
            <w:gridSpan w:val="2"/>
            <w:shd w:val="clear" w:color="auto" w:fill="auto"/>
          </w:tcPr>
          <w:p>
            <w:pPr>
              <w:spacing w:after="0"/>
              <w:jc w:val="lef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Possibility for business users to ask for customers' consent to process e-mail addresses</w:t>
            </w:r>
          </w:p>
        </w:tc>
        <w:tc>
          <w:tcPr>
            <w:tcW w:w="3779" w:type="dxa"/>
            <w:gridSpan w:val="2"/>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This would effectively solve the issue of business users not being able to directly contact customers via e-mail.</w:t>
            </w:r>
          </w:p>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This in turn would enable the most successful business users to scale up and, ultimately, to become more independent of platforms.</w:t>
            </w:r>
          </w:p>
        </w:tc>
        <w:tc>
          <w:tcPr>
            <w:tcW w:w="3779" w:type="dxa"/>
            <w:shd w:val="clear" w:color="auto" w:fill="auto"/>
          </w:tcPr>
          <w:p>
            <w:pPr>
              <w:pStyle w:val="ListParagraph"/>
              <w:numPr>
                <w:ilvl w:val="0"/>
                <w:numId w:val="129"/>
              </w:numPr>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The measure would entail costs for platforms to ensure an adequate technical solution and for business users to safeguard full compliance of their request with the GDPR.</w:t>
            </w:r>
          </w:p>
          <w:p>
            <w:pPr>
              <w:spacing w:after="0"/>
              <w:cnfStyle w:val="000000100000" w:firstRow="0" w:lastRow="0" w:firstColumn="0" w:lastColumn="0" w:oddVBand="0" w:evenVBand="0" w:oddHBand="1" w:evenHBand="0" w:firstRowFirstColumn="0" w:firstRowLastColumn="0" w:lastRowFirstColumn="0" w:lastRowLastColumn="0"/>
              <w:rPr>
                <w:noProof/>
                <w:sz w:val="20"/>
              </w:rPr>
            </w:pPr>
          </w:p>
        </w:tc>
        <w:tc>
          <w:tcPr>
            <w:tcW w:w="2933" w:type="dxa"/>
            <w:shd w:val="clear" w:color="auto" w:fill="auto"/>
          </w:tcPr>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Intermediating between customers and business users by limiting direct contact significantly or channelling it exclusively via the platform is an integral part of the platforms' business model. If customers consent, a negative effect on the platforms' business model could be possible. Arguably, providing this possibility can also have a positive effect on competition and innovation, if platforms increase their efforts to keep both business users and consumers on their platforms. </w:t>
            </w:r>
          </w:p>
          <w:p>
            <w:pPr>
              <w:pStyle w:val="ListParagraph"/>
              <w:numPr>
                <w:ilvl w:val="0"/>
                <w:numId w:val="129"/>
              </w:numPr>
              <w:spacing w:after="0"/>
              <w:ind w:left="146" w:hanging="146"/>
              <w:cnfStyle w:val="000000100000" w:firstRow="0" w:lastRow="0" w:firstColumn="0" w:lastColumn="0" w:oddVBand="0" w:evenVBand="0" w:oddHBand="1" w:evenHBand="0" w:firstRowFirstColumn="0" w:firstRowLastColumn="0" w:lastRowFirstColumn="0" w:lastRowLastColumn="0"/>
              <w:rPr>
                <w:noProof/>
                <w:sz w:val="20"/>
              </w:rPr>
            </w:pPr>
            <w:r>
              <w:rPr>
                <w:noProof/>
                <w:sz w:val="20"/>
              </w:rPr>
              <w:t>At this point of time it is difficult to assess this potential negative impact due to a lack of evidence whether consumers are keen on consenting to such a processing, and whether, and to what extent, are prepared to disintermediate.</w:t>
            </w:r>
          </w:p>
        </w:tc>
      </w:tr>
      <w:tr>
        <w:tc>
          <w:tcPr>
            <w:cnfStyle w:val="001000000000" w:firstRow="0" w:lastRow="0" w:firstColumn="1" w:lastColumn="0" w:oddVBand="0" w:evenVBand="0" w:oddHBand="0" w:evenHBand="0" w:firstRowFirstColumn="0" w:firstRowLastColumn="0" w:lastRowFirstColumn="0" w:lastRowLastColumn="0"/>
            <w:tcW w:w="1525" w:type="dxa"/>
            <w:vMerge w:val="restart"/>
          </w:tcPr>
          <w:p>
            <w:pPr>
              <w:spacing w:after="0"/>
              <w:rPr>
                <w:b w:val="0"/>
                <w:bCs w:val="0"/>
                <w:noProof/>
                <w:szCs w:val="24"/>
              </w:rPr>
            </w:pPr>
            <w:r>
              <w:rPr>
                <w:noProof/>
              </w:rPr>
              <w:t xml:space="preserve">Discrimination of businesses and </w:t>
            </w:r>
            <w:r>
              <w:rPr>
                <w:noProof/>
                <w:szCs w:val="24"/>
              </w:rPr>
              <w:t>favouring</w:t>
            </w:r>
            <w:r>
              <w:rPr>
                <w:noProof/>
              </w:rPr>
              <w:t xml:space="preserve"> of platform's own competing services</w:t>
            </w:r>
          </w:p>
          <w:p>
            <w:pPr>
              <w:spacing w:after="0"/>
              <w:rPr>
                <w:noProof/>
                <w:szCs w:val="24"/>
              </w:rPr>
            </w:pPr>
          </w:p>
        </w:tc>
        <w:tc>
          <w:tcPr>
            <w:tcW w:w="1984" w:type="dxa"/>
            <w:gridSpan w:val="2"/>
            <w:shd w:val="clear" w:color="auto" w:fill="auto"/>
          </w:tcPr>
          <w:p>
            <w:pPr>
              <w:spacing w:after="0"/>
              <w:cnfStyle w:val="000000000000" w:firstRow="0" w:lastRow="0" w:firstColumn="0" w:lastColumn="0" w:oddVBand="0" w:evenVBand="0" w:oddHBand="0" w:evenHBand="0" w:firstRowFirstColumn="0" w:firstRowLastColumn="0" w:lastRowFirstColumn="0" w:lastRowLastColumn="0"/>
              <w:rPr>
                <w:b/>
                <w:noProof/>
                <w:sz w:val="20"/>
                <w:lang w:val="en-US"/>
              </w:rPr>
            </w:pPr>
            <w:r>
              <w:rPr>
                <w:b/>
                <w:noProof/>
                <w:sz w:val="20"/>
              </w:rPr>
              <w:t>Transparency on differential treatment</w:t>
            </w:r>
          </w:p>
        </w:tc>
        <w:tc>
          <w:tcPr>
            <w:tcW w:w="3779" w:type="dxa"/>
            <w:gridSpan w:val="2"/>
            <w:shd w:val="clear" w:color="auto" w:fill="auto"/>
          </w:tcPr>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rPr>
            </w:pPr>
            <w:r>
              <w:rPr>
                <w:noProof/>
                <w:sz w:val="20"/>
              </w:rPr>
              <w:t>Businesses could publicise the disadvantageous treatment imposed on them or decide to focus on platforms that differentiate less or in areas that are less important to the business users.</w:t>
            </w:r>
          </w:p>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The now-savvy end customers could move from the platform to the business' own distribution channel. In turn, this could lead to platforms changing their practices in this area. </w:t>
            </w:r>
          </w:p>
          <w:p>
            <w:pPr>
              <w:pStyle w:val="ListParagraph"/>
              <w:spacing w:after="0"/>
              <w:ind w:left="229"/>
              <w:cnfStyle w:val="000000000000" w:firstRow="0" w:lastRow="0" w:firstColumn="0" w:lastColumn="0" w:oddVBand="0" w:evenVBand="0" w:oddHBand="0" w:evenHBand="0" w:firstRowFirstColumn="0" w:firstRowLastColumn="0" w:lastRowFirstColumn="0" w:lastRowLastColumn="0"/>
              <w:rPr>
                <w:noProof/>
                <w:sz w:val="20"/>
              </w:rPr>
            </w:pPr>
          </w:p>
        </w:tc>
        <w:tc>
          <w:tcPr>
            <w:tcW w:w="3779" w:type="dxa"/>
            <w:shd w:val="clear" w:color="auto" w:fill="auto"/>
          </w:tcPr>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The platforms would face the costs of firstly reviewing their business processes to identify those involving differential treatment, and secondly, the costs linked to the publication of the measures. </w:t>
            </w:r>
          </w:p>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rPr>
            </w:pPr>
            <w:r>
              <w:rPr>
                <w:noProof/>
                <w:sz w:val="20"/>
              </w:rPr>
              <w:t>However, overall, such transparency could drive down the final cost of the product or service to the consumer.</w:t>
            </w:r>
          </w:p>
        </w:tc>
        <w:tc>
          <w:tcPr>
            <w:tcW w:w="2933" w:type="dxa"/>
            <w:shd w:val="clear" w:color="auto" w:fill="auto"/>
          </w:tcPr>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No change of business model required for platforms that use differential treatment for different groups of users.</w:t>
            </w:r>
          </w:p>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rPr>
              <w:t>The impact on innovation would likely be positive. Service platforms could be led to improve their own offer.</w:t>
            </w:r>
          </w:p>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Cs w:val="24"/>
              </w:rPr>
            </w:pPr>
            <w:r>
              <w:rPr>
                <w:noProof/>
                <w:sz w:val="20"/>
                <w:lang w:val="en-US"/>
              </w:rPr>
              <w:t>Enabling businesses users to better understand the strategy contributes to strengthening the right of free competition under Article 16 of the Charter.</w:t>
            </w:r>
            <w:r>
              <w:rPr>
                <w:rStyle w:val="FootnoteReference"/>
                <w:noProof/>
                <w:lang w:val="en"/>
              </w:rPr>
              <w:footnoteReference w:id="169"/>
            </w:r>
            <w:r>
              <w:rPr>
                <w:noProof/>
                <w:lang w:val="en"/>
              </w:rPr>
              <w:t xml:space="preserve"> </w:t>
            </w:r>
          </w:p>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lang w:val="en-US"/>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tcPr>
          <w:p>
            <w:pPr>
              <w:spacing w:after="0"/>
              <w:rPr>
                <w:noProof/>
                <w:szCs w:val="24"/>
              </w:rPr>
            </w:pPr>
          </w:p>
        </w:tc>
        <w:tc>
          <w:tcPr>
            <w:tcW w:w="1984" w:type="dxa"/>
            <w:gridSpan w:val="2"/>
            <w:shd w:val="clear" w:color="auto" w:fill="auto"/>
          </w:tcPr>
          <w:p>
            <w:pPr>
              <w:spacing w:after="0"/>
              <w:cnfStyle w:val="000000100000" w:firstRow="0" w:lastRow="0" w:firstColumn="0" w:lastColumn="0" w:oddVBand="0" w:evenVBand="0" w:oddHBand="1" w:evenHBand="0" w:firstRowFirstColumn="0" w:firstRowLastColumn="0" w:lastRowFirstColumn="0" w:lastRowLastColumn="0"/>
              <w:rPr>
                <w:b/>
                <w:noProof/>
                <w:sz w:val="20"/>
                <w:lang w:val="en-US"/>
              </w:rPr>
            </w:pPr>
            <w:r>
              <w:rPr>
                <w:b/>
                <w:noProof/>
                <w:sz w:val="20"/>
              </w:rPr>
              <w:t>Transparency on conditions to use principal and auxiliary services</w:t>
            </w:r>
          </w:p>
        </w:tc>
        <w:tc>
          <w:tcPr>
            <w:tcW w:w="3779" w:type="dxa"/>
            <w:gridSpan w:val="2"/>
            <w:shd w:val="clear" w:color="auto" w:fill="auto"/>
          </w:tcPr>
          <w:p>
            <w:pPr>
              <w:pStyle w:val="ListParagraph"/>
              <w:numPr>
                <w:ilvl w:val="0"/>
                <w:numId w:val="129"/>
              </w:numPr>
              <w:spacing w:after="0"/>
              <w:ind w:left="229" w:hanging="142"/>
              <w:cnfStyle w:val="000000100000" w:firstRow="0" w:lastRow="0" w:firstColumn="0" w:lastColumn="0" w:oddVBand="0" w:evenVBand="0" w:oddHBand="1" w:evenHBand="0" w:firstRowFirstColumn="0" w:firstRowLastColumn="0" w:lastRowFirstColumn="0" w:lastRowLastColumn="0"/>
              <w:rPr>
                <w:noProof/>
                <w:sz w:val="20"/>
              </w:rPr>
            </w:pPr>
            <w:r>
              <w:rPr>
                <w:noProof/>
                <w:sz w:val="20"/>
              </w:rPr>
              <w:t>Would enable business users to compare the costs of different services at the advertising stage and make a better informed choice.</w:t>
            </w:r>
          </w:p>
        </w:tc>
        <w:tc>
          <w:tcPr>
            <w:tcW w:w="3779" w:type="dxa"/>
            <w:shd w:val="clear" w:color="auto" w:fill="auto"/>
          </w:tcPr>
          <w:p>
            <w:pPr>
              <w:pStyle w:val="ListParagraph"/>
              <w:numPr>
                <w:ilvl w:val="0"/>
                <w:numId w:val="129"/>
              </w:numPr>
              <w:spacing w:after="0"/>
              <w:ind w:left="229" w:hanging="142"/>
              <w:cnfStyle w:val="000000100000" w:firstRow="0" w:lastRow="0" w:firstColumn="0" w:lastColumn="0" w:oddVBand="0" w:evenVBand="0" w:oddHBand="1" w:evenHBand="0" w:firstRowFirstColumn="0" w:firstRowLastColumn="0" w:lastRowFirstColumn="0" w:lastRowLastColumn="0"/>
              <w:rPr>
                <w:noProof/>
                <w:sz w:val="20"/>
              </w:rPr>
            </w:pPr>
            <w:r>
              <w:rPr>
                <w:noProof/>
                <w:sz w:val="20"/>
              </w:rPr>
              <w:t>Good level of cost-efficiency as would entail limited costs for platforms (one-off cost for adapting format of advertising and billing, but no extra processes needed)..</w:t>
            </w:r>
          </w:p>
        </w:tc>
        <w:tc>
          <w:tcPr>
            <w:tcW w:w="2933" w:type="dxa"/>
            <w:shd w:val="clear" w:color="auto" w:fill="auto"/>
          </w:tcPr>
          <w:p>
            <w:pPr>
              <w:pStyle w:val="ListParagraph"/>
              <w:numPr>
                <w:ilvl w:val="0"/>
                <w:numId w:val="129"/>
              </w:numPr>
              <w:spacing w:after="0"/>
              <w:ind w:left="229" w:hanging="142"/>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rPr>
              <w:t>Proportionate since would leave platforms free to determine their price structure and to bundle services.</w:t>
            </w:r>
          </w:p>
        </w:tc>
      </w:tr>
      <w:tr>
        <w:tc>
          <w:tcPr>
            <w:cnfStyle w:val="001000000000" w:firstRow="0" w:lastRow="0" w:firstColumn="1" w:lastColumn="0" w:oddVBand="0" w:evenVBand="0" w:oddHBand="0" w:evenHBand="0" w:firstRowFirstColumn="0" w:firstRowLastColumn="0" w:lastRowFirstColumn="0" w:lastRowLastColumn="0"/>
            <w:tcW w:w="1525" w:type="dxa"/>
          </w:tcPr>
          <w:p>
            <w:pPr>
              <w:spacing w:after="0"/>
              <w:rPr>
                <w:noProof/>
                <w:szCs w:val="24"/>
              </w:rPr>
            </w:pPr>
            <w:r>
              <w:rPr>
                <w:noProof/>
              </w:rPr>
              <w:t>MFNs</w:t>
            </w:r>
          </w:p>
        </w:tc>
        <w:tc>
          <w:tcPr>
            <w:tcW w:w="1984" w:type="dxa"/>
            <w:gridSpan w:val="2"/>
            <w:shd w:val="clear" w:color="auto" w:fill="auto"/>
          </w:tcPr>
          <w:p>
            <w:pPr>
              <w:spacing w:after="0"/>
              <w:cnfStyle w:val="000000000000" w:firstRow="0" w:lastRow="0" w:firstColumn="0" w:lastColumn="0" w:oddVBand="0" w:evenVBand="0" w:oddHBand="0" w:evenHBand="0" w:firstRowFirstColumn="0" w:firstRowLastColumn="0" w:lastRowFirstColumn="0" w:lastRowLastColumn="0"/>
              <w:rPr>
                <w:b/>
                <w:noProof/>
                <w:sz w:val="20"/>
                <w:lang w:val="en-US"/>
              </w:rPr>
            </w:pPr>
            <w:r>
              <w:rPr>
                <w:b/>
                <w:noProof/>
                <w:sz w:val="20"/>
              </w:rPr>
              <w:t>Transparency on use of MFN-clauses, and requirement to justify their use</w:t>
            </w:r>
          </w:p>
        </w:tc>
        <w:tc>
          <w:tcPr>
            <w:tcW w:w="3779" w:type="dxa"/>
            <w:gridSpan w:val="2"/>
            <w:shd w:val="clear" w:color="auto" w:fill="auto"/>
          </w:tcPr>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rPr>
            </w:pPr>
            <w:r>
              <w:rPr>
                <w:noProof/>
                <w:sz w:val="20"/>
              </w:rPr>
              <w:t>Increased clarity for business users on the platform's use of MFNs. They could then take an informed decision to contract (or not) with the platform.</w:t>
            </w:r>
          </w:p>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rPr>
            </w:pPr>
            <w:r>
              <w:rPr>
                <w:noProof/>
                <w:sz w:val="20"/>
              </w:rPr>
              <w:t>Increased scrutiny over platforms' use of MFN clauses, including as a potential additional competitive parameter, could have a dissuasive effect particularly on the use of very restrictive clauses.</w:t>
            </w:r>
          </w:p>
        </w:tc>
        <w:tc>
          <w:tcPr>
            <w:tcW w:w="3779" w:type="dxa"/>
            <w:shd w:val="clear" w:color="auto" w:fill="auto"/>
          </w:tcPr>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rPr>
            </w:pPr>
            <w:r>
              <w:rPr>
                <w:noProof/>
                <w:sz w:val="20"/>
              </w:rPr>
              <w:t>Would contribute to a more predictable business environment for users without interfering with platforms' business models. Would allow for increased external scrutiny.</w:t>
            </w:r>
          </w:p>
        </w:tc>
        <w:tc>
          <w:tcPr>
            <w:tcW w:w="2933" w:type="dxa"/>
            <w:shd w:val="clear" w:color="auto" w:fill="auto"/>
          </w:tcPr>
          <w:p>
            <w:pPr>
              <w:pStyle w:val="ListParagraph"/>
              <w:numPr>
                <w:ilvl w:val="0"/>
                <w:numId w:val="129"/>
              </w:numPr>
              <w:spacing w:after="0"/>
              <w:ind w:left="229" w:hanging="142"/>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rPr>
              <w:t>Would not interfere with platforms' business models since platforms would be left free to decide on MFNs' use. Would allow better understanding of MFNs' role (e.g. pros/cons) for market entry.</w:t>
            </w:r>
          </w:p>
        </w:tc>
      </w:tr>
    </w:tbl>
    <w:p>
      <w:pPr>
        <w:spacing w:after="0"/>
        <w:rPr>
          <w:noProof/>
          <w:lang w:eastAsia="en-GB"/>
        </w:rPr>
      </w:pPr>
    </w:p>
    <w:p>
      <w:pPr>
        <w:spacing w:after="0"/>
        <w:rPr>
          <w:noProof/>
          <w:lang w:eastAsia="en-GB"/>
        </w:rPr>
      </w:pPr>
    </w:p>
    <w:p>
      <w:pPr>
        <w:pStyle w:val="Caption"/>
        <w:keepNext/>
        <w:keepLines/>
        <w:rPr>
          <w:noProof/>
        </w:rPr>
      </w:pPr>
      <w:r>
        <w:rPr>
          <w:noProof/>
        </w:rPr>
        <w:t>Table 2 Assessment of option elements to address lack of effective redress</w:t>
      </w:r>
    </w:p>
    <w:tbl>
      <w:tblPr>
        <w:tblStyle w:val="MediumShading2-Accent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3828"/>
        <w:gridCol w:w="3827"/>
        <w:gridCol w:w="2835"/>
      </w:tblGrid>
      <w:tr>
        <w:trPr>
          <w:cnfStyle w:val="100000000000" w:firstRow="1" w:lastRow="0" w:firstColumn="0" w:lastColumn="0" w:oddVBand="0" w:evenVBand="0" w:oddHBand="0" w:evenHBand="0" w:firstRowFirstColumn="0" w:firstRowLastColumn="0" w:lastRowFirstColumn="0" w:lastRowLastColumn="0"/>
          <w:trHeight w:val="149"/>
        </w:trPr>
        <w:tc>
          <w:tcPr>
            <w:cnfStyle w:val="001000000100" w:firstRow="0" w:lastRow="0" w:firstColumn="1" w:lastColumn="0" w:oddVBand="0" w:evenVBand="0" w:oddHBand="0" w:evenHBand="0" w:firstRowFirstColumn="1" w:firstRowLastColumn="0" w:lastRowFirstColumn="0" w:lastRowLastColumn="0"/>
            <w:tcW w:w="1526" w:type="dxa"/>
          </w:tcPr>
          <w:p>
            <w:pPr>
              <w:keepNext/>
              <w:keepLines/>
              <w:spacing w:after="0"/>
              <w:rPr>
                <w:noProof/>
                <w:u w:val="single"/>
              </w:rPr>
            </w:pPr>
            <w:r>
              <w:rPr>
                <w:noProof/>
                <w:szCs w:val="24"/>
                <w:u w:val="single"/>
              </w:rPr>
              <w:t>Lack of Redress</w:t>
            </w:r>
          </w:p>
        </w:tc>
        <w:tc>
          <w:tcPr>
            <w:tcW w:w="1984" w:type="dxa"/>
          </w:tcPr>
          <w:p>
            <w:pPr>
              <w:keepNext/>
              <w:keepLines/>
              <w:spacing w:after="0"/>
              <w:jc w:val="center"/>
              <w:cnfStyle w:val="100000000000" w:firstRow="1" w:lastRow="0" w:firstColumn="0" w:lastColumn="0" w:oddVBand="0" w:evenVBand="0" w:oddHBand="0" w:evenHBand="0" w:firstRowFirstColumn="0" w:firstRowLastColumn="0" w:lastRowFirstColumn="0" w:lastRowLastColumn="0"/>
              <w:rPr>
                <w:b w:val="0"/>
                <w:noProof/>
              </w:rPr>
            </w:pPr>
            <w:r>
              <w:rPr>
                <w:noProof/>
                <w:szCs w:val="24"/>
                <w:u w:val="single"/>
              </w:rPr>
              <w:t>Option elements</w:t>
            </w:r>
          </w:p>
        </w:tc>
        <w:tc>
          <w:tcPr>
            <w:tcW w:w="3828" w:type="dxa"/>
          </w:tcPr>
          <w:p>
            <w:pPr>
              <w:pStyle w:val="Text1"/>
              <w:keepNext/>
              <w:keepLines/>
              <w:ind w:left="0"/>
              <w:jc w:val="center"/>
              <w:cnfStyle w:val="100000000000" w:firstRow="1" w:lastRow="0" w:firstColumn="0" w:lastColumn="0" w:oddVBand="0" w:evenVBand="0" w:oddHBand="0" w:evenHBand="0" w:firstRowFirstColumn="0" w:firstRowLastColumn="0" w:lastRowFirstColumn="0" w:lastRowLastColumn="0"/>
              <w:rPr>
                <w:noProof/>
                <w:szCs w:val="24"/>
                <w:u w:val="single"/>
              </w:rPr>
            </w:pPr>
            <w:r>
              <w:rPr>
                <w:noProof/>
                <w:szCs w:val="24"/>
                <w:u w:val="single"/>
              </w:rPr>
              <w:t>Effectiveness</w:t>
            </w:r>
          </w:p>
          <w:p>
            <w:pPr>
              <w:pStyle w:val="Text1"/>
              <w:keepNext/>
              <w:keepLines/>
              <w:ind w:left="0"/>
              <w:jc w:val="center"/>
              <w:cnfStyle w:val="100000000000" w:firstRow="1" w:lastRow="0" w:firstColumn="0" w:lastColumn="0" w:oddVBand="0" w:evenVBand="0" w:oddHBand="0" w:evenHBand="0" w:firstRowFirstColumn="0" w:firstRowLastColumn="0" w:lastRowFirstColumn="0" w:lastRowLastColumn="0"/>
              <w:rPr>
                <w:noProof/>
                <w:sz w:val="20"/>
                <w:u w:val="single"/>
              </w:rPr>
            </w:pPr>
            <w:r>
              <w:rPr>
                <w:i/>
                <w:noProof/>
                <w:sz w:val="20"/>
              </w:rPr>
              <w:t>To what extent would the option elements attain the specific objectives?</w:t>
            </w:r>
          </w:p>
        </w:tc>
        <w:tc>
          <w:tcPr>
            <w:tcW w:w="3827" w:type="dxa"/>
          </w:tcPr>
          <w:p>
            <w:pPr>
              <w:pStyle w:val="ListParagraph"/>
              <w:keepNext/>
              <w:keepLines/>
              <w:spacing w:after="0"/>
              <w:ind w:left="114"/>
              <w:jc w:val="center"/>
              <w:cnfStyle w:val="100000000000" w:firstRow="1" w:lastRow="0" w:firstColumn="0" w:lastColumn="0" w:oddVBand="0" w:evenVBand="0" w:oddHBand="0" w:evenHBand="0" w:firstRowFirstColumn="0" w:firstRowLastColumn="0" w:lastRowFirstColumn="0" w:lastRowLastColumn="0"/>
              <w:rPr>
                <w:noProof/>
                <w:szCs w:val="24"/>
                <w:u w:val="single"/>
              </w:rPr>
            </w:pPr>
            <w:r>
              <w:rPr>
                <w:noProof/>
                <w:szCs w:val="24"/>
                <w:u w:val="single"/>
              </w:rPr>
              <w:t xml:space="preserve"> Cost-Efficiency</w:t>
            </w:r>
          </w:p>
          <w:p>
            <w:pPr>
              <w:pStyle w:val="ListParagraph"/>
              <w:keepNext/>
              <w:keepLines/>
              <w:spacing w:after="0"/>
              <w:ind w:left="114"/>
              <w:jc w:val="center"/>
              <w:cnfStyle w:val="100000000000" w:firstRow="1" w:lastRow="0" w:firstColumn="0" w:lastColumn="0" w:oddVBand="0" w:evenVBand="0" w:oddHBand="0" w:evenHBand="0" w:firstRowFirstColumn="0" w:firstRowLastColumn="0" w:lastRowFirstColumn="0" w:lastRowLastColumn="0"/>
              <w:rPr>
                <w:i/>
                <w:noProof/>
                <w:sz w:val="20"/>
              </w:rPr>
            </w:pPr>
          </w:p>
          <w:p>
            <w:pPr>
              <w:pStyle w:val="ListParagraph"/>
              <w:keepNext/>
              <w:keepLines/>
              <w:spacing w:after="0"/>
              <w:ind w:left="114"/>
              <w:jc w:val="center"/>
              <w:cnfStyle w:val="100000000000" w:firstRow="1" w:lastRow="0" w:firstColumn="0" w:lastColumn="0" w:oddVBand="0" w:evenVBand="0" w:oddHBand="0" w:evenHBand="0" w:firstRowFirstColumn="0" w:firstRowLastColumn="0" w:lastRowFirstColumn="0" w:lastRowLastColumn="0"/>
              <w:rPr>
                <w:noProof/>
                <w:u w:val="single"/>
              </w:rPr>
            </w:pPr>
            <w:r>
              <w:rPr>
                <w:i/>
                <w:noProof/>
                <w:sz w:val="20"/>
              </w:rPr>
              <w:t>What is the cost/benefit ratio in attaining the specific objective?</w:t>
            </w:r>
          </w:p>
        </w:tc>
        <w:tc>
          <w:tcPr>
            <w:tcW w:w="2835" w:type="dxa"/>
          </w:tcPr>
          <w:p>
            <w:pPr>
              <w:pStyle w:val="ListParagraph"/>
              <w:keepNext/>
              <w:keepLines/>
              <w:spacing w:after="0"/>
              <w:ind w:left="114"/>
              <w:jc w:val="center"/>
              <w:cnfStyle w:val="100000000000" w:firstRow="1" w:lastRow="0" w:firstColumn="0" w:lastColumn="0" w:oddVBand="0" w:evenVBand="0" w:oddHBand="0" w:evenHBand="0" w:firstRowFirstColumn="0" w:firstRowLastColumn="0" w:lastRowFirstColumn="0" w:lastRowLastColumn="0"/>
              <w:rPr>
                <w:noProof/>
                <w:szCs w:val="24"/>
                <w:u w:val="single"/>
              </w:rPr>
            </w:pPr>
            <w:r>
              <w:rPr>
                <w:noProof/>
                <w:szCs w:val="24"/>
                <w:u w:val="single"/>
              </w:rPr>
              <w:t xml:space="preserve"> Coherence/innovation</w:t>
            </w:r>
          </w:p>
          <w:p>
            <w:pPr>
              <w:pStyle w:val="ListParagraph"/>
              <w:keepNext/>
              <w:keepLines/>
              <w:spacing w:after="0"/>
              <w:ind w:left="114"/>
              <w:jc w:val="center"/>
              <w:cnfStyle w:val="100000000000" w:firstRow="1" w:lastRow="0" w:firstColumn="0" w:lastColumn="0" w:oddVBand="0" w:evenVBand="0" w:oddHBand="0" w:evenHBand="0" w:firstRowFirstColumn="0" w:firstRowLastColumn="0" w:lastRowFirstColumn="0" w:lastRowLastColumn="0"/>
              <w:rPr>
                <w:i/>
                <w:noProof/>
                <w:sz w:val="20"/>
              </w:rPr>
            </w:pPr>
          </w:p>
          <w:p>
            <w:pPr>
              <w:pStyle w:val="ListParagraph"/>
              <w:keepNext/>
              <w:keepLines/>
              <w:spacing w:after="0"/>
              <w:ind w:left="114"/>
              <w:jc w:val="center"/>
              <w:cnfStyle w:val="100000000000" w:firstRow="1" w:lastRow="0" w:firstColumn="0" w:lastColumn="0" w:oddVBand="0" w:evenVBand="0" w:oddHBand="0" w:evenHBand="0" w:firstRowFirstColumn="0" w:firstRowLastColumn="0" w:lastRowFirstColumn="0" w:lastRowLastColumn="0"/>
              <w:rPr>
                <w:noProof/>
                <w:u w:val="single"/>
              </w:rPr>
            </w:pPr>
            <w:r>
              <w:rPr>
                <w:i/>
                <w:noProof/>
                <w:sz w:val="20"/>
              </w:rPr>
              <w:t>Is the option element coherent with the objective of an healthy platform ecosystem?</w:t>
            </w:r>
          </w:p>
        </w:tc>
      </w:tr>
      <w:tr>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526" w:type="dxa"/>
          </w:tcPr>
          <w:p>
            <w:pPr>
              <w:keepNext/>
              <w:keepLines/>
              <w:spacing w:after="0"/>
              <w:rPr>
                <w:noProof/>
                <w:szCs w:val="24"/>
              </w:rPr>
            </w:pPr>
            <w:r>
              <w:rPr>
                <w:noProof/>
                <w:szCs w:val="24"/>
              </w:rPr>
              <w:t>Ineffective intern</w:t>
            </w:r>
            <w:r>
              <w:rPr>
                <w:noProof/>
                <w:szCs w:val="24"/>
                <w:lang w:val="en-US"/>
              </w:rPr>
              <w:t>al complaint-handling mechanisms</w:t>
            </w:r>
          </w:p>
        </w:tc>
        <w:tc>
          <w:tcPr>
            <w:tcW w:w="1984" w:type="dxa"/>
            <w:shd w:val="clear" w:color="auto" w:fill="auto"/>
          </w:tcPr>
          <w:p>
            <w:pPr>
              <w:keepNext/>
              <w:keepLines/>
              <w:spacing w:after="0"/>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Requirements for an effective internal complaint-handling mechanism</w:t>
            </w:r>
          </w:p>
        </w:tc>
        <w:tc>
          <w:tcPr>
            <w:tcW w:w="3828" w:type="dxa"/>
            <w:shd w:val="clear" w:color="auto" w:fill="auto"/>
          </w:tcPr>
          <w:p>
            <w:pPr>
              <w:pStyle w:val="ListParagraph"/>
              <w:keepNext/>
              <w:keepLines/>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Effective, would offer businesses a means to tackle the current lack of redress with the possibility for tailor-made replies and a quick and easy process.</w:t>
            </w:r>
          </w:p>
        </w:tc>
        <w:tc>
          <w:tcPr>
            <w:tcW w:w="3827" w:type="dxa"/>
            <w:shd w:val="clear" w:color="auto" w:fill="auto"/>
          </w:tcPr>
          <w:p>
            <w:pPr>
              <w:pStyle w:val="ListParagraph"/>
              <w:keepNext/>
              <w:keepLines/>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Would entail one-off effects for all platforms as most platforms can be expected to improve existing complaints systems.</w:t>
            </w:r>
          </w:p>
          <w:p>
            <w:pPr>
              <w:pStyle w:val="ListParagraph"/>
              <w:keepNext/>
              <w:keepLines/>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 Additional staffing costs to man the mechanism possible where internal redeployment is not possible or not sufficient. This is likely in particular in case of very small or start-up platforms.</w:t>
            </w:r>
          </w:p>
          <w:p>
            <w:pPr>
              <w:pStyle w:val="ListParagraph"/>
              <w:keepNext/>
              <w:keepLines/>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Could reduce platforms' and businesses' litigation costs if the option results in a reduced number of P2B disputes and businesses were encouraged to use it. </w:t>
            </w:r>
          </w:p>
          <w:p>
            <w:pPr>
              <w:pStyle w:val="ListParagraph"/>
              <w:keepNext/>
              <w:keepLines/>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rPr>
            </w:pPr>
            <w:r>
              <w:rPr>
                <w:noProof/>
                <w:sz w:val="20"/>
              </w:rPr>
              <w:t>Provided that very small platforms are excluded, the cost-efficiency ratio is overall positive since a more effective internal redress is the form of redress which is expected to address the greatest number of issues that business users experience on online platforms.</w:t>
            </w:r>
          </w:p>
        </w:tc>
        <w:tc>
          <w:tcPr>
            <w:tcW w:w="2835" w:type="dxa"/>
            <w:shd w:val="clear" w:color="auto" w:fill="auto"/>
          </w:tcPr>
          <w:p>
            <w:pPr>
              <w:pStyle w:val="ListParagraph"/>
              <w:keepNext/>
              <w:keepLines/>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If technology-neutral, the obligation could it give platforms flexibility to decide how they introduce such a mechanism, which could include automated systems such as chatbots for the initial screening of complaints and leaving only justified claims, to be dealt with by a person. </w:t>
            </w:r>
          </w:p>
          <w:p>
            <w:pPr>
              <w:pStyle w:val="ListParagraph"/>
              <w:keepNext/>
              <w:keepLines/>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 Could raise barriers for start-up platforms when they try to scale up (see also under cost-efficiency). </w:t>
            </w:r>
          </w:p>
          <w:p>
            <w:pPr>
              <w:pStyle w:val="ListParagraph"/>
              <w:keepNext/>
              <w:keepLines/>
              <w:spacing w:after="0"/>
              <w:ind w:left="114"/>
              <w:cnfStyle w:val="000000100000" w:firstRow="0" w:lastRow="0" w:firstColumn="0" w:lastColumn="0" w:oddVBand="0" w:evenVBand="0" w:oddHBand="1" w:evenHBand="0" w:firstRowFirstColumn="0" w:firstRowLastColumn="0" w:lastRowFirstColumn="0" w:lastRowLastColumn="0"/>
              <w:rPr>
                <w:noProof/>
                <w:sz w:val="20"/>
              </w:rPr>
            </w:pPr>
          </w:p>
        </w:tc>
      </w:tr>
      <w:tr>
        <w:trPr>
          <w:trHeight w:val="149"/>
        </w:trPr>
        <w:tc>
          <w:tcPr>
            <w:cnfStyle w:val="001000000000" w:firstRow="0" w:lastRow="0" w:firstColumn="1" w:lastColumn="0" w:oddVBand="0" w:evenVBand="0" w:oddHBand="0" w:evenHBand="0" w:firstRowFirstColumn="0" w:firstRowLastColumn="0" w:lastRowFirstColumn="0" w:lastRowLastColumn="0"/>
            <w:tcW w:w="1526" w:type="dxa"/>
            <w:vMerge w:val="restart"/>
          </w:tcPr>
          <w:p>
            <w:pPr>
              <w:spacing w:after="0"/>
              <w:rPr>
                <w:b w:val="0"/>
                <w:bCs w:val="0"/>
                <w:noProof/>
                <w:szCs w:val="24"/>
              </w:rPr>
            </w:pPr>
            <w:r>
              <w:rPr>
                <w:noProof/>
                <w:szCs w:val="24"/>
              </w:rPr>
              <w:t>Inexistent external redress mechanisms</w:t>
            </w:r>
          </w:p>
          <w:p>
            <w:pPr>
              <w:spacing w:after="0"/>
              <w:rPr>
                <w:b w:val="0"/>
                <w:bCs w:val="0"/>
                <w:noProof/>
                <w:szCs w:val="24"/>
              </w:rPr>
            </w:pPr>
          </w:p>
          <w:p>
            <w:pPr>
              <w:spacing w:after="0"/>
              <w:rPr>
                <w:b w:val="0"/>
                <w:bCs w:val="0"/>
                <w:noProof/>
                <w:szCs w:val="24"/>
              </w:rPr>
            </w:pPr>
          </w:p>
          <w:p>
            <w:pPr>
              <w:spacing w:after="0"/>
              <w:rPr>
                <w:b w:val="0"/>
                <w:bCs w:val="0"/>
                <w:noProof/>
                <w:szCs w:val="24"/>
              </w:rPr>
            </w:pPr>
          </w:p>
          <w:p>
            <w:pPr>
              <w:spacing w:after="0"/>
              <w:rPr>
                <w:b w:val="0"/>
                <w:bCs w:val="0"/>
                <w:noProof/>
                <w:szCs w:val="24"/>
              </w:rPr>
            </w:pPr>
          </w:p>
          <w:p>
            <w:pPr>
              <w:spacing w:after="0"/>
              <w:rPr>
                <w:noProof/>
                <w:szCs w:val="24"/>
              </w:rPr>
            </w:pPr>
          </w:p>
        </w:tc>
        <w:tc>
          <w:tcPr>
            <w:tcW w:w="1984"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b/>
                <w:noProof/>
                <w:sz w:val="20"/>
              </w:rPr>
            </w:pPr>
            <w:r>
              <w:rPr>
                <w:b/>
                <w:noProof/>
                <w:sz w:val="20"/>
              </w:rPr>
              <w:t>Industry-led alternative dispute resolution (mediation)</w:t>
            </w:r>
          </w:p>
        </w:tc>
        <w:tc>
          <w:tcPr>
            <w:tcW w:w="3828" w:type="dxa"/>
            <w:shd w:val="clear" w:color="auto" w:fill="auto"/>
          </w:tcPr>
          <w:p>
            <w:pPr>
              <w:pStyle w:val="Text1"/>
              <w:numPr>
                <w:ilvl w:val="0"/>
                <w:numId w:val="130"/>
              </w:numPr>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Effective, provides a quick, accessible and affordable alternative means of dispute resolution for both platforms and businesses, while leaving businesses and platforms free to bring their case before a competent court, either in parallel with or after the end of the proceedings at the external redress mechanism. </w:t>
            </w:r>
          </w:p>
        </w:tc>
        <w:tc>
          <w:tcPr>
            <w:tcW w:w="3827" w:type="dxa"/>
            <w:shd w:val="clear" w:color="auto" w:fill="auto"/>
          </w:tcPr>
          <w:p>
            <w:pPr>
              <w:pStyle w:val="ListParagraph"/>
              <w:numPr>
                <w:ilvl w:val="0"/>
                <w:numId w:val="57"/>
              </w:numPr>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Would entail some costs to create a new mechanism, but since these are to be shared between multiple platforms, the contribution for each individual platform will be minimal. </w:t>
            </w:r>
          </w:p>
          <w:p>
            <w:pPr>
              <w:pStyle w:val="ListParagraph"/>
              <w:numPr>
                <w:ilvl w:val="0"/>
                <w:numId w:val="57"/>
              </w:numPr>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Where an effective internal redress mechanism exists, this may limit the number of referrals made to such a mechanism.</w:t>
            </w:r>
          </w:p>
          <w:p>
            <w:pPr>
              <w:pStyle w:val="ListParagraph"/>
              <w:numPr>
                <w:ilvl w:val="0"/>
                <w:numId w:val="57"/>
              </w:numPr>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Could reduce platforms' and businesses' litigation costs if the option results in a reduced number of P2B disputes and businesses were encouraged to use it. </w:t>
            </w:r>
          </w:p>
        </w:tc>
        <w:tc>
          <w:tcPr>
            <w:tcW w:w="2835" w:type="dxa"/>
            <w:shd w:val="clear" w:color="auto" w:fill="auto"/>
          </w:tcPr>
          <w:p>
            <w:pPr>
              <w:pStyle w:val="ListParagraph"/>
              <w:numPr>
                <w:ilvl w:val="0"/>
                <w:numId w:val="57"/>
              </w:numPr>
              <w:spacing w:after="0"/>
              <w:ind w:left="114" w:hanging="114"/>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 Provides an alternative means for dispute resolution that can lead to a mutually agreed outcome quickly that can enable a business-relationship to continue.</w:t>
            </w:r>
          </w:p>
        </w:tc>
      </w:tr>
      <w:tr>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526" w:type="dxa"/>
            <w:vMerge/>
          </w:tcPr>
          <w:p>
            <w:pPr>
              <w:spacing w:after="0"/>
              <w:rPr>
                <w:noProof/>
                <w:szCs w:val="24"/>
              </w:rPr>
            </w:pPr>
          </w:p>
        </w:tc>
        <w:tc>
          <w:tcPr>
            <w:tcW w:w="1984" w:type="dxa"/>
            <w:shd w:val="clear" w:color="auto" w:fill="auto"/>
          </w:tcPr>
          <w:p>
            <w:pPr>
              <w:spacing w:after="0"/>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Platforms to list existing EU mediation bodies in their contractual terms and conditions or invite participation in industry-led mediation coupled with an obligation to act in good faith in relation to such proceedings</w:t>
            </w:r>
          </w:p>
        </w:tc>
        <w:tc>
          <w:tcPr>
            <w:tcW w:w="3828" w:type="dxa"/>
            <w:shd w:val="clear" w:color="auto" w:fill="auto"/>
          </w:tcPr>
          <w:p>
            <w:pPr>
              <w:pStyle w:val="Text1"/>
              <w:numPr>
                <w:ilvl w:val="0"/>
                <w:numId w:val="130"/>
              </w:numPr>
              <w:spacing w:after="0"/>
              <w:ind w:left="357" w:hanging="357"/>
              <w:cnfStyle w:val="000000100000" w:firstRow="0" w:lastRow="0" w:firstColumn="0" w:lastColumn="0" w:oddVBand="0" w:evenVBand="0" w:oddHBand="1" w:evenHBand="0" w:firstRowFirstColumn="0" w:firstRowLastColumn="0" w:lastRowFirstColumn="0" w:lastRowLastColumn="0"/>
              <w:rPr>
                <w:noProof/>
                <w:sz w:val="20"/>
              </w:rPr>
            </w:pPr>
            <w:r>
              <w:rPr>
                <w:noProof/>
                <w:sz w:val="20"/>
              </w:rPr>
              <w:t>Would increase the use of an alternative dispute resolution mechanism with the best proven track record in solving P2B disputes.</w:t>
            </w:r>
            <w:r>
              <w:rPr>
                <w:rStyle w:val="FootnoteReference"/>
                <w:noProof/>
                <w:sz w:val="20"/>
              </w:rPr>
              <w:footnoteReference w:id="170"/>
            </w:r>
            <w:r>
              <w:rPr>
                <w:noProof/>
                <w:sz w:val="20"/>
              </w:rPr>
              <w:t xml:space="preserve">  Would leave businesses and platforms free to bring their case before a competent court, either in parallel with or after the end of the proceedings at the external redress mechanism. </w:t>
            </w:r>
          </w:p>
          <w:p>
            <w:pPr>
              <w:pStyle w:val="Text1"/>
              <w:numPr>
                <w:ilvl w:val="0"/>
                <w:numId w:val="130"/>
              </w:numPr>
              <w:spacing w:after="0"/>
              <w:ind w:left="357" w:hanging="357"/>
              <w:cnfStyle w:val="000000100000" w:firstRow="0" w:lastRow="0" w:firstColumn="0" w:lastColumn="0" w:oddVBand="0" w:evenVBand="0" w:oddHBand="1" w:evenHBand="0" w:firstRowFirstColumn="0" w:firstRowLastColumn="0" w:lastRowFirstColumn="0" w:lastRowLastColumn="0"/>
              <w:rPr>
                <w:noProof/>
                <w:sz w:val="20"/>
              </w:rPr>
            </w:pPr>
            <w:r>
              <w:rPr>
                <w:noProof/>
                <w:sz w:val="20"/>
              </w:rPr>
              <w:t>Introducing an obligation on platforms to act in good faith in relation to identified mediators encourages constructive dialogue and resolution in such proceedings.</w:t>
            </w:r>
          </w:p>
        </w:tc>
        <w:tc>
          <w:tcPr>
            <w:tcW w:w="3827" w:type="dxa"/>
            <w:shd w:val="clear" w:color="auto" w:fill="auto"/>
          </w:tcPr>
          <w:p>
            <w:pPr>
              <w:pStyle w:val="ListParagraph"/>
              <w:numPr>
                <w:ilvl w:val="0"/>
                <w:numId w:val="57"/>
              </w:numPr>
              <w:spacing w:after="0"/>
              <w:cnfStyle w:val="000000100000" w:firstRow="0" w:lastRow="0" w:firstColumn="0" w:lastColumn="0" w:oddVBand="0" w:evenVBand="0" w:oddHBand="1" w:evenHBand="0" w:firstRowFirstColumn="0" w:firstRowLastColumn="0" w:lastRowFirstColumn="0" w:lastRowLastColumn="0"/>
              <w:rPr>
                <w:noProof/>
                <w:sz w:val="20"/>
              </w:rPr>
            </w:pPr>
            <w:r>
              <w:rPr>
                <w:noProof/>
                <w:sz w:val="20"/>
              </w:rPr>
              <w:t>Operational and financial terms can be expected, i.e. one-off effort for platforms to adapt their terms and conditions.</w:t>
            </w:r>
          </w:p>
          <w:p>
            <w:pPr>
              <w:pStyle w:val="ListParagraph"/>
              <w:numPr>
                <w:ilvl w:val="0"/>
                <w:numId w:val="57"/>
              </w:numPr>
              <w:spacing w:after="0"/>
              <w:cnfStyle w:val="000000100000" w:firstRow="0" w:lastRow="0" w:firstColumn="0" w:lastColumn="0" w:oddVBand="0" w:evenVBand="0" w:oddHBand="1" w:evenHBand="0" w:firstRowFirstColumn="0" w:firstRowLastColumn="0" w:lastRowFirstColumn="0" w:lastRowLastColumn="0"/>
              <w:rPr>
                <w:noProof/>
                <w:sz w:val="20"/>
              </w:rPr>
            </w:pPr>
            <w:r>
              <w:rPr>
                <w:noProof/>
                <w:sz w:val="20"/>
              </w:rPr>
              <w:t>Could reduce platforms' and businesses' litigation costs if the number of P2B disputes and businesses were encouraged to use it.</w:t>
            </w:r>
          </w:p>
          <w:p>
            <w:pPr>
              <w:spacing w:after="0"/>
              <w:cnfStyle w:val="000000100000" w:firstRow="0" w:lastRow="0" w:firstColumn="0" w:lastColumn="0" w:oddVBand="0" w:evenVBand="0" w:oddHBand="1" w:evenHBand="0" w:firstRowFirstColumn="0" w:firstRowLastColumn="0" w:lastRowFirstColumn="0" w:lastRowLastColumn="0"/>
              <w:rPr>
                <w:noProof/>
                <w:sz w:val="20"/>
              </w:rPr>
            </w:pPr>
          </w:p>
          <w:p>
            <w:pPr>
              <w:pStyle w:val="ListParagraph"/>
              <w:spacing w:after="0"/>
              <w:ind w:left="360"/>
              <w:jc w:val="left"/>
              <w:cnfStyle w:val="000000100000" w:firstRow="0" w:lastRow="0" w:firstColumn="0" w:lastColumn="0" w:oddVBand="0" w:evenVBand="0" w:oddHBand="1" w:evenHBand="0" w:firstRowFirstColumn="0" w:firstRowLastColumn="0" w:lastRowFirstColumn="0" w:lastRowLastColumn="0"/>
              <w:rPr>
                <w:noProof/>
                <w:sz w:val="20"/>
              </w:rPr>
            </w:pPr>
          </w:p>
        </w:tc>
        <w:tc>
          <w:tcPr>
            <w:tcW w:w="2835" w:type="dxa"/>
            <w:shd w:val="clear" w:color="auto" w:fill="auto"/>
          </w:tcPr>
          <w:p>
            <w:pPr>
              <w:pStyle w:val="ListParagraph"/>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 Provides an alternative means for dispute resolution that can lead to a mutually agreed outcome quickly that can enable a business-relationship to continue.</w:t>
            </w:r>
          </w:p>
        </w:tc>
      </w:tr>
      <w:tr>
        <w:trPr>
          <w:trHeight w:val="149"/>
        </w:trPr>
        <w:tc>
          <w:tcPr>
            <w:cnfStyle w:val="001000000000" w:firstRow="0" w:lastRow="0" w:firstColumn="1" w:lastColumn="0" w:oddVBand="0" w:evenVBand="0" w:oddHBand="0" w:evenHBand="0" w:firstRowFirstColumn="0" w:firstRowLastColumn="0" w:lastRowFirstColumn="0" w:lastRowLastColumn="0"/>
            <w:tcW w:w="1526" w:type="dxa"/>
            <w:vMerge/>
          </w:tcPr>
          <w:p>
            <w:pPr>
              <w:spacing w:after="0"/>
              <w:rPr>
                <w:noProof/>
                <w:szCs w:val="24"/>
              </w:rPr>
            </w:pPr>
          </w:p>
        </w:tc>
        <w:tc>
          <w:tcPr>
            <w:tcW w:w="1984"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b/>
                <w:noProof/>
                <w:sz w:val="20"/>
              </w:rPr>
            </w:pPr>
            <w:r>
              <w:rPr>
                <w:b/>
                <w:noProof/>
                <w:sz w:val="20"/>
              </w:rPr>
              <w:t>Establishment of an EU Observatory through an expert group</w:t>
            </w:r>
          </w:p>
        </w:tc>
        <w:tc>
          <w:tcPr>
            <w:tcW w:w="3828" w:type="dxa"/>
            <w:shd w:val="clear" w:color="auto" w:fill="auto"/>
          </w:tcPr>
          <w:p>
            <w:pPr>
              <w:pStyle w:val="Text1"/>
              <w:numPr>
                <w:ilvl w:val="0"/>
                <w:numId w:val="131"/>
              </w:numPr>
              <w:spacing w:after="0"/>
              <w:ind w:left="357" w:hanging="357"/>
              <w:cnfStyle w:val="000000000000" w:firstRow="0" w:lastRow="0" w:firstColumn="0" w:lastColumn="0" w:oddVBand="0" w:evenVBand="0" w:oddHBand="0" w:evenHBand="0" w:firstRowFirstColumn="0" w:firstRowLastColumn="0" w:lastRowFirstColumn="0" w:lastRowLastColumn="0"/>
              <w:rPr>
                <w:noProof/>
                <w:sz w:val="20"/>
              </w:rPr>
            </w:pPr>
            <w:r>
              <w:rPr>
                <w:noProof/>
                <w:sz w:val="20"/>
              </w:rPr>
              <w:t>No immediate impact on quality of redress but mid- and long-term, the measure would improve redress possibilities for business users, both by issuing recommendations and by providing data that businesses can use to substantiate their claims in complaint procedures or court proceedings.</w:t>
            </w:r>
          </w:p>
          <w:p>
            <w:pPr>
              <w:pStyle w:val="Text1"/>
              <w:numPr>
                <w:ilvl w:val="0"/>
                <w:numId w:val="131"/>
              </w:numPr>
              <w:spacing w:after="0"/>
              <w:ind w:left="357" w:hanging="357"/>
              <w:cnfStyle w:val="000000000000" w:firstRow="0" w:lastRow="0" w:firstColumn="0" w:lastColumn="0" w:oddVBand="0" w:evenVBand="0" w:oddHBand="0" w:evenHBand="0" w:firstRowFirstColumn="0" w:firstRowLastColumn="0" w:lastRowFirstColumn="0" w:lastRowLastColumn="0"/>
              <w:rPr>
                <w:noProof/>
                <w:sz w:val="20"/>
              </w:rPr>
            </w:pPr>
            <w:r>
              <w:rPr>
                <w:noProof/>
                <w:sz w:val="20"/>
              </w:rPr>
              <w:t>An independent body dedicated to monitoring the platforms/businesses ecosystem is likely to be perceived positively by the stakeholders, and to reinforce their trust.</w:t>
            </w:r>
          </w:p>
        </w:tc>
        <w:tc>
          <w:tcPr>
            <w:tcW w:w="3827" w:type="dxa"/>
            <w:shd w:val="clear" w:color="auto" w:fill="auto"/>
          </w:tcPr>
          <w:p>
            <w:pPr>
              <w:pStyle w:val="ListParagraph"/>
              <w:numPr>
                <w:ilvl w:val="0"/>
                <w:numId w:val="57"/>
              </w:numPr>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Depending on the legal and administrative forms of the </w:t>
            </w:r>
            <w:r>
              <w:rPr>
                <w:b/>
                <w:noProof/>
                <w:sz w:val="20"/>
              </w:rPr>
              <w:t>EU Observatory</w:t>
            </w:r>
            <w:r>
              <w:rPr>
                <w:noProof/>
                <w:sz w:val="20"/>
              </w:rPr>
              <w:t xml:space="preserve">, associated costs would be borne by the European Commission and (less so) by the Member States, and could be in line with the costs for similar groups set up by the Commission. In return, the group would (among other) produce valuable data, analyses and recommendations that would offset other future expenditure for the Commission. </w:t>
            </w:r>
          </w:p>
          <w:p>
            <w:pPr>
              <w:pStyle w:val="ListParagraph"/>
              <w:spacing w:after="0"/>
              <w:ind w:left="360"/>
              <w:cnfStyle w:val="000000000000" w:firstRow="0" w:lastRow="0" w:firstColumn="0" w:lastColumn="0" w:oddVBand="0" w:evenVBand="0" w:oddHBand="0" w:evenHBand="0" w:firstRowFirstColumn="0" w:firstRowLastColumn="0" w:lastRowFirstColumn="0" w:lastRowLastColumn="0"/>
              <w:rPr>
                <w:noProof/>
                <w:sz w:val="20"/>
              </w:rPr>
            </w:pPr>
          </w:p>
        </w:tc>
        <w:tc>
          <w:tcPr>
            <w:tcW w:w="2835" w:type="dxa"/>
            <w:shd w:val="clear" w:color="auto" w:fill="auto"/>
          </w:tcPr>
          <w:p>
            <w:pPr>
              <w:pStyle w:val="ListParagraph"/>
              <w:numPr>
                <w:ilvl w:val="0"/>
                <w:numId w:val="57"/>
              </w:numPr>
              <w:spacing w:after="0"/>
              <w:ind w:left="114" w:hanging="114"/>
              <w:cnfStyle w:val="000000000000" w:firstRow="0" w:lastRow="0" w:firstColumn="0" w:lastColumn="0" w:oddVBand="0" w:evenVBand="0" w:oddHBand="0" w:evenHBand="0" w:firstRowFirstColumn="0" w:firstRowLastColumn="0" w:lastRowFirstColumn="0" w:lastRowLastColumn="0"/>
              <w:rPr>
                <w:noProof/>
                <w:sz w:val="20"/>
              </w:rPr>
            </w:pPr>
            <w:r>
              <w:rPr>
                <w:noProof/>
                <w:sz w:val="20"/>
              </w:rPr>
              <w:t>The direct impact on innovation is negligible, but indirect impact could be positive, as the measure would enforce businesses' trust in the ecosystem, leading to more participation on their behalf to the Digital Single Market.</w:t>
            </w:r>
          </w:p>
        </w:tc>
      </w:tr>
      <w:tr>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526" w:type="dxa"/>
            <w:vMerge/>
          </w:tcPr>
          <w:p>
            <w:pPr>
              <w:spacing w:after="0"/>
              <w:rPr>
                <w:noProof/>
                <w:szCs w:val="24"/>
              </w:rPr>
            </w:pPr>
          </w:p>
        </w:tc>
        <w:tc>
          <w:tcPr>
            <w:tcW w:w="1984" w:type="dxa"/>
            <w:shd w:val="clear" w:color="auto" w:fill="auto"/>
          </w:tcPr>
          <w:p>
            <w:pPr>
              <w:spacing w:after="0"/>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Legal reporting obligation for platforms on the use and effectiveness of their internal complaint-handling</w:t>
            </w:r>
          </w:p>
        </w:tc>
        <w:tc>
          <w:tcPr>
            <w:tcW w:w="3828" w:type="dxa"/>
            <w:shd w:val="clear" w:color="auto" w:fill="auto"/>
          </w:tcPr>
          <w:p>
            <w:pPr>
              <w:pStyle w:val="Text1"/>
              <w:numPr>
                <w:ilvl w:val="0"/>
                <w:numId w:val="130"/>
              </w:numPr>
              <w:spacing w:after="0"/>
              <w:ind w:left="357" w:hanging="357"/>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The measure would be beneficial for the businesses selling on platforms, as they would be provided with data allowing them to foresee potential issues, rates of success of potential claims, etc. Internal redress systems would become one of the parameters a business would consider when choosing platforms, leading these to improve their systems to keep/increase the number of active businesses. </w:t>
            </w:r>
          </w:p>
          <w:p>
            <w:pPr>
              <w:pStyle w:val="Text1"/>
              <w:numPr>
                <w:ilvl w:val="0"/>
                <w:numId w:val="130"/>
              </w:numPr>
              <w:spacing w:after="0"/>
              <w:ind w:left="357" w:hanging="357"/>
              <w:cnfStyle w:val="000000100000" w:firstRow="0" w:lastRow="0" w:firstColumn="0" w:lastColumn="0" w:oddVBand="0" w:evenVBand="0" w:oddHBand="1" w:evenHBand="0" w:firstRowFirstColumn="0" w:firstRowLastColumn="0" w:lastRowFirstColumn="0" w:lastRowLastColumn="0"/>
              <w:rPr>
                <w:noProof/>
                <w:sz w:val="20"/>
              </w:rPr>
            </w:pPr>
            <w:r>
              <w:rPr>
                <w:noProof/>
                <w:sz w:val="20"/>
              </w:rPr>
              <w:t>In addition, the measure would empower businesses choosing to file complaints against a platform, by providing a source of information to potentially substantiate their claims.</w:t>
            </w:r>
          </w:p>
          <w:p>
            <w:pPr>
              <w:pStyle w:val="Text1"/>
              <w:numPr>
                <w:ilvl w:val="0"/>
                <w:numId w:val="130"/>
              </w:numPr>
              <w:spacing w:after="0"/>
              <w:ind w:left="357" w:hanging="357"/>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Would inform the Commission and the </w:t>
            </w:r>
            <w:r>
              <w:rPr>
                <w:b/>
                <w:noProof/>
                <w:sz w:val="20"/>
              </w:rPr>
              <w:t>EU Observatory</w:t>
            </w:r>
            <w:r>
              <w:rPr>
                <w:noProof/>
                <w:sz w:val="20"/>
              </w:rPr>
              <w:t xml:space="preserve"> in their assessment as whether further steps are required to improve redress.</w:t>
            </w:r>
          </w:p>
        </w:tc>
        <w:tc>
          <w:tcPr>
            <w:tcW w:w="3827" w:type="dxa"/>
            <w:shd w:val="clear" w:color="auto" w:fill="auto"/>
          </w:tcPr>
          <w:p>
            <w:pPr>
              <w:pStyle w:val="ListParagraph"/>
              <w:numPr>
                <w:ilvl w:val="0"/>
                <w:numId w:val="57"/>
              </w:numPr>
              <w:spacing w:after="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The costs for platforms would consist in the set-up of reporting systems, and to ensure the reports are publishes regularly. These costs are estimated to be low to very low, as the information is already available and needs only to be compiled and posted on a website. The businesses are not foreseen to incur any costs. </w:t>
            </w:r>
          </w:p>
        </w:tc>
        <w:tc>
          <w:tcPr>
            <w:tcW w:w="2835" w:type="dxa"/>
            <w:shd w:val="clear" w:color="auto" w:fill="auto"/>
          </w:tcPr>
          <w:p>
            <w:pPr>
              <w:pStyle w:val="ListParagraph"/>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No impact on innovation is foreseen for this measure.</w:t>
            </w:r>
          </w:p>
        </w:tc>
      </w:tr>
      <w:tr>
        <w:trPr>
          <w:trHeight w:val="149"/>
        </w:trPr>
        <w:tc>
          <w:tcPr>
            <w:cnfStyle w:val="001000000000" w:firstRow="0" w:lastRow="0" w:firstColumn="1" w:lastColumn="0" w:oddVBand="0" w:evenVBand="0" w:oddHBand="0" w:evenHBand="0" w:firstRowFirstColumn="0" w:firstRowLastColumn="0" w:lastRowFirstColumn="0" w:lastRowLastColumn="0"/>
            <w:tcW w:w="1526" w:type="dxa"/>
            <w:vMerge/>
          </w:tcPr>
          <w:p>
            <w:pPr>
              <w:spacing w:after="0"/>
              <w:rPr>
                <w:noProof/>
                <w:szCs w:val="24"/>
              </w:rPr>
            </w:pPr>
          </w:p>
        </w:tc>
        <w:tc>
          <w:tcPr>
            <w:tcW w:w="1984"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b/>
                <w:noProof/>
                <w:sz w:val="20"/>
              </w:rPr>
            </w:pPr>
            <w:r>
              <w:rPr>
                <w:b/>
                <w:noProof/>
                <w:sz w:val="20"/>
              </w:rPr>
              <w:t xml:space="preserve">Review clause in legal instrument </w:t>
            </w:r>
          </w:p>
        </w:tc>
        <w:tc>
          <w:tcPr>
            <w:tcW w:w="3828" w:type="dxa"/>
            <w:shd w:val="clear" w:color="auto" w:fill="auto"/>
          </w:tcPr>
          <w:p>
            <w:pPr>
              <w:pStyle w:val="Text1"/>
              <w:numPr>
                <w:ilvl w:val="0"/>
                <w:numId w:val="130"/>
              </w:numPr>
              <w:cnfStyle w:val="000000000000" w:firstRow="0" w:lastRow="0" w:firstColumn="0" w:lastColumn="0" w:oddVBand="0" w:evenVBand="0" w:oddHBand="0" w:evenHBand="0" w:firstRowFirstColumn="0" w:firstRowLastColumn="0" w:lastRowFirstColumn="0" w:lastRowLastColumn="0"/>
              <w:rPr>
                <w:noProof/>
                <w:sz w:val="20"/>
              </w:rPr>
            </w:pPr>
            <w:r>
              <w:rPr>
                <w:noProof/>
                <w:sz w:val="20"/>
              </w:rPr>
              <w:t>This measure would increase the trust of the stakeholders in the legislator's willingness to act if the situation warrants it. Platforms would have a strong incentive to self-regulate or apply the new rules in such a way as to ensure that developments are effective.</w:t>
            </w:r>
          </w:p>
        </w:tc>
        <w:tc>
          <w:tcPr>
            <w:tcW w:w="3827" w:type="dxa"/>
            <w:shd w:val="clear" w:color="auto" w:fill="auto"/>
          </w:tcPr>
          <w:p>
            <w:pPr>
              <w:pStyle w:val="ListParagraph"/>
              <w:numPr>
                <w:ilvl w:val="0"/>
                <w:numId w:val="57"/>
              </w:numPr>
              <w:spacing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No costs are foreseen for the businesses or platforms. The Commission would incur the usual review costs – assessment and analysis of the situation in advance of the review term, potential changes to the legislation if needed, etc. These costs can however be considered as part of the regular activity of the legislating bodies.</w:t>
            </w:r>
          </w:p>
        </w:tc>
        <w:tc>
          <w:tcPr>
            <w:tcW w:w="2835" w:type="dxa"/>
            <w:shd w:val="clear" w:color="auto" w:fill="auto"/>
          </w:tcPr>
          <w:p>
            <w:pPr>
              <w:pStyle w:val="ListParagraph"/>
              <w:numPr>
                <w:ilvl w:val="0"/>
                <w:numId w:val="57"/>
              </w:numPr>
              <w:spacing w:after="0"/>
              <w:ind w:left="114" w:hanging="114"/>
              <w:cnfStyle w:val="000000000000" w:firstRow="0" w:lastRow="0" w:firstColumn="0" w:lastColumn="0" w:oddVBand="0" w:evenVBand="0" w:oddHBand="0" w:evenHBand="0" w:firstRowFirstColumn="0" w:firstRowLastColumn="0" w:lastRowFirstColumn="0" w:lastRowLastColumn="0"/>
              <w:rPr>
                <w:noProof/>
                <w:sz w:val="20"/>
              </w:rPr>
            </w:pPr>
            <w:r>
              <w:rPr>
                <w:noProof/>
                <w:sz w:val="20"/>
              </w:rPr>
              <w:t>The review clause could concern innovation as well, leading the stakeholders to keep this aspect in mind. Overall, the indirect impact, if any, is likely to be positive.</w:t>
            </w:r>
          </w:p>
        </w:tc>
      </w:tr>
      <w:tr>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526" w:type="dxa"/>
            <w:vMerge/>
            <w:tcBorders>
              <w:top w:val="single" w:sz="8" w:space="0" w:color="auto"/>
              <w:left w:val="single" w:sz="18" w:space="0" w:color="auto"/>
              <w:right w:val="single" w:sz="8" w:space="0" w:color="auto"/>
            </w:tcBorders>
          </w:tcPr>
          <w:p>
            <w:pPr>
              <w:spacing w:after="0"/>
              <w:jc w:val="left"/>
              <w:rPr>
                <w:noProof/>
                <w:szCs w:val="24"/>
              </w:rPr>
            </w:pPr>
          </w:p>
        </w:tc>
        <w:tc>
          <w:tcPr>
            <w:tcW w:w="1984" w:type="dxa"/>
            <w:tcBorders>
              <w:top w:val="single" w:sz="8" w:space="0" w:color="auto"/>
              <w:left w:val="single" w:sz="8" w:space="0" w:color="auto"/>
              <w:bottom w:val="single" w:sz="18" w:space="0" w:color="auto"/>
              <w:right w:val="single" w:sz="8" w:space="0" w:color="auto"/>
            </w:tcBorders>
            <w:shd w:val="clear" w:color="auto" w:fill="auto"/>
            <w:vAlign w:val="center"/>
          </w:tcPr>
          <w:p>
            <w:pPr>
              <w:pStyle w:val="ListParagraph"/>
              <w:tabs>
                <w:tab w:val="left" w:pos="175"/>
              </w:tabs>
              <w:ind w:left="0"/>
              <w:jc w:val="left"/>
              <w:cnfStyle w:val="000000100000" w:firstRow="0" w:lastRow="0" w:firstColumn="0" w:lastColumn="0" w:oddVBand="0" w:evenVBand="0" w:oddHBand="1" w:evenHBand="0" w:firstRowFirstColumn="0" w:firstRowLastColumn="0" w:lastRowFirstColumn="0" w:lastRowLastColumn="0"/>
              <w:rPr>
                <w:b/>
                <w:noProof/>
                <w:sz w:val="18"/>
              </w:rPr>
            </w:pPr>
            <w:r>
              <w:rPr>
                <w:b/>
                <w:noProof/>
                <w:sz w:val="20"/>
              </w:rPr>
              <w:t>Legal provisions inherently improve business users' access to (EU) courts. To be combined with collective redress, also to overcome fear of retaliation.</w:t>
            </w:r>
          </w:p>
          <w:p>
            <w:pPr>
              <w:spacing w:after="0"/>
              <w:cnfStyle w:val="000000100000" w:firstRow="0" w:lastRow="0" w:firstColumn="0" w:lastColumn="0" w:oddVBand="0" w:evenVBand="0" w:oddHBand="1" w:evenHBand="0" w:firstRowFirstColumn="0" w:firstRowLastColumn="0" w:lastRowFirstColumn="0" w:lastRowLastColumn="0"/>
              <w:rPr>
                <w:b/>
                <w:noProof/>
                <w:sz w:val="18"/>
              </w:rPr>
            </w:pPr>
          </w:p>
        </w:tc>
        <w:tc>
          <w:tcPr>
            <w:tcW w:w="3828" w:type="dxa"/>
            <w:tcBorders>
              <w:top w:val="single" w:sz="8" w:space="0" w:color="auto"/>
              <w:left w:val="single" w:sz="8" w:space="0" w:color="auto"/>
              <w:bottom w:val="single" w:sz="18" w:space="0" w:color="auto"/>
              <w:right w:val="single" w:sz="8" w:space="0" w:color="auto"/>
            </w:tcBorders>
            <w:shd w:val="clear" w:color="auto" w:fill="auto"/>
          </w:tcPr>
          <w:p>
            <w:pPr>
              <w:pStyle w:val="Text1"/>
              <w:numPr>
                <w:ilvl w:val="0"/>
                <w:numId w:val="130"/>
              </w:numPr>
              <w:cnfStyle w:val="000000100000" w:firstRow="0" w:lastRow="0" w:firstColumn="0" w:lastColumn="0" w:oddVBand="0" w:evenVBand="0" w:oddHBand="1" w:evenHBand="0" w:firstRowFirstColumn="0" w:firstRowLastColumn="0" w:lastRowFirstColumn="0" w:lastRowLastColumn="0"/>
              <w:rPr>
                <w:noProof/>
              </w:rPr>
            </w:pPr>
            <w:r>
              <w:rPr>
                <w:noProof/>
                <w:sz w:val="20"/>
              </w:rPr>
              <w:t>Improves the ability for businesses to bring proceedings against the platform in the (EU) courts by putting in place P2B rules that can be interpreted by EU courts as tort law</w:t>
            </w:r>
            <w:r>
              <w:rPr>
                <w:rStyle w:val="FootnoteReference"/>
                <w:noProof/>
                <w:sz w:val="20"/>
              </w:rPr>
              <w:footnoteReference w:id="171"/>
            </w:r>
            <w:r>
              <w:rPr>
                <w:noProof/>
                <w:sz w:val="20"/>
              </w:rPr>
              <w:t xml:space="preserve"> (which would allow EU Courts to discard exclusive choice of court agreements) according to Member States' rules on jurisdiction in line with the Hague Convention</w:t>
            </w:r>
            <w:r>
              <w:rPr>
                <w:rStyle w:val="FootnoteReference"/>
                <w:noProof/>
                <w:sz w:val="20"/>
              </w:rPr>
              <w:footnoteReference w:id="172"/>
            </w:r>
            <w:r>
              <w:rPr>
                <w:noProof/>
                <w:sz w:val="20"/>
              </w:rPr>
              <w:t>, or as overriding mandatory provisions according to Rome I</w:t>
            </w:r>
            <w:r>
              <w:rPr>
                <w:rStyle w:val="FootnoteReference"/>
                <w:noProof/>
                <w:sz w:val="20"/>
              </w:rPr>
              <w:footnoteReference w:id="173"/>
            </w:r>
            <w:r>
              <w:rPr>
                <w:noProof/>
                <w:sz w:val="20"/>
              </w:rPr>
              <w:t xml:space="preserve"> and Rome II</w:t>
            </w:r>
            <w:r>
              <w:rPr>
                <w:rStyle w:val="FootnoteReference"/>
                <w:noProof/>
                <w:sz w:val="20"/>
              </w:rPr>
              <w:footnoteReference w:id="174"/>
            </w:r>
            <w:r>
              <w:rPr>
                <w:noProof/>
                <w:sz w:val="20"/>
              </w:rPr>
              <w:t xml:space="preserve"> (which would allow EU Courts to discard exclusive choice of law agreements). This is especially the case where a collective interest action is brought under the relevant EU P2B rules which is not directly linked to the contract concluded between individual businesses and the platform.</w:t>
            </w:r>
            <w:r>
              <w:rPr>
                <w:rStyle w:val="FootnoteReference"/>
                <w:noProof/>
                <w:sz w:val="20"/>
              </w:rPr>
              <w:footnoteReference w:id="175"/>
            </w:r>
          </w:p>
        </w:tc>
        <w:tc>
          <w:tcPr>
            <w:tcW w:w="3827" w:type="dxa"/>
            <w:tcBorders>
              <w:top w:val="single" w:sz="8" w:space="0" w:color="auto"/>
              <w:left w:val="single" w:sz="8" w:space="0" w:color="auto"/>
              <w:bottom w:val="single" w:sz="18" w:space="0" w:color="auto"/>
              <w:right w:val="single" w:sz="8" w:space="0" w:color="auto"/>
            </w:tcBorders>
            <w:shd w:val="clear" w:color="auto" w:fill="auto"/>
          </w:tcPr>
          <w:p>
            <w:pPr>
              <w:pStyle w:val="ListParagraph"/>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Reduces the cost for businesses to bring a legal challenge.</w:t>
            </w:r>
          </w:p>
          <w:p>
            <w:pPr>
              <w:pStyle w:val="ListParagraph"/>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Addresses the fear of retaliation, as representative bodies can act on behalf of business users, either at their own initiative or informed by (anonymous) complaints. </w:t>
            </w:r>
          </w:p>
          <w:p>
            <w:pPr>
              <w:pStyle w:val="ListParagraph"/>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In cases where platforms' behaviour warrants a legal challenge, potentially increases legal costs if businesses seize the opportunity to bring more cases due to improved access to EU courts – but this is the logical consequence of improving business users' access to justice.</w:t>
            </w:r>
          </w:p>
          <w:p>
            <w:pPr>
              <w:pStyle w:val="ListParagraph"/>
              <w:spacing w:after="0"/>
              <w:ind w:left="114"/>
              <w:cnfStyle w:val="000000100000" w:firstRow="0" w:lastRow="0" w:firstColumn="0" w:lastColumn="0" w:oddVBand="0" w:evenVBand="0" w:oddHBand="1" w:evenHBand="0" w:firstRowFirstColumn="0" w:firstRowLastColumn="0" w:lastRowFirstColumn="0" w:lastRowLastColumn="0"/>
              <w:rPr>
                <w:noProof/>
                <w:sz w:val="20"/>
              </w:rPr>
            </w:pPr>
          </w:p>
        </w:tc>
        <w:tc>
          <w:tcPr>
            <w:tcW w:w="2835" w:type="dxa"/>
            <w:tcBorders>
              <w:top w:val="single" w:sz="8" w:space="0" w:color="auto"/>
              <w:left w:val="single" w:sz="8" w:space="0" w:color="auto"/>
              <w:bottom w:val="single" w:sz="18" w:space="0" w:color="auto"/>
              <w:right w:val="single" w:sz="18" w:space="0" w:color="auto"/>
            </w:tcBorders>
            <w:shd w:val="clear" w:color="auto" w:fill="auto"/>
          </w:tcPr>
          <w:p>
            <w:pPr>
              <w:pStyle w:val="ListParagraph"/>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Retains platforms' freedom to choose law and forum while offering businesses an alternative means to bring claims against platforms.</w:t>
            </w:r>
          </w:p>
          <w:p>
            <w:pPr>
              <w:pStyle w:val="ListParagraph"/>
              <w:numPr>
                <w:ilvl w:val="0"/>
                <w:numId w:val="57"/>
              </w:numPr>
              <w:spacing w:after="0"/>
              <w:ind w:left="114" w:hanging="114"/>
              <w:cnfStyle w:val="000000100000" w:firstRow="0" w:lastRow="0" w:firstColumn="0" w:lastColumn="0" w:oddVBand="0" w:evenVBand="0" w:oddHBand="1" w:evenHBand="0" w:firstRowFirstColumn="0" w:firstRowLastColumn="0" w:lastRowFirstColumn="0" w:lastRowLastColumn="0"/>
              <w:rPr>
                <w:noProof/>
                <w:sz w:val="20"/>
              </w:rPr>
            </w:pPr>
            <w:r>
              <w:rPr>
                <w:noProof/>
                <w:sz w:val="20"/>
              </w:rPr>
              <w:t>No real impact on innovation likely.</w:t>
            </w:r>
          </w:p>
        </w:tc>
      </w:tr>
    </w:tbl>
    <w:p>
      <w:pPr>
        <w:pStyle w:val="Caption"/>
        <w:rPr>
          <w:noProof/>
          <w:lang w:eastAsia="en-GB"/>
        </w:rPr>
        <w:sectPr>
          <w:headerReference w:type="even" r:id="rId57"/>
          <w:headerReference w:type="default" r:id="rId58"/>
          <w:footerReference w:type="even" r:id="rId59"/>
          <w:footerReference w:type="default" r:id="rId60"/>
          <w:headerReference w:type="first" r:id="rId61"/>
          <w:footerReference w:type="first" r:id="rId62"/>
          <w:pgSz w:w="16838" w:h="11906" w:orient="landscape"/>
          <w:pgMar w:top="1417" w:right="1417" w:bottom="1417" w:left="1417" w:header="708" w:footer="708" w:gutter="0"/>
          <w:cols w:space="708"/>
          <w:titlePg/>
          <w:docGrid w:linePitch="360"/>
        </w:sectPr>
      </w:pPr>
    </w:p>
    <w:p>
      <w:pPr>
        <w:rPr>
          <w:noProof/>
          <w:szCs w:val="24"/>
        </w:rPr>
      </w:pPr>
      <w:r>
        <w:rPr>
          <w:noProof/>
          <w:szCs w:val="24"/>
        </w:rPr>
        <w:t>Table 3: Overview of discarded policy elements</w:t>
      </w:r>
    </w:p>
    <w:tbl>
      <w:tblPr>
        <w:tblStyle w:val="TableGrid1"/>
        <w:tblW w:w="5000" w:type="pct"/>
        <w:tblLook w:val="04A0" w:firstRow="1" w:lastRow="0" w:firstColumn="1" w:lastColumn="0" w:noHBand="0" w:noVBand="1"/>
      </w:tblPr>
      <w:tblGrid>
        <w:gridCol w:w="4644"/>
        <w:gridCol w:w="4644"/>
      </w:tblGrid>
      <w:tr>
        <w:tc>
          <w:tcPr>
            <w:tcW w:w="2500" w:type="pct"/>
          </w:tcPr>
          <w:p>
            <w:pPr>
              <w:rPr>
                <w:rFonts w:eastAsiaTheme="minorHAnsi" w:cstheme="minorBidi"/>
                <w:b/>
                <w:noProof/>
                <w:szCs w:val="22"/>
              </w:rPr>
            </w:pPr>
            <w:r>
              <w:rPr>
                <w:rFonts w:asciiTheme="minorHAnsi" w:eastAsiaTheme="minorHAnsi" w:hAnsiTheme="minorHAnsi" w:cstheme="minorBidi"/>
                <w:b/>
                <w:noProof/>
                <w:szCs w:val="22"/>
              </w:rPr>
              <w:t>Policy option</w:t>
            </w:r>
          </w:p>
        </w:tc>
        <w:tc>
          <w:tcPr>
            <w:tcW w:w="2500" w:type="pct"/>
          </w:tcPr>
          <w:p>
            <w:pPr>
              <w:rPr>
                <w:rFonts w:eastAsiaTheme="minorHAnsi" w:cstheme="minorBidi"/>
                <w:b/>
                <w:noProof/>
                <w:szCs w:val="22"/>
              </w:rPr>
            </w:pPr>
            <w:r>
              <w:rPr>
                <w:rFonts w:asciiTheme="minorHAnsi" w:eastAsiaTheme="minorHAnsi" w:hAnsiTheme="minorHAnsi" w:cstheme="minorBidi"/>
                <w:b/>
                <w:noProof/>
                <w:szCs w:val="22"/>
              </w:rPr>
              <w:t xml:space="preserve">Reason for discarding </w:t>
            </w:r>
          </w:p>
        </w:tc>
      </w:tr>
      <w:tr>
        <w:tc>
          <w:tcPr>
            <w:tcW w:w="5000" w:type="pct"/>
            <w:gridSpan w:val="2"/>
          </w:tcPr>
          <w:p>
            <w:pPr>
              <w:jc w:val="center"/>
              <w:rPr>
                <w:rFonts w:eastAsiaTheme="minorHAnsi" w:cstheme="minorBidi"/>
                <w:b/>
                <w:noProof/>
                <w:szCs w:val="22"/>
              </w:rPr>
            </w:pPr>
            <w:r>
              <w:rPr>
                <w:rFonts w:asciiTheme="minorHAnsi" w:eastAsiaTheme="minorHAnsi" w:hAnsiTheme="minorHAnsi" w:cstheme="minorBidi"/>
                <w:b/>
                <w:noProof/>
                <w:szCs w:val="22"/>
              </w:rPr>
              <w:t>Addressing potentially harmful trading practices</w:t>
            </w:r>
          </w:p>
        </w:tc>
      </w:tr>
      <w:tr>
        <w:tc>
          <w:tcPr>
            <w:tcW w:w="2500" w:type="pct"/>
          </w:tcPr>
          <w:p>
            <w:pPr>
              <w:rPr>
                <w:rFonts w:eastAsiaTheme="minorHAnsi" w:cstheme="minorBidi"/>
                <w:noProof/>
                <w:szCs w:val="22"/>
              </w:rPr>
            </w:pPr>
            <w:r>
              <w:rPr>
                <w:rFonts w:asciiTheme="minorHAnsi" w:eastAsiaTheme="minorHAnsi" w:hAnsiTheme="minorHAnsi"/>
                <w:noProof/>
              </w:rPr>
              <w:t>Imposing by regulation fixed, mandatory notice periods for changes in terms and conditions on platform</w:t>
            </w:r>
          </w:p>
        </w:tc>
        <w:tc>
          <w:tcPr>
            <w:tcW w:w="2500" w:type="pct"/>
          </w:tcPr>
          <w:p>
            <w:pPr>
              <w:rPr>
                <w:rFonts w:eastAsiaTheme="minorHAnsi" w:cstheme="minorBidi"/>
                <w:noProof/>
                <w:szCs w:val="22"/>
              </w:rPr>
            </w:pPr>
            <w:r>
              <w:rPr>
                <w:rFonts w:asciiTheme="minorHAnsi" w:eastAsiaTheme="minorHAnsi" w:hAnsiTheme="minorHAnsi" w:cstheme="minorBidi"/>
                <w:noProof/>
                <w:szCs w:val="22"/>
              </w:rPr>
              <w:t xml:space="preserve">This option is discarded as an inappropriate 'one-size fits all' approach unsuitable if changes in terms and conditions could be beneficial to business users that they may wish to opt-in for at an earlier point in time. </w:t>
            </w:r>
          </w:p>
        </w:tc>
      </w:tr>
      <w:tr>
        <w:tc>
          <w:tcPr>
            <w:tcW w:w="2500" w:type="pct"/>
          </w:tcPr>
          <w:p>
            <w:pPr>
              <w:rPr>
                <w:rFonts w:eastAsiaTheme="minorHAnsi" w:cstheme="minorBidi"/>
                <w:noProof/>
                <w:szCs w:val="22"/>
              </w:rPr>
            </w:pPr>
            <w:r>
              <w:rPr>
                <w:rFonts w:asciiTheme="minorHAnsi" w:eastAsiaTheme="minorHAnsi" w:hAnsiTheme="minorHAnsi" w:cstheme="minorBidi"/>
                <w:noProof/>
                <w:szCs w:val="22"/>
              </w:rPr>
              <w:t>Establishing in a legislative instrument a list of permitted or prohibited grounds for delisting and suspension</w:t>
            </w:r>
          </w:p>
        </w:tc>
        <w:tc>
          <w:tcPr>
            <w:tcW w:w="2500" w:type="pct"/>
          </w:tcPr>
          <w:p>
            <w:pPr>
              <w:rPr>
                <w:rFonts w:eastAsiaTheme="minorHAnsi" w:cstheme="minorBidi"/>
                <w:noProof/>
                <w:szCs w:val="22"/>
              </w:rPr>
            </w:pPr>
            <w:r>
              <w:rPr>
                <w:rFonts w:asciiTheme="minorHAnsi" w:eastAsiaTheme="minorHAnsi" w:hAnsiTheme="minorHAnsi" w:cstheme="minorBidi"/>
                <w:noProof/>
                <w:szCs w:val="22"/>
              </w:rPr>
              <w:t>This option is discarded as it would be burdensome, is not future-proof and could be circumvented by stipulating 'false' reasons.</w:t>
            </w:r>
          </w:p>
        </w:tc>
      </w:tr>
      <w:tr>
        <w:tc>
          <w:tcPr>
            <w:tcW w:w="2500" w:type="pct"/>
          </w:tcPr>
          <w:p>
            <w:pPr>
              <w:rPr>
                <w:rFonts w:eastAsiaTheme="minorHAnsi" w:cstheme="minorBidi"/>
                <w:noProof/>
                <w:szCs w:val="22"/>
              </w:rPr>
            </w:pPr>
            <w:r>
              <w:rPr>
                <w:rFonts w:asciiTheme="minorHAnsi" w:eastAsiaTheme="minorHAnsi" w:hAnsiTheme="minorHAnsi" w:cstheme="minorBidi"/>
                <w:noProof/>
                <w:szCs w:val="22"/>
              </w:rPr>
              <w:t>An obligation for platforms to disclose to their business users the algorithms used for ranking and any changes to them</w:t>
            </w:r>
          </w:p>
        </w:tc>
        <w:tc>
          <w:tcPr>
            <w:tcW w:w="2500" w:type="pct"/>
          </w:tcPr>
          <w:p>
            <w:pPr>
              <w:rPr>
                <w:rFonts w:eastAsiaTheme="minorHAnsi" w:cstheme="minorBidi"/>
                <w:noProof/>
                <w:szCs w:val="22"/>
              </w:rPr>
            </w:pPr>
            <w:r>
              <w:rPr>
                <w:rFonts w:asciiTheme="minorHAnsi" w:eastAsiaTheme="minorHAnsi" w:hAnsiTheme="minorHAnsi" w:cstheme="minorBidi"/>
                <w:noProof/>
                <w:szCs w:val="22"/>
              </w:rPr>
              <w:t>This option is discarded as it would generally interfere with trade secrets and make the functioning of the ranking algorithm vulnerable to interference. It would not effectively address the problem faced by the business users.</w:t>
            </w:r>
            <w:r>
              <w:rPr>
                <w:rFonts w:asciiTheme="minorHAnsi" w:eastAsiaTheme="minorHAnsi" w:hAnsiTheme="minorHAnsi" w:cstheme="minorBidi"/>
                <w:noProof/>
                <w:szCs w:val="22"/>
                <w:vertAlign w:val="superscript"/>
              </w:rPr>
              <w:footnoteReference w:id="176"/>
            </w:r>
          </w:p>
        </w:tc>
      </w:tr>
      <w:tr>
        <w:tc>
          <w:tcPr>
            <w:tcW w:w="2500" w:type="pct"/>
          </w:tcPr>
          <w:p>
            <w:pPr>
              <w:rPr>
                <w:rFonts w:eastAsiaTheme="minorHAnsi" w:cstheme="minorBidi"/>
                <w:noProof/>
                <w:szCs w:val="22"/>
              </w:rPr>
            </w:pPr>
            <w:r>
              <w:rPr>
                <w:rFonts w:asciiTheme="minorHAnsi" w:eastAsiaTheme="minorHAnsi" w:hAnsiTheme="minorHAnsi" w:cstheme="minorBidi"/>
                <w:noProof/>
                <w:szCs w:val="22"/>
              </w:rPr>
              <w:t>A prohibition for platforms to favour certain businesses active on their market places, including platform-owned business users or bundled, auxiliary services (e.g. payment, advertising), be it in terms of transparency, access or any other conditions</w:t>
            </w:r>
          </w:p>
        </w:tc>
        <w:tc>
          <w:tcPr>
            <w:tcW w:w="2500" w:type="pct"/>
          </w:tcPr>
          <w:p>
            <w:pPr>
              <w:rPr>
                <w:rFonts w:eastAsiaTheme="minorHAnsi" w:cstheme="minorBidi"/>
                <w:noProof/>
                <w:szCs w:val="22"/>
              </w:rPr>
            </w:pPr>
            <w:r>
              <w:rPr>
                <w:rFonts w:asciiTheme="minorHAnsi" w:eastAsiaTheme="minorHAnsi" w:hAnsiTheme="minorHAnsi" w:cstheme="minorBidi"/>
                <w:noProof/>
                <w:szCs w:val="22"/>
              </w:rPr>
              <w:t>This option is discarded as it would be disproportionate, as platforms would not be free to determine their price structure and bundle services.</w:t>
            </w:r>
          </w:p>
        </w:tc>
      </w:tr>
      <w:tr>
        <w:tc>
          <w:tcPr>
            <w:tcW w:w="5000" w:type="pct"/>
            <w:gridSpan w:val="2"/>
          </w:tcPr>
          <w:p>
            <w:pPr>
              <w:tabs>
                <w:tab w:val="left" w:pos="537"/>
              </w:tabs>
              <w:jc w:val="center"/>
              <w:rPr>
                <w:rFonts w:eastAsiaTheme="minorHAnsi" w:cstheme="minorBidi"/>
                <w:b/>
                <w:noProof/>
                <w:szCs w:val="22"/>
              </w:rPr>
            </w:pPr>
            <w:r>
              <w:rPr>
                <w:rFonts w:asciiTheme="minorHAnsi" w:eastAsiaTheme="minorHAnsi" w:hAnsiTheme="minorHAnsi" w:cstheme="minorBidi"/>
                <w:b/>
                <w:noProof/>
                <w:szCs w:val="22"/>
              </w:rPr>
              <w:t>Inefficient redress</w:t>
            </w:r>
          </w:p>
        </w:tc>
      </w:tr>
      <w:tr>
        <w:tc>
          <w:tcPr>
            <w:tcW w:w="2500" w:type="pct"/>
          </w:tcPr>
          <w:p>
            <w:pPr>
              <w:rPr>
                <w:rFonts w:eastAsiaTheme="minorHAnsi" w:cstheme="minorBidi"/>
                <w:noProof/>
                <w:szCs w:val="22"/>
              </w:rPr>
            </w:pPr>
            <w:r>
              <w:rPr>
                <w:rFonts w:asciiTheme="minorHAnsi" w:eastAsiaTheme="minorHAnsi" w:hAnsiTheme="minorHAnsi" w:cstheme="minorBidi"/>
                <w:noProof/>
                <w:szCs w:val="22"/>
              </w:rPr>
              <w:t>An obligation for Member States to ensure effective enforcement of, and efficient dispute resolution on, the P2B rules by designating competent authorities</w:t>
            </w:r>
          </w:p>
        </w:tc>
        <w:tc>
          <w:tcPr>
            <w:tcW w:w="2500" w:type="pct"/>
          </w:tcPr>
          <w:p>
            <w:pPr>
              <w:rPr>
                <w:rFonts w:eastAsiaTheme="minorHAnsi" w:cstheme="minorBidi"/>
                <w:noProof/>
                <w:szCs w:val="22"/>
              </w:rPr>
            </w:pPr>
            <w:r>
              <w:rPr>
                <w:rFonts w:asciiTheme="minorHAnsi" w:eastAsiaTheme="minorHAnsi" w:hAnsiTheme="minorHAnsi" w:cstheme="minorBidi"/>
                <w:noProof/>
                <w:szCs w:val="22"/>
              </w:rPr>
              <w:t>This option is discarded, as it would have disproportionately high costs for Member States who would need to either create a new authority or designate an existing one and in both cases provide sufficient resources for the authority to fulfil its (additional) tasks.</w:t>
            </w:r>
          </w:p>
        </w:tc>
      </w:tr>
      <w:tr>
        <w:tc>
          <w:tcPr>
            <w:tcW w:w="2500" w:type="pct"/>
          </w:tcPr>
          <w:p>
            <w:pPr>
              <w:rPr>
                <w:rFonts w:eastAsiaTheme="minorHAnsi" w:cstheme="minorBidi"/>
                <w:noProof/>
                <w:szCs w:val="22"/>
              </w:rPr>
            </w:pPr>
            <w:r>
              <w:rPr>
                <w:rFonts w:asciiTheme="minorHAnsi" w:eastAsiaTheme="minorHAnsi" w:hAnsiTheme="minorHAnsi" w:cstheme="minorBidi"/>
                <w:noProof/>
                <w:szCs w:val="22"/>
              </w:rPr>
              <w:t>EU-level ombudsman to be set-up to deal with referrals from national mediators, and to assess recurring transversal and cross-border issues</w:t>
            </w:r>
          </w:p>
          <w:p>
            <w:pPr>
              <w:rPr>
                <w:rFonts w:eastAsiaTheme="minorHAnsi" w:cstheme="minorBidi"/>
                <w:noProof/>
                <w:szCs w:val="22"/>
              </w:rPr>
            </w:pPr>
          </w:p>
        </w:tc>
        <w:tc>
          <w:tcPr>
            <w:tcW w:w="2500" w:type="pct"/>
          </w:tcPr>
          <w:p>
            <w:pPr>
              <w:rPr>
                <w:rFonts w:eastAsiaTheme="minorHAnsi" w:cstheme="minorBidi"/>
                <w:noProof/>
                <w:szCs w:val="22"/>
              </w:rPr>
            </w:pPr>
            <w:r>
              <w:rPr>
                <w:rFonts w:asciiTheme="minorHAnsi" w:eastAsiaTheme="minorHAnsi" w:hAnsiTheme="minorHAnsi" w:cstheme="minorBidi"/>
                <w:noProof/>
                <w:szCs w:val="22"/>
              </w:rPr>
              <w:t xml:space="preserve">This option is discarded as it would have </w:t>
            </w:r>
            <w:r>
              <w:rPr>
                <w:rFonts w:asciiTheme="minorHAnsi" w:eastAsiaTheme="minorHAnsi" w:hAnsiTheme="minorHAnsi" w:cstheme="minorBidi"/>
                <w:noProof/>
              </w:rPr>
              <w:t>disproportionately high costs for Member States who would need to provide sufficient resources for the creation and operation of the ombudsman or regulator. While a regulator or ombudsman could assist with ensuring independence and anonymity in terms of redress, which are criticisms of existing schemes like the Supply Chain Initiative, the alternatives of giving business associations standing and for platforms to act in good faith in relation to any mediation attempts and to report to the EU Observatory on the functioning of their redress systems, were considered more appropriate with the later taking on role of policing that a regulator or ombudsman would perform.</w:t>
            </w:r>
          </w:p>
        </w:tc>
      </w:tr>
      <w:tr>
        <w:tc>
          <w:tcPr>
            <w:tcW w:w="2500" w:type="pct"/>
          </w:tcPr>
          <w:p>
            <w:pPr>
              <w:rPr>
                <w:rFonts w:eastAsiaTheme="minorHAnsi" w:cstheme="minorBidi"/>
                <w:noProof/>
                <w:szCs w:val="22"/>
              </w:rPr>
            </w:pPr>
            <w:r>
              <w:rPr>
                <w:rFonts w:asciiTheme="minorHAnsi" w:eastAsiaTheme="minorHAnsi" w:hAnsiTheme="minorHAnsi" w:cstheme="minorBidi"/>
                <w:noProof/>
                <w:szCs w:val="22"/>
              </w:rPr>
              <w:t>Creation of a fully-fledged EU agency to enforce the proposed fairness P2B principles</w:t>
            </w:r>
          </w:p>
          <w:p>
            <w:pPr>
              <w:rPr>
                <w:rFonts w:eastAsiaTheme="minorHAnsi" w:cstheme="minorBidi"/>
                <w:noProof/>
                <w:szCs w:val="22"/>
              </w:rPr>
            </w:pPr>
          </w:p>
        </w:tc>
        <w:tc>
          <w:tcPr>
            <w:tcW w:w="2500" w:type="pct"/>
          </w:tcPr>
          <w:p>
            <w:pPr>
              <w:rPr>
                <w:rFonts w:eastAsiaTheme="minorHAnsi" w:cstheme="minorBidi"/>
                <w:noProof/>
                <w:szCs w:val="22"/>
              </w:rPr>
            </w:pPr>
            <w:r>
              <w:rPr>
                <w:rFonts w:asciiTheme="minorHAnsi" w:eastAsiaTheme="minorHAnsi" w:hAnsiTheme="minorHAnsi" w:cstheme="minorBidi"/>
                <w:noProof/>
                <w:szCs w:val="22"/>
              </w:rPr>
              <w:t>This option is discarded as it is manifestly disproportionate.</w:t>
            </w:r>
          </w:p>
        </w:tc>
      </w:tr>
      <w:tr>
        <w:tc>
          <w:tcPr>
            <w:tcW w:w="2500" w:type="pct"/>
          </w:tcPr>
          <w:p>
            <w:pPr>
              <w:contextualSpacing/>
              <w:rPr>
                <w:rFonts w:eastAsiaTheme="minorHAnsi"/>
                <w:noProof/>
              </w:rPr>
            </w:pPr>
            <w:r>
              <w:rPr>
                <w:rFonts w:asciiTheme="minorHAnsi" w:eastAsiaTheme="minorHAnsi" w:hAnsiTheme="minorHAnsi"/>
                <w:noProof/>
              </w:rPr>
              <w:t>Improved access to injunction proceedings to ensure more expeditious and effective cessation of infringements of P2B rules</w:t>
            </w:r>
          </w:p>
          <w:p>
            <w:pPr>
              <w:contextualSpacing/>
              <w:rPr>
                <w:rFonts w:eastAsiaTheme="minorHAnsi"/>
                <w:noProof/>
              </w:rPr>
            </w:pPr>
          </w:p>
        </w:tc>
        <w:tc>
          <w:tcPr>
            <w:tcW w:w="2500" w:type="pct"/>
          </w:tcPr>
          <w:p>
            <w:pPr>
              <w:rPr>
                <w:rFonts w:eastAsiaTheme="minorHAnsi" w:cstheme="minorBidi"/>
                <w:noProof/>
                <w:szCs w:val="22"/>
              </w:rPr>
            </w:pPr>
            <w:r>
              <w:rPr>
                <w:rFonts w:asciiTheme="minorHAnsi" w:eastAsiaTheme="minorHAnsi" w:hAnsiTheme="minorHAnsi"/>
                <w:noProof/>
              </w:rPr>
              <w:t>This option is discarded as most Member States have in place injunction proceedings that can be used by business-users for B2B disputes</w:t>
            </w:r>
            <w:r>
              <w:rPr>
                <w:rFonts w:asciiTheme="minorHAnsi" w:eastAsiaTheme="minorHAnsi" w:hAnsiTheme="minorHAnsi" w:cstheme="minorBidi"/>
                <w:noProof/>
                <w:szCs w:val="22"/>
                <w:vertAlign w:val="superscript"/>
              </w:rPr>
              <w:footnoteReference w:id="177"/>
            </w:r>
            <w:r>
              <w:rPr>
                <w:rFonts w:asciiTheme="minorHAnsi" w:eastAsiaTheme="minorHAnsi" w:hAnsiTheme="minorHAnsi" w:cstheme="minorBidi"/>
                <w:noProof/>
                <w:szCs w:val="22"/>
              </w:rPr>
              <w:t>. Therefore, there is little added value in introducing a dedicated instrument where more legal certainty on P2B rules is required to give business-users the required confidence and predictability in using  existing injunction procedures to provide an effective remedy.</w:t>
            </w:r>
            <w:r>
              <w:rPr>
                <w:rFonts w:asciiTheme="minorHAnsi" w:eastAsiaTheme="minorHAnsi" w:hAnsiTheme="minorHAnsi" w:cstheme="minorBidi"/>
                <w:noProof/>
                <w:szCs w:val="22"/>
                <w:vertAlign w:val="superscript"/>
              </w:rPr>
              <w:footnoteReference w:id="178"/>
            </w:r>
            <w:r>
              <w:rPr>
                <w:rFonts w:asciiTheme="minorHAnsi" w:eastAsiaTheme="minorHAnsi" w:hAnsiTheme="minorHAnsi" w:cstheme="minorBidi"/>
                <w:noProof/>
                <w:szCs w:val="22"/>
              </w:rPr>
              <w:t xml:space="preserve"> </w:t>
            </w:r>
          </w:p>
        </w:tc>
      </w:tr>
      <w:tr>
        <w:tc>
          <w:tcPr>
            <w:tcW w:w="2500" w:type="pct"/>
          </w:tcPr>
          <w:p>
            <w:pPr>
              <w:contextualSpacing/>
              <w:rPr>
                <w:rFonts w:eastAsiaTheme="minorHAnsi" w:cstheme="minorBidi"/>
                <w:noProof/>
                <w:szCs w:val="22"/>
              </w:rPr>
            </w:pPr>
            <w:r>
              <w:rPr>
                <w:rFonts w:asciiTheme="minorHAnsi" w:eastAsiaTheme="minorHAnsi" w:hAnsiTheme="minorHAnsi" w:cstheme="minorBidi"/>
                <w:noProof/>
                <w:szCs w:val="22"/>
              </w:rPr>
              <w:t>Platforms that intermediate EU businesses and consumers would be banned from using exclusive jurisdiction/law clauses in their terms and conditions</w:t>
            </w:r>
          </w:p>
        </w:tc>
        <w:tc>
          <w:tcPr>
            <w:tcW w:w="2500" w:type="pct"/>
          </w:tcPr>
          <w:p>
            <w:pPr>
              <w:rPr>
                <w:rFonts w:eastAsiaTheme="minorHAnsi"/>
                <w:noProof/>
                <w:szCs w:val="22"/>
              </w:rPr>
            </w:pPr>
            <w:r>
              <w:rPr>
                <w:rFonts w:asciiTheme="minorHAnsi" w:eastAsiaTheme="minorHAnsi" w:hAnsiTheme="minorHAnsi" w:cstheme="minorBidi"/>
                <w:noProof/>
                <w:szCs w:val="22"/>
              </w:rPr>
              <w:t>This is discarded as such a ban would be inconsistent with businesses' freedom to contract.</w:t>
            </w:r>
            <w:r>
              <w:rPr>
                <w:rFonts w:asciiTheme="minorHAnsi" w:eastAsiaTheme="minorHAnsi" w:hAnsiTheme="minorHAnsi" w:cstheme="minorBidi"/>
                <w:noProof/>
                <w:szCs w:val="22"/>
                <w:vertAlign w:val="superscript"/>
              </w:rPr>
              <w:footnoteReference w:id="179"/>
            </w:r>
          </w:p>
        </w:tc>
      </w:tr>
    </w:tbl>
    <w:p>
      <w:pPr>
        <w:rPr>
          <w:noProof/>
          <w:lang w:eastAsia="en-GB"/>
        </w:rPr>
      </w:pPr>
    </w:p>
    <w:p>
      <w:pPr>
        <w:pStyle w:val="Heading1"/>
        <w:numPr>
          <w:ilvl w:val="0"/>
          <w:numId w:val="12"/>
        </w:numPr>
        <w:rPr>
          <w:noProof/>
        </w:rPr>
      </w:pPr>
      <w:bookmarkStart w:id="2279" w:name="_Toc508297449"/>
      <w:bookmarkStart w:id="2280" w:name="_Toc508350211"/>
      <w:bookmarkStart w:id="2281" w:name="_Toc508351649"/>
      <w:bookmarkStart w:id="2282" w:name="_Toc508360063"/>
      <w:bookmarkStart w:id="2283" w:name="_Toc511220563"/>
      <w:bookmarkStart w:id="2284" w:name="_Toc511235008"/>
      <w:bookmarkStart w:id="2285" w:name="_Toc511292921"/>
      <w:r>
        <w:rPr>
          <w:noProof/>
        </w:rPr>
        <w:t>The SME Test – Summary of results</w:t>
      </w:r>
      <w:bookmarkEnd w:id="2279"/>
      <w:bookmarkEnd w:id="2280"/>
      <w:bookmarkEnd w:id="2281"/>
      <w:bookmarkEnd w:id="2282"/>
      <w:bookmarkEnd w:id="2283"/>
      <w:bookmarkEnd w:id="2284"/>
      <w:bookmarkEnd w:id="2285"/>
    </w:p>
    <w:p>
      <w:pPr>
        <w:rPr>
          <w:noProof/>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4360"/>
      </w:tblGrid>
      <w:tr>
        <w:trPr>
          <w:trHeight w:val="433"/>
        </w:trPr>
        <w:tc>
          <w:tcPr>
            <w:tcW w:w="9180" w:type="dxa"/>
            <w:gridSpan w:val="2"/>
          </w:tcPr>
          <w:p>
            <w:pPr>
              <w:spacing w:before="240"/>
              <w:rPr>
                <w:noProof/>
              </w:rPr>
            </w:pPr>
            <w:r>
              <w:rPr>
                <w:b/>
                <w:bCs/>
                <w:noProof/>
              </w:rPr>
              <w:t xml:space="preserve">(1) Preliminary assessment of businesses likely to be affected </w:t>
            </w:r>
          </w:p>
        </w:tc>
      </w:tr>
      <w:tr>
        <w:trPr>
          <w:trHeight w:val="2101"/>
        </w:trPr>
        <w:tc>
          <w:tcPr>
            <w:tcW w:w="4820" w:type="dxa"/>
          </w:tcPr>
          <w:p>
            <w:pPr>
              <w:rPr>
                <w:bCs/>
                <w:noProof/>
              </w:rPr>
            </w:pPr>
            <w:r>
              <w:rPr>
                <w:bCs/>
                <w:noProof/>
              </w:rPr>
              <w:t xml:space="preserve">The focus of the initiative is on improving fairness and transparency for business users of online intermediation services and/or online search engines, many of which are SMEs, who are affected by potentially harmful business practices that arise due to an imbalance in bargaining power and suffer from the lack of effective redress. As such, many SMEs are set to benefit from the initiative. </w:t>
            </w:r>
          </w:p>
          <w:p>
            <w:pPr>
              <w:rPr>
                <w:bCs/>
                <w:noProof/>
              </w:rPr>
            </w:pPr>
          </w:p>
          <w:p>
            <w:pPr>
              <w:rPr>
                <w:bCs/>
                <w:noProof/>
              </w:rPr>
            </w:pPr>
          </w:p>
        </w:tc>
        <w:tc>
          <w:tcPr>
            <w:tcW w:w="4360" w:type="dxa"/>
          </w:tcPr>
          <w:p>
            <w:pPr>
              <w:rPr>
                <w:noProof/>
                <w:lang w:val="en-IE"/>
              </w:rPr>
            </w:pPr>
            <w:r>
              <w:rPr>
                <w:noProof/>
              </w:rPr>
              <w:t>See sections 2 (</w:t>
            </w:r>
            <w:r>
              <w:rPr>
                <w:i/>
                <w:noProof/>
              </w:rPr>
              <w:t>problems introduction</w:t>
            </w:r>
            <w:r>
              <w:rPr>
                <w:noProof/>
              </w:rPr>
              <w:t>), 2.1.1.3 (</w:t>
            </w:r>
            <w:r>
              <w:rPr>
                <w:i/>
                <w:noProof/>
              </w:rPr>
              <w:t>issues relating to ranking of business users or their offers</w:t>
            </w:r>
            <w:r>
              <w:rPr>
                <w:noProof/>
              </w:rPr>
              <w:t>), 2.1.2 (</w:t>
            </w:r>
            <w:r>
              <w:rPr>
                <w:i/>
                <w:noProof/>
              </w:rPr>
              <w:t>lack of effective redress</w:t>
            </w:r>
            <w:r>
              <w:rPr>
                <w:noProof/>
              </w:rPr>
              <w:t>), 2.2.1 (</w:t>
            </w:r>
            <w:bookmarkStart w:id="2286" w:name="_Toc497827434"/>
            <w:bookmarkStart w:id="2287" w:name="_Toc497827645"/>
            <w:bookmarkStart w:id="2288" w:name="_Toc497827825"/>
            <w:bookmarkStart w:id="2289" w:name="_Toc497903461"/>
            <w:bookmarkStart w:id="2290" w:name="_Toc497909160"/>
            <w:bookmarkStart w:id="2291" w:name="_Toc497909326"/>
            <w:bookmarkStart w:id="2292" w:name="_Toc497914559"/>
            <w:bookmarkStart w:id="2293" w:name="_Ref499884569"/>
            <w:bookmarkStart w:id="2294" w:name="_Toc500175328"/>
            <w:bookmarkStart w:id="2295" w:name="_Toc500178796"/>
            <w:bookmarkStart w:id="2296" w:name="_Toc500181480"/>
            <w:bookmarkStart w:id="2297" w:name="_Toc500182697"/>
            <w:bookmarkStart w:id="2298" w:name="_Toc500183511"/>
            <w:bookmarkStart w:id="2299" w:name="_Toc500195219"/>
            <w:bookmarkStart w:id="2300" w:name="_Toc500196497"/>
            <w:bookmarkStart w:id="2301" w:name="_Toc500241216"/>
            <w:bookmarkStart w:id="2302" w:name="_Toc500246907"/>
            <w:bookmarkStart w:id="2303" w:name="_Toc500240567"/>
            <w:bookmarkStart w:id="2304" w:name="_Toc500248827"/>
            <w:bookmarkStart w:id="2305" w:name="_Toc500252800"/>
            <w:bookmarkStart w:id="2306" w:name="_Toc500253616"/>
            <w:bookmarkStart w:id="2307" w:name="_Toc500255484"/>
            <w:bookmarkStart w:id="2308" w:name="_Toc500257257"/>
            <w:bookmarkStart w:id="2309" w:name="_Toc500257701"/>
            <w:bookmarkStart w:id="2310" w:name="_Toc500256037"/>
            <w:bookmarkStart w:id="2311" w:name="_Toc500258666"/>
            <w:bookmarkStart w:id="2312" w:name="_Toc500259246"/>
            <w:bookmarkStart w:id="2313" w:name="_Toc500262842"/>
            <w:bookmarkStart w:id="2314" w:name="_Toc500271225"/>
            <w:bookmarkStart w:id="2315" w:name="_Toc500271795"/>
            <w:bookmarkStart w:id="2316" w:name="_Toc500276287"/>
            <w:bookmarkStart w:id="2317" w:name="_Toc500261775"/>
            <w:bookmarkStart w:id="2318" w:name="_Toc500269948"/>
            <w:bookmarkStart w:id="2319" w:name="_Toc500278984"/>
            <w:bookmarkStart w:id="2320" w:name="_Toc500280122"/>
            <w:bookmarkStart w:id="2321" w:name="_Toc500281923"/>
            <w:bookmarkStart w:id="2322" w:name="_Toc500279573"/>
            <w:bookmarkStart w:id="2323" w:name="_Toc500283367"/>
            <w:bookmarkStart w:id="2324" w:name="_Toc500282423"/>
            <w:bookmarkStart w:id="2325" w:name="_Toc505350022"/>
            <w:bookmarkStart w:id="2326" w:name="_Toc505352078"/>
            <w:bookmarkStart w:id="2327" w:name="_Toc505352401"/>
            <w:bookmarkStart w:id="2328" w:name="_Toc505353005"/>
            <w:bookmarkStart w:id="2329" w:name="_Toc505355967"/>
            <w:bookmarkStart w:id="2330" w:name="_Toc505620730"/>
            <w:bookmarkStart w:id="2331" w:name="_Toc505872602"/>
            <w:bookmarkStart w:id="2332" w:name="_Toc506473402"/>
            <w:r>
              <w:rPr>
                <w:i/>
                <w:noProof/>
              </w:rPr>
              <w:t>o</w:t>
            </w:r>
            <w:r>
              <w:rPr>
                <w:i/>
                <w:noProof/>
                <w:lang w:val="en-IE"/>
              </w:rPr>
              <w:t>nline platforms intermediate an increasing number of transactions and are increasingly the main vehicle for market access</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r>
              <w:rPr>
                <w:noProof/>
                <w:lang w:val="en-IE"/>
              </w:rPr>
              <w:t>), 2.2.4 (</w:t>
            </w:r>
            <w:r>
              <w:rPr>
                <w:i/>
                <w:noProof/>
                <w:lang w:val="en-IE"/>
              </w:rPr>
              <w:t>imbalanced bargaining power and dependency of business users on online platforms</w:t>
            </w:r>
            <w:r>
              <w:rPr>
                <w:noProof/>
                <w:lang w:val="en-IE"/>
              </w:rPr>
              <w:t>), 2.2.5 (</w:t>
            </w:r>
            <w:r>
              <w:rPr>
                <w:i/>
                <w:noProof/>
                <w:lang w:val="en-IE"/>
              </w:rPr>
              <w:t xml:space="preserve">business users fear of retaliation) </w:t>
            </w:r>
            <w:r>
              <w:rPr>
                <w:noProof/>
                <w:lang w:val="en-IE"/>
              </w:rPr>
              <w:t>and</w:t>
            </w:r>
            <w:r>
              <w:rPr>
                <w:i/>
                <w:noProof/>
                <w:lang w:val="en-IE"/>
              </w:rPr>
              <w:t xml:space="preserve"> </w:t>
            </w:r>
            <w:r>
              <w:rPr>
                <w:noProof/>
                <w:lang w:val="en-IE"/>
              </w:rPr>
              <w:t>2.3.3 (</w:t>
            </w:r>
            <w:r>
              <w:rPr>
                <w:i/>
                <w:noProof/>
                <w:lang w:val="en-IE"/>
              </w:rPr>
              <w:t>fewer EU cross-border sales)</w:t>
            </w:r>
            <w:r>
              <w:rPr>
                <w:noProof/>
                <w:lang w:val="en-IE"/>
              </w:rPr>
              <w:t xml:space="preserve">. </w:t>
            </w:r>
          </w:p>
          <w:p>
            <w:pPr>
              <w:rPr>
                <w:noProof/>
                <w:lang w:val="en-IE"/>
              </w:rPr>
            </w:pPr>
          </w:p>
        </w:tc>
      </w:tr>
      <w:tr>
        <w:trPr>
          <w:trHeight w:val="973"/>
        </w:trPr>
        <w:tc>
          <w:tcPr>
            <w:tcW w:w="4820" w:type="dxa"/>
          </w:tcPr>
          <w:p>
            <w:pPr>
              <w:rPr>
                <w:bCs/>
                <w:noProof/>
              </w:rPr>
            </w:pPr>
            <w:r>
              <w:rPr>
                <w:bCs/>
                <w:noProof/>
              </w:rPr>
              <w:t xml:space="preserve">It is recognised that relatively small online platforms, (including SMEs) can provide access for business users to very large consumer groups. </w:t>
            </w:r>
          </w:p>
        </w:tc>
        <w:tc>
          <w:tcPr>
            <w:tcW w:w="4360" w:type="dxa"/>
          </w:tcPr>
          <w:p>
            <w:pPr>
              <w:rPr>
                <w:noProof/>
              </w:rPr>
            </w:pPr>
            <w:r>
              <w:rPr>
                <w:noProof/>
              </w:rPr>
              <w:t xml:space="preserve">See sections 2.1.1 (potentially harmful trading practices). </w:t>
            </w:r>
          </w:p>
        </w:tc>
      </w:tr>
      <w:tr>
        <w:trPr>
          <w:trHeight w:val="609"/>
        </w:trPr>
        <w:tc>
          <w:tcPr>
            <w:tcW w:w="9180" w:type="dxa"/>
            <w:gridSpan w:val="2"/>
          </w:tcPr>
          <w:p>
            <w:pPr>
              <w:spacing w:before="240"/>
              <w:rPr>
                <w:b/>
                <w:bCs/>
                <w:noProof/>
              </w:rPr>
            </w:pPr>
            <w:r>
              <w:rPr>
                <w:b/>
                <w:bCs/>
                <w:noProof/>
              </w:rPr>
              <w:t>(2) Consultation with SMEs representatives</w:t>
            </w:r>
          </w:p>
        </w:tc>
      </w:tr>
      <w:tr>
        <w:trPr>
          <w:trHeight w:val="1521"/>
        </w:trPr>
        <w:tc>
          <w:tcPr>
            <w:tcW w:w="4820" w:type="dxa"/>
          </w:tcPr>
          <w:p>
            <w:pPr>
              <w:rPr>
                <w:bCs/>
                <w:noProof/>
              </w:rPr>
            </w:pPr>
            <w:r>
              <w:rPr>
                <w:bCs/>
                <w:noProof/>
              </w:rPr>
              <w:t>Impact on SME business users</w:t>
            </w:r>
          </w:p>
        </w:tc>
        <w:tc>
          <w:tcPr>
            <w:tcW w:w="4360" w:type="dxa"/>
          </w:tcPr>
          <w:p>
            <w:pPr>
              <w:rPr>
                <w:noProof/>
                <w:lang w:val="en-IE"/>
              </w:rPr>
            </w:pPr>
            <w:r>
              <w:rPr>
                <w:noProof/>
              </w:rPr>
              <w:t>See section 6.2.2 (</w:t>
            </w:r>
            <w:r>
              <w:rPr>
                <w:i/>
                <w:noProof/>
              </w:rPr>
              <w:t>impact on business users)</w:t>
            </w:r>
            <w:r>
              <w:rPr>
                <w:noProof/>
              </w:rPr>
              <w:t xml:space="preserve"> based on replies to </w:t>
            </w:r>
            <w:r>
              <w:rPr>
                <w:noProof/>
                <w:lang w:val="en-IE"/>
              </w:rPr>
              <w:t xml:space="preserve">the Commission's consultation of SMEs through the Small Business Act Follow-up Group (based on a response to the questionnaire circulated through the Group on 11 August 2017 and discussions at the Small Business Act stakeholders meeting on 27 September 2017). </w:t>
            </w:r>
          </w:p>
          <w:p>
            <w:pPr>
              <w:rPr>
                <w:noProof/>
                <w:lang w:val="en-IE"/>
              </w:rPr>
            </w:pPr>
          </w:p>
          <w:p>
            <w:pPr>
              <w:rPr>
                <w:noProof/>
                <w:lang w:val="en-IE"/>
              </w:rPr>
            </w:pPr>
            <w:r>
              <w:rPr>
                <w:noProof/>
                <w:lang w:val="en-IE"/>
              </w:rPr>
              <w:t>See Annexes 2.4 (</w:t>
            </w:r>
            <w:r>
              <w:rPr>
                <w:i/>
                <w:noProof/>
                <w:lang w:val="en-IE"/>
              </w:rPr>
              <w:t>evidence</w:t>
            </w:r>
            <w:r>
              <w:rPr>
                <w:noProof/>
                <w:lang w:val="en-IE"/>
              </w:rPr>
              <w:t>), 3 (s</w:t>
            </w:r>
            <w:r>
              <w:rPr>
                <w:i/>
                <w:noProof/>
                <w:lang w:val="en-IE"/>
              </w:rPr>
              <w:t>takeholder consultation</w:t>
            </w:r>
            <w:r>
              <w:rPr>
                <w:noProof/>
                <w:lang w:val="en-IE"/>
              </w:rPr>
              <w:t>), 4.3.1 (</w:t>
            </w:r>
            <w:r>
              <w:rPr>
                <w:i/>
                <w:noProof/>
                <w:lang w:val="en-IE"/>
              </w:rPr>
              <w:t>business users</w:t>
            </w:r>
            <w:r>
              <w:rPr>
                <w:noProof/>
                <w:lang w:val="en-IE"/>
              </w:rPr>
              <w:t>)</w:t>
            </w:r>
          </w:p>
          <w:p>
            <w:pPr>
              <w:rPr>
                <w:noProof/>
                <w:lang w:val="en-IE"/>
              </w:rPr>
            </w:pPr>
          </w:p>
        </w:tc>
      </w:tr>
      <w:tr>
        <w:trPr>
          <w:trHeight w:val="1366"/>
        </w:trPr>
        <w:tc>
          <w:tcPr>
            <w:tcW w:w="4820" w:type="dxa"/>
          </w:tcPr>
          <w:p>
            <w:pPr>
              <w:rPr>
                <w:bCs/>
                <w:noProof/>
              </w:rPr>
            </w:pPr>
            <w:r>
              <w:rPr>
                <w:bCs/>
                <w:noProof/>
              </w:rPr>
              <w:t>Impact on SME online platforms</w:t>
            </w:r>
          </w:p>
        </w:tc>
        <w:tc>
          <w:tcPr>
            <w:tcW w:w="4360" w:type="dxa"/>
          </w:tcPr>
          <w:p>
            <w:pPr>
              <w:rPr>
                <w:noProof/>
              </w:rPr>
            </w:pPr>
            <w:r>
              <w:rPr>
                <w:noProof/>
              </w:rPr>
              <w:t>See Stakeholder’s views in section 8.4.2 (</w:t>
            </w:r>
            <w:r>
              <w:rPr>
                <w:i/>
                <w:noProof/>
              </w:rPr>
              <w:t>online platforms</w:t>
            </w:r>
            <w:r>
              <w:rPr>
                <w:noProof/>
              </w:rPr>
              <w:t>) as well as Annexes 2.4 (</w:t>
            </w:r>
            <w:r>
              <w:rPr>
                <w:i/>
                <w:noProof/>
              </w:rPr>
              <w:t>evidence</w:t>
            </w:r>
            <w:r>
              <w:rPr>
                <w:noProof/>
              </w:rPr>
              <w:t>) and 3 (stakeholder consultation), 4.3.2 (</w:t>
            </w:r>
            <w:r>
              <w:rPr>
                <w:i/>
                <w:noProof/>
              </w:rPr>
              <w:t>platforms</w:t>
            </w:r>
            <w:r>
              <w:rPr>
                <w:noProof/>
              </w:rPr>
              <w:t xml:space="preserve">). </w:t>
            </w:r>
          </w:p>
        </w:tc>
      </w:tr>
      <w:tr>
        <w:trPr>
          <w:trHeight w:val="336"/>
        </w:trPr>
        <w:tc>
          <w:tcPr>
            <w:tcW w:w="9180" w:type="dxa"/>
            <w:gridSpan w:val="2"/>
          </w:tcPr>
          <w:p>
            <w:pPr>
              <w:keepNext/>
              <w:spacing w:before="240"/>
              <w:rPr>
                <w:b/>
                <w:bCs/>
                <w:noProof/>
                <w:lang w:val="en-IE"/>
              </w:rPr>
            </w:pPr>
            <w:r>
              <w:rPr>
                <w:b/>
                <w:bCs/>
                <w:noProof/>
                <w:lang w:val="en-IE"/>
              </w:rPr>
              <w:t>(3) Measurement of the impact on SMEs</w:t>
            </w:r>
          </w:p>
        </w:tc>
      </w:tr>
      <w:tr>
        <w:trPr>
          <w:trHeight w:val="2233"/>
        </w:trPr>
        <w:tc>
          <w:tcPr>
            <w:tcW w:w="4820" w:type="dxa"/>
          </w:tcPr>
          <w:p>
            <w:pPr>
              <w:rPr>
                <w:bCs/>
                <w:noProof/>
              </w:rPr>
            </w:pPr>
            <w:r>
              <w:rPr>
                <w:bCs/>
                <w:noProof/>
              </w:rPr>
              <w:t>The impact of the retained options, as compared to the baseline, is analysed in Section 6 (</w:t>
            </w:r>
            <w:r>
              <w:rPr>
                <w:bCs/>
                <w:i/>
                <w:noProof/>
              </w:rPr>
              <w:t>what are the impacts of the retained options</w:t>
            </w:r>
            <w:r>
              <w:rPr>
                <w:bCs/>
                <w:noProof/>
              </w:rPr>
              <w:t>) for online platforms that can be SMEs. The impacts should be read bearing in mind that the overall outcome of the initiative is to improve fairness and transparency for business users of online intermediation services and/or online search engines, many of whom are SMEs (see for example, the positive effect on business users growth in section 6.1.1).</w:t>
            </w:r>
          </w:p>
          <w:p>
            <w:pPr>
              <w:rPr>
                <w:bCs/>
                <w:noProof/>
              </w:rPr>
            </w:pPr>
            <w:r>
              <w:rPr>
                <w:bCs/>
                <w:noProof/>
              </w:rPr>
              <w:t xml:space="preserve">  </w:t>
            </w:r>
          </w:p>
        </w:tc>
        <w:tc>
          <w:tcPr>
            <w:tcW w:w="4360" w:type="dxa"/>
          </w:tcPr>
          <w:p>
            <w:pPr>
              <w:rPr>
                <w:noProof/>
              </w:rPr>
            </w:pPr>
            <w:r>
              <w:rPr>
                <w:noProof/>
              </w:rPr>
              <w:t>See sections 6.2.1.2 (</w:t>
            </w:r>
            <w:r>
              <w:rPr>
                <w:i/>
                <w:noProof/>
              </w:rPr>
              <w:t>impact on smaller online platforms</w:t>
            </w:r>
            <w:r>
              <w:rPr>
                <w:noProof/>
              </w:rPr>
              <w:t>), Table 5 (</w:t>
            </w:r>
            <w:r>
              <w:rPr>
                <w:i/>
                <w:noProof/>
              </w:rPr>
              <w:t>summary of impacts of retained options</w:t>
            </w:r>
            <w:r>
              <w:rPr>
                <w:noProof/>
              </w:rPr>
              <w:t>), 7.1.4 (</w:t>
            </w:r>
            <w:r>
              <w:rPr>
                <w:i/>
                <w:noProof/>
              </w:rPr>
              <w:t>assessment of proportionality of the retained options</w:t>
            </w:r>
            <w:r>
              <w:rPr>
                <w:noProof/>
              </w:rPr>
              <w:t>) and 8.3 (</w:t>
            </w:r>
            <w:r>
              <w:rPr>
                <w:i/>
                <w:noProof/>
              </w:rPr>
              <w:t>Thresholds</w:t>
            </w:r>
            <w:r>
              <w:rPr>
                <w:noProof/>
              </w:rPr>
              <w:t xml:space="preserve">). </w:t>
            </w:r>
          </w:p>
          <w:p>
            <w:pPr>
              <w:rPr>
                <w:noProof/>
              </w:rPr>
            </w:pPr>
          </w:p>
          <w:p>
            <w:pPr>
              <w:rPr>
                <w:noProof/>
              </w:rPr>
            </w:pPr>
            <w:r>
              <w:rPr>
                <w:noProof/>
              </w:rPr>
              <w:t>As well as Annex 4.1.2 (</w:t>
            </w:r>
            <w:r>
              <w:rPr>
                <w:i/>
                <w:noProof/>
              </w:rPr>
              <w:t>online platforms</w:t>
            </w:r>
            <w:r>
              <w:rPr>
                <w:noProof/>
              </w:rPr>
              <w:t>), 4.1.3 (</w:t>
            </w:r>
            <w:r>
              <w:rPr>
                <w:i/>
                <w:noProof/>
              </w:rPr>
              <w:t>online general search engines</w:t>
            </w:r>
            <w:r>
              <w:rPr>
                <w:noProof/>
              </w:rPr>
              <w:t>), 4.2 (</w:t>
            </w:r>
            <w:r>
              <w:rPr>
                <w:i/>
                <w:noProof/>
              </w:rPr>
              <w:t>Summary of cost and benefits of the preferred option</w:t>
            </w:r>
            <w:r>
              <w:rPr>
                <w:noProof/>
              </w:rPr>
              <w:t>)</w:t>
            </w:r>
          </w:p>
          <w:p>
            <w:pPr>
              <w:rPr>
                <w:noProof/>
              </w:rPr>
            </w:pPr>
          </w:p>
          <w:p>
            <w:pPr>
              <w:rPr>
                <w:noProof/>
              </w:rPr>
            </w:pPr>
            <w:r>
              <w:rPr>
                <w:noProof/>
              </w:rPr>
              <w:t>See also sections 6.2.2 (</w:t>
            </w:r>
            <w:r>
              <w:rPr>
                <w:i/>
                <w:noProof/>
              </w:rPr>
              <w:t>impact on business users</w:t>
            </w:r>
            <w:r>
              <w:rPr>
                <w:noProof/>
              </w:rPr>
              <w:t>) as well as Annexes 4.1.1 (</w:t>
            </w:r>
            <w:r>
              <w:rPr>
                <w:i/>
                <w:noProof/>
              </w:rPr>
              <w:t>business users</w:t>
            </w:r>
            <w:r>
              <w:rPr>
                <w:noProof/>
              </w:rPr>
              <w:t>), 4.2 (</w:t>
            </w:r>
            <w:r>
              <w:rPr>
                <w:i/>
                <w:noProof/>
              </w:rPr>
              <w:t>Summary of cost and benefits of the preferred option</w:t>
            </w:r>
            <w:r>
              <w:rPr>
                <w:noProof/>
              </w:rPr>
              <w:t>)</w:t>
            </w:r>
          </w:p>
          <w:p>
            <w:pPr>
              <w:rPr>
                <w:noProof/>
              </w:rPr>
            </w:pPr>
          </w:p>
        </w:tc>
      </w:tr>
      <w:tr>
        <w:trPr>
          <w:trHeight w:val="336"/>
        </w:trPr>
        <w:tc>
          <w:tcPr>
            <w:tcW w:w="9180" w:type="dxa"/>
            <w:gridSpan w:val="2"/>
          </w:tcPr>
          <w:p>
            <w:pPr>
              <w:spacing w:before="240"/>
              <w:rPr>
                <w:b/>
                <w:bCs/>
                <w:noProof/>
              </w:rPr>
            </w:pPr>
            <w:r>
              <w:rPr>
                <w:b/>
                <w:bCs/>
                <w:noProof/>
              </w:rPr>
              <w:t>4) Assess alternative options and mitigating measures</w:t>
            </w:r>
          </w:p>
        </w:tc>
      </w:tr>
      <w:tr>
        <w:trPr>
          <w:trHeight w:val="1334"/>
        </w:trPr>
        <w:tc>
          <w:tcPr>
            <w:tcW w:w="4820" w:type="dxa"/>
          </w:tcPr>
          <w:p>
            <w:pPr>
              <w:rPr>
                <w:bCs/>
                <w:noProof/>
              </w:rPr>
            </w:pPr>
            <w:r>
              <w:rPr>
                <w:bCs/>
                <w:noProof/>
              </w:rPr>
              <w:t xml:space="preserve">As the retained options impose some burdens on SMEs, an analysis of imposing different thresholds is undertaken. </w:t>
            </w:r>
          </w:p>
        </w:tc>
        <w:tc>
          <w:tcPr>
            <w:tcW w:w="4360" w:type="dxa"/>
          </w:tcPr>
          <w:p>
            <w:pPr>
              <w:rPr>
                <w:noProof/>
              </w:rPr>
            </w:pPr>
            <w:r>
              <w:rPr>
                <w:noProof/>
              </w:rPr>
              <w:t>(See section 6.2.1.3 (</w:t>
            </w:r>
            <w:r>
              <w:rPr>
                <w:i/>
                <w:noProof/>
              </w:rPr>
              <w:t>options for thresholds for exemption</w:t>
            </w:r>
            <w:r>
              <w:rPr>
                <w:noProof/>
              </w:rPr>
              <w:t>), 7.1.4 (</w:t>
            </w:r>
            <w:r>
              <w:rPr>
                <w:i/>
                <w:noProof/>
              </w:rPr>
              <w:t>Assessment of proportionality of the retained options</w:t>
            </w:r>
            <w:r>
              <w:rPr>
                <w:noProof/>
              </w:rPr>
              <w:t>) and 8.3 (</w:t>
            </w:r>
            <w:r>
              <w:rPr>
                <w:i/>
                <w:noProof/>
              </w:rPr>
              <w:t>Thresholds</w:t>
            </w:r>
            <w:r>
              <w:rPr>
                <w:noProof/>
              </w:rPr>
              <w:t xml:space="preserve">).  </w:t>
            </w:r>
          </w:p>
        </w:tc>
      </w:tr>
    </w:tbl>
    <w:p>
      <w:pPr>
        <w:rPr>
          <w:noProof/>
        </w:rPr>
      </w:pPr>
    </w:p>
    <w:p>
      <w:pPr>
        <w:pStyle w:val="Heading1"/>
        <w:numPr>
          <w:ilvl w:val="0"/>
          <w:numId w:val="12"/>
        </w:numPr>
        <w:rPr>
          <w:rFonts w:eastAsiaTheme="minorHAnsi"/>
          <w:noProof/>
        </w:rPr>
      </w:pPr>
      <w:bookmarkStart w:id="2333" w:name="_Toc507793756"/>
      <w:bookmarkStart w:id="2334" w:name="_Toc509596116"/>
      <w:bookmarkStart w:id="2335" w:name="_Toc509596117"/>
      <w:bookmarkStart w:id="2336" w:name="move499912511"/>
      <w:bookmarkStart w:id="2337" w:name="_Toc509596118"/>
      <w:bookmarkStart w:id="2338" w:name="_Toc509596119"/>
      <w:bookmarkStart w:id="2339" w:name="_Toc505853394"/>
      <w:bookmarkStart w:id="2340" w:name="_Toc505853494"/>
      <w:bookmarkStart w:id="2341" w:name="_Toc505853969"/>
      <w:bookmarkStart w:id="2342" w:name="_Toc505854376"/>
      <w:bookmarkStart w:id="2343" w:name="_Toc505868938"/>
      <w:bookmarkStart w:id="2344" w:name="_Toc505872664"/>
      <w:bookmarkStart w:id="2345" w:name="_Toc507416841"/>
      <w:bookmarkStart w:id="2346" w:name="_Toc507416989"/>
      <w:bookmarkStart w:id="2347" w:name="_Toc507417094"/>
      <w:bookmarkStart w:id="2348" w:name="_Toc507417237"/>
      <w:bookmarkStart w:id="2349" w:name="_Toc507417342"/>
      <w:bookmarkStart w:id="2350" w:name="_Toc507417490"/>
      <w:bookmarkStart w:id="2351" w:name="_Toc507417638"/>
      <w:bookmarkStart w:id="2352" w:name="_Toc507417747"/>
      <w:bookmarkStart w:id="2353" w:name="_Toc507418059"/>
      <w:bookmarkStart w:id="2354" w:name="_Toc507418451"/>
      <w:bookmarkStart w:id="2355" w:name="_Toc507419576"/>
      <w:bookmarkStart w:id="2356" w:name="_Toc507420028"/>
      <w:bookmarkStart w:id="2357" w:name="_Toc507420613"/>
      <w:bookmarkStart w:id="2358" w:name="_Toc507420717"/>
      <w:bookmarkStart w:id="2359" w:name="_Toc507420862"/>
      <w:bookmarkStart w:id="2360" w:name="_Toc507421281"/>
      <w:bookmarkStart w:id="2361" w:name="_Toc507421465"/>
      <w:bookmarkStart w:id="2362" w:name="_Toc507421799"/>
      <w:bookmarkStart w:id="2363" w:name="_Toc507421947"/>
      <w:bookmarkStart w:id="2364" w:name="_Toc507422095"/>
      <w:bookmarkStart w:id="2365" w:name="_Toc507422244"/>
      <w:bookmarkStart w:id="2366" w:name="_Toc507422642"/>
      <w:bookmarkStart w:id="2367" w:name="_Toc507423468"/>
      <w:bookmarkStart w:id="2368" w:name="_Toc507423588"/>
      <w:bookmarkStart w:id="2369" w:name="_Toc507424601"/>
      <w:bookmarkStart w:id="2370" w:name="_Toc507424861"/>
      <w:bookmarkStart w:id="2371" w:name="_Toc507425069"/>
      <w:bookmarkStart w:id="2372" w:name="_Toc507425217"/>
      <w:bookmarkStart w:id="2373" w:name="_Toc507425365"/>
      <w:bookmarkStart w:id="2374" w:name="_Toc507425562"/>
      <w:bookmarkStart w:id="2375" w:name="_Toc507425703"/>
      <w:bookmarkStart w:id="2376" w:name="_Toc507425851"/>
      <w:bookmarkStart w:id="2377" w:name="_Toc507426431"/>
      <w:bookmarkStart w:id="2378" w:name="_Toc507427419"/>
      <w:bookmarkStart w:id="2379" w:name="_Toc507427658"/>
      <w:bookmarkStart w:id="2380" w:name="_Toc507427785"/>
      <w:bookmarkStart w:id="2381" w:name="_Toc507428045"/>
      <w:bookmarkStart w:id="2382" w:name="_Toc507428186"/>
      <w:bookmarkStart w:id="2383" w:name="_Toc507428357"/>
      <w:bookmarkStart w:id="2384" w:name="_Toc507428498"/>
      <w:bookmarkStart w:id="2385" w:name="_Toc507428927"/>
      <w:bookmarkStart w:id="2386" w:name="_Toc505853395"/>
      <w:bookmarkStart w:id="2387" w:name="_Toc505853495"/>
      <w:bookmarkStart w:id="2388" w:name="_Toc505853970"/>
      <w:bookmarkStart w:id="2389" w:name="_Toc505854377"/>
      <w:bookmarkStart w:id="2390" w:name="_Toc505868939"/>
      <w:bookmarkStart w:id="2391" w:name="_Toc505872665"/>
      <w:bookmarkStart w:id="2392" w:name="_Toc507416842"/>
      <w:bookmarkStart w:id="2393" w:name="_Toc507416990"/>
      <w:bookmarkStart w:id="2394" w:name="_Toc507417238"/>
      <w:bookmarkStart w:id="2395" w:name="_Toc507417491"/>
      <w:bookmarkStart w:id="2396" w:name="_Toc507417639"/>
      <w:bookmarkStart w:id="2397" w:name="_Toc507418060"/>
      <w:bookmarkStart w:id="2398" w:name="_Toc507418452"/>
      <w:bookmarkStart w:id="2399" w:name="_Toc507419577"/>
      <w:bookmarkStart w:id="2400" w:name="_Toc507420029"/>
      <w:bookmarkStart w:id="2401" w:name="_Toc507420614"/>
      <w:bookmarkStart w:id="2402" w:name="_Toc507420718"/>
      <w:bookmarkStart w:id="2403" w:name="_Toc507420863"/>
      <w:bookmarkStart w:id="2404" w:name="_Toc507421282"/>
      <w:bookmarkStart w:id="2405" w:name="_Toc507421466"/>
      <w:bookmarkStart w:id="2406" w:name="_Toc507421800"/>
      <w:bookmarkStart w:id="2407" w:name="_Toc507421948"/>
      <w:bookmarkStart w:id="2408" w:name="_Toc507422096"/>
      <w:bookmarkStart w:id="2409" w:name="_Toc507422245"/>
      <w:bookmarkStart w:id="2410" w:name="_Toc507422643"/>
      <w:bookmarkStart w:id="2411" w:name="_Toc507424602"/>
      <w:bookmarkStart w:id="2412" w:name="_Toc507425070"/>
      <w:bookmarkStart w:id="2413" w:name="_Toc507425218"/>
      <w:bookmarkStart w:id="2414" w:name="_Toc507425366"/>
      <w:bookmarkStart w:id="2415" w:name="_Toc507425704"/>
      <w:bookmarkStart w:id="2416" w:name="_Toc507425852"/>
      <w:bookmarkStart w:id="2417" w:name="_Toc507427659"/>
      <w:bookmarkStart w:id="2418" w:name="_Toc507428187"/>
      <w:bookmarkStart w:id="2419" w:name="_Toc507428499"/>
      <w:bookmarkStart w:id="2420" w:name="_Toc505853396"/>
      <w:bookmarkStart w:id="2421" w:name="_Toc505853496"/>
      <w:bookmarkStart w:id="2422" w:name="_Toc505853971"/>
      <w:bookmarkStart w:id="2423" w:name="_Toc505854378"/>
      <w:bookmarkStart w:id="2424" w:name="_Toc505868940"/>
      <w:bookmarkStart w:id="2425" w:name="_Toc505872666"/>
      <w:bookmarkStart w:id="2426" w:name="_Toc507416843"/>
      <w:bookmarkStart w:id="2427" w:name="_Toc507416991"/>
      <w:bookmarkStart w:id="2428" w:name="_Toc507417239"/>
      <w:bookmarkStart w:id="2429" w:name="_Toc507417492"/>
      <w:bookmarkStart w:id="2430" w:name="_Toc507417640"/>
      <w:bookmarkStart w:id="2431" w:name="_Toc507418061"/>
      <w:bookmarkStart w:id="2432" w:name="_Toc507418453"/>
      <w:bookmarkStart w:id="2433" w:name="_Toc507419578"/>
      <w:bookmarkStart w:id="2434" w:name="_Toc507420030"/>
      <w:bookmarkStart w:id="2435" w:name="_Toc507420615"/>
      <w:bookmarkStart w:id="2436" w:name="_Toc507420719"/>
      <w:bookmarkStart w:id="2437" w:name="_Toc507420864"/>
      <w:bookmarkStart w:id="2438" w:name="_Toc507421283"/>
      <w:bookmarkStart w:id="2439" w:name="_Toc507421467"/>
      <w:bookmarkStart w:id="2440" w:name="_Toc507421801"/>
      <w:bookmarkStart w:id="2441" w:name="_Toc507421949"/>
      <w:bookmarkStart w:id="2442" w:name="_Toc507422000"/>
      <w:bookmarkStart w:id="2443" w:name="_Toc507422097"/>
      <w:bookmarkStart w:id="2444" w:name="_Toc507422246"/>
      <w:bookmarkStart w:id="2445" w:name="_Toc507422644"/>
      <w:bookmarkStart w:id="2446" w:name="_Toc507424603"/>
      <w:bookmarkStart w:id="2447" w:name="_Toc507425071"/>
      <w:bookmarkStart w:id="2448" w:name="_Toc507425219"/>
      <w:bookmarkStart w:id="2449" w:name="_Toc507425367"/>
      <w:bookmarkStart w:id="2450" w:name="_Toc507425705"/>
      <w:bookmarkStart w:id="2451" w:name="_Toc507425853"/>
      <w:bookmarkStart w:id="2452" w:name="_Toc507427660"/>
      <w:bookmarkStart w:id="2453" w:name="_Toc507428188"/>
      <w:bookmarkStart w:id="2454" w:name="_Toc507428500"/>
      <w:bookmarkStart w:id="2455" w:name="_Toc505853398"/>
      <w:bookmarkStart w:id="2456" w:name="_Toc505853498"/>
      <w:bookmarkStart w:id="2457" w:name="_Toc505853973"/>
      <w:bookmarkStart w:id="2458" w:name="_Toc505854380"/>
      <w:bookmarkStart w:id="2459" w:name="_Toc505868942"/>
      <w:bookmarkStart w:id="2460" w:name="_Toc505872668"/>
      <w:bookmarkStart w:id="2461" w:name="_Toc507416845"/>
      <w:bookmarkStart w:id="2462" w:name="_Toc507416993"/>
      <w:bookmarkStart w:id="2463" w:name="_Toc507417241"/>
      <w:bookmarkStart w:id="2464" w:name="_Toc507417494"/>
      <w:bookmarkStart w:id="2465" w:name="_Toc507417642"/>
      <w:bookmarkStart w:id="2466" w:name="_Toc507418063"/>
      <w:bookmarkStart w:id="2467" w:name="_Toc507418455"/>
      <w:bookmarkStart w:id="2468" w:name="_Toc507419580"/>
      <w:bookmarkStart w:id="2469" w:name="_Toc507420032"/>
      <w:bookmarkStart w:id="2470" w:name="_Toc507420617"/>
      <w:bookmarkStart w:id="2471" w:name="_Toc507420721"/>
      <w:bookmarkStart w:id="2472" w:name="_Toc507420866"/>
      <w:bookmarkStart w:id="2473" w:name="_Toc507421285"/>
      <w:bookmarkStart w:id="2474" w:name="_Toc507421469"/>
      <w:bookmarkStart w:id="2475" w:name="_Toc507421640"/>
      <w:bookmarkStart w:id="2476" w:name="_Toc507421803"/>
      <w:bookmarkStart w:id="2477" w:name="_Toc507421951"/>
      <w:bookmarkStart w:id="2478" w:name="_Toc507422099"/>
      <w:bookmarkStart w:id="2479" w:name="_Toc507422248"/>
      <w:bookmarkStart w:id="2480" w:name="_Toc507422646"/>
      <w:bookmarkStart w:id="2481" w:name="_Toc507424605"/>
      <w:bookmarkStart w:id="2482" w:name="_Toc507425073"/>
      <w:bookmarkStart w:id="2483" w:name="_Toc507425221"/>
      <w:bookmarkStart w:id="2484" w:name="_Toc507425369"/>
      <w:bookmarkStart w:id="2485" w:name="_Toc507425707"/>
      <w:bookmarkStart w:id="2486" w:name="_Toc507425855"/>
      <w:bookmarkStart w:id="2487" w:name="_Toc507427662"/>
      <w:bookmarkStart w:id="2488" w:name="_Toc507428190"/>
      <w:bookmarkStart w:id="2489" w:name="_Toc507428502"/>
      <w:bookmarkStart w:id="2490" w:name="_Toc507416846"/>
      <w:bookmarkStart w:id="2491" w:name="_Toc507416994"/>
      <w:bookmarkStart w:id="2492" w:name="_Toc507417099"/>
      <w:bookmarkStart w:id="2493" w:name="_Toc507417242"/>
      <w:bookmarkStart w:id="2494" w:name="_Toc507417347"/>
      <w:bookmarkStart w:id="2495" w:name="_Toc507417495"/>
      <w:bookmarkStart w:id="2496" w:name="_Toc507417643"/>
      <w:bookmarkStart w:id="2497" w:name="_Toc507417752"/>
      <w:bookmarkStart w:id="2498" w:name="_Toc507418064"/>
      <w:bookmarkStart w:id="2499" w:name="_Toc507418456"/>
      <w:bookmarkStart w:id="2500" w:name="_Toc507419581"/>
      <w:bookmarkStart w:id="2501" w:name="_Toc507420033"/>
      <w:bookmarkStart w:id="2502" w:name="_Toc507420618"/>
      <w:bookmarkStart w:id="2503" w:name="_Toc507420722"/>
      <w:bookmarkStart w:id="2504" w:name="_Toc507420867"/>
      <w:bookmarkStart w:id="2505" w:name="_Toc507421286"/>
      <w:bookmarkStart w:id="2506" w:name="_Toc507421470"/>
      <w:bookmarkStart w:id="2507" w:name="_Toc507421804"/>
      <w:bookmarkStart w:id="2508" w:name="_Toc507421952"/>
      <w:bookmarkStart w:id="2509" w:name="_Toc507422100"/>
      <w:bookmarkStart w:id="2510" w:name="_Toc507422249"/>
      <w:bookmarkStart w:id="2511" w:name="_Toc507422647"/>
      <w:bookmarkStart w:id="2512" w:name="_Toc507423473"/>
      <w:bookmarkStart w:id="2513" w:name="_Toc507423593"/>
      <w:bookmarkStart w:id="2514" w:name="_Toc507424606"/>
      <w:bookmarkStart w:id="2515" w:name="_Toc507424866"/>
      <w:bookmarkStart w:id="2516" w:name="_Toc507425074"/>
      <w:bookmarkStart w:id="2517" w:name="_Toc507425222"/>
      <w:bookmarkStart w:id="2518" w:name="_Toc507425370"/>
      <w:bookmarkStart w:id="2519" w:name="_Toc507425567"/>
      <w:bookmarkStart w:id="2520" w:name="_Toc507425708"/>
      <w:bookmarkStart w:id="2521" w:name="_Toc507425856"/>
      <w:bookmarkStart w:id="2522" w:name="_Toc507426436"/>
      <w:bookmarkStart w:id="2523" w:name="_Toc507427424"/>
      <w:bookmarkStart w:id="2524" w:name="_Toc507427663"/>
      <w:bookmarkStart w:id="2525" w:name="_Toc507427790"/>
      <w:bookmarkStart w:id="2526" w:name="_Toc507428050"/>
      <w:bookmarkStart w:id="2527" w:name="_Toc507428191"/>
      <w:bookmarkStart w:id="2528" w:name="_Toc507428362"/>
      <w:bookmarkStart w:id="2529" w:name="_Toc507428503"/>
      <w:bookmarkStart w:id="2530" w:name="_Toc507428932"/>
      <w:bookmarkStart w:id="2531" w:name="_Toc509596120"/>
      <w:bookmarkStart w:id="2532" w:name="_Toc509596121"/>
      <w:bookmarkStart w:id="2533" w:name="_Toc509596122"/>
      <w:bookmarkStart w:id="2534" w:name="_Toc509596123"/>
      <w:bookmarkStart w:id="2535" w:name="_Toc509596124"/>
      <w:bookmarkStart w:id="2536" w:name="_Toc509596125"/>
      <w:bookmarkStart w:id="2537" w:name="_Toc509596126"/>
      <w:bookmarkStart w:id="2538" w:name="_Toc509596127"/>
      <w:bookmarkStart w:id="2539" w:name="_Toc509596128"/>
      <w:bookmarkStart w:id="2540" w:name="_Toc509596129"/>
      <w:bookmarkStart w:id="2541" w:name="_Toc509596130"/>
      <w:bookmarkStart w:id="2542" w:name="_Toc509596131"/>
      <w:bookmarkStart w:id="2543" w:name="_Toc509596132"/>
      <w:bookmarkStart w:id="2544" w:name="_Toc509596133"/>
      <w:bookmarkStart w:id="2545" w:name="_Toc509596134"/>
      <w:bookmarkStart w:id="2546" w:name="_Toc509596135"/>
      <w:bookmarkStart w:id="2547" w:name="_Toc509596136"/>
      <w:bookmarkStart w:id="2548" w:name="_Toc509596137"/>
      <w:bookmarkStart w:id="2549" w:name="_Toc509596138"/>
      <w:bookmarkStart w:id="2550" w:name="_Toc509596139"/>
      <w:bookmarkStart w:id="2551" w:name="_Toc509596140"/>
      <w:bookmarkStart w:id="2552" w:name="_Toc509596141"/>
      <w:bookmarkStart w:id="2553" w:name="_Toc509596142"/>
      <w:bookmarkStart w:id="2554" w:name="_Toc509596143"/>
      <w:bookmarkStart w:id="2555" w:name="_Toc509596144"/>
      <w:bookmarkStart w:id="2556" w:name="_Toc509596145"/>
      <w:bookmarkStart w:id="2557" w:name="_Toc509596146"/>
      <w:bookmarkStart w:id="2558" w:name="_Toc509596147"/>
      <w:bookmarkStart w:id="2559" w:name="_Toc509596148"/>
      <w:bookmarkStart w:id="2560" w:name="_Toc509596149"/>
      <w:bookmarkStart w:id="2561" w:name="_Toc509596150"/>
      <w:bookmarkStart w:id="2562" w:name="_Toc509596151"/>
      <w:bookmarkStart w:id="2563" w:name="_Toc509596152"/>
      <w:bookmarkStart w:id="2564" w:name="_Toc509596153"/>
      <w:bookmarkStart w:id="2565" w:name="_Toc509596154"/>
      <w:bookmarkStart w:id="2566" w:name="_Toc509596155"/>
      <w:bookmarkStart w:id="2567" w:name="_Toc509596156"/>
      <w:bookmarkStart w:id="2568" w:name="_Toc509596157"/>
      <w:bookmarkStart w:id="2569" w:name="_Toc509596158"/>
      <w:bookmarkStart w:id="2570" w:name="_Toc509596159"/>
      <w:bookmarkStart w:id="2571" w:name="_Toc509596160"/>
      <w:bookmarkStart w:id="2572" w:name="_Toc509596161"/>
      <w:bookmarkStart w:id="2573" w:name="_Toc509596162"/>
      <w:bookmarkStart w:id="2574" w:name="_Toc500170494"/>
      <w:bookmarkStart w:id="2575" w:name="_Toc500170954"/>
      <w:bookmarkStart w:id="2576" w:name="_Toc500171399"/>
      <w:bookmarkStart w:id="2577" w:name="_Toc500171758"/>
      <w:bookmarkStart w:id="2578" w:name="_Toc500172119"/>
      <w:bookmarkStart w:id="2579" w:name="_Toc500172490"/>
      <w:bookmarkStart w:id="2580" w:name="_Toc500172949"/>
      <w:bookmarkStart w:id="2581" w:name="_Toc500173338"/>
      <w:bookmarkStart w:id="2582" w:name="_Toc500173796"/>
      <w:bookmarkStart w:id="2583" w:name="_Toc500174157"/>
      <w:bookmarkStart w:id="2584" w:name="_Toc500174965"/>
      <w:bookmarkStart w:id="2585" w:name="_Toc500173165"/>
      <w:bookmarkStart w:id="2586" w:name="_Toc500175470"/>
      <w:bookmarkStart w:id="2587" w:name="_Toc500175928"/>
      <w:bookmarkStart w:id="2588" w:name="_Toc500176283"/>
      <w:bookmarkStart w:id="2589" w:name="_Toc500176741"/>
      <w:bookmarkStart w:id="2590" w:name="_Toc500177102"/>
      <w:bookmarkStart w:id="2591" w:name="_Toc500177560"/>
      <w:bookmarkStart w:id="2592" w:name="_Toc500177921"/>
      <w:bookmarkStart w:id="2593" w:name="_Toc500172881"/>
      <w:bookmarkStart w:id="2594" w:name="_Toc500178380"/>
      <w:bookmarkStart w:id="2595" w:name="_Toc500178938"/>
      <w:bookmarkStart w:id="2596" w:name="_Toc500178745"/>
      <w:bookmarkStart w:id="2597" w:name="_Toc500179564"/>
      <w:bookmarkStart w:id="2598" w:name="_Toc500179924"/>
      <w:bookmarkStart w:id="2599" w:name="_Toc500180284"/>
      <w:bookmarkStart w:id="2600" w:name="_Toc500180644"/>
      <w:bookmarkStart w:id="2601" w:name="_Toc500180255"/>
      <w:bookmarkStart w:id="2602" w:name="_Toc500181261"/>
      <w:bookmarkStart w:id="2603" w:name="_Toc500181622"/>
      <w:bookmarkStart w:id="2604" w:name="_Toc500182080"/>
      <w:bookmarkStart w:id="2605" w:name="_Toc500176280"/>
      <w:bookmarkStart w:id="2606" w:name="_Toc500179915"/>
      <w:bookmarkStart w:id="2607" w:name="_Toc500182478"/>
      <w:bookmarkStart w:id="2608" w:name="_Toc500178310"/>
      <w:bookmarkStart w:id="2609" w:name="_Toc500182838"/>
      <w:bookmarkStart w:id="2610" w:name="_Toc500183651"/>
      <w:bookmarkStart w:id="2611" w:name="_Toc500184012"/>
      <w:bookmarkStart w:id="2612" w:name="_Toc500184470"/>
      <w:bookmarkStart w:id="2613" w:name="_Toc500184831"/>
      <w:bookmarkStart w:id="2614" w:name="_Toc500185289"/>
      <w:bookmarkStart w:id="2615" w:name="_Toc500185650"/>
      <w:bookmarkStart w:id="2616" w:name="_Toc500186108"/>
      <w:bookmarkStart w:id="2617" w:name="_Toc500183991"/>
      <w:bookmarkStart w:id="2618" w:name="_Toc500186468"/>
      <w:bookmarkStart w:id="2619" w:name="_Toc500186736"/>
      <w:bookmarkStart w:id="2620" w:name="_Toc500187194"/>
      <w:bookmarkStart w:id="2621" w:name="_Toc500182126"/>
      <w:bookmarkStart w:id="2622" w:name="_Toc500187554"/>
      <w:bookmarkStart w:id="2623" w:name="_Toc500187822"/>
      <w:bookmarkStart w:id="2624" w:name="_Toc500188280"/>
      <w:bookmarkStart w:id="2625" w:name="_Toc500187481"/>
      <w:bookmarkStart w:id="2626" w:name="_Toc500189102"/>
      <w:bookmarkStart w:id="2627" w:name="_Toc500189467"/>
      <w:bookmarkStart w:id="2628" w:name="_Toc500189829"/>
      <w:bookmarkStart w:id="2629" w:name="_Toc500190287"/>
      <w:bookmarkStart w:id="2630" w:name="_Toc500190649"/>
      <w:bookmarkStart w:id="2631" w:name="_Toc500189661"/>
      <w:bookmarkStart w:id="2632" w:name="_Toc500191309"/>
      <w:bookmarkStart w:id="2633" w:name="_Toc500191674"/>
      <w:bookmarkStart w:id="2634" w:name="_Toc500192036"/>
      <w:bookmarkStart w:id="2635" w:name="_Toc500192494"/>
      <w:bookmarkStart w:id="2636" w:name="_Toc500192856"/>
      <w:bookmarkStart w:id="2637" w:name="_Toc500193314"/>
      <w:bookmarkStart w:id="2638" w:name="_Toc500193676"/>
      <w:bookmarkStart w:id="2639" w:name="_Toc500191882"/>
      <w:bookmarkStart w:id="2640" w:name="_Toc500194160"/>
      <w:bookmarkStart w:id="2641" w:name="_Toc500194525"/>
      <w:bookmarkStart w:id="2642" w:name="_Toc500194887"/>
      <w:bookmarkStart w:id="2643" w:name="_Toc500195259"/>
      <w:bookmarkStart w:id="2644" w:name="_Toc500195723"/>
      <w:bookmarkStart w:id="2645" w:name="_Toc500196121"/>
      <w:bookmarkStart w:id="2646" w:name="_Toc500196588"/>
      <w:bookmarkStart w:id="2647" w:name="_Toc500187799"/>
      <w:bookmarkStart w:id="2648" w:name="_Toc500195695"/>
      <w:bookmarkStart w:id="2649" w:name="_Toc500197218"/>
      <w:bookmarkStart w:id="2650" w:name="_Toc500197698"/>
      <w:bookmarkStart w:id="2651" w:name="_Toc500233591"/>
      <w:bookmarkStart w:id="2652" w:name="_Toc500234067"/>
      <w:bookmarkStart w:id="2653" w:name="_Toc500234543"/>
      <w:bookmarkStart w:id="2654" w:name="_Toc500235019"/>
      <w:bookmarkStart w:id="2655" w:name="_Toc500235393"/>
      <w:bookmarkStart w:id="2656" w:name="_Toc500235869"/>
      <w:bookmarkStart w:id="2657" w:name="_Toc500235020"/>
      <w:bookmarkStart w:id="2658" w:name="_Toc500236821"/>
      <w:bookmarkStart w:id="2659" w:name="_Toc500239079"/>
      <w:bookmarkStart w:id="2660" w:name="_Toc500239559"/>
      <w:bookmarkStart w:id="2661" w:name="_Toc500240037"/>
      <w:bookmarkStart w:id="2662" w:name="_Toc500234991"/>
      <w:bookmarkStart w:id="2663" w:name="_Toc500240415"/>
      <w:bookmarkStart w:id="2664" w:name="_Toc500240895"/>
      <w:bookmarkStart w:id="2665" w:name="_Toc500238771"/>
      <w:bookmarkStart w:id="2666" w:name="_Toc500241375"/>
      <w:bookmarkStart w:id="2667" w:name="_Toc500240024"/>
      <w:bookmarkStart w:id="2668" w:name="_Toc500242389"/>
      <w:bookmarkStart w:id="2669" w:name="_Toc500242767"/>
      <w:bookmarkStart w:id="2670" w:name="_Toc500243247"/>
      <w:bookmarkStart w:id="2671" w:name="_Toc500243623"/>
      <w:bookmarkStart w:id="2672" w:name="_Toc500244202"/>
      <w:bookmarkStart w:id="2673" w:name="_Toc500242443"/>
      <w:bookmarkStart w:id="2674" w:name="_Toc500244670"/>
      <w:bookmarkStart w:id="2675" w:name="_Toc500245150"/>
      <w:bookmarkStart w:id="2676" w:name="_Toc500245630"/>
      <w:bookmarkStart w:id="2677" w:name="_Toc500246586"/>
      <w:bookmarkStart w:id="2678" w:name="_Toc500247066"/>
      <w:bookmarkStart w:id="2679" w:name="_Toc500247546"/>
      <w:bookmarkStart w:id="2680" w:name="_Toc500248026"/>
      <w:bookmarkStart w:id="2681" w:name="_Toc500248506"/>
      <w:bookmarkStart w:id="2682" w:name="_Toc500244876"/>
      <w:bookmarkStart w:id="2683" w:name="_Toc500248832"/>
      <w:bookmarkStart w:id="2684" w:name="_Toc500234040"/>
      <w:bookmarkStart w:id="2685" w:name="_Toc500242333"/>
      <w:bookmarkStart w:id="2686" w:name="_Toc500249208"/>
      <w:bookmarkStart w:id="2687" w:name="_Toc500249584"/>
      <w:bookmarkStart w:id="2688" w:name="_Toc500249946"/>
      <w:bookmarkStart w:id="2689" w:name="_Toc500250428"/>
      <w:bookmarkStart w:id="2690" w:name="_Toc500250910"/>
      <w:bookmarkStart w:id="2691" w:name="_Toc500251511"/>
      <w:bookmarkStart w:id="2692" w:name="_Toc500251889"/>
      <w:bookmarkStart w:id="2693" w:name="_Toc500251513"/>
      <w:bookmarkStart w:id="2694" w:name="_Toc500252477"/>
      <w:bookmarkStart w:id="2695" w:name="_Toc500252959"/>
      <w:bookmarkStart w:id="2696" w:name="_Toc500252305"/>
      <w:bookmarkStart w:id="2697" w:name="_Toc500253800"/>
      <w:bookmarkStart w:id="2698" w:name="_Toc500254197"/>
      <w:bookmarkStart w:id="2699" w:name="_Toc500254679"/>
      <w:bookmarkStart w:id="2700" w:name="_Toc500255161"/>
      <w:bookmarkStart w:id="2701" w:name="_Toc500255643"/>
      <w:bookmarkStart w:id="2702" w:name="_Toc500256125"/>
      <w:bookmarkStart w:id="2703" w:name="_Toc500255134"/>
      <w:bookmarkStart w:id="2704" w:name="_Toc500256862"/>
      <w:bookmarkStart w:id="2705" w:name="_Toc500254109"/>
      <w:bookmarkStart w:id="2706" w:name="_Toc500257416"/>
      <w:bookmarkStart w:id="2707" w:name="_Toc500257860"/>
      <w:bookmarkStart w:id="2708" w:name="_Toc500244571"/>
      <w:bookmarkStart w:id="2709" w:name="_Toc500249130"/>
      <w:bookmarkStart w:id="2710" w:name="_Toc500251736"/>
      <w:bookmarkStart w:id="2711" w:name="_Toc500256858"/>
      <w:bookmarkStart w:id="2712" w:name="_Toc500258473"/>
      <w:bookmarkStart w:id="2713" w:name="_Toc500258825"/>
      <w:bookmarkStart w:id="2714" w:name="_Toc500259261"/>
      <w:bookmarkStart w:id="2715" w:name="_Toc500259599"/>
      <w:bookmarkStart w:id="2716" w:name="_Toc500259927"/>
      <w:bookmarkStart w:id="2717" w:name="_Toc500255954"/>
      <w:bookmarkStart w:id="2718" w:name="_Toc500260108"/>
      <w:bookmarkStart w:id="2719" w:name="_Toc500260436"/>
      <w:bookmarkStart w:id="2720" w:name="_Toc500261659"/>
      <w:bookmarkStart w:id="2721" w:name="_Toc500262558"/>
      <w:bookmarkStart w:id="2722" w:name="_Toc500262000"/>
      <w:bookmarkStart w:id="2723" w:name="_Toc500263001"/>
      <w:bookmarkStart w:id="2724" w:name="_Toc500263452"/>
      <w:bookmarkStart w:id="2725" w:name="_Toc500263903"/>
      <w:bookmarkStart w:id="2726" w:name="_Toc500264252"/>
      <w:bookmarkStart w:id="2727" w:name="_Toc500262719"/>
      <w:bookmarkStart w:id="2728" w:name="_Toc500265313"/>
      <w:bookmarkStart w:id="2729" w:name="_Toc500265764"/>
      <w:bookmarkStart w:id="2730" w:name="_Toc500262379"/>
      <w:bookmarkStart w:id="2731" w:name="_Toc500266666"/>
      <w:bookmarkStart w:id="2732" w:name="_Toc500267109"/>
      <w:bookmarkStart w:id="2733" w:name="_Toc500262521"/>
      <w:bookmarkStart w:id="2734" w:name="_Toc500265745"/>
      <w:bookmarkStart w:id="2735" w:name="_Toc500267581"/>
      <w:bookmarkStart w:id="2736" w:name="_Toc500268032"/>
      <w:bookmarkStart w:id="2737" w:name="_Toc500268485"/>
      <w:bookmarkStart w:id="2738" w:name="_Toc500267536"/>
      <w:bookmarkStart w:id="2739" w:name="_Toc500268938"/>
      <w:bookmarkStart w:id="2740" w:name="_Toc500269367"/>
      <w:bookmarkStart w:id="2741" w:name="_Toc500268897"/>
      <w:bookmarkStart w:id="2742" w:name="_Toc500270049"/>
      <w:bookmarkStart w:id="2743" w:name="_Toc500270932"/>
      <w:bookmarkStart w:id="2744" w:name="_Toc500271382"/>
      <w:bookmarkStart w:id="2745" w:name="_Toc500264607"/>
      <w:bookmarkStart w:id="2746" w:name="_Toc500271611"/>
      <w:bookmarkStart w:id="2747" w:name="_Toc500271952"/>
      <w:bookmarkStart w:id="2748" w:name="_Toc500272221"/>
      <w:bookmarkStart w:id="2749" w:name="_Toc500272675"/>
      <w:bookmarkStart w:id="2750" w:name="_Toc500273128"/>
      <w:bookmarkStart w:id="2751" w:name="_Toc500273581"/>
      <w:bookmarkStart w:id="2752" w:name="_Toc500273046"/>
      <w:bookmarkStart w:id="2753" w:name="_Toc500274647"/>
      <w:bookmarkStart w:id="2754" w:name="_Toc500268020"/>
      <w:bookmarkStart w:id="2755" w:name="_Toc500275551"/>
      <w:bookmarkStart w:id="2756" w:name="_Toc500270390"/>
      <w:bookmarkStart w:id="2757" w:name="_Toc500275995"/>
      <w:bookmarkStart w:id="2758" w:name="_Toc500276448"/>
      <w:bookmarkStart w:id="2759" w:name="_Toc500276901"/>
      <w:bookmarkStart w:id="2760" w:name="_Toc500263355"/>
      <w:bookmarkStart w:id="2761" w:name="_Toc500277342"/>
      <w:bookmarkStart w:id="2762" w:name="_Toc500272946"/>
      <w:bookmarkStart w:id="2763" w:name="_Toc500278193"/>
      <w:bookmarkStart w:id="2764" w:name="_Toc500275351"/>
      <w:bookmarkStart w:id="2765" w:name="_Toc500278647"/>
      <w:bookmarkStart w:id="2766" w:name="_Toc500277323"/>
      <w:bookmarkStart w:id="2767" w:name="_Toc500279146"/>
      <w:bookmarkStart w:id="2768" w:name="_Toc500279588"/>
      <w:bookmarkStart w:id="2769" w:name="_Toc500280284"/>
      <w:bookmarkStart w:id="2770" w:name="_Toc500280738"/>
      <w:bookmarkStart w:id="2771" w:name="_Toc500281177"/>
      <w:bookmarkStart w:id="2772" w:name="_Toc500281631"/>
      <w:bookmarkStart w:id="2773" w:name="_Toc500282085"/>
      <w:bookmarkStart w:id="2774" w:name="_Toc500282428"/>
      <w:bookmarkStart w:id="2775" w:name="_Toc500277188"/>
      <w:bookmarkStart w:id="2776" w:name="_Toc500281093"/>
      <w:bookmarkStart w:id="2777" w:name="_Toc500282980"/>
      <w:bookmarkStart w:id="2778" w:name="_Toc509596163"/>
      <w:bookmarkStart w:id="2779" w:name="_Toc509596164"/>
      <w:bookmarkStart w:id="2780" w:name="_Toc509596165"/>
      <w:bookmarkStart w:id="2781" w:name="_Toc509596166"/>
      <w:bookmarkStart w:id="2782" w:name="_Toc509596167"/>
      <w:bookmarkStart w:id="2783" w:name="_Toc509596168"/>
      <w:bookmarkStart w:id="2784" w:name="_Toc509596169"/>
      <w:bookmarkStart w:id="2785" w:name="_Toc509596170"/>
      <w:bookmarkStart w:id="2786" w:name="_Toc509596171"/>
      <w:bookmarkStart w:id="2787" w:name="_Toc509596172"/>
      <w:bookmarkStart w:id="2788" w:name="_Toc507416849"/>
      <w:bookmarkStart w:id="2789" w:name="_Toc507416997"/>
      <w:bookmarkStart w:id="2790" w:name="_Toc507417102"/>
      <w:bookmarkStart w:id="2791" w:name="_Toc507417245"/>
      <w:bookmarkStart w:id="2792" w:name="_Toc507417350"/>
      <w:bookmarkStart w:id="2793" w:name="_Toc507417498"/>
      <w:bookmarkStart w:id="2794" w:name="_Toc507417646"/>
      <w:bookmarkStart w:id="2795" w:name="_Toc507418067"/>
      <w:bookmarkStart w:id="2796" w:name="_Toc507418459"/>
      <w:bookmarkStart w:id="2797" w:name="_Toc507419584"/>
      <w:bookmarkStart w:id="2798" w:name="_Toc507420036"/>
      <w:bookmarkStart w:id="2799" w:name="_Toc507420621"/>
      <w:bookmarkStart w:id="2800" w:name="_Toc507420725"/>
      <w:bookmarkStart w:id="2801" w:name="_Toc507420870"/>
      <w:bookmarkStart w:id="2802" w:name="_Toc507421289"/>
      <w:bookmarkStart w:id="2803" w:name="_Toc507421473"/>
      <w:bookmarkStart w:id="2804" w:name="_Toc507421807"/>
      <w:bookmarkStart w:id="2805" w:name="_Toc507421955"/>
      <w:bookmarkStart w:id="2806" w:name="_Toc507422103"/>
      <w:bookmarkStart w:id="2807" w:name="_Toc507422252"/>
      <w:bookmarkStart w:id="2808" w:name="_Toc507422650"/>
      <w:bookmarkStart w:id="2809" w:name="_Toc507424609"/>
      <w:bookmarkStart w:id="2810" w:name="_Toc507425077"/>
      <w:bookmarkStart w:id="2811" w:name="_Toc507425225"/>
      <w:bookmarkStart w:id="2812" w:name="_Toc507425373"/>
      <w:bookmarkStart w:id="2813" w:name="_Toc507425711"/>
      <w:bookmarkStart w:id="2814" w:name="_Toc507425859"/>
      <w:bookmarkStart w:id="2815" w:name="_Toc507427666"/>
      <w:bookmarkStart w:id="2816" w:name="_Toc507428194"/>
      <w:bookmarkStart w:id="2817" w:name="_Toc507428506"/>
      <w:bookmarkStart w:id="2818" w:name="_Toc509596173"/>
      <w:bookmarkStart w:id="2819" w:name="_Toc509596174"/>
      <w:bookmarkStart w:id="2820" w:name="_Toc509596175"/>
      <w:bookmarkStart w:id="2821" w:name="_Toc509596176"/>
      <w:bookmarkStart w:id="2822" w:name="_Toc509596177"/>
      <w:bookmarkStart w:id="2823" w:name="_Toc509596178"/>
      <w:bookmarkStart w:id="2824" w:name="_Toc509596179"/>
      <w:bookmarkStart w:id="2825" w:name="_Toc509596180"/>
      <w:bookmarkStart w:id="2826" w:name="_Toc509596181"/>
      <w:bookmarkStart w:id="2827" w:name="_Toc509596182"/>
      <w:bookmarkStart w:id="2828" w:name="_Toc509596183"/>
      <w:bookmarkStart w:id="2829" w:name="_Toc509596184"/>
      <w:bookmarkStart w:id="2830" w:name="_Toc509596185"/>
      <w:bookmarkStart w:id="2831" w:name="_Toc509596186"/>
      <w:bookmarkStart w:id="2832" w:name="_Toc509596187"/>
      <w:bookmarkStart w:id="2833" w:name="_Toc509596188"/>
      <w:bookmarkStart w:id="2834" w:name="_Toc509596189"/>
      <w:bookmarkStart w:id="2835" w:name="_Toc509596190"/>
      <w:bookmarkStart w:id="2836" w:name="_Toc509596191"/>
      <w:bookmarkStart w:id="2837" w:name="_Toc509596192"/>
      <w:bookmarkStart w:id="2838" w:name="_Toc509596193"/>
      <w:bookmarkStart w:id="2839" w:name="_Toc509596194"/>
      <w:bookmarkStart w:id="2840" w:name="_Toc509596195"/>
      <w:bookmarkStart w:id="2841" w:name="_Toc509596196"/>
      <w:bookmarkStart w:id="2842" w:name="_Toc509596197"/>
      <w:bookmarkStart w:id="2843" w:name="_Toc509596198"/>
      <w:bookmarkStart w:id="2844" w:name="_Toc509596199"/>
      <w:bookmarkStart w:id="2845" w:name="_Toc509596200"/>
      <w:bookmarkStart w:id="2846" w:name="_Toc509596201"/>
      <w:bookmarkStart w:id="2847" w:name="_Toc509596202"/>
      <w:bookmarkStart w:id="2848" w:name="_Toc509596203"/>
      <w:bookmarkStart w:id="2849" w:name="_Toc509596204"/>
      <w:bookmarkStart w:id="2850" w:name="_Toc509596205"/>
      <w:bookmarkStart w:id="2851" w:name="_Toc509596206"/>
      <w:bookmarkStart w:id="2852" w:name="_Toc509596207"/>
      <w:bookmarkStart w:id="2853" w:name="_Toc509596208"/>
      <w:bookmarkStart w:id="2854" w:name="_Toc507416852"/>
      <w:bookmarkStart w:id="2855" w:name="_Toc507417000"/>
      <w:bookmarkStart w:id="2856" w:name="_Toc507417105"/>
      <w:bookmarkStart w:id="2857" w:name="_Toc507417248"/>
      <w:bookmarkStart w:id="2858" w:name="_Toc507417353"/>
      <w:bookmarkStart w:id="2859" w:name="_Toc507417501"/>
      <w:bookmarkStart w:id="2860" w:name="_Toc507417649"/>
      <w:bookmarkStart w:id="2861" w:name="_Toc507417757"/>
      <w:bookmarkStart w:id="2862" w:name="_Toc507418070"/>
      <w:bookmarkStart w:id="2863" w:name="_Toc507418462"/>
      <w:bookmarkStart w:id="2864" w:name="_Toc507419587"/>
      <w:bookmarkStart w:id="2865" w:name="_Toc507420039"/>
      <w:bookmarkStart w:id="2866" w:name="_Toc507420624"/>
      <w:bookmarkStart w:id="2867" w:name="_Toc507420728"/>
      <w:bookmarkStart w:id="2868" w:name="_Toc507420873"/>
      <w:bookmarkStart w:id="2869" w:name="_Toc507421292"/>
      <w:bookmarkStart w:id="2870" w:name="_Toc507421476"/>
      <w:bookmarkStart w:id="2871" w:name="_Toc507421810"/>
      <w:bookmarkStart w:id="2872" w:name="_Toc507421958"/>
      <w:bookmarkStart w:id="2873" w:name="_Toc507422106"/>
      <w:bookmarkStart w:id="2874" w:name="_Toc507422255"/>
      <w:bookmarkStart w:id="2875" w:name="_Toc507422653"/>
      <w:bookmarkStart w:id="2876" w:name="_Toc507423478"/>
      <w:bookmarkStart w:id="2877" w:name="_Toc507423598"/>
      <w:bookmarkStart w:id="2878" w:name="_Toc507424612"/>
      <w:bookmarkStart w:id="2879" w:name="_Toc507424871"/>
      <w:bookmarkStart w:id="2880" w:name="_Toc507425080"/>
      <w:bookmarkStart w:id="2881" w:name="_Toc507425228"/>
      <w:bookmarkStart w:id="2882" w:name="_Toc507425376"/>
      <w:bookmarkStart w:id="2883" w:name="_Toc507425572"/>
      <w:bookmarkStart w:id="2884" w:name="_Toc507425714"/>
      <w:bookmarkStart w:id="2885" w:name="_Toc507425862"/>
      <w:bookmarkStart w:id="2886" w:name="_Toc507426441"/>
      <w:bookmarkStart w:id="2887" w:name="_Toc507427429"/>
      <w:bookmarkStart w:id="2888" w:name="_Toc507427669"/>
      <w:bookmarkStart w:id="2889" w:name="_Toc507427795"/>
      <w:bookmarkStart w:id="2890" w:name="_Toc507428055"/>
      <w:bookmarkStart w:id="2891" w:name="_Toc507428197"/>
      <w:bookmarkStart w:id="2892" w:name="_Toc507428367"/>
      <w:bookmarkStart w:id="2893" w:name="_Toc507428509"/>
      <w:bookmarkStart w:id="2894" w:name="_Toc507428937"/>
      <w:bookmarkStart w:id="2895" w:name="_Toc500236827"/>
      <w:bookmarkStart w:id="2896" w:name="_Toc500239083"/>
      <w:bookmarkStart w:id="2897" w:name="_Toc500239563"/>
      <w:bookmarkStart w:id="2898" w:name="_Toc500240419"/>
      <w:bookmarkStart w:id="2899" w:name="_Toc500240899"/>
      <w:bookmarkStart w:id="2900" w:name="_Toc500238776"/>
      <w:bookmarkStart w:id="2901" w:name="_Toc500241379"/>
      <w:bookmarkStart w:id="2902" w:name="_Toc500240032"/>
      <w:bookmarkStart w:id="2903" w:name="_Toc500242771"/>
      <w:bookmarkStart w:id="2904" w:name="_Toc500243251"/>
      <w:bookmarkStart w:id="2905" w:name="_Toc500242586"/>
      <w:bookmarkStart w:id="2906" w:name="_Toc500236014"/>
      <w:bookmarkStart w:id="2907" w:name="_Toc500238773"/>
      <w:bookmarkStart w:id="2908" w:name="_Toc500244674"/>
      <w:bookmarkStart w:id="2909" w:name="_Toc500245154"/>
      <w:bookmarkStart w:id="2910" w:name="_Toc508290569"/>
      <w:bookmarkStart w:id="2911" w:name="_Toc508294519"/>
      <w:bookmarkStart w:id="2912" w:name="_Toc508295170"/>
      <w:bookmarkStart w:id="2913" w:name="_Toc508297455"/>
      <w:bookmarkStart w:id="2914" w:name="_Toc508302192"/>
      <w:bookmarkStart w:id="2915" w:name="_Toc508348823"/>
      <w:bookmarkStart w:id="2916" w:name="_Toc508348931"/>
      <w:bookmarkStart w:id="2917" w:name="_Toc508349045"/>
      <w:bookmarkStart w:id="2918" w:name="_Toc508349540"/>
      <w:bookmarkStart w:id="2919" w:name="_Toc508349702"/>
      <w:bookmarkStart w:id="2920" w:name="_Toc508350114"/>
      <w:bookmarkStart w:id="2921" w:name="_Toc508350217"/>
      <w:bookmarkStart w:id="2922" w:name="_Toc508350320"/>
      <w:bookmarkStart w:id="2923" w:name="_Toc508297456"/>
      <w:bookmarkStart w:id="2924" w:name="_Toc508350218"/>
      <w:bookmarkStart w:id="2925" w:name="_Toc508351655"/>
      <w:bookmarkStart w:id="2926" w:name="_Toc508360069"/>
      <w:bookmarkStart w:id="2927" w:name="_Toc511220564"/>
      <w:bookmarkStart w:id="2928" w:name="_Toc511235009"/>
      <w:bookmarkStart w:id="2929" w:name="_Toc51129292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r>
        <w:rPr>
          <w:rFonts w:eastAsiaTheme="minorHAnsi"/>
          <w:noProof/>
        </w:rPr>
        <w:t>In-depth analysis of impacts assessed in Section 6</w:t>
      </w:r>
      <w:bookmarkEnd w:id="2923"/>
      <w:bookmarkEnd w:id="2924"/>
      <w:bookmarkEnd w:id="2925"/>
      <w:bookmarkEnd w:id="2926"/>
      <w:bookmarkEnd w:id="2927"/>
      <w:bookmarkEnd w:id="2928"/>
      <w:bookmarkEnd w:id="2929"/>
    </w:p>
    <w:p>
      <w:pPr>
        <w:pStyle w:val="Default"/>
        <w:jc w:val="both"/>
        <w:rPr>
          <w:noProof/>
        </w:rPr>
      </w:pPr>
      <w:r>
        <w:rPr>
          <w:noProof/>
        </w:rPr>
        <w:t>This Annex aims at expanding the reasoning and substantiating the estimates presented in Section 6.</w:t>
      </w:r>
    </w:p>
    <w:p>
      <w:pPr>
        <w:pStyle w:val="Default"/>
        <w:jc w:val="both"/>
        <w:rPr>
          <w:noProof/>
        </w:rPr>
      </w:pPr>
    </w:p>
    <w:p>
      <w:pPr>
        <w:rPr>
          <w:noProof/>
          <w:lang w:eastAsia="en-GB"/>
        </w:rPr>
      </w:pPr>
      <w:r>
        <w:rPr>
          <w:noProof/>
          <w:lang w:eastAsia="en-GB"/>
        </w:rPr>
        <w:t>It analyses the main impacts of the retained policy options as compared to the baseline, namely co-regulatory options 2a, 2b, 2c and 2d. As shown in Table 1 in Section 5.2, options 2c and 2d build on option 2b. Both option 2c and option 2d are composed of the legal transparency requirements in six areas of concern (changes to terms and conditions, delisting, discrimination/preferential treatment, ranking, general data policy and MFNs), but options 2c and 2d also include additional provisions. Option 2c provides for an extended scope of the transparency requirement for ranking to also cover online general search engines. Under option 2c, the redress-related measures applicable to online general search engines concern only the ranking transparency obligation and are limited to granting legal standing to business associations to act on behalf of professional website owners to enforce this transparency requirement only. In addition to this scope extension in 2c, option 2d foresees an obligation for platforms to give any business user the opportunity to ask, in line with the GDPR, for customers' consent to obtain and process their e-mail addresses after the completion of a transaction and the payment of the commission to the respective platform. Additionally, Annex 10 contains an in-depth assessment of all policy content elements retained for the individual options.</w:t>
      </w:r>
    </w:p>
    <w:p>
      <w:pPr>
        <w:pStyle w:val="Heading2"/>
        <w:rPr>
          <w:noProof/>
        </w:rPr>
      </w:pPr>
      <w:bookmarkStart w:id="2930" w:name="_Toc501369732"/>
      <w:bookmarkStart w:id="2931" w:name="_Toc502910400"/>
      <w:bookmarkStart w:id="2932" w:name="_Toc500282845"/>
      <w:bookmarkStart w:id="2933" w:name="_Toc500170475"/>
      <w:bookmarkStart w:id="2934" w:name="_Toc500170940"/>
      <w:bookmarkStart w:id="2935" w:name="_Toc500171385"/>
      <w:bookmarkStart w:id="2936" w:name="_Toc500171744"/>
      <w:bookmarkStart w:id="2937" w:name="_Toc500172105"/>
      <w:bookmarkStart w:id="2938" w:name="_Toc500172476"/>
      <w:bookmarkStart w:id="2939" w:name="_Toc500172935"/>
      <w:bookmarkStart w:id="2940" w:name="_Toc500173324"/>
      <w:bookmarkStart w:id="2941" w:name="_Toc500173782"/>
      <w:bookmarkStart w:id="2942" w:name="_Toc500174143"/>
      <w:bookmarkStart w:id="2943" w:name="_Toc500174951"/>
      <w:bookmarkStart w:id="2944" w:name="_Toc500173135"/>
      <w:bookmarkStart w:id="2945" w:name="_Toc500175456"/>
      <w:bookmarkStart w:id="2946" w:name="_Toc500175914"/>
      <w:bookmarkStart w:id="2947" w:name="_Toc500176269"/>
      <w:bookmarkStart w:id="2948" w:name="_Toc500176727"/>
      <w:bookmarkStart w:id="2949" w:name="_Toc500177088"/>
      <w:bookmarkStart w:id="2950" w:name="_Toc500177546"/>
      <w:bookmarkStart w:id="2951" w:name="_Toc500177907"/>
      <w:bookmarkStart w:id="2952" w:name="_Toc500172810"/>
      <w:bookmarkStart w:id="2953" w:name="_Toc500178366"/>
      <w:bookmarkStart w:id="2954" w:name="_Toc500178924"/>
      <w:bookmarkStart w:id="2955" w:name="_Toc500178731"/>
      <w:bookmarkStart w:id="2956" w:name="_Toc500179550"/>
      <w:bookmarkStart w:id="2957" w:name="_Toc500179910"/>
      <w:bookmarkStart w:id="2958" w:name="_Toc500180270"/>
      <w:bookmarkStart w:id="2959" w:name="_Toc500180630"/>
      <w:bookmarkStart w:id="2960" w:name="_Toc500180237"/>
      <w:bookmarkStart w:id="2961" w:name="_Toc500181247"/>
      <w:bookmarkStart w:id="2962" w:name="_Toc500181608"/>
      <w:bookmarkStart w:id="2963" w:name="_Toc500182066"/>
      <w:bookmarkStart w:id="2964" w:name="_Toc500176260"/>
      <w:bookmarkStart w:id="2965" w:name="_Toc500179758"/>
      <w:bookmarkStart w:id="2966" w:name="_Toc500182464"/>
      <w:bookmarkStart w:id="2967" w:name="_Toc500178239"/>
      <w:bookmarkStart w:id="2968" w:name="_Toc500182824"/>
      <w:bookmarkStart w:id="2969" w:name="_Toc500183637"/>
      <w:bookmarkStart w:id="2970" w:name="_Toc500183998"/>
      <w:bookmarkStart w:id="2971" w:name="_Toc500184456"/>
      <w:bookmarkStart w:id="2972" w:name="_Toc500184817"/>
      <w:bookmarkStart w:id="2973" w:name="_Toc500185275"/>
      <w:bookmarkStart w:id="2974" w:name="_Toc500185636"/>
      <w:bookmarkStart w:id="2975" w:name="_Toc500186094"/>
      <w:bookmarkStart w:id="2976" w:name="_Toc500183977"/>
      <w:bookmarkStart w:id="2977" w:name="_Toc500186454"/>
      <w:bookmarkStart w:id="2978" w:name="_Toc500186721"/>
      <w:bookmarkStart w:id="2979" w:name="_Toc500187180"/>
      <w:bookmarkStart w:id="2980" w:name="_Toc500181931"/>
      <w:bookmarkStart w:id="2981" w:name="_Toc500187540"/>
      <w:bookmarkStart w:id="2982" w:name="_Toc500187807"/>
      <w:bookmarkStart w:id="2983" w:name="_Toc500188266"/>
      <w:bookmarkStart w:id="2984" w:name="_Toc500187413"/>
      <w:bookmarkStart w:id="2985" w:name="_Toc500189087"/>
      <w:bookmarkStart w:id="2986" w:name="_Toc500189453"/>
      <w:bookmarkStart w:id="2987" w:name="_Toc500189814"/>
      <w:bookmarkStart w:id="2988" w:name="_Toc500190273"/>
      <w:bookmarkStart w:id="2989" w:name="_Toc500190634"/>
      <w:bookmarkStart w:id="2990" w:name="_Toc500189465"/>
      <w:bookmarkStart w:id="2991" w:name="_Toc500191294"/>
      <w:bookmarkStart w:id="2992" w:name="_Toc500191660"/>
      <w:bookmarkStart w:id="2993" w:name="_Toc500192021"/>
      <w:bookmarkStart w:id="2994" w:name="_Toc500192480"/>
      <w:bookmarkStart w:id="2995" w:name="_Toc500192841"/>
      <w:bookmarkStart w:id="2996" w:name="_Toc500193300"/>
      <w:bookmarkStart w:id="2997" w:name="_Toc500193661"/>
      <w:bookmarkStart w:id="2998" w:name="_Toc500191725"/>
      <w:bookmarkStart w:id="2999" w:name="_Toc500194145"/>
      <w:bookmarkStart w:id="3000" w:name="_Toc500194511"/>
      <w:bookmarkStart w:id="3001" w:name="_Toc500194872"/>
      <w:bookmarkStart w:id="3002" w:name="_Toc500195241"/>
      <w:bookmarkStart w:id="3003" w:name="_Toc500195705"/>
      <w:bookmarkStart w:id="3004" w:name="_Toc500196103"/>
      <w:bookmarkStart w:id="3005" w:name="_Toc500196566"/>
      <w:bookmarkStart w:id="3006" w:name="_Toc500187485"/>
      <w:bookmarkStart w:id="3007" w:name="_Toc500191672"/>
      <w:bookmarkStart w:id="3008" w:name="_Toc500195649"/>
      <w:bookmarkStart w:id="3009" w:name="_Toc500197187"/>
      <w:bookmarkStart w:id="3010" w:name="_Toc500197667"/>
      <w:bookmarkStart w:id="3011" w:name="_Toc500232671"/>
      <w:bookmarkStart w:id="3012" w:name="_Toc500233082"/>
      <w:bookmarkStart w:id="3013" w:name="_Toc500233560"/>
      <w:bookmarkStart w:id="3014" w:name="_Toc500234036"/>
      <w:bookmarkStart w:id="3015" w:name="_Toc500234512"/>
      <w:bookmarkStart w:id="3016" w:name="_Toc500234988"/>
      <w:bookmarkStart w:id="3017" w:name="_Toc500235362"/>
      <w:bookmarkStart w:id="3018" w:name="_Toc500235838"/>
      <w:bookmarkStart w:id="3019" w:name="_Toc500236790"/>
      <w:bookmarkStart w:id="3020" w:name="_Toc500238500"/>
      <w:bookmarkStart w:id="3021" w:name="_Toc500238816"/>
      <w:bookmarkStart w:id="3022" w:name="_Toc500235389"/>
      <w:bookmarkStart w:id="3023" w:name="_Toc500239048"/>
      <w:bookmarkStart w:id="3024" w:name="_Toc500239528"/>
      <w:bookmarkStart w:id="3025" w:name="_Toc500240006"/>
      <w:bookmarkStart w:id="3026" w:name="_Toc500240384"/>
      <w:bookmarkStart w:id="3027" w:name="_Toc500240864"/>
      <w:bookmarkStart w:id="3028" w:name="_Toc500238393"/>
      <w:bookmarkStart w:id="3029" w:name="_Toc500241344"/>
      <w:bookmarkStart w:id="3030" w:name="_Toc500239983"/>
      <w:bookmarkStart w:id="3031" w:name="_Toc500242358"/>
      <w:bookmarkStart w:id="3032" w:name="_Toc500242736"/>
      <w:bookmarkStart w:id="3033" w:name="_Toc500243216"/>
      <w:bookmarkStart w:id="3034" w:name="_Toc500243592"/>
      <w:bookmarkStart w:id="3035" w:name="_Toc500241722"/>
      <w:bookmarkStart w:id="3036" w:name="_Toc500244171"/>
      <w:bookmarkStart w:id="3037" w:name="_Toc500242361"/>
      <w:bookmarkStart w:id="3038" w:name="_Toc500235849"/>
      <w:bookmarkStart w:id="3039" w:name="_Toc500238684"/>
      <w:bookmarkStart w:id="3040" w:name="_Toc500244639"/>
      <w:bookmarkStart w:id="3041" w:name="_Toc500245119"/>
      <w:bookmarkStart w:id="3042" w:name="_Toc500245599"/>
      <w:bookmarkStart w:id="3043" w:name="_Toc500246075"/>
      <w:bookmarkStart w:id="3044" w:name="_Toc500246555"/>
      <w:bookmarkStart w:id="3045" w:name="_Toc500247035"/>
      <w:bookmarkStart w:id="3046" w:name="_Toc500247995"/>
      <w:bookmarkStart w:id="3047" w:name="_Toc500248475"/>
      <w:bookmarkStart w:id="3048" w:name="_Toc500244657"/>
      <w:bookmarkStart w:id="3049" w:name="_Toc500245989"/>
      <w:bookmarkStart w:id="3050" w:name="_Toc500247841"/>
      <w:bookmarkStart w:id="3051" w:name="_Toc500241711"/>
      <w:bookmarkStart w:id="3052" w:name="_Toc500249177"/>
      <w:bookmarkStart w:id="3053" w:name="_Toc500247515"/>
      <w:bookmarkStart w:id="3054" w:name="_Toc500249553"/>
      <w:bookmarkStart w:id="3055" w:name="_Toc500249915"/>
      <w:bookmarkStart w:id="3056" w:name="_Toc500250879"/>
      <w:bookmarkStart w:id="3057" w:name="_Toc500249927"/>
      <w:bookmarkStart w:id="3058" w:name="_Toc500244165"/>
      <w:bookmarkStart w:id="3059" w:name="_Toc500251480"/>
      <w:bookmarkStart w:id="3060" w:name="_Toc500251858"/>
      <w:bookmarkStart w:id="3061" w:name="_Toc500251482"/>
      <w:bookmarkStart w:id="3062" w:name="_Toc500252446"/>
      <w:bookmarkStart w:id="3063" w:name="_Toc500252928"/>
      <w:bookmarkStart w:id="3064" w:name="_Toc500253769"/>
      <w:bookmarkStart w:id="3065" w:name="_Toc500254166"/>
      <w:bookmarkStart w:id="3066" w:name="_Toc500254648"/>
      <w:bookmarkStart w:id="3067" w:name="_Toc500255130"/>
      <w:bookmarkStart w:id="3068" w:name="_Toc500255612"/>
      <w:bookmarkStart w:id="3069" w:name="_Toc500256094"/>
      <w:bookmarkStart w:id="3070" w:name="_Toc500255083"/>
      <w:bookmarkStart w:id="3071" w:name="_Toc500256831"/>
      <w:bookmarkStart w:id="3072" w:name="_Toc500253954"/>
      <w:bookmarkStart w:id="3073" w:name="_Toc500257385"/>
      <w:bookmarkStart w:id="3074" w:name="_Toc500257829"/>
      <w:bookmarkStart w:id="3075" w:name="_Toc500244153"/>
      <w:bookmarkStart w:id="3076" w:name="_Toc500248183"/>
      <w:bookmarkStart w:id="3077" w:name="_Toc500251058"/>
      <w:bookmarkStart w:id="3078" w:name="_Toc500256813"/>
      <w:bookmarkStart w:id="3079" w:name="_Toc500258442"/>
      <w:bookmarkStart w:id="3080" w:name="_Toc500258794"/>
      <w:bookmarkStart w:id="3081" w:name="_Toc500259230"/>
      <w:bookmarkStart w:id="3082" w:name="_Toc500259568"/>
      <w:bookmarkStart w:id="3083" w:name="_Toc500259896"/>
      <w:bookmarkStart w:id="3084" w:name="_Toc500250544"/>
      <w:bookmarkStart w:id="3085" w:name="_Toc500259607"/>
      <w:bookmarkStart w:id="3086" w:name="_Toc500260405"/>
      <w:bookmarkStart w:id="3087" w:name="_Toc500259928"/>
      <w:bookmarkStart w:id="3088" w:name="_Toc500260964"/>
      <w:bookmarkStart w:id="3089" w:name="_Toc500261347"/>
      <w:bookmarkStart w:id="3090" w:name="_Toc500261627"/>
      <w:bookmarkStart w:id="3091" w:name="_Toc500262527"/>
      <w:bookmarkStart w:id="3092" w:name="_Toc500262969"/>
      <w:bookmarkStart w:id="3093" w:name="_Toc500263420"/>
      <w:bookmarkStart w:id="3094" w:name="_Toc500263871"/>
      <w:bookmarkStart w:id="3095" w:name="_Toc500264220"/>
      <w:bookmarkStart w:id="3096" w:name="_Toc500264667"/>
      <w:bookmarkStart w:id="3097" w:name="_Toc500262534"/>
      <w:bookmarkStart w:id="3098" w:name="_Toc500265281"/>
      <w:bookmarkStart w:id="3099" w:name="_Toc500265732"/>
      <w:bookmarkStart w:id="3100" w:name="_Toc500262079"/>
      <w:bookmarkStart w:id="3101" w:name="_Toc500266634"/>
      <w:bookmarkStart w:id="3102" w:name="_Toc500267077"/>
      <w:bookmarkStart w:id="3103" w:name="_Toc500262457"/>
      <w:bookmarkStart w:id="3104" w:name="_Toc500265700"/>
      <w:bookmarkStart w:id="3105" w:name="_Toc500260452"/>
      <w:bookmarkStart w:id="3106" w:name="_Toc500268000"/>
      <w:bookmarkStart w:id="3107" w:name="_Toc500268453"/>
      <w:bookmarkStart w:id="3108" w:name="_Toc500267494"/>
      <w:bookmarkStart w:id="3109" w:name="_Toc500268906"/>
      <w:bookmarkStart w:id="3110" w:name="_Toc500269335"/>
      <w:bookmarkStart w:id="3111" w:name="_Toc500268851"/>
      <w:bookmarkStart w:id="3112" w:name="_Toc500270017"/>
      <w:bookmarkStart w:id="3113" w:name="_Toc500270900"/>
      <w:bookmarkStart w:id="3114" w:name="_Toc500271351"/>
      <w:bookmarkStart w:id="3115" w:name="_Toc500262238"/>
      <w:bookmarkStart w:id="3116" w:name="_Toc500270460"/>
      <w:bookmarkStart w:id="3117" w:name="_Toc500271580"/>
      <w:bookmarkStart w:id="3118" w:name="_Toc500271921"/>
      <w:bookmarkStart w:id="3119" w:name="_Toc500272643"/>
      <w:bookmarkStart w:id="3120" w:name="_Toc500273096"/>
      <w:bookmarkStart w:id="3121" w:name="_Toc500273549"/>
      <w:bookmarkStart w:id="3122" w:name="_Toc500272948"/>
      <w:bookmarkStart w:id="3123" w:name="_Toc500274189"/>
      <w:bookmarkStart w:id="3124" w:name="_Toc500274615"/>
      <w:bookmarkStart w:id="3125" w:name="_Toc500267978"/>
      <w:bookmarkStart w:id="3126" w:name="_Toc500275067"/>
      <w:bookmarkStart w:id="3127" w:name="_Toc500275519"/>
      <w:bookmarkStart w:id="3128" w:name="_Toc500270053"/>
      <w:bookmarkStart w:id="3129" w:name="_Toc500275963"/>
      <w:bookmarkStart w:id="3130" w:name="_Toc500276416"/>
      <w:bookmarkStart w:id="3131" w:name="_Toc500276869"/>
      <w:bookmarkStart w:id="3132" w:name="_Toc500277310"/>
      <w:bookmarkStart w:id="3133" w:name="_Toc500274887"/>
      <w:bookmarkStart w:id="3134" w:name="_Toc500272647"/>
      <w:bookmarkStart w:id="3135" w:name="_Toc500277733"/>
      <w:bookmarkStart w:id="3136" w:name="_Toc500278160"/>
      <w:bookmarkStart w:id="3137" w:name="_Toc500275097"/>
      <w:bookmarkStart w:id="3138" w:name="_Toc500278614"/>
      <w:bookmarkStart w:id="3139" w:name="_Toc500277283"/>
      <w:bookmarkStart w:id="3140" w:name="_Toc500279113"/>
      <w:bookmarkStart w:id="3141" w:name="_Toc500279555"/>
      <w:bookmarkStart w:id="3142" w:name="_Toc500276449"/>
      <w:bookmarkStart w:id="3143" w:name="_Toc500280251"/>
      <w:bookmarkStart w:id="3144" w:name="_Toc500280705"/>
      <w:bookmarkStart w:id="3145" w:name="_Toc500281144"/>
      <w:bookmarkStart w:id="3146" w:name="_Toc500281598"/>
      <w:bookmarkStart w:id="3147" w:name="_Toc500282052"/>
      <w:bookmarkStart w:id="3148" w:name="_Toc500282395"/>
      <w:bookmarkStart w:id="3149" w:name="_Toc500276886"/>
      <w:bookmarkStart w:id="3150" w:name="_Toc500280853"/>
      <w:bookmarkStart w:id="3151" w:name="_Toc500282846"/>
      <w:bookmarkStart w:id="3152" w:name="_Toc500170476"/>
      <w:bookmarkStart w:id="3153" w:name="_Toc500170941"/>
      <w:bookmarkStart w:id="3154" w:name="_Toc500171386"/>
      <w:bookmarkStart w:id="3155" w:name="_Toc500171745"/>
      <w:bookmarkStart w:id="3156" w:name="_Toc500172106"/>
      <w:bookmarkStart w:id="3157" w:name="_Toc500172477"/>
      <w:bookmarkStart w:id="3158" w:name="_Toc500172936"/>
      <w:bookmarkStart w:id="3159" w:name="_Toc500173325"/>
      <w:bookmarkStart w:id="3160" w:name="_Toc500173783"/>
      <w:bookmarkStart w:id="3161" w:name="_Toc500174144"/>
      <w:bookmarkStart w:id="3162" w:name="_Toc500174952"/>
      <w:bookmarkStart w:id="3163" w:name="_Toc500173137"/>
      <w:bookmarkStart w:id="3164" w:name="_Toc500175457"/>
      <w:bookmarkStart w:id="3165" w:name="_Toc500175915"/>
      <w:bookmarkStart w:id="3166" w:name="_Toc500176270"/>
      <w:bookmarkStart w:id="3167" w:name="_Toc500176728"/>
      <w:bookmarkStart w:id="3168" w:name="_Toc500177089"/>
      <w:bookmarkStart w:id="3169" w:name="_Toc500177547"/>
      <w:bookmarkStart w:id="3170" w:name="_Toc500177908"/>
      <w:bookmarkStart w:id="3171" w:name="_Toc500172811"/>
      <w:bookmarkStart w:id="3172" w:name="_Toc500178367"/>
      <w:bookmarkStart w:id="3173" w:name="_Toc500178925"/>
      <w:bookmarkStart w:id="3174" w:name="_Toc500178732"/>
      <w:bookmarkStart w:id="3175" w:name="_Toc500179551"/>
      <w:bookmarkStart w:id="3176" w:name="_Toc500179911"/>
      <w:bookmarkStart w:id="3177" w:name="_Toc500180271"/>
      <w:bookmarkStart w:id="3178" w:name="_Toc500180631"/>
      <w:bookmarkStart w:id="3179" w:name="_Toc500180241"/>
      <w:bookmarkStart w:id="3180" w:name="_Toc500181248"/>
      <w:bookmarkStart w:id="3181" w:name="_Toc500181609"/>
      <w:bookmarkStart w:id="3182" w:name="_Toc500182067"/>
      <w:bookmarkStart w:id="3183" w:name="_Toc500176261"/>
      <w:bookmarkStart w:id="3184" w:name="_Toc500179760"/>
      <w:bookmarkStart w:id="3185" w:name="_Toc500182465"/>
      <w:bookmarkStart w:id="3186" w:name="_Toc500178240"/>
      <w:bookmarkStart w:id="3187" w:name="_Toc500182825"/>
      <w:bookmarkStart w:id="3188" w:name="_Toc500183638"/>
      <w:bookmarkStart w:id="3189" w:name="_Toc500183999"/>
      <w:bookmarkStart w:id="3190" w:name="_Toc500184457"/>
      <w:bookmarkStart w:id="3191" w:name="_Toc500184818"/>
      <w:bookmarkStart w:id="3192" w:name="_Toc500185276"/>
      <w:bookmarkStart w:id="3193" w:name="_Toc500185637"/>
      <w:bookmarkStart w:id="3194" w:name="_Toc500186095"/>
      <w:bookmarkStart w:id="3195" w:name="_Toc500183978"/>
      <w:bookmarkStart w:id="3196" w:name="_Toc500186455"/>
      <w:bookmarkStart w:id="3197" w:name="_Toc500186722"/>
      <w:bookmarkStart w:id="3198" w:name="_Toc500187181"/>
      <w:bookmarkStart w:id="3199" w:name="_Toc500181934"/>
      <w:bookmarkStart w:id="3200" w:name="_Toc500187541"/>
      <w:bookmarkStart w:id="3201" w:name="_Toc500187808"/>
      <w:bookmarkStart w:id="3202" w:name="_Toc500188267"/>
      <w:bookmarkStart w:id="3203" w:name="_Toc500187414"/>
      <w:bookmarkStart w:id="3204" w:name="_Toc500189088"/>
      <w:bookmarkStart w:id="3205" w:name="_Toc500189454"/>
      <w:bookmarkStart w:id="3206" w:name="_Toc500189815"/>
      <w:bookmarkStart w:id="3207" w:name="_Toc500190274"/>
      <w:bookmarkStart w:id="3208" w:name="_Toc500190635"/>
      <w:bookmarkStart w:id="3209" w:name="_Toc500189466"/>
      <w:bookmarkStart w:id="3210" w:name="_Toc500191295"/>
      <w:bookmarkStart w:id="3211" w:name="_Toc500191661"/>
      <w:bookmarkStart w:id="3212" w:name="_Toc500192022"/>
      <w:bookmarkStart w:id="3213" w:name="_Toc500192481"/>
      <w:bookmarkStart w:id="3214" w:name="_Toc500192842"/>
      <w:bookmarkStart w:id="3215" w:name="_Toc500193301"/>
      <w:bookmarkStart w:id="3216" w:name="_Toc500193662"/>
      <w:bookmarkStart w:id="3217" w:name="_Toc500191727"/>
      <w:bookmarkStart w:id="3218" w:name="_Toc500194146"/>
      <w:bookmarkStart w:id="3219" w:name="_Toc500194512"/>
      <w:bookmarkStart w:id="3220" w:name="_Toc500194873"/>
      <w:bookmarkStart w:id="3221" w:name="_Toc500195242"/>
      <w:bookmarkStart w:id="3222" w:name="_Toc500195706"/>
      <w:bookmarkStart w:id="3223" w:name="_Toc500196104"/>
      <w:bookmarkStart w:id="3224" w:name="_Toc500196567"/>
      <w:bookmarkStart w:id="3225" w:name="_Toc500187487"/>
      <w:bookmarkStart w:id="3226" w:name="_Toc500191673"/>
      <w:bookmarkStart w:id="3227" w:name="_Toc500195650"/>
      <w:bookmarkStart w:id="3228" w:name="_Toc500197188"/>
      <w:bookmarkStart w:id="3229" w:name="_Toc500197668"/>
      <w:bookmarkStart w:id="3230" w:name="_Toc500232672"/>
      <w:bookmarkStart w:id="3231" w:name="_Toc500233083"/>
      <w:bookmarkStart w:id="3232" w:name="_Toc500233561"/>
      <w:bookmarkStart w:id="3233" w:name="_Toc500234037"/>
      <w:bookmarkStart w:id="3234" w:name="_Toc500234513"/>
      <w:bookmarkStart w:id="3235" w:name="_Toc500234989"/>
      <w:bookmarkStart w:id="3236" w:name="_Toc500235363"/>
      <w:bookmarkStart w:id="3237" w:name="_Toc500235839"/>
      <w:bookmarkStart w:id="3238" w:name="_Toc500234975"/>
      <w:bookmarkStart w:id="3239" w:name="_Toc500236791"/>
      <w:bookmarkStart w:id="3240" w:name="_Toc500238501"/>
      <w:bookmarkStart w:id="3241" w:name="_Toc500238817"/>
      <w:bookmarkStart w:id="3242" w:name="_Toc500235390"/>
      <w:bookmarkStart w:id="3243" w:name="_Toc500239049"/>
      <w:bookmarkStart w:id="3244" w:name="_Toc500239529"/>
      <w:bookmarkStart w:id="3245" w:name="_Toc500240007"/>
      <w:bookmarkStart w:id="3246" w:name="_Toc500240385"/>
      <w:bookmarkStart w:id="3247" w:name="_Toc500240865"/>
      <w:bookmarkStart w:id="3248" w:name="_Toc500238394"/>
      <w:bookmarkStart w:id="3249" w:name="_Toc500241345"/>
      <w:bookmarkStart w:id="3250" w:name="_Toc500239984"/>
      <w:bookmarkStart w:id="3251" w:name="_Toc500242359"/>
      <w:bookmarkStart w:id="3252" w:name="_Toc500242737"/>
      <w:bookmarkStart w:id="3253" w:name="_Toc500243217"/>
      <w:bookmarkStart w:id="3254" w:name="_Toc500243593"/>
      <w:bookmarkStart w:id="3255" w:name="_Toc500241723"/>
      <w:bookmarkStart w:id="3256" w:name="_Toc500244172"/>
      <w:bookmarkStart w:id="3257" w:name="_Toc500242362"/>
      <w:bookmarkStart w:id="3258" w:name="_Toc500235850"/>
      <w:bookmarkStart w:id="3259" w:name="_Toc500238685"/>
      <w:bookmarkStart w:id="3260" w:name="_Toc500244640"/>
      <w:bookmarkStart w:id="3261" w:name="_Toc500245120"/>
      <w:bookmarkStart w:id="3262" w:name="_Toc500245600"/>
      <w:bookmarkStart w:id="3263" w:name="_Toc500246556"/>
      <w:bookmarkStart w:id="3264" w:name="_Toc500247036"/>
      <w:bookmarkStart w:id="3265" w:name="_Toc500247996"/>
      <w:bookmarkStart w:id="3266" w:name="_Toc500248476"/>
      <w:bookmarkStart w:id="3267" w:name="_Toc500245990"/>
      <w:bookmarkStart w:id="3268" w:name="_Toc500247842"/>
      <w:bookmarkStart w:id="3269" w:name="_Toc500241712"/>
      <w:bookmarkStart w:id="3270" w:name="_Toc500249178"/>
      <w:bookmarkStart w:id="3271" w:name="_Toc500247516"/>
      <w:bookmarkStart w:id="3272" w:name="_Toc500249554"/>
      <w:bookmarkStart w:id="3273" w:name="_Toc500249916"/>
      <w:bookmarkStart w:id="3274" w:name="_Toc500250880"/>
      <w:bookmarkStart w:id="3275" w:name="_Toc500249928"/>
      <w:bookmarkStart w:id="3276" w:name="_Toc500244166"/>
      <w:bookmarkStart w:id="3277" w:name="_Toc500251481"/>
      <w:bookmarkStart w:id="3278" w:name="_Toc500251859"/>
      <w:bookmarkStart w:id="3279" w:name="_Toc500251483"/>
      <w:bookmarkStart w:id="3280" w:name="_Toc500252447"/>
      <w:bookmarkStart w:id="3281" w:name="_Toc500252929"/>
      <w:bookmarkStart w:id="3282" w:name="_Toc500253770"/>
      <w:bookmarkStart w:id="3283" w:name="_Toc500254167"/>
      <w:bookmarkStart w:id="3284" w:name="_Toc500254649"/>
      <w:bookmarkStart w:id="3285" w:name="_Toc500255131"/>
      <w:bookmarkStart w:id="3286" w:name="_Toc500255613"/>
      <w:bookmarkStart w:id="3287" w:name="_Toc500256095"/>
      <w:bookmarkStart w:id="3288" w:name="_Toc500255093"/>
      <w:bookmarkStart w:id="3289" w:name="_Toc500256832"/>
      <w:bookmarkStart w:id="3290" w:name="_Toc500253955"/>
      <w:bookmarkStart w:id="3291" w:name="_Toc500257386"/>
      <w:bookmarkStart w:id="3292" w:name="_Toc500257830"/>
      <w:bookmarkStart w:id="3293" w:name="_Toc500244154"/>
      <w:bookmarkStart w:id="3294" w:name="_Toc500248322"/>
      <w:bookmarkStart w:id="3295" w:name="_Toc500251263"/>
      <w:bookmarkStart w:id="3296" w:name="_Toc500256814"/>
      <w:bookmarkStart w:id="3297" w:name="_Toc500258443"/>
      <w:bookmarkStart w:id="3298" w:name="_Toc500258795"/>
      <w:bookmarkStart w:id="3299" w:name="_Toc500259231"/>
      <w:bookmarkStart w:id="3300" w:name="_Toc500259569"/>
      <w:bookmarkStart w:id="3301" w:name="_Toc500259897"/>
      <w:bookmarkStart w:id="3302" w:name="_Toc500250545"/>
      <w:bookmarkStart w:id="3303" w:name="_Toc500259610"/>
      <w:bookmarkStart w:id="3304" w:name="_Toc500260406"/>
      <w:bookmarkStart w:id="3305" w:name="_Toc500259929"/>
      <w:bookmarkStart w:id="3306" w:name="_Toc500260965"/>
      <w:bookmarkStart w:id="3307" w:name="_Toc500261348"/>
      <w:bookmarkStart w:id="3308" w:name="_Toc500261628"/>
      <w:bookmarkStart w:id="3309" w:name="_Toc500262528"/>
      <w:bookmarkStart w:id="3310" w:name="_Toc500262970"/>
      <w:bookmarkStart w:id="3311" w:name="_Toc500263421"/>
      <w:bookmarkStart w:id="3312" w:name="_Toc500263872"/>
      <w:bookmarkStart w:id="3313" w:name="_Toc500264221"/>
      <w:bookmarkStart w:id="3314" w:name="_Toc500264668"/>
      <w:bookmarkStart w:id="3315" w:name="_Toc500262538"/>
      <w:bookmarkStart w:id="3316" w:name="_Toc500265282"/>
      <w:bookmarkStart w:id="3317" w:name="_Toc500265733"/>
      <w:bookmarkStart w:id="3318" w:name="_Toc500266184"/>
      <w:bookmarkStart w:id="3319" w:name="_Toc500262086"/>
      <w:bookmarkStart w:id="3320" w:name="_Toc500266635"/>
      <w:bookmarkStart w:id="3321" w:name="_Toc500267078"/>
      <w:bookmarkStart w:id="3322" w:name="_Toc500262460"/>
      <w:bookmarkStart w:id="3323" w:name="_Toc500265704"/>
      <w:bookmarkStart w:id="3324" w:name="_Toc500260591"/>
      <w:bookmarkStart w:id="3325" w:name="_Toc500267550"/>
      <w:bookmarkStart w:id="3326" w:name="_Toc500268001"/>
      <w:bookmarkStart w:id="3327" w:name="_Toc500268454"/>
      <w:bookmarkStart w:id="3328" w:name="_Toc500267495"/>
      <w:bookmarkStart w:id="3329" w:name="_Toc500268907"/>
      <w:bookmarkStart w:id="3330" w:name="_Toc500269336"/>
      <w:bookmarkStart w:id="3331" w:name="_Toc500268852"/>
      <w:bookmarkStart w:id="3332" w:name="_Toc500270018"/>
      <w:bookmarkStart w:id="3333" w:name="_Toc500270901"/>
      <w:bookmarkStart w:id="3334" w:name="_Toc500271352"/>
      <w:bookmarkStart w:id="3335" w:name="_Toc500262377"/>
      <w:bookmarkStart w:id="3336" w:name="_Toc500270461"/>
      <w:bookmarkStart w:id="3337" w:name="_Toc500271581"/>
      <w:bookmarkStart w:id="3338" w:name="_Toc500271922"/>
      <w:bookmarkStart w:id="3339" w:name="_Toc500272644"/>
      <w:bookmarkStart w:id="3340" w:name="_Toc500273097"/>
      <w:bookmarkStart w:id="3341" w:name="_Toc500273550"/>
      <w:bookmarkStart w:id="3342" w:name="_Toc500274190"/>
      <w:bookmarkStart w:id="3343" w:name="_Toc500274616"/>
      <w:bookmarkStart w:id="3344" w:name="_Toc500267979"/>
      <w:bookmarkStart w:id="3345" w:name="_Toc500275068"/>
      <w:bookmarkStart w:id="3346" w:name="_Toc500275520"/>
      <w:bookmarkStart w:id="3347" w:name="_Toc500270054"/>
      <w:bookmarkStart w:id="3348" w:name="_Toc500275964"/>
      <w:bookmarkStart w:id="3349" w:name="_Toc500276417"/>
      <w:bookmarkStart w:id="3350" w:name="_Toc500276870"/>
      <w:bookmarkStart w:id="3351" w:name="_Toc500277311"/>
      <w:bookmarkStart w:id="3352" w:name="_Toc500274888"/>
      <w:bookmarkStart w:id="3353" w:name="_Toc500272651"/>
      <w:bookmarkStart w:id="3354" w:name="_Toc500277734"/>
      <w:bookmarkStart w:id="3355" w:name="_Toc500278161"/>
      <w:bookmarkStart w:id="3356" w:name="_Toc500275101"/>
      <w:bookmarkStart w:id="3357" w:name="_Toc500278615"/>
      <w:bookmarkStart w:id="3358" w:name="_Toc500277284"/>
      <w:bookmarkStart w:id="3359" w:name="_Toc500279114"/>
      <w:bookmarkStart w:id="3360" w:name="_Toc500279556"/>
      <w:bookmarkStart w:id="3361" w:name="_Toc500276452"/>
      <w:bookmarkStart w:id="3362" w:name="_Toc500280252"/>
      <w:bookmarkStart w:id="3363" w:name="_Toc500280706"/>
      <w:bookmarkStart w:id="3364" w:name="_Toc500281145"/>
      <w:bookmarkStart w:id="3365" w:name="_Toc500281599"/>
      <w:bookmarkStart w:id="3366" w:name="_Toc500282053"/>
      <w:bookmarkStart w:id="3367" w:name="_Toc500282396"/>
      <w:bookmarkStart w:id="3368" w:name="_Toc500282847"/>
      <w:bookmarkStart w:id="3369" w:name="_Toc500187547"/>
      <w:bookmarkStart w:id="3370" w:name="_Toc500282947"/>
      <w:bookmarkStart w:id="3371" w:name="_Toc500197189"/>
      <w:bookmarkStart w:id="3372" w:name="_Toc500241346"/>
      <w:bookmarkStart w:id="3373" w:name="_Toc500238689"/>
      <w:bookmarkStart w:id="3374" w:name="_Toc500247037"/>
      <w:bookmarkStart w:id="3375" w:name="_Toc500242066"/>
      <w:bookmarkStart w:id="3376" w:name="_Toc500249929"/>
      <w:bookmarkStart w:id="3377" w:name="_Toc500252930"/>
      <w:bookmarkStart w:id="3378" w:name="_Toc500255614"/>
      <w:bookmarkStart w:id="3379" w:name="_Toc500257387"/>
      <w:bookmarkStart w:id="3380" w:name="_Toc500257831"/>
      <w:bookmarkStart w:id="3381" w:name="_Toc500256815"/>
      <w:bookmarkStart w:id="3382" w:name="_Toc500258796"/>
      <w:bookmarkStart w:id="3383" w:name="_Toc500259611"/>
      <w:bookmarkStart w:id="3384" w:name="_Toc500261349"/>
      <w:bookmarkStart w:id="3385" w:name="_Toc500262971"/>
      <w:bookmarkStart w:id="3386" w:name="_Toc500271353"/>
      <w:bookmarkStart w:id="3387" w:name="_Toc500271923"/>
      <w:bookmarkStart w:id="3388" w:name="_Toc500276418"/>
      <w:bookmarkStart w:id="3389" w:name="_Toc500272655"/>
      <w:bookmarkStart w:id="3390" w:name="_Toc500277735"/>
      <w:bookmarkStart w:id="3391" w:name="_Toc500279115"/>
      <w:bookmarkStart w:id="3392" w:name="_Toc500280253"/>
      <w:bookmarkStart w:id="3393" w:name="_Toc500282054"/>
      <w:bookmarkStart w:id="3394" w:name="_Toc500280856"/>
      <w:bookmarkStart w:id="3395" w:name="_Toc500283419"/>
      <w:bookmarkStart w:id="3396" w:name="_Toc500282485"/>
      <w:bookmarkStart w:id="3397" w:name="_Toc505350060"/>
      <w:bookmarkStart w:id="3398" w:name="_Toc505352117"/>
      <w:bookmarkStart w:id="3399" w:name="_Toc505352439"/>
      <w:bookmarkStart w:id="3400" w:name="_Toc505353044"/>
      <w:bookmarkStart w:id="3401" w:name="_Toc505356005"/>
      <w:bookmarkStart w:id="3402" w:name="_Toc505620768"/>
      <w:bookmarkStart w:id="3403" w:name="_Toc505872644"/>
      <w:bookmarkStart w:id="3404" w:name="_Toc505873375"/>
      <w:bookmarkStart w:id="3405" w:name="_Toc507428477"/>
      <w:bookmarkStart w:id="3406" w:name="_Toc507428907"/>
      <w:bookmarkStart w:id="3407" w:name="_Toc507793740"/>
      <w:bookmarkStart w:id="3408" w:name="_Toc508297457"/>
      <w:bookmarkStart w:id="3409" w:name="_Toc508350219"/>
      <w:bookmarkStart w:id="3410" w:name="_Toc508351656"/>
      <w:bookmarkStart w:id="3411" w:name="_Toc508360070"/>
      <w:bookmarkStart w:id="3412" w:name="_Toc511220565"/>
      <w:bookmarkStart w:id="3413" w:name="_Toc511235010"/>
      <w:bookmarkStart w:id="3414" w:name="_Toc511292923"/>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r>
        <w:rPr>
          <w:noProof/>
        </w:rPr>
        <w:t>Impact on internal market</w:t>
      </w:r>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p>
    <w:p>
      <w:pPr>
        <w:autoSpaceDE w:val="0"/>
        <w:autoSpaceDN w:val="0"/>
        <w:adjustRightInd w:val="0"/>
        <w:spacing w:after="0"/>
        <w:rPr>
          <w:noProof/>
          <w:color w:val="000000"/>
          <w:szCs w:val="24"/>
          <w:lang w:eastAsia="en-GB"/>
        </w:rPr>
      </w:pPr>
      <w:r>
        <w:rPr>
          <w:noProof/>
          <w:color w:val="000000"/>
          <w:szCs w:val="24"/>
          <w:lang w:eastAsia="en-GB"/>
        </w:rPr>
        <w:t>The impact on the Single Market of the co-regulatory options is essentially two-fold. On the one hand, the substantive rules proposed will provide business users with greater legal certainty when using online platforms to trade across the internal market, and with concrete tools to seek redress in case of problems, thus supporting the growth of the Digital Single Market. On the other hand, the monitoring and review clauses will allow regulators to adapt rules to the observed market reality to help business users find the appropriate support, gradually creating a common understanding of the issues identified and solutions to address them. This would possibly allow some aligning of platform-related rules across the EU. Further fragmentation will also be limited by encouraging Member States to cooperate through the EU Observatory.</w:t>
      </w:r>
    </w:p>
    <w:p>
      <w:pPr>
        <w:autoSpaceDE w:val="0"/>
        <w:autoSpaceDN w:val="0"/>
        <w:adjustRightInd w:val="0"/>
        <w:spacing w:after="0"/>
        <w:rPr>
          <w:noProof/>
          <w:color w:val="000000"/>
          <w:szCs w:val="24"/>
          <w:lang w:eastAsia="en-GB"/>
        </w:rPr>
      </w:pPr>
    </w:p>
    <w:p>
      <w:pPr>
        <w:pStyle w:val="Heading3"/>
        <w:rPr>
          <w:noProof/>
        </w:rPr>
      </w:pPr>
      <w:bookmarkStart w:id="3415" w:name="_Toc502910406"/>
      <w:bookmarkStart w:id="3416" w:name="_Toc502910408"/>
      <w:bookmarkStart w:id="3417" w:name="_Toc500197191"/>
      <w:bookmarkStart w:id="3418" w:name="_Toc500241348"/>
      <w:bookmarkStart w:id="3419" w:name="_Toc500247039"/>
      <w:bookmarkStart w:id="3420" w:name="_Toc500242209"/>
      <w:bookmarkStart w:id="3421" w:name="_Toc500249931"/>
      <w:bookmarkStart w:id="3422" w:name="_Toc500252932"/>
      <w:bookmarkStart w:id="3423" w:name="_Toc500255616"/>
      <w:bookmarkStart w:id="3424" w:name="_Toc500257389"/>
      <w:bookmarkStart w:id="3425" w:name="_Toc500257833"/>
      <w:bookmarkStart w:id="3426" w:name="_Toc500256817"/>
      <w:bookmarkStart w:id="3427" w:name="_Toc500258798"/>
      <w:bookmarkStart w:id="3428" w:name="_Toc500259614"/>
      <w:bookmarkStart w:id="3429" w:name="_Toc500262973"/>
      <w:bookmarkStart w:id="3430" w:name="_Toc500271355"/>
      <w:bookmarkStart w:id="3431" w:name="_Toc500271925"/>
      <w:bookmarkStart w:id="3432" w:name="_Toc500276420"/>
      <w:bookmarkStart w:id="3433" w:name="_Toc500272657"/>
      <w:bookmarkStart w:id="3434" w:name="_Toc500279117"/>
      <w:bookmarkStart w:id="3435" w:name="_Toc500280255"/>
      <w:bookmarkStart w:id="3436" w:name="_Toc500282056"/>
      <w:bookmarkStart w:id="3437" w:name="_Toc500280858"/>
      <w:bookmarkStart w:id="3438" w:name="_Toc500283421"/>
      <w:bookmarkStart w:id="3439" w:name="_Toc500282487"/>
      <w:bookmarkStart w:id="3440" w:name="_Toc505350061"/>
      <w:bookmarkStart w:id="3441" w:name="_Toc505352118"/>
      <w:bookmarkStart w:id="3442" w:name="_Toc505352440"/>
      <w:bookmarkStart w:id="3443" w:name="_Toc505353045"/>
      <w:bookmarkStart w:id="3444" w:name="_Toc505356006"/>
      <w:bookmarkStart w:id="3445" w:name="_Toc505620769"/>
      <w:bookmarkStart w:id="3446" w:name="_Toc505872645"/>
      <w:bookmarkStart w:id="3447" w:name="_Toc507428478"/>
      <w:bookmarkStart w:id="3448" w:name="_Toc507428908"/>
      <w:bookmarkStart w:id="3449" w:name="_Toc507793741"/>
      <w:bookmarkStart w:id="3450" w:name="_Toc508297458"/>
      <w:bookmarkStart w:id="3451" w:name="_Toc508350220"/>
      <w:bookmarkStart w:id="3452" w:name="_Toc508351657"/>
      <w:bookmarkStart w:id="3453" w:name="_Toc508360071"/>
      <w:bookmarkStart w:id="3454" w:name="_Toc511220566"/>
      <w:bookmarkStart w:id="3455" w:name="_Toc511235011"/>
      <w:bookmarkStart w:id="3456" w:name="_Toc511292924"/>
      <w:bookmarkEnd w:id="3415"/>
      <w:bookmarkEnd w:id="3416"/>
      <w:r>
        <w:rPr>
          <w:noProof/>
        </w:rPr>
        <w:t>Growth</w:t>
      </w:r>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p>
    <w:p>
      <w:pPr>
        <w:autoSpaceDE w:val="0"/>
        <w:autoSpaceDN w:val="0"/>
        <w:adjustRightInd w:val="0"/>
        <w:spacing w:after="0"/>
        <w:rPr>
          <w:noProof/>
          <w:color w:val="000000"/>
          <w:szCs w:val="24"/>
          <w:lang w:eastAsia="en-GB"/>
        </w:rPr>
      </w:pPr>
      <w:r>
        <w:rPr>
          <w:noProof/>
          <w:color w:val="000000"/>
          <w:szCs w:val="24"/>
          <w:lang w:eastAsia="en-GB"/>
        </w:rPr>
        <w:t>The initiative will create EU-wide rules that are principles-based, leaving an important scope for implementation by industry – leveraging the frequent alignment of interests of platforms and their business users.</w:t>
      </w:r>
      <w:r>
        <w:rPr>
          <w:noProof/>
          <w:color w:val="000000"/>
          <w:szCs w:val="24"/>
          <w:vertAlign w:val="superscript"/>
          <w:lang w:eastAsia="en-GB"/>
        </w:rPr>
        <w:footnoteReference w:id="180"/>
      </w:r>
      <w:r>
        <w:rPr>
          <w:noProof/>
          <w:color w:val="000000"/>
          <w:szCs w:val="24"/>
          <w:lang w:eastAsia="en-GB"/>
        </w:rPr>
        <w:t xml:space="preserve"> This design should limit compliance costs while effectively contributing to a more predictable environment for business users to grow their business on online platforms. While national rules on B2B relations will continue to apply where they exist, business users will benefit from additional legal certainty when dealing with online platforms in all Member States.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Thanks to the increased clarity in platforms' policies related to data and on ranking methods provided by the retained options 2b, 2c and 2d, business users will be able to better adjust their business models to platforms' practices.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In all retained options, business users will also be able to more effectively address problems with online platforms thanks to the legal obligation for online platforms to state reasons for any delisting or suspension, and easier access to redress.</w:t>
      </w:r>
    </w:p>
    <w:p>
      <w:pPr>
        <w:autoSpaceDE w:val="0"/>
        <w:autoSpaceDN w:val="0"/>
        <w:adjustRightInd w:val="0"/>
        <w:spacing w:after="0"/>
        <w:rPr>
          <w:noProof/>
          <w:color w:val="000000"/>
          <w:szCs w:val="24"/>
          <w:lang w:eastAsia="en-GB"/>
        </w:rPr>
      </w:pPr>
      <w:r>
        <w:rPr>
          <w:noProof/>
          <w:color w:val="000000"/>
          <w:szCs w:val="24"/>
          <w:lang w:eastAsia="en-GB"/>
        </w:rPr>
        <w:t xml:space="preserve"> </w:t>
      </w:r>
    </w:p>
    <w:p>
      <w:pPr>
        <w:autoSpaceDE w:val="0"/>
        <w:autoSpaceDN w:val="0"/>
        <w:adjustRightInd w:val="0"/>
        <w:spacing w:after="0"/>
        <w:rPr>
          <w:noProof/>
          <w:color w:val="000000"/>
          <w:szCs w:val="24"/>
          <w:lang w:eastAsia="en-GB"/>
        </w:rPr>
      </w:pPr>
      <w:r>
        <w:rPr>
          <w:noProof/>
          <w:color w:val="000000"/>
          <w:szCs w:val="24"/>
          <w:lang w:eastAsia="en-GB"/>
        </w:rPr>
        <w:t xml:space="preserve">Albeit to a varying degree, the retained options can be expected to increase trust in the online environment, which will attract more business users, and benefit online platforms' turnover too. Through their role as enablers of cross-border trade, the growth of online platforms resulting from all retained options will therefore benefit the internal market growth. </w:t>
      </w:r>
    </w:p>
    <w:p>
      <w:pPr>
        <w:tabs>
          <w:tab w:val="left" w:pos="2302"/>
        </w:tabs>
        <w:spacing w:after="0"/>
        <w:rPr>
          <w:noProof/>
          <w:lang w:eastAsia="en-GB"/>
        </w:rPr>
      </w:pPr>
    </w:p>
    <w:p>
      <w:pPr>
        <w:tabs>
          <w:tab w:val="left" w:pos="2302"/>
        </w:tabs>
        <w:rPr>
          <w:noProof/>
          <w:lang w:eastAsia="en-GB"/>
        </w:rPr>
      </w:pPr>
      <w:r>
        <w:rPr>
          <w:noProof/>
          <w:lang w:eastAsia="en-GB"/>
        </w:rPr>
        <w:t>The impact on growth of the options must take into account both the possible positive effects of the increase in trust in the platform environment, as well as downside risks resulting from the costs of the proposed measures and possible repercussions on online platforms' practices, fees to business users and consumer prices. Where option 2a implies, relatively speaking, the most limited compliance costs, it also incorporates the most pronounced risk for a further fragmentation of the internal market by leaving four out of six of the most frequently observed high-impact trading practices to be addressed through self-regulation (see also section 6.1.2.). Oppositely, the legal obligations foreseen under option 2d cover the broadest spectrum of issues observed in the online platform space, thus more effectively limiting the risk of further fragmentation, but it includes a data-sharing obligation that poses some risk for the viability of the online platform business model.</w:t>
      </w:r>
      <w:r>
        <w:rPr>
          <w:noProof/>
          <w:vertAlign w:val="superscript"/>
          <w:lang w:eastAsia="en-GB"/>
        </w:rPr>
        <w:footnoteReference w:id="181"/>
      </w:r>
    </w:p>
    <w:p>
      <w:pPr>
        <w:tabs>
          <w:tab w:val="left" w:pos="2302"/>
        </w:tabs>
        <w:rPr>
          <w:noProof/>
          <w:lang w:eastAsia="en-GB"/>
        </w:rPr>
      </w:pPr>
      <w:r>
        <w:rPr>
          <w:noProof/>
          <w:lang w:eastAsia="en-GB"/>
        </w:rPr>
        <w:t>Overall however, the costs created by the initiative are expected to be limited under all scenarios, as described in the section on compliance costs (cf. sections 6.2). Online platforms will therefore have little incentive to pass on costs to consumers or to limit access to (small) business users. These dynamics are assessed in more details in the relevant sections 6.2.2 (impact on businesses) and 6.6 (impact on consumers).</w:t>
      </w:r>
    </w:p>
    <w:p>
      <w:pPr>
        <w:autoSpaceDE w:val="0"/>
        <w:autoSpaceDN w:val="0"/>
        <w:adjustRightInd w:val="0"/>
        <w:spacing w:after="0"/>
        <w:rPr>
          <w:noProof/>
          <w:color w:val="000000"/>
          <w:szCs w:val="24"/>
          <w:lang w:eastAsia="en-GB"/>
        </w:rPr>
      </w:pPr>
      <w:r>
        <w:rPr>
          <w:noProof/>
          <w:color w:val="000000"/>
          <w:szCs w:val="24"/>
          <w:lang w:eastAsia="en-GB"/>
        </w:rPr>
        <w:t xml:space="preserve">The initiative's aim is to increase legal certainty in the platforms environment; this is why all retained options can be expected to have a positive impact on user trust. As compared to the baseline, user trust can be expected to increasingly gain in strength from options 2a to 2d, with option 2d bringing potentially a higher trust level since comprising the most comprehensive set of business user–friendly measures. As a result, more business users can be expected to sell over platforms or to expand their share of online sales through platforms. All retained options would therefore contribute to optimising businesses' turn-over realised on platforms, thus limiting the chilling effect that the currently observed potentially harmful trading practices have on sales (see Section 2.1.1). </w:t>
      </w:r>
    </w:p>
    <w:p>
      <w:pPr>
        <w:autoSpaceDE w:val="0"/>
        <w:autoSpaceDN w:val="0"/>
        <w:adjustRightInd w:val="0"/>
        <w:spacing w:after="0"/>
        <w:rPr>
          <w:noProof/>
          <w:color w:val="000000"/>
          <w:szCs w:val="24"/>
          <w:lang w:eastAsia="en-GB"/>
        </w:rPr>
      </w:pPr>
    </w:p>
    <w:p>
      <w:pPr>
        <w:tabs>
          <w:tab w:val="left" w:pos="2302"/>
        </w:tabs>
        <w:rPr>
          <w:noProof/>
          <w:lang w:eastAsia="en-GB"/>
        </w:rPr>
      </w:pPr>
      <w:r>
        <w:rPr>
          <w:noProof/>
          <w:lang w:eastAsia="en-GB"/>
        </w:rPr>
        <w:t>While it is unlikely that all issues will be resolved as a result of the proposed initiative, the impact of those potentially harmful trading practices which would continue taking place will be significantly reduced through more effective redress. The impact of the potentially harmful trading practices identified in the problem statement can be expected to drop by a minimum of 30%.</w:t>
      </w:r>
      <w:r>
        <w:rPr>
          <w:noProof/>
          <w:vertAlign w:val="superscript"/>
          <w:lang w:eastAsia="en-GB"/>
        </w:rPr>
        <w:footnoteReference w:id="182"/>
      </w:r>
      <w:r>
        <w:rPr>
          <w:noProof/>
          <w:lang w:eastAsia="en-GB"/>
        </w:rPr>
        <w:t xml:space="preserve"> The drop in the impact of potentially harmful trading practices will be reflected in the unrealised potential in terms of turnover and of the dampening effect that was previously identified. If one assumes on that basis that a similar share (30%) of unrealised potential in terms of turn-over businesses realise on platforms could be addressed and that the same share (30%) of the dampening effect as estimated in Section 2.3.2 could be reversed, this would lead to a positive impact on the platform economy of respectively between € 381 million and € 705 million per year in terms of increased turn-over, and of between € 810 million to € 4.05 billion per year of reversed dampening effect. These figures are likely to be higher in the future because trade on platforms is growing every year. The value of e-commerce in the European Union was estimated to more than 500 billion EUR in 2016, a 13.5% increase from 2015; in 2017 the growth is estimated at another 14% year on year.</w:t>
      </w:r>
    </w:p>
    <w:p>
      <w:pPr>
        <w:tabs>
          <w:tab w:val="left" w:pos="2302"/>
        </w:tabs>
        <w:rPr>
          <w:noProof/>
          <w:lang w:eastAsia="en-GB"/>
        </w:rPr>
      </w:pPr>
      <w:r>
        <w:rPr>
          <w:noProof/>
          <w:lang w:eastAsia="en-GB"/>
        </w:rPr>
        <w:t>22% of the 2016 e-commerce value is estimated to have been generated by EU third party sellers on online platforms. Trade intermediated through online platforms is expected to follow an upward trend as most consumers opt for platforms when purchasing goods and services online: in a recent study, 71% of them preferred platforms for their purchases</w:t>
      </w:r>
      <w:r>
        <w:rPr>
          <w:noProof/>
          <w:vertAlign w:val="superscript"/>
          <w:lang w:eastAsia="en-GB"/>
        </w:rPr>
        <w:footnoteReference w:id="183"/>
      </w:r>
      <w:r>
        <w:rPr>
          <w:noProof/>
          <w:lang w:eastAsia="en-GB"/>
        </w:rPr>
        <w:t>. A comparison of the above total 2016 value of e-commerce with the total offline retail value or 2.56 trillion EUR shows it is likely the current e-commerce growth trend will continue, and the growing importance of online platforms along with it. In light of these statistics, the growth of the platform economy can legitimately be expected to have a positive effect on overall growth in the Digital Single Market.</w:t>
      </w:r>
    </w:p>
    <w:p>
      <w:pPr>
        <w:rPr>
          <w:noProof/>
          <w:color w:val="000000"/>
        </w:rPr>
      </w:pPr>
      <w:r>
        <w:rPr>
          <w:b/>
          <w:noProof/>
        </w:rPr>
        <w:t xml:space="preserve">Business users </w:t>
      </w:r>
      <w:r>
        <w:rPr>
          <w:noProof/>
        </w:rPr>
        <w:t xml:space="preserve">will therefore be able to expand their sales on platforms and very likely their overall sales, since platforms allow them to reach markets and consumers that they could not serve offline. This positive impact on business users will also benefit </w:t>
      </w:r>
      <w:r>
        <w:rPr>
          <w:b/>
          <w:noProof/>
        </w:rPr>
        <w:t>online platforms</w:t>
      </w:r>
      <w:r>
        <w:rPr>
          <w:noProof/>
        </w:rPr>
        <w:t>. As the number of sales carried out over online platforms increase, so too will the commissions received by online platforms.</w:t>
      </w:r>
      <w:r>
        <w:rPr>
          <w:noProof/>
          <w:color w:val="000000"/>
        </w:rPr>
        <w:t xml:space="preserve"> Based on the calculations above, assuming that an average commission charged by platforms is 10%, platforms can be expected to receive additional commissions of between € 81 million to € 405 million. However, the impacts of option 2d on growth of the Digital Single Market are more difficult to predict. By allowing business users access to their customers' email addresses, and by providing sellers with their own sales channels, the risk of free-riding by business users may increase. Option 2d would thus have opposite effects on business users and platform operators. On the one hand, option 2d would limit t</w:t>
      </w:r>
      <w:r>
        <w:rPr>
          <w:noProof/>
        </w:rPr>
        <w:t xml:space="preserve">he claimed negative effects on business users – access to their customers' contact details will allow them to build the individual customer base and improve their direct marketing, thus reducing their already high dependency on platforms. On the other hand, business users </w:t>
      </w:r>
      <w:r>
        <w:rPr>
          <w:noProof/>
          <w:color w:val="000000"/>
        </w:rPr>
        <w:t>are likely to circumvent the platform more frequently, thus limiting platforms' scaling-up and consequently the positive impact on online intermediated trade.</w:t>
      </w:r>
    </w:p>
    <w:p>
      <w:pPr>
        <w:pStyle w:val="Heading3"/>
        <w:rPr>
          <w:noProof/>
        </w:rPr>
      </w:pPr>
      <w:bookmarkStart w:id="3457" w:name="_Toc505350062"/>
      <w:bookmarkStart w:id="3458" w:name="_Toc505352119"/>
      <w:bookmarkStart w:id="3459" w:name="_Toc505352441"/>
      <w:bookmarkStart w:id="3460" w:name="_Toc505353046"/>
      <w:bookmarkStart w:id="3461" w:name="_Toc505356007"/>
      <w:bookmarkStart w:id="3462" w:name="_Toc505620770"/>
      <w:bookmarkStart w:id="3463" w:name="_Toc505872646"/>
      <w:bookmarkStart w:id="3464" w:name="_Toc507428479"/>
      <w:bookmarkStart w:id="3465" w:name="_Toc507428909"/>
      <w:bookmarkStart w:id="3466" w:name="_Toc507793742"/>
      <w:bookmarkStart w:id="3467" w:name="_Toc508297459"/>
      <w:bookmarkStart w:id="3468" w:name="_Toc508350221"/>
      <w:bookmarkStart w:id="3469" w:name="_Toc508351658"/>
      <w:bookmarkStart w:id="3470" w:name="_Toc508360072"/>
      <w:bookmarkStart w:id="3471" w:name="_Toc511220567"/>
      <w:bookmarkStart w:id="3472" w:name="_Toc511235012"/>
      <w:bookmarkStart w:id="3473" w:name="_Toc511292925"/>
      <w:r>
        <w:rPr>
          <w:noProof/>
        </w:rPr>
        <w:t>Preserving the cross-border nature of the platform economy – preventing fragmentation of the internal market</w:t>
      </w:r>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pPr>
        <w:autoSpaceDE w:val="0"/>
        <w:autoSpaceDN w:val="0"/>
        <w:adjustRightInd w:val="0"/>
        <w:spacing w:after="0"/>
        <w:rPr>
          <w:noProof/>
          <w:color w:val="000000"/>
          <w:szCs w:val="24"/>
          <w:lang w:eastAsia="en-GB"/>
        </w:rPr>
      </w:pPr>
      <w:r>
        <w:rPr>
          <w:noProof/>
          <w:color w:val="000000"/>
        </w:rPr>
        <w:t xml:space="preserve">None of the retained options aim at harmonising national B2B fairness legislation which will be rather complemented by the high-level transparency rules proposed in all options. The proposed rules combined with the collaborative monitoring with Member States will nonetheless help prevent further fragmentation. </w:t>
      </w:r>
      <w:r>
        <w:rPr>
          <w:noProof/>
          <w:color w:val="000000"/>
          <w:szCs w:val="24"/>
          <w:lang w:eastAsia="en-GB"/>
        </w:rPr>
        <w:t xml:space="preserve">The legal instrument envisaged under options 2a, 2b, 2c and 2d will establish entirely new B2B protections on general T&amp;Cs, as well as on delisting and complaint-handling, which apply within valid contractual relations (beyond scope of fairness rules, also complementary to any counter-notice procedure applicable between content provider and notice provider), and with regard to ranking transparency in online general search under options 2c and 2d. </w:t>
      </w:r>
    </w:p>
    <w:p>
      <w:pPr>
        <w:autoSpaceDE w:val="0"/>
        <w:autoSpaceDN w:val="0"/>
        <w:adjustRightInd w:val="0"/>
        <w:spacing w:after="0"/>
        <w:rPr>
          <w:noProof/>
          <w:color w:val="000000"/>
        </w:rPr>
      </w:pPr>
    </w:p>
    <w:p>
      <w:pPr>
        <w:autoSpaceDE w:val="0"/>
        <w:autoSpaceDN w:val="0"/>
        <w:adjustRightInd w:val="0"/>
        <w:spacing w:after="0"/>
        <w:rPr>
          <w:noProof/>
          <w:color w:val="000000"/>
          <w:szCs w:val="24"/>
          <w:lang w:eastAsia="en-GB"/>
        </w:rPr>
      </w:pPr>
      <w:r>
        <w:rPr>
          <w:noProof/>
          <w:color w:val="000000"/>
          <w:szCs w:val="24"/>
          <w:lang w:eastAsia="en-GB"/>
        </w:rPr>
        <w:t xml:space="preserve">A more predictable and transparent environment for business users – including effective and agile redress for businesses - may be expected to lead to less P2B issues and reduced need to intervene at national level to resolve them. This would be achieved by </w:t>
      </w:r>
      <w:r>
        <w:rPr>
          <w:noProof/>
          <w:color w:val="000000"/>
        </w:rPr>
        <w:t>limiting potential harm to EU businesses and by enabling well-informed policy responses at EU-level</w:t>
      </w:r>
    </w:p>
    <w:p>
      <w:pPr>
        <w:autoSpaceDE w:val="0"/>
        <w:autoSpaceDN w:val="0"/>
        <w:adjustRightInd w:val="0"/>
        <w:spacing w:after="0"/>
        <w:rPr>
          <w:noProof/>
          <w:color w:val="000000"/>
        </w:rPr>
      </w:pPr>
    </w:p>
    <w:p>
      <w:pPr>
        <w:autoSpaceDE w:val="0"/>
        <w:autoSpaceDN w:val="0"/>
        <w:adjustRightInd w:val="0"/>
        <w:spacing w:after="0"/>
        <w:rPr>
          <w:noProof/>
          <w:color w:val="000000"/>
          <w:szCs w:val="24"/>
          <w:lang w:eastAsia="en-GB"/>
        </w:rPr>
      </w:pPr>
      <w:r>
        <w:rPr>
          <w:noProof/>
          <w:color w:val="000000"/>
          <w:szCs w:val="24"/>
          <w:lang w:eastAsia="en-GB"/>
        </w:rPr>
        <w:t>As mentioned above, while already leading to increased legal certainty for business users through its legal transparency and redress measures, option 2a incorporates a more pronounced risk of fragmentation as opposed to options 2b, 2c and 2d. The risk of direct harm to businesses equally remains relatively important with various high-impact trading practices being left to self-regulation (ranking, data, discrimination, MFNs).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The effect of EU monitoring pushing on reputational levers to effectuate a more fair and predictable business environment for business users of online platforms would be limited under Option 2a as compared to the baseline given the absence of the regulatory backstop on key issues such as ranking, data access policies, discrimination and MFNs. Indeed, the legal transparency obligations on these issues foreseen under options 2b, 2c and 2d will be accompanied by enhanced external scrutiny of online platforms' trading practices which should incentivise these firms to pro-actively improve the situation for business users, for example by solving issues out-of-court (bilaterally or through mediation).</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These rules will provide more clarity and regulatory predictability for platforms at EU level as to the requirements they need to comply with. It would allow preserving the existing cross-border dynamics of the platform economy by setting a common framework for Member States.</w:t>
      </w:r>
    </w:p>
    <w:p>
      <w:pPr>
        <w:autoSpaceDE w:val="0"/>
        <w:autoSpaceDN w:val="0"/>
        <w:adjustRightInd w:val="0"/>
        <w:spacing w:after="0"/>
        <w:jc w:val="left"/>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Options 2b, 2c and 2d would thus help to ensure a more harmonised approach to platform-to-business relationships within the EU. Both options would thus have a positive impact as compared to the baseline scenario in which Member States are increasingly adopting or considering legislation addressing specific platform-related aspects. The scope, addressees and level of intervention of these national measures vary significantly, which leads inevitably to a fragmentation of the inherently cross-border platform environment.</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Should the expected benefits of the initiative not materialise or should it appear that more or less far-reaching rules might be necessary; the review clause included in the retained options would kick into action. It would allow regulators to amend and/or extend the legal instrument in light of the evolving economic and legal environment thus supporting a </w:t>
      </w:r>
      <w:r>
        <w:rPr>
          <w:b/>
          <w:i/>
          <w:noProof/>
          <w:color w:val="000000"/>
          <w:szCs w:val="24"/>
          <w:lang w:eastAsia="en-GB"/>
        </w:rPr>
        <w:t>functioning internal market</w:t>
      </w:r>
      <w:r>
        <w:rPr>
          <w:noProof/>
          <w:color w:val="000000"/>
          <w:szCs w:val="24"/>
          <w:lang w:eastAsia="en-GB"/>
        </w:rPr>
        <w:t xml:space="preserve">. The monitoring function, and in particular the information that will flow back to the </w:t>
      </w:r>
      <w:r>
        <w:rPr>
          <w:b/>
          <w:noProof/>
          <w:color w:val="000000"/>
          <w:szCs w:val="24"/>
          <w:lang w:eastAsia="en-GB"/>
        </w:rPr>
        <w:t>EU Observatory</w:t>
      </w:r>
      <w:r>
        <w:rPr>
          <w:noProof/>
          <w:color w:val="000000"/>
          <w:szCs w:val="24"/>
          <w:lang w:eastAsia="en-GB"/>
        </w:rPr>
        <w:t xml:space="preserve"> from the online portal and platforms' reporting obligations, will allow regulators to take stock of progress in addressing potentially harmful trading practices in P2B relations, and prepare the fact-finding for reviewing the proposed regulation (second step). The monitoring of the platform economy would thus allow the possible establishment at a later stage of a fairness standard in case the work carried out by the Observatory were to demonstrate the need for such a more far-reaching regulatory intervention.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The new rules together with the EU observatory will already help allow building a common EU understanding of what issues are, thus allowing for more consistent regulatory approaches when such are deemed necessary at national level.</w:t>
      </w:r>
    </w:p>
    <w:p>
      <w:pPr>
        <w:rPr>
          <w:noProof/>
          <w:color w:val="000000"/>
        </w:rPr>
      </w:pPr>
    </w:p>
    <w:p>
      <w:pPr>
        <w:pStyle w:val="Heading2"/>
        <w:rPr>
          <w:noProof/>
          <w:lang w:eastAsia="en-GB"/>
        </w:rPr>
      </w:pPr>
      <w:bookmarkStart w:id="3474" w:name="_Toc505350063"/>
      <w:bookmarkStart w:id="3475" w:name="_Toc505352120"/>
      <w:bookmarkStart w:id="3476" w:name="_Toc505352442"/>
      <w:bookmarkStart w:id="3477" w:name="_Toc505353047"/>
      <w:bookmarkStart w:id="3478" w:name="_Toc505356008"/>
      <w:bookmarkStart w:id="3479" w:name="_Toc505620771"/>
      <w:bookmarkStart w:id="3480" w:name="_Toc505872647"/>
      <w:bookmarkStart w:id="3481" w:name="_Toc505873376"/>
      <w:bookmarkStart w:id="3482" w:name="_Toc507428480"/>
      <w:bookmarkStart w:id="3483" w:name="_Toc507428910"/>
      <w:bookmarkStart w:id="3484" w:name="_Toc507793743"/>
      <w:bookmarkStart w:id="3485" w:name="_Toc508297460"/>
      <w:bookmarkStart w:id="3486" w:name="_Toc508350222"/>
      <w:bookmarkStart w:id="3487" w:name="_Toc508351659"/>
      <w:bookmarkStart w:id="3488" w:name="_Toc508360073"/>
      <w:bookmarkStart w:id="3489" w:name="_Toc511220568"/>
      <w:bookmarkStart w:id="3490" w:name="_Toc511235013"/>
      <w:bookmarkStart w:id="3491" w:name="_Toc511292926"/>
      <w:r>
        <w:rPr>
          <w:noProof/>
          <w:lang w:eastAsia="en-GB"/>
        </w:rPr>
        <w:t>Impact on enterprises</w:t>
      </w:r>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p>
    <w:p>
      <w:pPr>
        <w:pStyle w:val="Heading3"/>
        <w:rPr>
          <w:noProof/>
        </w:rPr>
      </w:pPr>
      <w:bookmarkStart w:id="3492" w:name="_Toc505350064"/>
      <w:bookmarkStart w:id="3493" w:name="_Toc505352121"/>
      <w:bookmarkStart w:id="3494" w:name="_Toc505352443"/>
      <w:bookmarkStart w:id="3495" w:name="_Toc505353048"/>
      <w:bookmarkStart w:id="3496" w:name="_Toc505356009"/>
      <w:bookmarkStart w:id="3497" w:name="_Toc505620772"/>
      <w:bookmarkStart w:id="3498" w:name="_Toc505872648"/>
      <w:bookmarkStart w:id="3499" w:name="_Toc507428481"/>
      <w:bookmarkStart w:id="3500" w:name="_Toc507428911"/>
      <w:bookmarkStart w:id="3501" w:name="_Toc507793744"/>
      <w:bookmarkStart w:id="3502" w:name="_Toc508297461"/>
      <w:bookmarkStart w:id="3503" w:name="_Toc508350223"/>
      <w:bookmarkStart w:id="3504" w:name="_Toc508351660"/>
      <w:bookmarkStart w:id="3505" w:name="_Toc508360074"/>
      <w:bookmarkStart w:id="3506" w:name="_Toc511220569"/>
      <w:bookmarkStart w:id="3507" w:name="_Toc511235014"/>
      <w:bookmarkStart w:id="3508" w:name="_Toc511292927"/>
      <w:r>
        <w:rPr>
          <w:noProof/>
        </w:rPr>
        <w:t>Impact on online platforms</w:t>
      </w:r>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p>
    <w:p>
      <w:pPr>
        <w:pStyle w:val="Heading4"/>
        <w:rPr>
          <w:i/>
          <w:noProof/>
        </w:rPr>
      </w:pPr>
      <w:r>
        <w:rPr>
          <w:i/>
          <w:noProof/>
        </w:rPr>
        <w:t>Compliance costs</w:t>
      </w:r>
    </w:p>
    <w:p>
      <w:pPr>
        <w:tabs>
          <w:tab w:val="left" w:pos="2302"/>
        </w:tabs>
        <w:spacing w:after="0"/>
        <w:rPr>
          <w:noProof/>
          <w:lang w:eastAsia="en-GB"/>
        </w:rPr>
      </w:pPr>
      <w:r>
        <w:rPr>
          <w:noProof/>
          <w:lang w:eastAsia="en-GB"/>
        </w:rPr>
        <w:t xml:space="preserve">The retained costs are expected to result from three main drivers: </w:t>
      </w:r>
    </w:p>
    <w:p>
      <w:pPr>
        <w:numPr>
          <w:ilvl w:val="0"/>
          <w:numId w:val="374"/>
        </w:numPr>
        <w:tabs>
          <w:tab w:val="left" w:pos="2302"/>
        </w:tabs>
        <w:spacing w:after="0"/>
        <w:ind w:left="714" w:hanging="357"/>
        <w:rPr>
          <w:noProof/>
        </w:rPr>
      </w:pPr>
      <w:r>
        <w:rPr>
          <w:noProof/>
          <w:lang w:eastAsia="en-GB"/>
        </w:rPr>
        <w:t xml:space="preserve">The implementation of the </w:t>
      </w:r>
      <w:r>
        <w:rPr>
          <w:noProof/>
        </w:rPr>
        <w:t xml:space="preserve">different transparency requirements with regard to changes in their terms and conditions, delisting, discrimination, ranking, general data policy and MFNs; </w:t>
      </w:r>
    </w:p>
    <w:p>
      <w:pPr>
        <w:numPr>
          <w:ilvl w:val="0"/>
          <w:numId w:val="374"/>
        </w:numPr>
        <w:tabs>
          <w:tab w:val="left" w:pos="2302"/>
        </w:tabs>
        <w:spacing w:after="0"/>
        <w:ind w:left="714" w:hanging="357"/>
        <w:rPr>
          <w:noProof/>
        </w:rPr>
      </w:pPr>
      <w:r>
        <w:rPr>
          <w:noProof/>
        </w:rPr>
        <w:t xml:space="preserve">The setting up of internal and external redress mechanisms; and </w:t>
      </w:r>
    </w:p>
    <w:p>
      <w:pPr>
        <w:numPr>
          <w:ilvl w:val="0"/>
          <w:numId w:val="374"/>
        </w:numPr>
        <w:tabs>
          <w:tab w:val="left" w:pos="2302"/>
        </w:tabs>
        <w:spacing w:after="0"/>
        <w:ind w:left="714" w:hanging="357"/>
        <w:rPr>
          <w:noProof/>
          <w:lang w:eastAsia="en-GB"/>
        </w:rPr>
      </w:pPr>
      <w:r>
        <w:rPr>
          <w:noProof/>
        </w:rPr>
        <w:t>The reporting obligation on the functioning of the internal redress mechanism.</w:t>
      </w:r>
    </w:p>
    <w:p>
      <w:pPr>
        <w:tabs>
          <w:tab w:val="left" w:pos="2302"/>
        </w:tabs>
        <w:spacing w:after="0"/>
        <w:ind w:left="714"/>
        <w:rPr>
          <w:noProof/>
          <w:lang w:eastAsia="en-GB"/>
        </w:rPr>
      </w:pPr>
    </w:p>
    <w:p>
      <w:pPr>
        <w:tabs>
          <w:tab w:val="left" w:pos="2302"/>
        </w:tabs>
        <w:rPr>
          <w:noProof/>
        </w:rPr>
      </w:pPr>
      <w:r>
        <w:rPr>
          <w:noProof/>
        </w:rPr>
        <w:t xml:space="preserve">The implementation of the </w:t>
      </w:r>
      <w:r>
        <w:rPr>
          <w:noProof/>
          <w:u w:val="single"/>
        </w:rPr>
        <w:t>transparency requirements</w:t>
      </w:r>
      <w:r>
        <w:rPr>
          <w:noProof/>
        </w:rPr>
        <w:t xml:space="preserve"> will result in one-off costs to adapt the implementation and communication of platforms' terms and conditions, and updating these standard contracts where needed (costs related to the legal expertise, revision and publication of their terms and conditions). Once these procedures are carried out, platforms will face running costs when modifying and communicating changes to their terms and conditions. However as changes are not expected to occur more frequently, these costs are likely to be equivalent to those that online platforms currently face. Clearly, it is good business practice, even for very small platforms who want to build a customer base, to have clear and transparent terms and conditions on their different policies on matters such as delisting, ranking or access to data. </w:t>
      </w:r>
    </w:p>
    <w:p>
      <w:pPr>
        <w:tabs>
          <w:tab w:val="left" w:pos="2302"/>
        </w:tabs>
        <w:rPr>
          <w:noProof/>
        </w:rPr>
      </w:pPr>
      <w:r>
        <w:rPr>
          <w:noProof/>
        </w:rPr>
        <w:t>Different from policy option 2a, the options 2b, 2c and 2d foresee legal transparency obligations on more complex issues such as ranking, data access, discrimination and MFNs. Beyond the limited cost associated strictly with the need to adapt contractual terms and conditions, these legal transparency obligations in principle carry with them a more pronounced risk of legal uncertainty for online platforms, as transparency in the areas of discrimination and MFNs remains largely untested for the moment.</w:t>
      </w:r>
      <w:r>
        <w:rPr>
          <w:noProof/>
          <w:vertAlign w:val="superscript"/>
        </w:rPr>
        <w:footnoteReference w:id="184"/>
      </w:r>
      <w:r>
        <w:rPr>
          <w:noProof/>
        </w:rPr>
        <w:t xml:space="preserve"> Notwithstanding, these obligations will be principles-based in order to leave significant room to industry to develop meaningful transparency tools. Platforms will moreover remain entirely free to determine their business policies also in these areas, thus limiting the risk of increased litigation for larger platforms, and the enhanced transparency can, if anything, benefit smaller online platforms as there will be more scope for competitive differentiation. Finally, annex 7.3 contains existing examples of transparency guidelines in the complicated area of ranking in online general search, which supports the notion that meaningful transparency can safely be provided by online platforms in these areas – and is indeed in their own interest.</w:t>
      </w:r>
    </w:p>
    <w:p>
      <w:pPr>
        <w:tabs>
          <w:tab w:val="left" w:pos="2302"/>
        </w:tabs>
        <w:rPr>
          <w:noProof/>
        </w:rPr>
      </w:pPr>
      <w:r>
        <w:rPr>
          <w:noProof/>
        </w:rPr>
        <w:t>An independent study contractor also proposed legal transparency obligations to be imposed on platforms, which would require clear and unambiguous contractual terms as well as aid to be provided to business users. In its impact assessment, the study contractor explains that such legal transparency measures should generally also be in the interest of the platform operator and that the range of estimated costs should not be of a discernible impact on large existing, established platforms’ innovation and investment incentives. At the same time, it is explained that small platform operators would not have a strategic interest in maintaining (overly) complex contractual terms in the first place, given their more modest scope of operations.</w:t>
      </w:r>
      <w:r>
        <w:rPr>
          <w:noProof/>
          <w:vertAlign w:val="superscript"/>
        </w:rPr>
        <w:footnoteReference w:id="185"/>
      </w:r>
    </w:p>
    <w:p>
      <w:pPr>
        <w:tabs>
          <w:tab w:val="left" w:pos="2302"/>
        </w:tabs>
        <w:rPr>
          <w:noProof/>
        </w:rPr>
      </w:pPr>
      <w:r>
        <w:rPr>
          <w:noProof/>
        </w:rPr>
        <w:t>The same study contractor in addition proposes to legally oblige online platforms to (i) prominently communicate changes to contractual terms and conditions and to grant a notice period allowing business users to terminate the agreement prior to changes becoming effective; (ii) prohibit clauses that restrict business users’ rights to legally challenge the content or interpretation of the agreement; (iii) establish clear and objective rules and mechanisms governing the delisting of offerings; (iv) provide access to data regarding transactions to business users, and (v) include a clear and transparent clause on data access or a separate data policy. These proposed legal transparency measures largely overlap with options 2a, 2b, 2c and 2d, and even go slightly beyond. The impact assessment performed by the study contractor nonetheless identifies major benefits for business users that would correspond to little or no impact for larger online platforms, especially as the legal framework would leave these firms free to change the rules applicable to their ecosystem, or even to delist large numbers of offerings, as long as this is done in line with pre-defined objective aims and in a non-discriminatory fashion. Exclusively the rule requiring data on transactions to be provided, which is similar to the data-relevant aspect of policy option 2d, is estimated to imply some initial costs for platforms and possibly impact their willingness to invest in innovation.</w:t>
      </w:r>
      <w:r>
        <w:rPr>
          <w:noProof/>
          <w:vertAlign w:val="superscript"/>
        </w:rPr>
        <w:footnoteReference w:id="186"/>
      </w:r>
    </w:p>
    <w:p>
      <w:pPr>
        <w:tabs>
          <w:tab w:val="left" w:pos="2302"/>
        </w:tabs>
        <w:rPr>
          <w:noProof/>
        </w:rPr>
      </w:pPr>
      <w:r>
        <w:rPr>
          <w:noProof/>
        </w:rPr>
        <w:t>Overall, the compliance costs for the transparency requirements are the least burdensome for option 2a as compared to the baseline since this option implies full self-regulation for four of the transparency-related measures, i.e. discrimination, ranking, general data policy and MFNs.</w:t>
      </w:r>
    </w:p>
    <w:p>
      <w:pPr>
        <w:autoSpaceDE w:val="0"/>
        <w:autoSpaceDN w:val="0"/>
        <w:adjustRightInd w:val="0"/>
        <w:spacing w:after="0"/>
        <w:rPr>
          <w:noProof/>
          <w:color w:val="000000"/>
          <w:szCs w:val="24"/>
          <w:lang w:eastAsia="en-GB"/>
        </w:rPr>
      </w:pPr>
      <w:r>
        <w:rPr>
          <w:noProof/>
          <w:color w:val="000000"/>
          <w:szCs w:val="24"/>
          <w:lang w:eastAsia="en-GB"/>
        </w:rPr>
        <w:t>Oppositely, option 2c would extend the legal transparency obligation on ranking to the area of online general search, where complex algorithms determine the saliency of search results on the basis of an index that covers, in principle, the entire Internet. Providing meaningful transparency on ranking in this fast-moving area implies, in theory, more significant compliance costs. Transparency measures would namely have to capture the high frequency with which changes to the functioning of online general search engines' ranking mechanisms are implemented, and "translate" their functioning into useable guidance for the appropriate audiences – which may cover a broad spectrum of businesses ranging from technologically illiterate firms to digital natives.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However, it should be noted that the major providers of online general search engines already today offer some transparency to inform webmasters how to achieve high quality search results, although the level of detail provided differs significantly. The main transparency tools developed by the three major online general search engines active in the EU are described in Annex 7.2.5. In addition, Search Engine Optimisation (SEO) strategies have developed around online general search engines, which could be leveraged for the purpose of "communicating" effectively with the target audiences.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A legal requirement to be transparent about ranking policies would give more prominence to these existing practices and give them legal character. The majority of tools allowing for search optimisation put in place by online general search engines are publicly available but, as mentioned above, the level of detail and exhaustiveness differs. In addition, the one example of detailed guidelines that exists and is public, actually targets professional website quality evaluators rather than enterprises or website owners themselves.</w:t>
      </w:r>
      <w:r>
        <w:rPr>
          <w:noProof/>
          <w:color w:val="000000"/>
          <w:szCs w:val="24"/>
          <w:vertAlign w:val="superscript"/>
          <w:lang w:eastAsia="en-GB"/>
        </w:rPr>
        <w:footnoteReference w:id="187"/>
      </w:r>
      <w:r>
        <w:rPr>
          <w:noProof/>
          <w:color w:val="000000"/>
          <w:szCs w:val="24"/>
          <w:lang w:eastAsia="en-GB"/>
        </w:rPr>
        <w:t xml:space="preserve"> These are not, therefore, tailored to the business audience and their availability to the general public is not guaranteed. If online general search engines are to develop transparency tools specifically for enterprises, this could represent an additional cost also for those search engines which have already put in place some tools. Given that such new guidelines are in some cases likely to be of a lesser technical complexity as compared to the already existing tools aimed at quality evaluators, the effort of adapting them would however be limited. </w:t>
      </w:r>
    </w:p>
    <w:p>
      <w:pPr>
        <w:autoSpaceDE w:val="0"/>
        <w:autoSpaceDN w:val="0"/>
        <w:adjustRightInd w:val="0"/>
        <w:spacing w:after="0"/>
        <w:jc w:val="left"/>
        <w:rPr>
          <w:noProof/>
          <w:color w:val="000000"/>
          <w:szCs w:val="24"/>
          <w:lang w:eastAsia="en-GB"/>
        </w:rPr>
      </w:pPr>
    </w:p>
    <w:p>
      <w:pPr>
        <w:tabs>
          <w:tab w:val="left" w:pos="2302"/>
        </w:tabs>
        <w:rPr>
          <w:noProof/>
        </w:rPr>
      </w:pPr>
      <w:r>
        <w:rPr>
          <w:noProof/>
        </w:rPr>
        <w:t>An additional cost would result from the measure in option 2d that would require online platforms to ask consumers for their consent to share some data with business users. This measure would require a technical adjustment on the side of platforms to allow consumers to express their consent (the data itself can be shared through existing communication channels). The request would be conditional on the completion of a transaction on the respective platform and to the payment of the platform's commission. Nonetheless, if the sellers have their own sales channels, it may also allow them to circumvent the platform for future transactions and disrupt a core aspect of the platform business model.</w:t>
      </w:r>
      <w:r>
        <w:rPr>
          <w:noProof/>
          <w:vertAlign w:val="superscript"/>
        </w:rPr>
        <w:footnoteReference w:id="188"/>
      </w:r>
    </w:p>
    <w:p>
      <w:pPr>
        <w:spacing w:before="60" w:after="0"/>
        <w:rPr>
          <w:noProof/>
        </w:rPr>
      </w:pPr>
      <w:r>
        <w:rPr>
          <w:noProof/>
          <w:lang w:eastAsia="en-GB"/>
        </w:rPr>
        <w:t xml:space="preserve">Setting up </w:t>
      </w:r>
      <w:r>
        <w:rPr>
          <w:noProof/>
          <w:u w:val="single"/>
          <w:lang w:eastAsia="en-GB"/>
        </w:rPr>
        <w:t>internal and external redress mechanisms</w:t>
      </w:r>
      <w:r>
        <w:rPr>
          <w:noProof/>
          <w:lang w:eastAsia="en-GB"/>
        </w:rPr>
        <w:t xml:space="preserve"> will also be linked to compliance costs. These are also set out in Annex 4. Regarding </w:t>
      </w:r>
      <w:r>
        <w:rPr>
          <w:noProof/>
          <w:u w:val="single"/>
          <w:lang w:eastAsia="en-GB"/>
        </w:rPr>
        <w:t>internal redress</w:t>
      </w:r>
      <w:r>
        <w:rPr>
          <w:noProof/>
          <w:lang w:eastAsia="en-GB"/>
        </w:rPr>
        <w:t>, p</w:t>
      </w:r>
      <w:r>
        <w:rPr>
          <w:noProof/>
        </w:rPr>
        <w:t>latforms that already have a dispute settlement mechanism may be required to</w:t>
      </w:r>
      <w:r>
        <w:rPr>
          <w:noProof/>
          <w:lang w:eastAsia="en-GB"/>
        </w:rPr>
        <w:t xml:space="preserve"> upgrade their systems to comply with the quality standards set out in the legal act, notably speed and effectiveness (e.g. identifying a clear contact point for submitting complaints). Those that do not will face both set-up and running costs, which may be offset over time as a result of increased or more efficient platform-use. These are expected to be in the range of a 0.4 to 1% increase in the cost base for smaller platform companies</w:t>
      </w:r>
      <w:r>
        <w:rPr>
          <w:noProof/>
          <w:vertAlign w:val="superscript"/>
          <w:lang w:eastAsia="en-GB"/>
        </w:rPr>
        <w:footnoteReference w:id="189"/>
      </w:r>
      <w:r>
        <w:rPr>
          <w:noProof/>
          <w:lang w:eastAsia="en-GB"/>
        </w:rPr>
        <w:t>, and a one-off cost of 0.03% of total turnover for larger ones</w:t>
      </w:r>
      <w:r>
        <w:rPr>
          <w:noProof/>
          <w:vertAlign w:val="superscript"/>
          <w:lang w:eastAsia="en-GB"/>
        </w:rPr>
        <w:footnoteReference w:id="190"/>
      </w:r>
      <w:r>
        <w:rPr>
          <w:noProof/>
          <w:lang w:eastAsia="en-GB"/>
        </w:rPr>
        <w:t xml:space="preserve">. </w:t>
      </w:r>
      <w:r>
        <w:rPr>
          <w:noProof/>
        </w:rPr>
        <w:t>While the administrative burden resulting from this particular measure may not always be completely offset, platforms may in many cases be able to develop intelligent solutions to lower costs, such as using the same or similar technologies and operational structures for customer support to also provide for internal redress for businesses. They are also likely to have a commercial incentive to follow the example of larger players. Therefore, the actual additional cost is likely to be lower and likely to be on top of sunk costs for investments already made</w:t>
      </w:r>
      <w:r>
        <w:rPr>
          <w:noProof/>
          <w:vertAlign w:val="superscript"/>
        </w:rPr>
        <w:footnoteReference w:id="191"/>
      </w:r>
      <w:r>
        <w:rPr>
          <w:noProof/>
        </w:rPr>
        <w:t>.</w:t>
      </w:r>
    </w:p>
    <w:p>
      <w:pPr>
        <w:spacing w:before="60" w:after="0"/>
        <w:rPr>
          <w:noProof/>
        </w:rPr>
      </w:pPr>
    </w:p>
    <w:p>
      <w:pPr>
        <w:spacing w:before="60" w:after="0"/>
        <w:rPr>
          <w:noProof/>
        </w:rPr>
      </w:pPr>
      <w:r>
        <w:rPr>
          <w:noProof/>
          <w:lang w:eastAsia="en-GB"/>
        </w:rPr>
        <w:t>The cost is therefore expected to be limited in all cases but can be estimated to be exponentially bigger for the smallest companies</w:t>
      </w:r>
      <w:r>
        <w:rPr>
          <w:noProof/>
          <w:vertAlign w:val="superscript"/>
          <w:lang w:eastAsia="en-GB"/>
        </w:rPr>
        <w:footnoteReference w:id="192"/>
      </w:r>
      <w:r>
        <w:rPr>
          <w:noProof/>
          <w:lang w:eastAsia="en-GB"/>
        </w:rPr>
        <w:t>, which supports considering an exemption of certain categories of companies.</w:t>
      </w:r>
      <w:r>
        <w:rPr>
          <w:noProof/>
        </w:rPr>
        <w:t xml:space="preserve"> The majority of platform business models generate income from commissions on transactions concluded between business users and consumers. </w:t>
      </w:r>
    </w:p>
    <w:p>
      <w:pPr>
        <w:spacing w:before="60" w:after="0"/>
        <w:rPr>
          <w:noProof/>
          <w:lang w:eastAsia="en-GB"/>
        </w:rPr>
      </w:pPr>
    </w:p>
    <w:p>
      <w:pPr>
        <w:rPr>
          <w:noProof/>
        </w:rPr>
      </w:pPr>
      <w:r>
        <w:rPr>
          <w:noProof/>
        </w:rPr>
        <w:t xml:space="preserve">The obligation to allow for P2B disputes to be escalated internally is not likely to fundamentally change the economics of running an online platform: most platforms already possess such systems, meaning that they are fully compatible with the intermediary business model. The proposal also preserves the platform operators' flexibility and ability to curate the content and the sellers present on their platforms. It should also be noted in this regard that successful online intermediation involves large ecosystems where </w:t>
      </w:r>
      <w:r>
        <w:rPr>
          <w:i/>
          <w:noProof/>
        </w:rPr>
        <w:t>each</w:t>
      </w:r>
      <w:r>
        <w:rPr>
          <w:noProof/>
        </w:rPr>
        <w:t xml:space="preserve"> of the entities, i.e. business users, consumers and the intermediary constitute a prerequisite element of the "virtuous circle" value creation. Online platforms are in this regard unable and unwilling to simply internalise the large value-added provided by their business users, which takes the form of, for example, the running of thousands of independent hotels, the creative development by hundreds of thousands of app developers</w:t>
      </w:r>
      <w:r>
        <w:rPr>
          <w:noProof/>
          <w:vertAlign w:val="superscript"/>
        </w:rPr>
        <w:footnoteReference w:id="193"/>
      </w:r>
      <w:r>
        <w:rPr>
          <w:noProof/>
        </w:rPr>
        <w:t xml:space="preserve"> or unique handcrafted items sold by thousands of self-employed artists or their representatives.</w:t>
      </w:r>
    </w:p>
    <w:p>
      <w:pPr>
        <w:autoSpaceDE w:val="0"/>
        <w:autoSpaceDN w:val="0"/>
        <w:adjustRightInd w:val="0"/>
        <w:spacing w:after="0"/>
        <w:rPr>
          <w:noProof/>
          <w:color w:val="000000"/>
          <w:szCs w:val="24"/>
          <w:lang w:eastAsia="en-GB"/>
        </w:rPr>
      </w:pPr>
      <w:r>
        <w:rPr>
          <w:noProof/>
          <w:color w:val="000000"/>
          <w:szCs w:val="24"/>
          <w:lang w:eastAsia="en-GB"/>
        </w:rPr>
        <w:t xml:space="preserve">Given that many platforms already have some internal dispute resolution systems in place, overall, the cost of ensuring that business users can file complaints and communicate with a platform representative to resolve their issues will not represent an excessive additional burden (see above for estimates). Those platforms that already have consumer-facing dispute resolution systems may in addition adapt such mechanisms to also deal with business users. In those cases, the costs of adapting existing systems to deal with the queries of business users as well as those of consumers will be limited. </w:t>
      </w:r>
    </w:p>
    <w:p>
      <w:pPr>
        <w:spacing w:before="60" w:after="0"/>
        <w:rPr>
          <w:noProof/>
        </w:rPr>
      </w:pPr>
    </w:p>
    <w:p>
      <w:pPr>
        <w:tabs>
          <w:tab w:val="left" w:pos="2302"/>
          <w:tab w:val="left" w:pos="3119"/>
        </w:tabs>
        <w:rPr>
          <w:noProof/>
          <w:lang w:eastAsia="en-GB"/>
        </w:rPr>
      </w:pPr>
      <w:r>
        <w:rPr>
          <w:noProof/>
          <w:lang w:eastAsia="en-GB"/>
        </w:rPr>
        <w:t xml:space="preserve">The costs of the </w:t>
      </w:r>
      <w:r>
        <w:rPr>
          <w:noProof/>
          <w:u w:val="single"/>
          <w:lang w:eastAsia="en-GB"/>
        </w:rPr>
        <w:t>external redress mechanism</w:t>
      </w:r>
      <w:r>
        <w:rPr>
          <w:noProof/>
          <w:lang w:eastAsia="en-GB"/>
        </w:rPr>
        <w:t xml:space="preserve"> will be </w:t>
      </w:r>
      <w:r>
        <w:rPr>
          <w:noProof/>
        </w:rPr>
        <w:t xml:space="preserve">determined </w:t>
      </w:r>
      <w:r>
        <w:rPr>
          <w:noProof/>
          <w:lang w:eastAsia="en-GB"/>
        </w:rPr>
        <w:t>by the set-up chosen by industry.</w:t>
      </w:r>
      <w:r>
        <w:rPr>
          <w:noProof/>
        </w:rPr>
        <w:t xml:space="preserve"> However, they are likely to be limited, not least because online platforms will certainly choose the most cost-efficient solution. Contacts with industry show that industry is willing to take part in voluntary initiatives of this kind, mitigating the risk of low-industry buy-in. In addition, the use of mediation has been shown to limit costs when it is successful. Increased use of mediation may also lead to the creation of a professional mediation market, which could prevent platforms from having to develop dedicated systems. The costs will additionally be shared by a high number of platforms, as </w:t>
      </w:r>
      <w:r>
        <w:rPr>
          <w:noProof/>
          <w:lang w:eastAsia="en-GB"/>
        </w:rPr>
        <w:t>there are more than 7,000 platforms in the EU alone, and almost 20,000 globally</w:t>
      </w:r>
      <w:r>
        <w:rPr>
          <w:noProof/>
          <w:vertAlign w:val="superscript"/>
          <w:lang w:eastAsia="en-GB"/>
        </w:rPr>
        <w:footnoteReference w:id="194"/>
      </w:r>
      <w:r>
        <w:rPr>
          <w:noProof/>
          <w:lang w:eastAsia="en-GB"/>
        </w:rPr>
        <w:t xml:space="preserve">. </w:t>
      </w:r>
    </w:p>
    <w:p>
      <w:pPr>
        <w:tabs>
          <w:tab w:val="left" w:pos="2302"/>
          <w:tab w:val="left" w:pos="3119"/>
        </w:tabs>
        <w:rPr>
          <w:noProof/>
        </w:rPr>
      </w:pPr>
      <w:r>
        <w:rPr>
          <w:noProof/>
          <w:lang w:eastAsia="en-GB"/>
        </w:rPr>
        <w:t xml:space="preserve">By giving legal standing to business associations to act on behalf of the business users, the number of legal cases online platforms need to defend may, technically speaking, increase. This may increase the costs associated with increased litigation for online platforms who will potentially face more claims in national courts. However, it should be noted that this form of external redress that is foreseen under all co-regulatory options will exclusively serve to enforce the foreseen principles-based legal obligations to provide transparency and out-of-court redress. For online general search engines, the obligation will even be more limited in scope as the issue of transparency on ranking criteria will be the only subject of such claims. In this regard it constitutes a light-touch enforcement measure that is alternative to enforcement by national or EU authorities foreseen under (discarded) policy option 3. As such, this provision does not imply </w:t>
      </w:r>
      <w:r>
        <w:rPr>
          <w:b/>
          <w:noProof/>
          <w:lang w:eastAsia="en-GB"/>
        </w:rPr>
        <w:t>any additional costs</w:t>
      </w:r>
      <w:r>
        <w:rPr>
          <w:noProof/>
          <w:lang w:eastAsia="en-GB"/>
        </w:rPr>
        <w:t xml:space="preserve"> over and above the legal obligations contained in each of the co-regulatory options. It is at the same time essential to ensure the effectiveness of the overall intervention in a proportionate manner, taking into account the important fear of retaliation of business users combined with the use of exclusive choice of law and forum contract clauses that would otherwise impede the enforcement of the foreseen rules by business users themselves. </w:t>
      </w:r>
    </w:p>
    <w:p>
      <w:pPr>
        <w:tabs>
          <w:tab w:val="left" w:pos="2302"/>
        </w:tabs>
        <w:rPr>
          <w:noProof/>
        </w:rPr>
      </w:pPr>
      <w:r>
        <w:rPr>
          <w:noProof/>
        </w:rPr>
        <w:t xml:space="preserve">Finally, the </w:t>
      </w:r>
      <w:r>
        <w:rPr>
          <w:noProof/>
          <w:u w:val="single"/>
        </w:rPr>
        <w:t>reporting obligation</w:t>
      </w:r>
      <w:r>
        <w:rPr>
          <w:noProof/>
        </w:rPr>
        <w:t xml:space="preserve"> relating to the internal complaint-handling mechanism that is included in all co-regulatory policy options will be designed to limit costs for the platforms concerned. The reporting obligation would cover a limited number of elements such as the total number of complaints received, the subject matter of the complaints, the time period needed to process the complaints and the decision taken. Online platforms can largely automate data collection and reporting. Many collect this type of information already for quality management purposes and would, therefore, only incur very limited costs for transmitting the data to the EU Observatory on a regular basis.</w:t>
      </w:r>
    </w:p>
    <w:p>
      <w:pPr>
        <w:pStyle w:val="Heading4"/>
        <w:rPr>
          <w:i/>
          <w:noProof/>
        </w:rPr>
      </w:pPr>
      <w:r>
        <w:rPr>
          <w:i/>
          <w:noProof/>
        </w:rPr>
        <w:t>Impact on smaller online platforms</w:t>
      </w:r>
    </w:p>
    <w:p>
      <w:pPr>
        <w:autoSpaceDE w:val="0"/>
        <w:autoSpaceDN w:val="0"/>
        <w:adjustRightInd w:val="0"/>
        <w:spacing w:after="0"/>
        <w:rPr>
          <w:noProof/>
          <w:color w:val="000000"/>
          <w:szCs w:val="24"/>
          <w:lang w:eastAsia="en-GB"/>
        </w:rPr>
      </w:pPr>
      <w:r>
        <w:rPr>
          <w:b/>
          <w:i/>
          <w:noProof/>
          <w:color w:val="000000"/>
          <w:szCs w:val="24"/>
          <w:lang w:eastAsia="en-GB"/>
        </w:rPr>
        <w:t>SME online platforms</w:t>
      </w:r>
      <w:r>
        <w:rPr>
          <w:noProof/>
          <w:color w:val="000000"/>
          <w:szCs w:val="24"/>
          <w:lang w:eastAsia="en-GB"/>
        </w:rPr>
        <w:t xml:space="preserve"> will also benefit from the growth of the platforms environment. </w:t>
      </w:r>
    </w:p>
    <w:p>
      <w:pPr>
        <w:autoSpaceDE w:val="0"/>
        <w:autoSpaceDN w:val="0"/>
        <w:adjustRightInd w:val="0"/>
        <w:spacing w:after="0"/>
        <w:rPr>
          <w:noProof/>
          <w:color w:val="000000"/>
          <w:szCs w:val="24"/>
          <w:lang w:eastAsia="en-GB"/>
        </w:rPr>
      </w:pPr>
      <w:r>
        <w:rPr>
          <w:noProof/>
          <w:color w:val="000000"/>
          <w:szCs w:val="24"/>
          <w:lang w:eastAsia="en-GB"/>
        </w:rPr>
        <w:t>At the same time, all retained co-regulatory options will entail limited, mostly one-off costs associated directly with changes to contractual terms and conditions to accommodate the legal obligations in relation to transparency. Option 2a implies in this regard, relative to the other co-regulatory options, the lowest number of legally binding obligations and therefore the most limited cost increase compared to the baseline.</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In implementing changes to terms and conditions to accommodate the legal obligations in relation to transparency, platforms with smaller or inexistent legal teams would incur higher one-off implementation costs for measures proposed to address issues around changes in terms and conditions, delisting and data. Nevertheless, as start-ups, they will in any case be faced with certain costs related to drafting legally sound terms and conditions and it makes good business sense to offer clear and transparent conditions regardless of the size of the platform, this would also be a part of the requirements when seeking seed- or risk funding. The latter measure could be more burdensome for those small platforms who have not defined clearly a data policy. At the same time, related costs should not exceed the cost of any significant amendment of terms and conditions which are part of normal business also for small companies. Also, implementation costs would be partly compensated by reduced litigation costs.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In addition, the implementation of the changes to terms and conditions to accommodate the legal transparency obligations regarding the platforms' practices with respect to the favouring of own services would be less burdensome for platforms offering fewer services or whose own services do not compete with professional users.</w:t>
      </w:r>
      <w:r>
        <w:rPr>
          <w:noProof/>
          <w:color w:val="000000"/>
          <w:szCs w:val="24"/>
          <w:vertAlign w:val="superscript"/>
          <w:lang w:eastAsia="en-GB"/>
        </w:rPr>
        <w:footnoteReference w:id="195"/>
      </w:r>
      <w:r>
        <w:rPr>
          <w:noProof/>
          <w:color w:val="000000"/>
          <w:szCs w:val="24"/>
          <w:lang w:eastAsia="en-GB"/>
        </w:rPr>
        <w:t xml:space="preserve"> The MFN-related provision would not be more burdensome for small enterprises. Even if one was to assume relatively higher compliance costs for smaller platforms, the regulatory burden on them should be assessed in light of already existing regulation. The obligation proposed for paid-for-ranking under options 2b, 2c and 2d is a good example in this respect, showing that other legislations with which businesses need to comply may be more burdensome (e.g. transparency obligation towards consumers on the same topic subject to the Unfair Commercial Practices Directive).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As mentioned in the previous section, the enhanced transparency that would result from the implementation of the foreseen legal transparency obligations can benefit smaller online platforms as there will be more scope for competitive differentiation. At the same time, any costs resulting from possibly increased litigation are expected to be limited, given the principles-based nature of these obligations, and the important scope for implementation by industry. Small online platform providers will accordingly be able to exclude any significant litigation costs by providing transparency at a general level, while staying abreast of, or getting involved, should they voluntarily opt to do so, in industry discussions on codes of conduct on each of the various potentially harmful trading practices.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While the marginal cost of adding the transparency requirements should therefore not be overestimated, policy option 2d may create higher costs for small platforms. The need to share email addresses with business users who have obtained consumers' consent may put constraints on small platforms in their development phase, preventing them from scaling up. Option 2d may therefore have a negative impact on small platforms.</w:t>
      </w:r>
    </w:p>
    <w:p>
      <w:pPr>
        <w:autoSpaceDE w:val="0"/>
        <w:autoSpaceDN w:val="0"/>
        <w:adjustRightInd w:val="0"/>
        <w:spacing w:after="0"/>
        <w:rPr>
          <w:noProof/>
          <w:color w:val="000000"/>
          <w:szCs w:val="24"/>
          <w:lang w:eastAsia="en-GB"/>
        </w:rPr>
      </w:pPr>
    </w:p>
    <w:p>
      <w:pPr>
        <w:rPr>
          <w:noProof/>
        </w:rPr>
      </w:pPr>
      <w:r>
        <w:rPr>
          <w:noProof/>
        </w:rPr>
        <w:t>A more rigorous approach of online platforms to the selection of third party vendors reflects the preference for high quality of products, services and timely delivery to the benefit of consumers. Online platforms must also comply with the E-commerce Directive and expeditiously remove illegal content following third-party notices. The two options do not limit the ability of online platforms to curate content and select third-party business users meeting a high quality threshold. It simply requires that they do so in a transparent way.</w:t>
      </w:r>
    </w:p>
    <w:p>
      <w:pPr>
        <w:tabs>
          <w:tab w:val="left" w:pos="2302"/>
        </w:tabs>
        <w:rPr>
          <w:noProof/>
        </w:rPr>
      </w:pPr>
      <w:r>
        <w:rPr>
          <w:noProof/>
          <w:szCs w:val="24"/>
        </w:rPr>
        <w:t>The compliance cost entailed by Option 2c could possibly be higher for smaller online general search engines which have not developed guidance for businesses on how to optimise their appearance in search results. These firms could</w:t>
      </w:r>
      <w:r>
        <w:rPr>
          <w:noProof/>
        </w:rPr>
        <w:t xml:space="preserve"> </w:t>
      </w:r>
      <w:r>
        <w:rPr>
          <w:noProof/>
          <w:szCs w:val="24"/>
        </w:rPr>
        <w:t xml:space="preserve">however try to limit their compliance costs by using as an example the existing transparency provisions developed by bigger online general search engines. A transparency rule for search engines would indeed help spread best practices; it is also not excluded that it creates incentives for developing best practices and using quality saliency of information/data, or the guaranteed absence of any conflict of interests involved for example with advertising-based business models, as criteria of competitive differentiators. The main argument against ranking-related transparency obligations is that spammers could game online general search engines, which would be detrimental to society. The proposed transparency obligation would not, however, require disclosing any trade secrets and foresees an important scope for industry efforts to provide practical tools for meaningful transparency – including ways to prevent the gaming of search results. </w:t>
      </w:r>
    </w:p>
    <w:p>
      <w:pPr>
        <w:tabs>
          <w:tab w:val="left" w:pos="2302"/>
        </w:tabs>
        <w:rPr>
          <w:noProof/>
          <w:szCs w:val="24"/>
        </w:rPr>
      </w:pPr>
      <w:r>
        <w:rPr>
          <w:noProof/>
          <w:szCs w:val="24"/>
        </w:rPr>
        <w:t>Option 2b allows addressing the unfair practices identified while preserving platforms' ability to set freely their business strategies. Option 2d is more far reaching and disruptive as compared to the current situation; the additional obligation on platforms to process customers' mails to business users may be too interventionist in platforms' data policy.</w:t>
      </w:r>
    </w:p>
    <w:p>
      <w:pPr>
        <w:autoSpaceDE w:val="0"/>
        <w:autoSpaceDN w:val="0"/>
        <w:adjustRightInd w:val="0"/>
        <w:spacing w:after="0"/>
        <w:rPr>
          <w:noProof/>
          <w:color w:val="000000"/>
          <w:szCs w:val="24"/>
          <w:lang w:eastAsia="en-GB"/>
        </w:rPr>
      </w:pPr>
      <w:r>
        <w:rPr>
          <w:noProof/>
          <w:color w:val="000000"/>
          <w:szCs w:val="24"/>
          <w:lang w:eastAsia="en-GB"/>
        </w:rPr>
        <w:t>Imposing new legislation could in theory lead to increased difficulties for new market entrants. In this case it can rather be expected that the provisions will provide start-ups with greater clarity on the requirements they need to comply with across the EU when entering the market thus benefitting from a more predictable regulatory environment. Such legal transparency requirements could also provide additional competitive parameters that can be leveraged to distinguish the start-up platforms from established players and thereby enhance market entry. While the regulatory burden on start-ups should not be over-estimated in this particular case, it is a valid question to ask whether micro-enterprises should not be exempted from the entire set of regulatory measures.</w:t>
      </w:r>
    </w:p>
    <w:p>
      <w:pPr>
        <w:autoSpaceDE w:val="0"/>
        <w:autoSpaceDN w:val="0"/>
        <w:adjustRightInd w:val="0"/>
        <w:spacing w:after="0"/>
        <w:rPr>
          <w:noProof/>
          <w:color w:val="000000"/>
          <w:szCs w:val="24"/>
          <w:lang w:eastAsia="en-GB"/>
        </w:rPr>
      </w:pPr>
    </w:p>
    <w:p>
      <w:pPr>
        <w:tabs>
          <w:tab w:val="left" w:pos="2302"/>
        </w:tabs>
        <w:rPr>
          <w:noProof/>
        </w:rPr>
      </w:pPr>
      <w:r>
        <w:rPr>
          <w:noProof/>
        </w:rPr>
        <w:t xml:space="preserve">In addition, while an efficient and speedy internal dispute resolution process could be possibly ensured through automated systems - chatbots can be used for a first screening of complaints, with justified claims eventually being dealt with in person - the </w:t>
      </w:r>
      <w:r>
        <w:rPr>
          <w:b/>
          <w:noProof/>
        </w:rPr>
        <w:t>creation of an internal escalation mechanism</w:t>
      </w:r>
      <w:r>
        <w:rPr>
          <w:noProof/>
        </w:rPr>
        <w:t xml:space="preserve">, may require that small platforms put in place processes that go beyond their </w:t>
      </w:r>
      <w:r>
        <w:rPr>
          <w:noProof/>
          <w:lang w:eastAsia="en-GB"/>
        </w:rPr>
        <w:t xml:space="preserve">current capacities. </w:t>
      </w:r>
    </w:p>
    <w:p>
      <w:pPr>
        <w:spacing w:before="60" w:after="0"/>
        <w:rPr>
          <w:noProof/>
        </w:rPr>
      </w:pPr>
      <w:r>
        <w:rPr>
          <w:noProof/>
          <w:szCs w:val="24"/>
        </w:rPr>
        <w:t xml:space="preserve">The above two paragraphs raise the question whether specific thresholds are needed to exempt some types of enterprises from the proposed regulation. Irrespective of which of the four retained options would appear as the most appropriate on the basis of the comparative analysis performed in Section 7, the evaluation of the regulatory burden </w:t>
      </w:r>
      <w:r>
        <w:rPr>
          <w:noProof/>
        </w:rPr>
        <w:t>of this Initiative requires an assessment of whether micro-enterprises or other categories of companies</w:t>
      </w:r>
      <w:r>
        <w:rPr>
          <w:noProof/>
          <w:vertAlign w:val="superscript"/>
        </w:rPr>
        <w:footnoteReference w:id="196"/>
      </w:r>
      <w:r>
        <w:rPr>
          <w:noProof/>
        </w:rPr>
        <w:t xml:space="preserve"> should be exempted from its scope in line with the Think Small First</w:t>
      </w:r>
      <w:r>
        <w:rPr>
          <w:noProof/>
          <w:vertAlign w:val="superscript"/>
        </w:rPr>
        <w:footnoteReference w:id="197"/>
      </w:r>
      <w:r>
        <w:rPr>
          <w:noProof/>
        </w:rPr>
        <w:t xml:space="preserve"> and the Better Regulation principles</w:t>
      </w:r>
      <w:r>
        <w:rPr>
          <w:noProof/>
          <w:vertAlign w:val="superscript"/>
        </w:rPr>
        <w:footnoteReference w:id="198"/>
      </w:r>
      <w:r>
        <w:rPr>
          <w:noProof/>
        </w:rPr>
        <w:t>. The following section analyses this question.</w:t>
      </w:r>
    </w:p>
    <w:p>
      <w:pPr>
        <w:keepNext/>
        <w:numPr>
          <w:ilvl w:val="3"/>
          <w:numId w:val="0"/>
        </w:numPr>
        <w:ind w:left="864" w:hanging="864"/>
        <w:outlineLvl w:val="3"/>
        <w:rPr>
          <w:b/>
          <w:i/>
          <w:noProof/>
        </w:rPr>
      </w:pPr>
    </w:p>
    <w:p>
      <w:pPr>
        <w:pStyle w:val="Heading3"/>
        <w:rPr>
          <w:noProof/>
        </w:rPr>
      </w:pPr>
      <w:bookmarkStart w:id="3509" w:name="_Toc508297462"/>
      <w:bookmarkStart w:id="3510" w:name="_Toc508350224"/>
      <w:bookmarkStart w:id="3511" w:name="_Toc508351661"/>
      <w:bookmarkStart w:id="3512" w:name="_Toc508360075"/>
      <w:bookmarkStart w:id="3513" w:name="_Toc511220570"/>
      <w:bookmarkStart w:id="3514" w:name="_Toc511235015"/>
      <w:bookmarkStart w:id="3515" w:name="_Toc511292928"/>
      <w:r>
        <w:rPr>
          <w:noProof/>
        </w:rPr>
        <w:t>Options for thresholds for exemption</w:t>
      </w:r>
      <w:bookmarkEnd w:id="3509"/>
      <w:bookmarkEnd w:id="3510"/>
      <w:bookmarkEnd w:id="3511"/>
      <w:bookmarkEnd w:id="3512"/>
      <w:bookmarkEnd w:id="3513"/>
      <w:bookmarkEnd w:id="3514"/>
      <w:bookmarkEnd w:id="3515"/>
    </w:p>
    <w:p>
      <w:pPr>
        <w:spacing w:before="60" w:after="0"/>
        <w:rPr>
          <w:noProof/>
        </w:rPr>
      </w:pPr>
      <w:r>
        <w:rPr>
          <w:noProof/>
        </w:rPr>
        <w:t xml:space="preserve">Several questions arise when considering options for thresholds: For which measures are thresholds needed? If they are needed, how should they be set? Which measurements or proxies can be used to determine their level and to verify compliance easily? </w:t>
      </w:r>
    </w:p>
    <w:p>
      <w:pPr>
        <w:spacing w:before="60" w:after="0"/>
        <w:rPr>
          <w:noProof/>
        </w:rPr>
      </w:pPr>
    </w:p>
    <w:p>
      <w:pPr>
        <w:rPr>
          <w:noProof/>
        </w:rPr>
      </w:pPr>
      <w:r>
        <w:rPr>
          <w:noProof/>
        </w:rPr>
        <w:t xml:space="preserve">The main considerations in relation to thresholds concern the degree to which the underlying problem analysis applies to smaller online platforms and the regulatory burden which would stem from the proposed intervention. Different "threshold" possibilities are considered below while Section 8 dealing with the preferred policy option presents the conclusions of the analysis. </w:t>
      </w:r>
    </w:p>
    <w:p>
      <w:pPr>
        <w:pBdr>
          <w:top w:val="single" w:sz="4" w:space="1" w:color="auto"/>
          <w:left w:val="single" w:sz="4" w:space="4" w:color="auto"/>
          <w:bottom w:val="single" w:sz="4" w:space="1" w:color="auto"/>
          <w:right w:val="single" w:sz="4" w:space="4" w:color="auto"/>
        </w:pBdr>
        <w:rPr>
          <w:noProof/>
        </w:rPr>
      </w:pPr>
      <w:r>
        <w:rPr>
          <w:noProof/>
        </w:rPr>
        <w:t>(A): A targeted threshold exempting some categories of platforms from the most burdensome measures, based on impacts assessed in Section 6</w:t>
      </w:r>
    </w:p>
    <w:p>
      <w:pPr>
        <w:pBdr>
          <w:top w:val="single" w:sz="4" w:space="1" w:color="auto"/>
          <w:left w:val="single" w:sz="4" w:space="4" w:color="auto"/>
          <w:bottom w:val="single" w:sz="4" w:space="1" w:color="auto"/>
          <w:right w:val="single" w:sz="4" w:space="4" w:color="auto"/>
        </w:pBdr>
        <w:rPr>
          <w:noProof/>
        </w:rPr>
      </w:pPr>
      <w:r>
        <w:rPr>
          <w:noProof/>
          <w:u w:val="single"/>
        </w:rPr>
        <w:t>(B)</w:t>
      </w:r>
      <w:r>
        <w:rPr>
          <w:noProof/>
        </w:rPr>
        <w:t>: A horizontal threshold exempting some categories of platforms from the entire proposal</w:t>
      </w:r>
    </w:p>
    <w:p>
      <w:pPr>
        <w:pBdr>
          <w:top w:val="single" w:sz="4" w:space="1" w:color="auto"/>
          <w:left w:val="single" w:sz="4" w:space="4" w:color="auto"/>
          <w:bottom w:val="single" w:sz="4" w:space="1" w:color="auto"/>
          <w:right w:val="single" w:sz="4" w:space="4" w:color="auto"/>
        </w:pBdr>
        <w:rPr>
          <w:noProof/>
        </w:rPr>
      </w:pPr>
      <w:r>
        <w:rPr>
          <w:noProof/>
          <w:u w:val="single"/>
        </w:rPr>
        <w:t xml:space="preserve">(C): </w:t>
      </w:r>
      <w:r>
        <w:rPr>
          <w:noProof/>
        </w:rPr>
        <w:t>A dual threshold combining (A) and (B)</w:t>
      </w:r>
    </w:p>
    <w:p>
      <w:pPr>
        <w:pBdr>
          <w:top w:val="single" w:sz="4" w:space="1" w:color="auto"/>
          <w:left w:val="single" w:sz="4" w:space="4" w:color="auto"/>
          <w:bottom w:val="single" w:sz="4" w:space="1" w:color="auto"/>
          <w:right w:val="single" w:sz="4" w:space="4" w:color="auto"/>
        </w:pBdr>
        <w:rPr>
          <w:noProof/>
        </w:rPr>
      </w:pPr>
      <w:r>
        <w:rPr>
          <w:noProof/>
          <w:u w:val="single"/>
        </w:rPr>
        <w:t>(D)</w:t>
      </w:r>
      <w:r>
        <w:rPr>
          <w:noProof/>
        </w:rPr>
        <w:t>: No threshold – all proposed measures would apply to all enterprises</w:t>
      </w:r>
    </w:p>
    <w:p>
      <w:pPr>
        <w:spacing w:after="0"/>
        <w:contextualSpacing/>
        <w:rPr>
          <w:b/>
          <w:noProof/>
        </w:rPr>
      </w:pPr>
      <w:r>
        <w:rPr>
          <w:b/>
          <w:noProof/>
          <w:u w:val="single"/>
        </w:rPr>
        <w:t>(A)</w:t>
      </w:r>
      <w:r>
        <w:rPr>
          <w:b/>
          <w:noProof/>
        </w:rPr>
        <w:t>: A threshold exempting some categories of online platforms from those measures for which a significant impact cannot be excluded, based on impacts assessed above</w:t>
      </w:r>
    </w:p>
    <w:p>
      <w:pPr>
        <w:spacing w:after="0"/>
        <w:contextualSpacing/>
        <w:rPr>
          <w:noProof/>
        </w:rPr>
      </w:pPr>
    </w:p>
    <w:p>
      <w:pPr>
        <w:spacing w:after="0"/>
        <w:contextualSpacing/>
        <w:rPr>
          <w:noProof/>
        </w:rPr>
      </w:pPr>
      <w:r>
        <w:rPr>
          <w:noProof/>
        </w:rPr>
        <w:t xml:space="preserve">One option would be to exempt smaller platforms from those measures for which an administrative burden cannot be fully excluded, i.e. from the most burdensome measures in relative terms. This approach would mean that the relevant legal transparency obligations foreseen under the various co-regulatory options apply to all online platforms, while the internal redress mechanism which appears more costly (cf. Section 6.2.1.2) is not applicable to a certain category of smaller platforms. </w:t>
      </w:r>
    </w:p>
    <w:p>
      <w:pPr>
        <w:spacing w:after="0"/>
        <w:contextualSpacing/>
        <w:rPr>
          <w:noProof/>
        </w:rPr>
      </w:pPr>
    </w:p>
    <w:p>
      <w:pPr>
        <w:spacing w:after="0"/>
        <w:contextualSpacing/>
        <w:rPr>
          <w:noProof/>
        </w:rPr>
      </w:pPr>
      <w:r>
        <w:rPr>
          <w:noProof/>
        </w:rPr>
        <w:t>As to the precise setting of the threshold, the SME definition based on the double criterion of staff headcount and turnover/balance sheet has been considered. The question is whether the threshold should be set at the level of a small or micro-enterprise? Available data does not allow drawing a clear distinction between the impacts of the internal redress on these two types of platforms. In order to avoid any disproportionate burden it seems therefore more appropriate to exempt all online platforms constituting a small enterprise (&lt; 50 employees) from the obligation to provide for an internal complaint-handling mechanism. This would support the scaling up of both start-up and emerging small platforms.</w:t>
      </w:r>
    </w:p>
    <w:p>
      <w:pPr>
        <w:spacing w:after="0"/>
        <w:contextualSpacing/>
        <w:rPr>
          <w:noProof/>
        </w:rPr>
      </w:pPr>
      <w:r>
        <w:rPr>
          <w:noProof/>
        </w:rPr>
        <w:t xml:space="preserve"> </w:t>
      </w:r>
    </w:p>
    <w:p>
      <w:pPr>
        <w:spacing w:after="0"/>
        <w:contextualSpacing/>
        <w:rPr>
          <w:noProof/>
        </w:rPr>
      </w:pPr>
      <w:r>
        <w:rPr>
          <w:noProof/>
        </w:rPr>
        <w:t>By excluding platforms with &lt; 50 employees from the internal redress measure, 47%</w:t>
      </w:r>
      <w:r>
        <w:rPr>
          <w:noProof/>
          <w:vertAlign w:val="superscript"/>
        </w:rPr>
        <w:footnoteReference w:id="199"/>
      </w:r>
      <w:r>
        <w:rPr>
          <w:noProof/>
        </w:rPr>
        <w:t xml:space="preserve"> of all EU platforms would be exempted from this specific obligation, while a large proportion of all transactions would nonetheless be covered</w:t>
      </w:r>
      <w:r>
        <w:rPr>
          <w:noProof/>
          <w:vertAlign w:val="superscript"/>
        </w:rPr>
        <w:footnoteReference w:id="200"/>
      </w:r>
      <w:r>
        <w:rPr>
          <w:noProof/>
        </w:rPr>
        <w:t xml:space="preserve">. This option would reflect the light-touch approach behind the transparency requirements which would apply to all companies. The extra burden associated with the initiative would be limited, and the measure may provide a competitive edge to very small platforms who want to build a customer base; they would be able to attract customers by offering them clear and transparent terms and conditions, similarly to bigger platforms. </w:t>
      </w:r>
    </w:p>
    <w:p>
      <w:pPr>
        <w:spacing w:after="0"/>
        <w:contextualSpacing/>
        <w:rPr>
          <w:noProof/>
        </w:rPr>
      </w:pPr>
    </w:p>
    <w:p>
      <w:pPr>
        <w:spacing w:after="0"/>
        <w:contextualSpacing/>
        <w:rPr>
          <w:noProof/>
        </w:rPr>
      </w:pPr>
      <w:r>
        <w:rPr>
          <w:noProof/>
        </w:rPr>
        <w:t>Instead of using the staff headcount and/or turnover, an option would be to use different proxies when defining the thresholds, such as number of website visits/month (as in the Loi Lemaire), or number of registered users (as the German NetzDG definition). This would potentially allow targeting the exemption more narrowly to start-up and scale-up platforms that can be guaranteed not (yet) to have significant user bases. These metrics are however disconnected from need to limit the impact of the cost of internal complaint-handling, as even online platforms having significantly less than 50 employees may command relatively large user bases; these firms have frequently been seen not yet to generate any turnover and may precisely be unable to absorb such costs. Also, large variations in user numbers or website visits are possible depending on the date, either seasonal or due to fast growth periods, leading to uncertainty for the business on whether it is concerned or not by the rules. Basing thresholds on number of registered users would also decrease platforms' incentives to increase their user base thus artificially limiting network effects which are at the core of platforms' business models. Although the number of website visits and active users are routinely measured by online platforms themselves, they are not publicly reported. The criteria used in the SME definition seem therefore more appropriate for the purpose of setting a meaningful threshold.</w:t>
      </w:r>
    </w:p>
    <w:p>
      <w:pPr>
        <w:spacing w:after="0"/>
        <w:contextualSpacing/>
        <w:rPr>
          <w:noProof/>
        </w:rPr>
      </w:pPr>
    </w:p>
    <w:p>
      <w:pPr>
        <w:rPr>
          <w:b/>
          <w:noProof/>
        </w:rPr>
      </w:pPr>
      <w:r>
        <w:rPr>
          <w:b/>
          <w:noProof/>
          <w:u w:val="single"/>
        </w:rPr>
        <w:t>(B)</w:t>
      </w:r>
      <w:r>
        <w:rPr>
          <w:b/>
          <w:noProof/>
        </w:rPr>
        <w:t>: A horizontal threshold exempting some categories of platforms (micro- or small-) from the entire measure</w:t>
      </w:r>
    </w:p>
    <w:p>
      <w:pPr>
        <w:rPr>
          <w:noProof/>
        </w:rPr>
      </w:pPr>
      <w:r>
        <w:rPr>
          <w:noProof/>
        </w:rPr>
        <w:t>This option may be designed to exempt from the entire measure those platforms which qualify either for micro- or for small-enterprises. Excluding exclusively micro-enterprises from the entire measure would risk putting the threshold too low, thus imposing the more burdensome internal redress obligations to platforms which may not be ready yet to absorb such measure. As explained above, the proportionality principle rather suggests for not only micro- but also small enterprises to be exempted from those measures for which the regulatory burden may be more significant. On the other hand, if a single horizontal threshold is set for all small platforms, this would imply that almost half of all existing online platforms are exempted. This may appear unjustified given the light touch approach of the legal transparency requirements proposed, the exemption of these platforms from the most burdensome obligation and the fact that platforms having between 10 and 50 employees can already fulfil an important gateway function. Thus, a horizontal threshold applicable to the entire initiative, while clear and simple for implementation, does not appear appropriate to the measures proposed. The latter rather call for a targeted threshold taking into consideration in particular the more burdensome nature of the internal redress rule.</w:t>
      </w:r>
    </w:p>
    <w:p>
      <w:pPr>
        <w:rPr>
          <w:b/>
          <w:noProof/>
        </w:rPr>
      </w:pPr>
      <w:r>
        <w:rPr>
          <w:b/>
          <w:noProof/>
        </w:rPr>
        <w:t>(</w:t>
      </w:r>
      <w:r>
        <w:rPr>
          <w:b/>
          <w:noProof/>
          <w:u w:val="single"/>
        </w:rPr>
        <w:t>C</w:t>
      </w:r>
      <w:r>
        <w:rPr>
          <w:b/>
          <w:noProof/>
        </w:rPr>
        <w:t>) A dual threshold combining (A) and (B)</w:t>
      </w:r>
    </w:p>
    <w:p>
      <w:pPr>
        <w:spacing w:before="60" w:after="0"/>
        <w:rPr>
          <w:noProof/>
        </w:rPr>
      </w:pPr>
      <w:r>
        <w:rPr>
          <w:noProof/>
        </w:rPr>
        <w:t>Another option would therefore be to combine the internal-redress related threshold with a general micro-enterprise exemption applicable to the entire measure (C). On the one hand, this option would be further in line with the "think small first" principle as the 1 772 existing micro-enterprise platforms would be exempted from the entire measure. Nearly 90% (1 526) of the online platform micro-enterprises identified by staff headcount alone are to be in the "seed" phase of growth referring to the very first part of the technology start-up cycle. While the turnover distribution of these online platforms is not known it could not be generally and automatically assumed that they hold significant relative market power over the business users they intermediate. This option would thus guarantee that the initiative is start-up and scale-up friendly by preventing any disproportionate and regulatory burden from emerging and small platforms. On the other hand, applying a horizontal micro-enterprise exemption could appear unjustified in light of the specific market dynamics of the platform economy and resulting dependency considerations. As the Instagram and other examples of Section 2.1.1 show, even very small online platforms could develop important relative market power. This would rather suggest that no threshold is needed for exempting emerging platforms from the light transparency requirements of the initiative. It is therefore difficult to conclude to what extent the underlying rationale behind this initiative applies to start-ups.</w:t>
      </w:r>
    </w:p>
    <w:p>
      <w:pPr>
        <w:spacing w:before="60" w:after="0"/>
        <w:rPr>
          <w:noProof/>
        </w:rPr>
      </w:pPr>
    </w:p>
    <w:p>
      <w:pPr>
        <w:spacing w:before="60" w:after="0"/>
        <w:rPr>
          <w:b/>
          <w:noProof/>
        </w:rPr>
      </w:pPr>
      <w:r>
        <w:rPr>
          <w:b/>
          <w:noProof/>
          <w:u w:val="single"/>
        </w:rPr>
        <w:t>(D):</w:t>
      </w:r>
      <w:r>
        <w:rPr>
          <w:b/>
          <w:noProof/>
        </w:rPr>
        <w:t xml:space="preserve"> No threshold – the proposed measure applies horizontally to all platforms</w:t>
      </w:r>
    </w:p>
    <w:p>
      <w:pPr>
        <w:spacing w:before="60" w:after="0"/>
        <w:rPr>
          <w:noProof/>
        </w:rPr>
      </w:pPr>
    </w:p>
    <w:p>
      <w:pPr>
        <w:spacing w:before="60" w:after="0"/>
        <w:rPr>
          <w:noProof/>
        </w:rPr>
      </w:pPr>
      <w:r>
        <w:rPr>
          <w:noProof/>
        </w:rPr>
        <w:t>This option would imply that not only the relevant legal transparency requirements would be applicable to all types of platforms but all proposed obligations. In light of the above explained need to account for the more burdensome nature of the internal redress mechanism, option 4 does not appear to constitute an effective alternative.</w:t>
      </w:r>
    </w:p>
    <w:p>
      <w:pPr>
        <w:spacing w:before="60" w:after="0"/>
        <w:rPr>
          <w:noProof/>
        </w:rPr>
      </w:pPr>
    </w:p>
    <w:p>
      <w:pPr>
        <w:spacing w:before="60" w:after="0"/>
        <w:rPr>
          <w:noProof/>
        </w:rPr>
      </w:pPr>
      <w:r>
        <w:rPr>
          <w:noProof/>
        </w:rPr>
        <w:t>Table 4 shows the distribution of employees in EU and Global Platform businesses, including search engines (red colour in the table)</w:t>
      </w:r>
      <w:r>
        <w:rPr>
          <w:noProof/>
          <w:vertAlign w:val="superscript"/>
        </w:rPr>
        <w:footnoteReference w:id="201"/>
      </w:r>
      <w:r>
        <w:rPr>
          <w:noProof/>
        </w:rPr>
        <w:t>.</w:t>
      </w:r>
    </w:p>
    <w:p>
      <w:pPr>
        <w:keepNext/>
        <w:spacing w:before="120" w:after="120"/>
        <w:jc w:val="center"/>
        <w:rPr>
          <w:b/>
          <w:noProof/>
          <w:sz w:val="20"/>
        </w:rPr>
      </w:pPr>
      <w:r>
        <w:rPr>
          <w:b/>
          <w:noProof/>
          <w:sz w:val="20"/>
        </w:rPr>
        <w:t>Table 4: Distribution of employees in EU and Global Platform businesses</w:t>
      </w:r>
    </w:p>
    <w:tbl>
      <w:tblPr>
        <w:tblStyle w:val="LightList-Accent11"/>
        <w:tblW w:w="0" w:type="auto"/>
        <w:tblInd w:w="108" w:type="dxa"/>
        <w:tblLook w:val="04A0" w:firstRow="1" w:lastRow="0" w:firstColumn="1" w:lastColumn="0" w:noHBand="0" w:noVBand="1"/>
      </w:tblPr>
      <w:tblGrid>
        <w:gridCol w:w="1396"/>
        <w:gridCol w:w="3912"/>
        <w:gridCol w:w="3871"/>
      </w:tblGrid>
      <w:tr>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rPr>
                <w:noProof/>
                <w:sz w:val="20"/>
              </w:rPr>
            </w:pPr>
            <w:r>
              <w:rPr>
                <w:noProof/>
                <w:sz w:val="20"/>
              </w:rPr>
              <w:t>Staff headcount</w:t>
            </w:r>
          </w:p>
        </w:tc>
        <w:tc>
          <w:tcPr>
            <w:tcW w:w="3912" w:type="dxa"/>
          </w:tcPr>
          <w:p>
            <w:pPr>
              <w:spacing w:before="60" w:after="0"/>
              <w:cnfStyle w:val="100000000000" w:firstRow="1" w:lastRow="0" w:firstColumn="0" w:lastColumn="0" w:oddVBand="0" w:evenVBand="0" w:oddHBand="0" w:evenHBand="0" w:firstRowFirstColumn="0" w:firstRowLastColumn="0" w:lastRowFirstColumn="0" w:lastRowLastColumn="0"/>
              <w:rPr>
                <w:noProof/>
                <w:sz w:val="20"/>
              </w:rPr>
            </w:pPr>
            <w:r>
              <w:rPr>
                <w:noProof/>
                <w:sz w:val="20"/>
              </w:rPr>
              <w:t>Number of EU Platform Businesses</w:t>
            </w:r>
          </w:p>
        </w:tc>
        <w:tc>
          <w:tcPr>
            <w:tcW w:w="3871" w:type="dxa"/>
          </w:tcPr>
          <w:p>
            <w:pPr>
              <w:spacing w:before="60" w:after="0"/>
              <w:cnfStyle w:val="100000000000" w:firstRow="1" w:lastRow="0" w:firstColumn="0" w:lastColumn="0" w:oddVBand="0" w:evenVBand="0" w:oddHBand="0" w:evenHBand="0" w:firstRowFirstColumn="0" w:firstRowLastColumn="0" w:lastRowFirstColumn="0" w:lastRowLastColumn="0"/>
              <w:rPr>
                <w:noProof/>
                <w:sz w:val="20"/>
              </w:rPr>
            </w:pPr>
            <w:r>
              <w:rPr>
                <w:noProof/>
                <w:sz w:val="20"/>
              </w:rPr>
              <w:t>Number of Global Platform Businesses</w:t>
            </w:r>
          </w:p>
        </w:tc>
      </w:tr>
      <w:tr>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rPr>
                <w:noProof/>
                <w:sz w:val="20"/>
              </w:rPr>
            </w:pPr>
            <w:r>
              <w:rPr>
                <w:noProof/>
                <w:sz w:val="20"/>
              </w:rPr>
              <w:t>&lt;10</w:t>
            </w:r>
          </w:p>
        </w:tc>
        <w:tc>
          <w:tcPr>
            <w:tcW w:w="3912" w:type="dxa"/>
          </w:tcPr>
          <w:p>
            <w:pPr>
              <w:spacing w:before="60" w:after="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1772 </w:t>
            </w:r>
            <w:r>
              <w:rPr>
                <w:noProof/>
                <w:color w:val="FF0000"/>
                <w:sz w:val="20"/>
              </w:rPr>
              <w:t>+ 34 = 1806 = 25%</w:t>
            </w:r>
          </w:p>
        </w:tc>
        <w:tc>
          <w:tcPr>
            <w:tcW w:w="3871" w:type="dxa"/>
          </w:tcPr>
          <w:p>
            <w:pPr>
              <w:spacing w:before="60" w:after="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3333 </w:t>
            </w:r>
            <w:r>
              <w:rPr>
                <w:noProof/>
                <w:color w:val="FF0000"/>
                <w:sz w:val="20"/>
              </w:rPr>
              <w:t>+ 82 = 3415</w:t>
            </w:r>
          </w:p>
        </w:tc>
      </w:tr>
      <w:tr>
        <w:trPr>
          <w:trHeight w:val="331"/>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rPr>
                <w:noProof/>
                <w:sz w:val="20"/>
              </w:rPr>
            </w:pPr>
            <w:r>
              <w:rPr>
                <w:noProof/>
                <w:sz w:val="20"/>
              </w:rPr>
              <w:t>&lt;50</w:t>
            </w:r>
          </w:p>
        </w:tc>
        <w:tc>
          <w:tcPr>
            <w:tcW w:w="3912" w:type="dxa"/>
          </w:tcPr>
          <w:p>
            <w:pPr>
              <w:spacing w:before="60"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3298 </w:t>
            </w:r>
            <w:r>
              <w:rPr>
                <w:noProof/>
                <w:color w:val="FF0000"/>
                <w:sz w:val="20"/>
              </w:rPr>
              <w:t>+ 82 = 3380 = 47%</w:t>
            </w:r>
          </w:p>
        </w:tc>
        <w:tc>
          <w:tcPr>
            <w:tcW w:w="3871" w:type="dxa"/>
          </w:tcPr>
          <w:p>
            <w:pPr>
              <w:spacing w:before="60"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6472 </w:t>
            </w:r>
            <w:r>
              <w:rPr>
                <w:noProof/>
                <w:color w:val="FF0000"/>
                <w:sz w:val="20"/>
              </w:rPr>
              <w:t>+ 160 = 6632</w:t>
            </w:r>
          </w:p>
        </w:tc>
      </w:tr>
      <w:tr>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rPr>
                <w:noProof/>
                <w:sz w:val="20"/>
              </w:rPr>
            </w:pPr>
            <w:r>
              <w:rPr>
                <w:noProof/>
                <w:sz w:val="20"/>
              </w:rPr>
              <w:t xml:space="preserve">&lt;200 </w:t>
            </w:r>
          </w:p>
        </w:tc>
        <w:tc>
          <w:tcPr>
            <w:tcW w:w="3912" w:type="dxa"/>
          </w:tcPr>
          <w:p>
            <w:pPr>
              <w:spacing w:before="60" w:after="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3904 </w:t>
            </w:r>
            <w:r>
              <w:rPr>
                <w:noProof/>
                <w:color w:val="FF0000"/>
                <w:sz w:val="20"/>
              </w:rPr>
              <w:t>+ 113 = 4017 = 56%</w:t>
            </w:r>
          </w:p>
        </w:tc>
        <w:tc>
          <w:tcPr>
            <w:tcW w:w="3871" w:type="dxa"/>
          </w:tcPr>
          <w:p>
            <w:pPr>
              <w:spacing w:before="60" w:after="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7871 </w:t>
            </w:r>
            <w:r>
              <w:rPr>
                <w:noProof/>
                <w:color w:val="FF0000"/>
                <w:sz w:val="20"/>
              </w:rPr>
              <w:t>+ 194 = 8099</w:t>
            </w:r>
          </w:p>
        </w:tc>
      </w:tr>
      <w:tr>
        <w:trPr>
          <w:trHeight w:val="539"/>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rPr>
                <w:noProof/>
                <w:sz w:val="20"/>
              </w:rPr>
            </w:pPr>
          </w:p>
        </w:tc>
        <w:tc>
          <w:tcPr>
            <w:tcW w:w="3912" w:type="dxa"/>
          </w:tcPr>
          <w:p>
            <w:pPr>
              <w:spacing w:before="60"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Total EU Platform Businesses </w:t>
            </w:r>
            <w:r>
              <w:rPr>
                <w:noProof/>
                <w:sz w:val="20"/>
              </w:rPr>
              <w:br/>
              <w:t xml:space="preserve">= 7012 </w:t>
            </w:r>
            <w:r>
              <w:rPr>
                <w:noProof/>
                <w:color w:val="FF0000"/>
                <w:sz w:val="20"/>
              </w:rPr>
              <w:t>+ 113 = 7125</w:t>
            </w:r>
          </w:p>
        </w:tc>
        <w:tc>
          <w:tcPr>
            <w:tcW w:w="3871" w:type="dxa"/>
          </w:tcPr>
          <w:p>
            <w:pPr>
              <w:spacing w:before="60" w:after="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Total number of Global Platform Businesses = 19526 </w:t>
            </w:r>
            <w:r>
              <w:rPr>
                <w:noProof/>
                <w:color w:val="FF0000"/>
                <w:sz w:val="20"/>
              </w:rPr>
              <w:t>+ 194 = 19720</w:t>
            </w:r>
          </w:p>
        </w:tc>
      </w:tr>
    </w:tbl>
    <w:p>
      <w:pPr>
        <w:spacing w:after="200" w:line="276" w:lineRule="auto"/>
        <w:jc w:val="left"/>
        <w:rPr>
          <w:rFonts w:asciiTheme="minorHAnsi" w:eastAsiaTheme="minorHAnsi" w:hAnsiTheme="minorHAnsi" w:cstheme="minorBidi"/>
          <w:noProof/>
          <w:sz w:val="22"/>
          <w:szCs w:val="22"/>
        </w:rPr>
      </w:pPr>
    </w:p>
    <w:p>
      <w:pPr>
        <w:pStyle w:val="Heading3"/>
        <w:rPr>
          <w:noProof/>
          <w:lang w:val="fr-BE"/>
        </w:rPr>
      </w:pPr>
      <w:bookmarkStart w:id="3516" w:name="_Toc508297463"/>
      <w:bookmarkStart w:id="3517" w:name="_Toc508350225"/>
      <w:bookmarkStart w:id="3518" w:name="_Toc508351662"/>
      <w:bookmarkStart w:id="3519" w:name="_Toc508360076"/>
      <w:bookmarkStart w:id="3520" w:name="_Toc511220571"/>
      <w:bookmarkStart w:id="3521" w:name="_Toc511235016"/>
      <w:bookmarkStart w:id="3522" w:name="_Toc511292929"/>
      <w:r>
        <w:rPr>
          <w:noProof/>
          <w:lang w:val="fr-BE"/>
        </w:rPr>
        <w:t>Impact on non-EU platforms</w:t>
      </w:r>
      <w:bookmarkEnd w:id="3516"/>
      <w:bookmarkEnd w:id="3517"/>
      <w:bookmarkEnd w:id="3518"/>
      <w:bookmarkEnd w:id="3519"/>
      <w:bookmarkEnd w:id="3520"/>
      <w:bookmarkEnd w:id="3521"/>
      <w:bookmarkEnd w:id="3522"/>
    </w:p>
    <w:p>
      <w:pPr>
        <w:tabs>
          <w:tab w:val="left" w:pos="2302"/>
        </w:tabs>
        <w:rPr>
          <w:noProof/>
        </w:rPr>
      </w:pPr>
      <w:r>
        <w:rPr>
          <w:noProof/>
        </w:rPr>
        <w:t>According to data available to the Commission there would currently be approximately 12 500 non-EU platforms active in the market world-wide</w:t>
      </w:r>
      <w:r>
        <w:rPr>
          <w:noProof/>
          <w:vertAlign w:val="superscript"/>
        </w:rPr>
        <w:footnoteReference w:id="202"/>
      </w:r>
      <w:r>
        <w:rPr>
          <w:noProof/>
        </w:rPr>
        <w:t xml:space="preserve">. The elements presented for the co-regulatory options are applicable to EU platforms and would apply equally to these non-EU platforms, if they intermediate between EU business users and consumers located in the EU. While the measures would not restrict the platforms' freedom to determine the law and forum applicable to </w:t>
      </w:r>
      <w:r>
        <w:rPr>
          <w:i/>
          <w:noProof/>
        </w:rPr>
        <w:t>contractual</w:t>
      </w:r>
      <w:r>
        <w:rPr>
          <w:noProof/>
        </w:rPr>
        <w:t xml:space="preserve"> issues, these clauses should not prevent the enforcement in (EU) courts of the envisaged P2B rules by business users - obviously in full compliance with private international law, including the Hague Convention or the Rome I, Rome II and Brussels Ibis Regulations.</w:t>
      </w:r>
      <w:r>
        <w:rPr>
          <w:noProof/>
          <w:vertAlign w:val="superscript"/>
        </w:rPr>
        <w:footnoteReference w:id="203"/>
      </w:r>
      <w:r>
        <w:rPr>
          <w:noProof/>
        </w:rPr>
        <w:t xml:space="preserve"> The mediation possibilities which would be offered constitute a considerable change to the current situation in which EU business users do not have any other choice but to revert to the extra-EU court set by a non-EU platform in its terms and conditions. However, it should be noted that submitting to the outcome of mediation proceedings will remain voluntary, both for EU and non-EU platforms.</w:t>
      </w:r>
    </w:p>
    <w:p>
      <w:pPr>
        <w:tabs>
          <w:tab w:val="left" w:pos="2302"/>
        </w:tabs>
        <w:rPr>
          <w:noProof/>
          <w:szCs w:val="24"/>
        </w:rPr>
      </w:pPr>
      <w:r>
        <w:rPr>
          <w:noProof/>
        </w:rPr>
        <w:t xml:space="preserve">The internal escalation mechanism foreseen in both options is expected to reduce the number of disputes. In case this proves insufficient and external redress is needed, mediation would be possible as an ultimate venue before entering court proceedings. Therefore, one would expect most disputes to be resolved by mediation with the consequence that court proceedings involving non-EU platforms in which exclusive choice of forum or law could be set aside would be very rare. Such cases would moreover be limited to injunctive claims alleging a breach of the general legal transparency and redress obligations contained in the proposed co-regulatory options. </w:t>
      </w:r>
    </w:p>
    <w:p>
      <w:pPr>
        <w:pStyle w:val="Heading3"/>
        <w:rPr>
          <w:noProof/>
        </w:rPr>
      </w:pPr>
      <w:bookmarkStart w:id="3523" w:name="_Toc505350065"/>
      <w:bookmarkStart w:id="3524" w:name="_Toc505352122"/>
      <w:bookmarkStart w:id="3525" w:name="_Toc505352444"/>
      <w:bookmarkStart w:id="3526" w:name="_Toc505353049"/>
      <w:bookmarkStart w:id="3527" w:name="_Toc505356010"/>
      <w:bookmarkStart w:id="3528" w:name="_Toc505620773"/>
      <w:bookmarkStart w:id="3529" w:name="_Toc505872649"/>
      <w:bookmarkStart w:id="3530" w:name="_Toc507428482"/>
      <w:bookmarkStart w:id="3531" w:name="_Toc507428912"/>
      <w:bookmarkStart w:id="3532" w:name="_Toc507793745"/>
      <w:bookmarkStart w:id="3533" w:name="_Toc508297464"/>
      <w:bookmarkStart w:id="3534" w:name="_Toc508350226"/>
      <w:bookmarkStart w:id="3535" w:name="_Toc508351663"/>
      <w:bookmarkStart w:id="3536" w:name="_Toc508360077"/>
      <w:bookmarkStart w:id="3537" w:name="_Toc511220572"/>
      <w:bookmarkStart w:id="3538" w:name="_Toc511235017"/>
      <w:bookmarkStart w:id="3539" w:name="_Toc511292930"/>
      <w:r>
        <w:rPr>
          <w:noProof/>
        </w:rPr>
        <w:t>Impact on business users</w:t>
      </w:r>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p>
    <w:p>
      <w:pPr>
        <w:rPr>
          <w:noProof/>
          <w:color w:val="000000"/>
        </w:rPr>
      </w:pPr>
      <w:r>
        <w:rPr>
          <w:noProof/>
          <w:color w:val="000000"/>
        </w:rPr>
        <w:t>Compliance costs linked to the co-regulatory options will not have a short term effect on the fees and commissions applied by online platforms. Compliance costs linked to establishing transparent terms and conditions are, as explained in the previous sections, limited. Certain platforms might decide to use the opportunity created by the implementation of a legislative initiative to increase the fees applied to business users, who may in turn pass these on to consumers. If these increases were to be substantial, the effects described above would be limited by a dampening effect on sales. However, it is unlikely that platforms will significantly increase their levels of fees or commissions, as the compliance costs of the co-regulatory options are limited. In addition, platforms will be incentivised to compete for business users due to harmonised legal transparency obligations facilitating the emergence of new platforms. It would therefore be in their interest to keep fees and commissions at a competitive level, thus reducing the risk that costs would be passed on to consumers.</w:t>
      </w:r>
    </w:p>
    <w:p>
      <w:pPr>
        <w:autoSpaceDE w:val="0"/>
        <w:autoSpaceDN w:val="0"/>
        <w:adjustRightInd w:val="0"/>
        <w:spacing w:after="0"/>
        <w:rPr>
          <w:noProof/>
          <w:color w:val="000000"/>
          <w:szCs w:val="24"/>
          <w:lang w:eastAsia="en-GB"/>
        </w:rPr>
      </w:pPr>
      <w:r>
        <w:rPr>
          <w:noProof/>
          <w:color w:val="000000"/>
          <w:szCs w:val="24"/>
          <w:lang w:eastAsia="en-GB"/>
        </w:rPr>
        <w:t>In the event that platforms choose to transfer the additional costs incurred onto the sellers, the additional burden on the business user is foreseen to be highly limited. Using the estimates under 6.2.1, should platforms transfer the entirety of the one-off cost of setting up an internal redress mechanism towards its existing business users, the additional cost increase for each seller is foreseen to be minute</w:t>
      </w:r>
      <w:r>
        <w:rPr>
          <w:noProof/>
          <w:color w:val="000000"/>
          <w:szCs w:val="24"/>
          <w:vertAlign w:val="superscript"/>
          <w:lang w:eastAsia="en-GB"/>
        </w:rPr>
        <w:footnoteReference w:id="204"/>
      </w:r>
      <w:r>
        <w:rPr>
          <w:noProof/>
          <w:color w:val="000000"/>
          <w:szCs w:val="24"/>
          <w:lang w:eastAsia="en-GB"/>
        </w:rPr>
        <w:t>.</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Beyond the increased sales through platforms, the creation of an effective redress mechanism will be particularly positive for business users.</w:t>
      </w:r>
      <w:r>
        <w:rPr>
          <w:noProof/>
          <w:color w:val="000000"/>
          <w:szCs w:val="24"/>
          <w:vertAlign w:val="superscript"/>
          <w:lang w:eastAsia="en-GB"/>
        </w:rPr>
        <w:footnoteReference w:id="205"/>
      </w:r>
      <w:r>
        <w:rPr>
          <w:noProof/>
          <w:color w:val="000000"/>
          <w:szCs w:val="24"/>
          <w:lang w:eastAsia="en-GB"/>
        </w:rPr>
        <w:t xml:space="preserve"> In combination with the greater clarity provided by the transparency measures on the reasons for differences with platforms, business users will have a greater chance of quickly and effectively solving disputes with online platforms. This may mean that more business users find grounds under which they can take problematic cases to court, using for instance collective interest litigation. Nonetheless, it will be in the interest of both business users and platforms to make greater use of the possibilities offered by mediation, which both co-regulatory options make more readily available. Mediation has been shown to be a more flexible and cost-effective solution. A European Parliament study on the cost of (non-)mediation has shown that an average cost to litigate in the EU is more than € 10,000, while the average cost to mediate is approx. € 2,500. Therefore when mediation is successful, it could save € 7,500 per dispute</w:t>
      </w:r>
      <w:r>
        <w:rPr>
          <w:noProof/>
          <w:color w:val="000000"/>
          <w:szCs w:val="24"/>
          <w:vertAlign w:val="superscript"/>
          <w:lang w:eastAsia="en-GB"/>
        </w:rPr>
        <w:footnoteReference w:id="206"/>
      </w:r>
      <w:r>
        <w:rPr>
          <w:noProof/>
          <w:color w:val="000000"/>
          <w:szCs w:val="24"/>
          <w:lang w:eastAsia="en-GB"/>
        </w:rPr>
        <w:t xml:space="preserve">.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As regards potential retaliatory actions from platforms towards the businesses active on them, neither of the options retained is estimated likely to trigger them. The </w:t>
      </w:r>
      <w:r>
        <w:rPr>
          <w:b/>
          <w:noProof/>
          <w:color w:val="000000"/>
          <w:szCs w:val="24"/>
          <w:lang w:eastAsia="en-GB"/>
        </w:rPr>
        <w:t>fear of retaliation</w:t>
      </w:r>
      <w:r>
        <w:rPr>
          <w:noProof/>
          <w:color w:val="000000"/>
          <w:szCs w:val="24"/>
          <w:lang w:eastAsia="en-GB"/>
        </w:rPr>
        <w:t xml:space="preserve"> expressed in parts of the stakeholder consultation process concerned measures taken by certain platforms against individual businesses, or groups of businesses, as payback for specific actions. The co-regulatory options retained do not, however, single out particular businesses or specific actions that might single out a particular business to a platform. They rather increase clarity on the grounds for suspension or termination on the use of a platform, how ranking operates including mechanisms that allow business users to influence their prominence etc. and give more time to react to changes in terms and conditions or understand why a decision has been taken to delist or suspend them. Furthermore, the specific measures put forward in the proposal (redress mechanisms, observatory, etc.) contain safeguards against businesses being endangered for making use of the new functions: the external redress possibilities must fit the criteria of anonymity and independence, the internal redress mechanisms would be open for use to all the businesses on a platform, therefore making it hard for the platform to reasonably single out and punish against one single business, etc. In addition, a platform choosing not to adopt the new features designed to enhance trust and increase the quality of the experience for a business would find itself at a disadvantage compared to other platforms that choose to attract businesses by improving the quality of the seller's experience, and therefore, risk losing its market share among sellers.</w:t>
      </w:r>
    </w:p>
    <w:p>
      <w:pPr>
        <w:tabs>
          <w:tab w:val="left" w:pos="2302"/>
        </w:tabs>
        <w:spacing w:after="0"/>
        <w:rPr>
          <w:noProof/>
        </w:rPr>
      </w:pPr>
    </w:p>
    <w:p>
      <w:pPr>
        <w:autoSpaceDE w:val="0"/>
        <w:autoSpaceDN w:val="0"/>
        <w:adjustRightInd w:val="0"/>
        <w:spacing w:after="0"/>
        <w:rPr>
          <w:noProof/>
          <w:color w:val="000000"/>
          <w:szCs w:val="24"/>
          <w:lang w:eastAsia="en-GB"/>
        </w:rPr>
      </w:pPr>
      <w:r>
        <w:rPr>
          <w:noProof/>
          <w:color w:val="000000"/>
          <w:szCs w:val="24"/>
          <w:lang w:eastAsia="en-GB"/>
        </w:rPr>
        <w:t xml:space="preserve">None of the options will create significant costs for </w:t>
      </w:r>
      <w:r>
        <w:rPr>
          <w:b/>
          <w:i/>
          <w:noProof/>
          <w:color w:val="000000"/>
          <w:szCs w:val="24"/>
          <w:lang w:eastAsia="en-GB"/>
        </w:rPr>
        <w:t>SME business users</w:t>
      </w:r>
      <w:r>
        <w:rPr>
          <w:noProof/>
          <w:color w:val="000000"/>
          <w:szCs w:val="24"/>
          <w:lang w:eastAsia="en-GB"/>
        </w:rPr>
        <w:t>. On the contrary, SME users of platforms stand to gain from measures that will provide them with greater ease of doing business and enhanced legal certainty. This includes in particular the measures on transparency and minimum notice periods for changes to terms and conditions, transparency on the reasons for suspension or delisting, and transparency on the criteria for paid ranking results. These measures would lead to savings for smaller business users, as they would be spared the costs linked to reinstating accounts or products that have been blocked. In the case of paid-for ranking results, the increased transparency around the auctions oftentimes used to award increased visibility would be beneficial to smaller business users, as they could either choose not to participate where the resulting ranking is unlikely to be satisfactory, thus saving them the cost of participation, or choose to participate, and gain increased exposure. This was confirmed in the replies to the Commission's consultation of SMEs through the Small Business Act Follow-up Group.</w:t>
      </w:r>
      <w:r>
        <w:rPr>
          <w:noProof/>
          <w:color w:val="000000"/>
          <w:szCs w:val="24"/>
          <w:vertAlign w:val="superscript"/>
          <w:lang w:eastAsia="en-GB"/>
        </w:rPr>
        <w:footnoteReference w:id="207"/>
      </w:r>
      <w:r>
        <w:rPr>
          <w:noProof/>
          <w:color w:val="000000"/>
          <w:szCs w:val="24"/>
          <w:lang w:eastAsia="en-GB"/>
        </w:rPr>
        <w:t xml:space="preserve"> </w:t>
      </w:r>
    </w:p>
    <w:p>
      <w:pPr>
        <w:autoSpaceDE w:val="0"/>
        <w:autoSpaceDN w:val="0"/>
        <w:adjustRightInd w:val="0"/>
        <w:spacing w:after="0"/>
        <w:rPr>
          <w:noProof/>
          <w:color w:val="000000"/>
          <w:szCs w:val="24"/>
          <w:lang w:eastAsia="en-GB"/>
        </w:rPr>
      </w:pPr>
    </w:p>
    <w:p>
      <w:pPr>
        <w:autoSpaceDE w:val="0"/>
        <w:autoSpaceDN w:val="0"/>
        <w:adjustRightInd w:val="0"/>
        <w:spacing w:after="0"/>
        <w:rPr>
          <w:noProof/>
          <w:szCs w:val="24"/>
          <w:lang w:eastAsia="en-GB"/>
        </w:rPr>
      </w:pPr>
      <w:r>
        <w:rPr>
          <w:noProof/>
          <w:szCs w:val="24"/>
          <w:lang w:eastAsia="en-GB"/>
        </w:rPr>
        <w:t xml:space="preserve">Businesses' turnover is in addition directly impacted by the visibility they get on online general search engines. A transparency obligation on ranking in general search, such as foreseen under </w:t>
      </w:r>
      <w:r>
        <w:rPr>
          <w:b/>
          <w:noProof/>
          <w:color w:val="000000"/>
          <w:szCs w:val="24"/>
          <w:lang w:eastAsia="en-GB"/>
        </w:rPr>
        <w:t>policy</w:t>
      </w:r>
      <w:r>
        <w:rPr>
          <w:b/>
          <w:noProof/>
          <w:szCs w:val="24"/>
          <w:lang w:eastAsia="en-GB"/>
        </w:rPr>
        <w:t xml:space="preserve"> option 2c,</w:t>
      </w:r>
      <w:r>
        <w:rPr>
          <w:noProof/>
          <w:szCs w:val="24"/>
          <w:lang w:eastAsia="en-GB"/>
        </w:rPr>
        <w:t xml:space="preserve"> would allow more predictability for business users. Given the regular and high rate of algorithms changes done by online general search engines, such obligation would help businesses to develop better informed search optimisation strategies. This would be particularly beneficial for enterprises with little or no online presence.</w:t>
      </w:r>
    </w:p>
    <w:p>
      <w:pPr>
        <w:autoSpaceDE w:val="0"/>
        <w:autoSpaceDN w:val="0"/>
        <w:adjustRightInd w:val="0"/>
        <w:spacing w:after="0"/>
        <w:jc w:val="left"/>
        <w:rPr>
          <w:noProof/>
          <w:szCs w:val="24"/>
          <w:lang w:eastAsia="en-GB"/>
        </w:rPr>
      </w:pPr>
    </w:p>
    <w:p>
      <w:pPr>
        <w:autoSpaceDE w:val="0"/>
        <w:autoSpaceDN w:val="0"/>
        <w:adjustRightInd w:val="0"/>
        <w:spacing w:after="0"/>
        <w:rPr>
          <w:noProof/>
          <w:szCs w:val="24"/>
          <w:lang w:eastAsia="en-GB"/>
        </w:rPr>
      </w:pPr>
      <w:r>
        <w:rPr>
          <w:noProof/>
          <w:szCs w:val="24"/>
          <w:lang w:eastAsia="en-GB"/>
        </w:rPr>
        <w:t xml:space="preserve">Such obligation could possibly lead to a better distributional outcome if a few new businesses manage to get higher in the search results through getting more insight in the ranking policies of online general search engines. This appears however to be a strong assumption given the light nature inherent to the proposed transparency obligation and the limits of a ranking system – not all enterprises can rank high irrespective of the impartiality of search results and the businesses' search optimising strategies. A transparency obligation is however important for enterprises with their own websites and which may directly compete with the respective online general search engine's services. As the </w:t>
      </w:r>
      <w:r>
        <w:rPr>
          <w:i/>
          <w:noProof/>
          <w:szCs w:val="24"/>
          <w:lang w:eastAsia="en-GB"/>
        </w:rPr>
        <w:t>Google shopping</w:t>
      </w:r>
      <w:r>
        <w:rPr>
          <w:noProof/>
          <w:szCs w:val="24"/>
          <w:lang w:eastAsia="en-GB"/>
        </w:rPr>
        <w:t xml:space="preserve"> antitrust case shows, users are not necessarily made aware that the results of a specialised search service such as Google's comparison shopping service are displayed and positioned in its general search results pages using different underlying mechanisms than those used to rank generic search results. A transparency obligation set in EU law would strengthen businesses' ability to use such a provision in court proceedings. It would also be a helpful complement to enforcement tools under competition law since it would allow greater insight in possible discriminatory behaviours.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The benefits of options 2b, 2c and 2d (at least in terms of immediate effects) for smaller business users would be significant, as the majority of companies active in the sectors concerned are small or micro-enterprises. 83% of SMEs in the accommodation sector are micro-enterprises employing fewer than 10 people</w:t>
      </w:r>
      <w:r>
        <w:rPr>
          <w:noProof/>
          <w:color w:val="000000"/>
          <w:szCs w:val="24"/>
          <w:vertAlign w:val="superscript"/>
          <w:lang w:eastAsia="en-GB"/>
        </w:rPr>
        <w:footnoteReference w:id="208"/>
      </w:r>
      <w:r>
        <w:rPr>
          <w:noProof/>
          <w:color w:val="000000"/>
          <w:szCs w:val="24"/>
          <w:lang w:eastAsia="en-GB"/>
        </w:rPr>
        <w:t xml:space="preserve"> and for retail the rate stands at 95%</w:t>
      </w:r>
      <w:r>
        <w:rPr>
          <w:noProof/>
          <w:color w:val="000000"/>
          <w:szCs w:val="24"/>
          <w:vertAlign w:val="superscript"/>
          <w:lang w:eastAsia="en-GB"/>
        </w:rPr>
        <w:footnoteReference w:id="209"/>
      </w:r>
      <w:r>
        <w:rPr>
          <w:noProof/>
          <w:color w:val="000000"/>
          <w:szCs w:val="24"/>
          <w:lang w:eastAsia="en-GB"/>
        </w:rPr>
        <w:t>. Similar rates or higher can be expected for app developers.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Policy option 2a would also already bring important benefits for business users as compared to the baseline. Its value-added would however be more limited if compared to the other co-regulatory options retained, as it would leave the majority of the most frequently observed high-impact issues fully to voluntary industry efforts.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Policy option 2c would significantly extend the scope of the legal transparency obligation on ranking to encompass both business users' online presence on platforms, as well as any standalone websites featured in online general search engines – including those hosted by business users. As explained in section 2.1.1.3, the legal transparency obligation on ranking would thereby additionally cover 20%-30% of total Internet traffic received by online platforms and respectively &gt;50% and &gt;70% of Internet traffic received by retailers' and hotels' own websites.     </w:t>
      </w:r>
    </w:p>
    <w:p>
      <w:pPr>
        <w:autoSpaceDE w:val="0"/>
        <w:autoSpaceDN w:val="0"/>
        <w:adjustRightInd w:val="0"/>
        <w:spacing w:after="0"/>
        <w:rPr>
          <w:noProof/>
          <w:szCs w:val="24"/>
          <w:lang w:eastAsia="en-GB"/>
        </w:rPr>
      </w:pPr>
    </w:p>
    <w:p>
      <w:pPr>
        <w:autoSpaceDE w:val="0"/>
        <w:autoSpaceDN w:val="0"/>
        <w:adjustRightInd w:val="0"/>
        <w:spacing w:after="0"/>
        <w:rPr>
          <w:noProof/>
          <w:color w:val="000000"/>
          <w:szCs w:val="24"/>
          <w:lang w:eastAsia="en-GB"/>
        </w:rPr>
      </w:pPr>
      <w:r>
        <w:rPr>
          <w:noProof/>
          <w:szCs w:val="24"/>
          <w:lang w:eastAsia="en-GB"/>
        </w:rPr>
        <w:t xml:space="preserve">Finally, </w:t>
      </w:r>
      <w:r>
        <w:rPr>
          <w:noProof/>
          <w:color w:val="000000"/>
          <w:szCs w:val="24"/>
          <w:lang w:eastAsia="en-GB"/>
        </w:rPr>
        <w:t xml:space="preserve">policy option 2d would be particularly beneficial for SMEs since it would allow them to expand their customer base and render their direct marketing more efficient. It is difficult though to predict whether these immediate benefits would be maintained in the longer term. If the burden to provide their consent for sharing emails is judged as too heavy by consumers, they could reduce the purchases made through online intermediation thus essentially circumventing the platform, which could impact the platform ecosystem and create possible disincentives for platform innovation. The question is then whether the increase in sales made through their own websites or offline would outweigh potential negative effects which option 2d may entail for platform economy's dynamics such as reduced market and innovation opportunities created by a healthy platform ecosystem. </w:t>
      </w:r>
    </w:p>
    <w:p>
      <w:pPr>
        <w:autoSpaceDE w:val="0"/>
        <w:autoSpaceDN w:val="0"/>
        <w:adjustRightInd w:val="0"/>
        <w:spacing w:after="0"/>
        <w:rPr>
          <w:noProof/>
          <w:color w:val="000000"/>
          <w:szCs w:val="24"/>
          <w:lang w:eastAsia="en-GB"/>
        </w:rPr>
      </w:pPr>
      <w:bookmarkStart w:id="3540" w:name="_Toc500259931"/>
      <w:bookmarkStart w:id="3541" w:name="_Toc500260967"/>
      <w:bookmarkStart w:id="3542" w:name="_Toc500261350"/>
      <w:bookmarkStart w:id="3543" w:name="_Toc500261632"/>
      <w:bookmarkStart w:id="3544" w:name="_Toc500262974"/>
      <w:bookmarkStart w:id="3545" w:name="_Toc500263425"/>
      <w:bookmarkStart w:id="3546" w:name="_Toc500263876"/>
      <w:bookmarkStart w:id="3547" w:name="_Toc500264225"/>
      <w:bookmarkStart w:id="3548" w:name="_Toc500264672"/>
      <w:bookmarkStart w:id="3549" w:name="_Toc500262542"/>
      <w:bookmarkStart w:id="3550" w:name="_Toc500265286"/>
      <w:bookmarkStart w:id="3551" w:name="_Toc500265737"/>
      <w:bookmarkStart w:id="3552" w:name="_Toc500266188"/>
      <w:bookmarkStart w:id="3553" w:name="_Toc500266639"/>
      <w:bookmarkStart w:id="3554" w:name="_Toc500267082"/>
      <w:bookmarkStart w:id="3555" w:name="_Toc500262465"/>
      <w:bookmarkStart w:id="3556" w:name="_Toc500265708"/>
      <w:bookmarkStart w:id="3557" w:name="_Toc500268005"/>
      <w:bookmarkStart w:id="3558" w:name="_Toc500268458"/>
      <w:bookmarkStart w:id="3559" w:name="_Toc500267502"/>
      <w:bookmarkStart w:id="3560" w:name="_Toc500268911"/>
      <w:bookmarkStart w:id="3561" w:name="_Toc500269340"/>
      <w:bookmarkStart w:id="3562" w:name="_Toc500268857"/>
      <w:bookmarkStart w:id="3563" w:name="_Toc500270022"/>
      <w:bookmarkStart w:id="3564" w:name="_Toc500270905"/>
      <w:bookmarkStart w:id="3565" w:name="_Toc500262383"/>
      <w:bookmarkStart w:id="3566" w:name="_Toc500272648"/>
      <w:bookmarkStart w:id="3567" w:name="_Toc500273101"/>
      <w:bookmarkStart w:id="3568" w:name="_Toc500273554"/>
      <w:bookmarkStart w:id="3569" w:name="_Toc500272955"/>
      <w:bookmarkStart w:id="3570" w:name="_Toc500274192"/>
      <w:bookmarkStart w:id="3571" w:name="_Toc500274620"/>
      <w:bookmarkStart w:id="3572" w:name="_Toc500275072"/>
      <w:bookmarkStart w:id="3573" w:name="_Toc500275524"/>
      <w:bookmarkStart w:id="3574" w:name="_Toc500270155"/>
      <w:bookmarkStart w:id="3575" w:name="_Toc500275968"/>
      <w:bookmarkStart w:id="3576" w:name="_Toc500276421"/>
      <w:bookmarkStart w:id="3577" w:name="_Toc500276874"/>
      <w:bookmarkStart w:id="3578" w:name="_Toc500274890"/>
      <w:bookmarkStart w:id="3579" w:name="_Toc500272658"/>
      <w:bookmarkStart w:id="3580" w:name="_Toc500277736"/>
      <w:bookmarkStart w:id="3581" w:name="_Toc500278165"/>
      <w:bookmarkStart w:id="3582" w:name="_Toc500275250"/>
      <w:bookmarkStart w:id="3583" w:name="_Toc500278619"/>
      <w:bookmarkStart w:id="3584" w:name="_Toc500277288"/>
      <w:bookmarkStart w:id="3585" w:name="_Toc500279118"/>
      <w:bookmarkStart w:id="3586" w:name="_Toc500279560"/>
      <w:bookmarkStart w:id="3587" w:name="_Toc500276461"/>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p>
    <w:p>
      <w:pPr>
        <w:pStyle w:val="Heading2"/>
        <w:rPr>
          <w:noProof/>
        </w:rPr>
      </w:pPr>
      <w:bookmarkStart w:id="3588" w:name="_Toc500280256"/>
      <w:bookmarkStart w:id="3589" w:name="_Toc500280710"/>
      <w:bookmarkStart w:id="3590" w:name="_Toc500281149"/>
      <w:bookmarkStart w:id="3591" w:name="_Toc500281603"/>
      <w:bookmarkStart w:id="3592" w:name="_Toc500282057"/>
      <w:bookmarkStart w:id="3593" w:name="_Toc500282400"/>
      <w:bookmarkStart w:id="3594" w:name="_Toc500276896"/>
      <w:bookmarkStart w:id="3595" w:name="_Toc500281003"/>
      <w:bookmarkStart w:id="3596" w:name="_Toc500282851"/>
      <w:bookmarkStart w:id="3597" w:name="_Toc500282952"/>
      <w:bookmarkStart w:id="3598" w:name="_Toc501369748"/>
      <w:bookmarkStart w:id="3599" w:name="_Toc502910423"/>
      <w:bookmarkStart w:id="3600" w:name="_Toc501369750"/>
      <w:bookmarkStart w:id="3601" w:name="_Toc502910425"/>
      <w:bookmarkStart w:id="3602" w:name="_Toc501369755"/>
      <w:bookmarkStart w:id="3603" w:name="_Toc502910430"/>
      <w:bookmarkStart w:id="3604" w:name="_Toc501369758"/>
      <w:bookmarkStart w:id="3605" w:name="_Toc502910433"/>
      <w:bookmarkStart w:id="3606" w:name="_Toc500282854"/>
      <w:bookmarkStart w:id="3607" w:name="_Toc500197194"/>
      <w:bookmarkStart w:id="3608" w:name="_Toc500241351"/>
      <w:bookmarkStart w:id="3609" w:name="_Toc500247042"/>
      <w:bookmarkStart w:id="3610" w:name="_Toc500242212"/>
      <w:bookmarkStart w:id="3611" w:name="_Toc500249934"/>
      <w:bookmarkStart w:id="3612" w:name="_Toc500249261"/>
      <w:bookmarkStart w:id="3613" w:name="_Toc500252935"/>
      <w:bookmarkStart w:id="3614" w:name="_Toc500255619"/>
      <w:bookmarkStart w:id="3615" w:name="_Toc500257392"/>
      <w:bookmarkStart w:id="3616" w:name="_Toc500257836"/>
      <w:bookmarkStart w:id="3617" w:name="_Toc500256820"/>
      <w:bookmarkStart w:id="3618" w:name="_Toc500258801"/>
      <w:bookmarkStart w:id="3619" w:name="_Toc500259756"/>
      <w:bookmarkStart w:id="3620" w:name="_Toc500262977"/>
      <w:bookmarkStart w:id="3621" w:name="_Toc500271358"/>
      <w:bookmarkStart w:id="3622" w:name="_Toc500271928"/>
      <w:bookmarkStart w:id="3623" w:name="_Toc500276424"/>
      <w:bookmarkStart w:id="3624" w:name="_Toc500272669"/>
      <w:bookmarkStart w:id="3625" w:name="_Toc500279122"/>
      <w:bookmarkStart w:id="3626" w:name="_Toc500280260"/>
      <w:bookmarkStart w:id="3627" w:name="_Toc500282061"/>
      <w:bookmarkStart w:id="3628" w:name="_Toc500281008"/>
      <w:bookmarkStart w:id="3629" w:name="_Toc500283424"/>
      <w:bookmarkStart w:id="3630" w:name="_Toc500282490"/>
      <w:bookmarkStart w:id="3631" w:name="_Toc505872650"/>
      <w:bookmarkStart w:id="3632" w:name="_Toc505873377"/>
      <w:bookmarkStart w:id="3633" w:name="_Toc507428483"/>
      <w:bookmarkStart w:id="3634" w:name="_Toc505350066"/>
      <w:bookmarkStart w:id="3635" w:name="_Toc505352123"/>
      <w:bookmarkStart w:id="3636" w:name="_Toc505352445"/>
      <w:bookmarkStart w:id="3637" w:name="_Toc505353050"/>
      <w:bookmarkStart w:id="3638" w:name="_Toc505356011"/>
      <w:bookmarkStart w:id="3639" w:name="_Toc505620774"/>
      <w:bookmarkStart w:id="3640" w:name="_Toc507428913"/>
      <w:bookmarkStart w:id="3641" w:name="_Toc507793746"/>
      <w:bookmarkStart w:id="3642" w:name="_Toc508297465"/>
      <w:bookmarkStart w:id="3643" w:name="_Toc508350227"/>
      <w:bookmarkStart w:id="3644" w:name="_Toc508351664"/>
      <w:bookmarkStart w:id="3645" w:name="_Toc508360078"/>
      <w:bookmarkStart w:id="3646" w:name="_Toc511220573"/>
      <w:bookmarkStart w:id="3647" w:name="_Toc511235018"/>
      <w:bookmarkStart w:id="3648" w:name="_Toc511292931"/>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r>
        <w:rPr>
          <w:noProof/>
        </w:rPr>
        <w:t>Impact on public authorities</w:t>
      </w:r>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p>
    <w:p>
      <w:pPr>
        <w:tabs>
          <w:tab w:val="left" w:pos="2302"/>
        </w:tabs>
        <w:rPr>
          <w:noProof/>
        </w:rPr>
      </w:pPr>
      <w:r>
        <w:rPr>
          <w:b/>
          <w:noProof/>
          <w:lang w:eastAsia="en-GB"/>
        </w:rPr>
        <w:t>National authorities</w:t>
      </w:r>
      <w:r>
        <w:rPr>
          <w:noProof/>
          <w:lang w:eastAsia="en-GB"/>
        </w:rPr>
        <w:t xml:space="preserve"> will not be directly impacted by any of the co-regulatory options. Over time, </w:t>
      </w:r>
      <w:r>
        <w:rPr>
          <w:noProof/>
        </w:rPr>
        <w:t xml:space="preserve">the obligation on platforms to list national mediators in their terms and conditions and to engage with them in good faith might lead to more P2B cases being brought before such mediators. Mediation is however a private activity which will not impact public authorities. Member States will moreover not be required to adapt their existing certification schemes for mediators; those that already have such schemes in place will simply provide this existing service also for any new mediators that may enter the specialised area of P2B relations. </w:t>
      </w:r>
    </w:p>
    <w:p>
      <w:pPr>
        <w:tabs>
          <w:tab w:val="left" w:pos="2302"/>
        </w:tabs>
        <w:rPr>
          <w:noProof/>
        </w:rPr>
      </w:pPr>
      <w:r>
        <w:rPr>
          <w:noProof/>
        </w:rPr>
        <w:t>Any possible burden on national court systems is also expected to remain limited as a result of the layered design of the legal redress provisions. All co-regulatory options rely on out-of-court, alternative dispute settlement mechanisms to solve substantive issues arising between business users and online platforms. The legal provision granting standing to business associations is a tool to encourage online platforms to actually engage in these out-of-court mechanisms to effectively resolve disputes without having to resort to national courts. In Member States, the mere threat of possible collective interest litigation is a sufficient deterrent to encourage industry compliance with obligations.</w:t>
      </w:r>
      <w:r>
        <w:rPr>
          <w:noProof/>
          <w:vertAlign w:val="superscript"/>
        </w:rPr>
        <w:footnoteReference w:id="210"/>
      </w:r>
      <w:r>
        <w:rPr>
          <w:noProof/>
        </w:rPr>
        <w:t xml:space="preserve"> It will not be possible for these associations, as representatives of the business users, to rely on the foreseen legal instrument to instigate court cases concerning substantive issues relevant to individual business users. Rather such cases shall be limited to the prevention or termination of non-compliance with the obligations in the foreseen legal instrument, which will be limited to those that do not make the necessary adaptations.</w:t>
      </w:r>
    </w:p>
    <w:p>
      <w:pPr>
        <w:tabs>
          <w:tab w:val="left" w:pos="2302"/>
        </w:tabs>
        <w:rPr>
          <w:noProof/>
          <w:lang w:eastAsia="en-GB"/>
        </w:rPr>
      </w:pPr>
      <w:r>
        <w:rPr>
          <w:noProof/>
          <w:lang w:eastAsia="en-GB"/>
        </w:rPr>
        <w:t xml:space="preserve">The </w:t>
      </w:r>
      <w:r>
        <w:rPr>
          <w:b/>
          <w:noProof/>
          <w:lang w:eastAsia="en-GB"/>
        </w:rPr>
        <w:t>European Commission</w:t>
      </w:r>
      <w:r>
        <w:rPr>
          <w:noProof/>
          <w:lang w:eastAsia="en-GB"/>
        </w:rPr>
        <w:t xml:space="preserve"> will be responsible for creating and supporting an </w:t>
      </w:r>
      <w:r>
        <w:rPr>
          <w:b/>
          <w:noProof/>
          <w:lang w:eastAsia="en-GB"/>
        </w:rPr>
        <w:t>EU Observatory</w:t>
      </w:r>
      <w:r>
        <w:rPr>
          <w:noProof/>
          <w:lang w:eastAsia="en-GB"/>
        </w:rPr>
        <w:t xml:space="preserve">. The costs will include in addition an online interface for business users, which will inform the work of the </w:t>
      </w:r>
      <w:r>
        <w:rPr>
          <w:b/>
          <w:noProof/>
          <w:lang w:eastAsia="en-GB"/>
        </w:rPr>
        <w:t xml:space="preserve">EU Observatory </w:t>
      </w:r>
      <w:r>
        <w:rPr>
          <w:noProof/>
          <w:lang w:eastAsia="en-GB"/>
        </w:rPr>
        <w:t xml:space="preserve">by measuring statistics on areas of potential friction in P2B relations. Other relevant costs to be borne by the European Commission would include the development of the portal and its operation. Setting up such a portal would be linked to one-off costs for the European Commission reaching up to €1,000,000. </w:t>
      </w:r>
    </w:p>
    <w:p>
      <w:pPr>
        <w:tabs>
          <w:tab w:val="left" w:pos="2302"/>
        </w:tabs>
        <w:rPr>
          <w:noProof/>
          <w:lang w:eastAsia="en-GB"/>
        </w:rPr>
      </w:pPr>
      <w:r>
        <w:rPr>
          <w:noProof/>
          <w:lang w:eastAsia="en-GB"/>
        </w:rPr>
        <w:t>The running costs of the portal would include costs for hosting the platform, maintenance, translations and a possible helpdesk manned by a dedicated support team. A first estimate based on the running costs of the Your Europe portal of the running costs of the web-based system would be €1.5 million/year, staffing costs included</w:t>
      </w:r>
      <w:r>
        <w:rPr>
          <w:noProof/>
          <w:vertAlign w:val="superscript"/>
          <w:lang w:eastAsia="en-GB"/>
        </w:rPr>
        <w:footnoteReference w:id="211"/>
      </w:r>
      <w:r>
        <w:rPr>
          <w:noProof/>
          <w:lang w:eastAsia="en-GB"/>
        </w:rPr>
        <w:t xml:space="preserve">. However, the Your Europe portal handles 17 million requests per year. The number of requests handled by the online portal foreseen as part of the present initiative is likely to be lower, thus limiting its running costs, and its functionalities would be more basic, as the portal should only collect input from business users and offer them relevant information at a general level. If fewer than a million complaints are submitted to the platform every year (i.e. less than a tenth of those handled by the Your Europe portal), the running costs of the platform which the European Commission would cover, could therefore be estimated to around 10% of those of the Your Europe platform, i.e. € 150,000 per year. This estimate indeed seems reasonable given that this Internet portal is merely meant to produce statistics on the number of issues raised, as well as on their topics. Otherwise, it will provide only general information to business users. As it will also be made explicit that no follow-up will be given to individual complaints, the cost of even a large number of complaints is expected to have only a limited impact on the running costs of the portal.  </w:t>
      </w:r>
    </w:p>
    <w:p>
      <w:pPr>
        <w:pStyle w:val="Heading2"/>
        <w:rPr>
          <w:noProof/>
          <w:lang w:eastAsia="en-GB"/>
        </w:rPr>
      </w:pPr>
      <w:bookmarkStart w:id="3649" w:name="_Toc500282858"/>
      <w:bookmarkStart w:id="3650" w:name="_Toc500175460"/>
      <w:bookmarkStart w:id="3651" w:name="_Toc500177911"/>
      <w:bookmarkStart w:id="3652" w:name="_Toc500178928"/>
      <w:bookmarkStart w:id="3653" w:name="_Toc500181612"/>
      <w:bookmarkStart w:id="3654" w:name="_Toc500182070"/>
      <w:bookmarkStart w:id="3655" w:name="_Toc500182828"/>
      <w:bookmarkStart w:id="3656" w:name="_Toc500183981"/>
      <w:bookmarkStart w:id="3657" w:name="_Toc500187184"/>
      <w:bookmarkStart w:id="3658" w:name="_Toc500190638"/>
      <w:bookmarkStart w:id="3659" w:name="_Toc500193665"/>
      <w:bookmarkStart w:id="3660" w:name="_Toc500196107"/>
      <w:bookmarkStart w:id="3661" w:name="_Toc500197199"/>
      <w:bookmarkStart w:id="3662" w:name="_Toc500241356"/>
      <w:bookmarkStart w:id="3663" w:name="_Toc500238702"/>
      <w:bookmarkStart w:id="3664" w:name="_Toc500247047"/>
      <w:bookmarkStart w:id="3665" w:name="_Toc500242224"/>
      <w:bookmarkStart w:id="3666" w:name="_Toc500252940"/>
      <w:bookmarkStart w:id="3667" w:name="_Toc500255624"/>
      <w:bookmarkStart w:id="3668" w:name="_Toc500257397"/>
      <w:bookmarkStart w:id="3669" w:name="_Toc500257841"/>
      <w:bookmarkStart w:id="3670" w:name="_Toc500256825"/>
      <w:bookmarkStart w:id="3671" w:name="_Toc500258806"/>
      <w:bookmarkStart w:id="3672" w:name="_Toc500260089"/>
      <w:bookmarkStart w:id="3673" w:name="_Toc500261356"/>
      <w:bookmarkStart w:id="3674" w:name="_Toc500262982"/>
      <w:bookmarkStart w:id="3675" w:name="_Toc500271363"/>
      <w:bookmarkStart w:id="3676" w:name="_Toc500271933"/>
      <w:bookmarkStart w:id="3677" w:name="_Toc500272674"/>
      <w:bookmarkStart w:id="3678" w:name="_Toc500277742"/>
      <w:bookmarkStart w:id="3679" w:name="_Toc500279127"/>
      <w:bookmarkStart w:id="3680" w:name="_Toc500280265"/>
      <w:bookmarkStart w:id="3681" w:name="_Toc500282066"/>
      <w:bookmarkStart w:id="3682" w:name="_Toc500281016"/>
      <w:bookmarkStart w:id="3683" w:name="_Toc500283426"/>
      <w:bookmarkStart w:id="3684" w:name="_Toc500282492"/>
      <w:bookmarkStart w:id="3685" w:name="_Toc505350067"/>
      <w:bookmarkStart w:id="3686" w:name="_Toc505352124"/>
      <w:bookmarkStart w:id="3687" w:name="_Toc505352446"/>
      <w:bookmarkStart w:id="3688" w:name="_Toc505353051"/>
      <w:bookmarkStart w:id="3689" w:name="_Toc505356012"/>
      <w:bookmarkStart w:id="3690" w:name="_Toc505620775"/>
      <w:bookmarkStart w:id="3691" w:name="_Toc505872651"/>
      <w:bookmarkStart w:id="3692" w:name="_Toc505873378"/>
      <w:bookmarkStart w:id="3693" w:name="_Toc507428484"/>
      <w:bookmarkStart w:id="3694" w:name="_Toc507428914"/>
      <w:bookmarkStart w:id="3695" w:name="_Toc507793747"/>
      <w:bookmarkStart w:id="3696" w:name="_Toc508297466"/>
      <w:bookmarkStart w:id="3697" w:name="_Toc508350228"/>
      <w:bookmarkStart w:id="3698" w:name="_Toc508351665"/>
      <w:bookmarkStart w:id="3699" w:name="_Toc508360079"/>
      <w:bookmarkStart w:id="3700" w:name="_Toc511220574"/>
      <w:bookmarkStart w:id="3701" w:name="_Toc511235019"/>
      <w:bookmarkStart w:id="3702" w:name="_Toc511292932"/>
      <w:bookmarkEnd w:id="3649"/>
      <w:r>
        <w:rPr>
          <w:noProof/>
          <w:lang w:eastAsia="en-GB"/>
        </w:rPr>
        <w:t>Impact on innovation, competitiveness, competition</w:t>
      </w:r>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p>
    <w:p>
      <w:pPr>
        <w:pStyle w:val="Heading3"/>
        <w:rPr>
          <w:noProof/>
        </w:rPr>
      </w:pPr>
      <w:bookmarkStart w:id="3703" w:name="_Toc500197200"/>
      <w:bookmarkStart w:id="3704" w:name="_Toc500241357"/>
      <w:bookmarkStart w:id="3705" w:name="_Toc500247048"/>
      <w:bookmarkStart w:id="3706" w:name="_Toc500242227"/>
      <w:bookmarkStart w:id="3707" w:name="_Toc500249940"/>
      <w:bookmarkStart w:id="3708" w:name="_Toc500252941"/>
      <w:bookmarkStart w:id="3709" w:name="_Toc500255625"/>
      <w:bookmarkStart w:id="3710" w:name="_Toc500257398"/>
      <w:bookmarkStart w:id="3711" w:name="_Toc500257842"/>
      <w:bookmarkStart w:id="3712" w:name="_Toc500256826"/>
      <w:bookmarkStart w:id="3713" w:name="_Toc500258807"/>
      <w:bookmarkStart w:id="3714" w:name="_Toc500260090"/>
      <w:bookmarkStart w:id="3715" w:name="_Toc500262983"/>
      <w:bookmarkStart w:id="3716" w:name="_Toc500271364"/>
      <w:bookmarkStart w:id="3717" w:name="_Toc500271934"/>
      <w:bookmarkStart w:id="3718" w:name="_Toc500272676"/>
      <w:bookmarkStart w:id="3719" w:name="_Toc500279128"/>
      <w:bookmarkStart w:id="3720" w:name="_Toc500280266"/>
      <w:bookmarkStart w:id="3721" w:name="_Toc500282067"/>
      <w:bookmarkStart w:id="3722" w:name="_Toc500281017"/>
      <w:bookmarkStart w:id="3723" w:name="_Toc500283427"/>
      <w:bookmarkStart w:id="3724" w:name="_Toc500282493"/>
      <w:bookmarkStart w:id="3725" w:name="_Toc505350068"/>
      <w:bookmarkStart w:id="3726" w:name="_Toc505352125"/>
      <w:bookmarkStart w:id="3727" w:name="_Toc505352447"/>
      <w:bookmarkStart w:id="3728" w:name="_Toc505353052"/>
      <w:bookmarkStart w:id="3729" w:name="_Toc505356013"/>
      <w:bookmarkStart w:id="3730" w:name="_Toc505620776"/>
      <w:bookmarkStart w:id="3731" w:name="_Toc505872652"/>
      <w:bookmarkStart w:id="3732" w:name="_Toc507428485"/>
      <w:bookmarkStart w:id="3733" w:name="_Toc507428915"/>
      <w:bookmarkStart w:id="3734" w:name="_Toc507793748"/>
      <w:bookmarkStart w:id="3735" w:name="_Toc508297467"/>
      <w:bookmarkStart w:id="3736" w:name="_Toc508350229"/>
      <w:bookmarkStart w:id="3737" w:name="_Toc508351666"/>
      <w:bookmarkStart w:id="3738" w:name="_Toc508360080"/>
      <w:bookmarkStart w:id="3739" w:name="_Toc511220575"/>
      <w:bookmarkStart w:id="3740" w:name="_Toc511235020"/>
      <w:bookmarkStart w:id="3741" w:name="_Toc511292933"/>
      <w:r>
        <w:rPr>
          <w:noProof/>
        </w:rPr>
        <w:t>Innovation</w:t>
      </w:r>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r>
        <w:rPr>
          <w:noProof/>
        </w:rPr>
        <w:t xml:space="preserve"> </w:t>
      </w:r>
    </w:p>
    <w:p>
      <w:pPr>
        <w:autoSpaceDE w:val="0"/>
        <w:autoSpaceDN w:val="0"/>
        <w:adjustRightInd w:val="0"/>
        <w:spacing w:after="0"/>
        <w:rPr>
          <w:noProof/>
          <w:color w:val="000000"/>
          <w:szCs w:val="24"/>
          <w:lang w:eastAsia="en-GB"/>
        </w:rPr>
      </w:pPr>
      <w:r>
        <w:rPr>
          <w:noProof/>
          <w:color w:val="000000"/>
          <w:szCs w:val="24"/>
          <w:lang w:eastAsia="en-GB"/>
        </w:rPr>
        <w:t xml:space="preserve">As stated in Section 2.3.5, online platforms are important drivers and enablers of </w:t>
      </w:r>
      <w:r>
        <w:rPr>
          <w:b/>
          <w:i/>
          <w:noProof/>
          <w:color w:val="000000"/>
          <w:szCs w:val="24"/>
          <w:lang w:eastAsia="en-GB"/>
        </w:rPr>
        <w:t>innovation</w:t>
      </w:r>
      <w:r>
        <w:rPr>
          <w:noProof/>
          <w:color w:val="000000"/>
          <w:szCs w:val="24"/>
          <w:vertAlign w:val="superscript"/>
          <w:lang w:eastAsia="en-GB"/>
        </w:rPr>
        <w:footnoteReference w:id="212"/>
      </w:r>
      <w:r>
        <w:rPr>
          <w:noProof/>
          <w:color w:val="000000"/>
          <w:szCs w:val="24"/>
          <w:lang w:eastAsia="en-GB"/>
        </w:rPr>
        <w:t xml:space="preserve">, thus contributing to digital transformation of the economy and enhancing businesses' </w:t>
      </w:r>
      <w:r>
        <w:rPr>
          <w:b/>
          <w:i/>
          <w:noProof/>
          <w:color w:val="000000"/>
          <w:szCs w:val="24"/>
          <w:lang w:eastAsia="en-GB"/>
        </w:rPr>
        <w:t>competitiveness</w:t>
      </w:r>
      <w:r>
        <w:rPr>
          <w:noProof/>
          <w:color w:val="000000"/>
          <w:szCs w:val="24"/>
          <w:lang w:eastAsia="en-GB"/>
        </w:rPr>
        <w:t>. Business users, in turn, are important innovators, using the innovation-enabling software "building blocks" and market access provided to them by online platforms. The millions of sellers active on e-commerce market places for example provide constant feedback to online platform operators on logistical, software and commercial problems encountered and on possible innovative ways to address them. App developers provide a constantly improving richness of content that no single platform could have imagined or engineered.</w:t>
      </w:r>
      <w:r>
        <w:rPr>
          <w:noProof/>
          <w:color w:val="000000"/>
          <w:szCs w:val="24"/>
          <w:vertAlign w:val="superscript"/>
          <w:lang w:eastAsia="en-GB"/>
        </w:rPr>
        <w:footnoteReference w:id="213"/>
      </w:r>
      <w:r>
        <w:rPr>
          <w:noProof/>
          <w:color w:val="000000"/>
          <w:szCs w:val="24"/>
          <w:lang w:eastAsia="en-GB"/>
        </w:rPr>
        <w:t xml:space="preserve"> Research indeed confirms this key role played by communities, networks and user involvement in software innovation.</w:t>
      </w:r>
      <w:r>
        <w:rPr>
          <w:noProof/>
          <w:color w:val="000000"/>
          <w:szCs w:val="24"/>
          <w:vertAlign w:val="superscript"/>
          <w:lang w:eastAsia="en-GB"/>
        </w:rPr>
        <w:footnoteReference w:id="214"/>
      </w:r>
      <w:r>
        <w:rPr>
          <w:noProof/>
          <w:color w:val="000000"/>
          <w:szCs w:val="24"/>
          <w:lang w:eastAsia="en-GB"/>
        </w:rPr>
        <w:t xml:space="preserve"> All co-regulatory options that aim at releasing the full potential of the online platform economy can thus positively impact innovation both on the side of the platforms and of the business users.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Regulatory action on P2B relations could hamper the innovation capacity of online platform ecosystems only if it were too interventionist, as it would divert resources from innovation activities to regulatory compliance activities. The measures to be proposed are however proportionate and do not interfere with platforms' business models. The coherence with innovation is indeed also a specific criterion against which each content option has been checked (see table in Annex 10). Conversely, the impact in terms of innovation on the side of business users can be similarly expected to be positive, as business users trading via platforms can benefit from a more predictable and contestable business environment, and focus even more on product and service improvements and innovation.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The proportionate nature of the measures proposed under any of the policy options 2a, 2b and 2c should accordingly prevent any negative impact on innovation. At the same time, all of these policy options aim to help prevent further fragmentation of the Digital Single Market, and to enhance transparency around a selected number of high-impact trading practices. Given the relatively wide scope of the legal transparency obligation under policy options 2b and 2c, these options may help improve the functioning of markets and facilitate the scaling-up possibilities for new online platforms. This should help prevent that, going forward, a limited number of exceedingly large, established providers of online platforms limit their own investment in innovation, as well as the capacity to innovate of their business users – through the latter's significant innovation-dependency on the platforms' software building blocks.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Different from 2a, 2b and 2c, policy option 2d may have a negative impact on innovation, as data lies at the centre of platforms' business models. The measure concerning the release of certain types of personal data under option 2d may interfere with platforms' ability to develop new data-driven services and products. Platforms, in particular start-up or smaller platforms are also dependent on building their customer base to scale up. As platforms facilitate the contacts with customers by intermediation, subsequent direct contacts with the business users after the first intermediation bypassing the platforms are clearly detrimental to their business models. Such an obligation may require adjustments of platforms' business strategies and could constrain their capacity to innovate. In addition, direct contacts with clients that have already used a platform are in many cases possible, e.g. for hotel owners that have a direct contact with the customers, regardless of the manner in which the room was reserved. As a result, option 2d, while facilitating enterprises' scaling-up possibilities, could constrain platforms' innovation capacity.</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On the contrary, policy options 2a, 2b and 2ce are all expected to lead to further growth of turnover for platforms and businesses as compared to the baseline, and hence of market players' capacity to invest in innovation. This could be expected especially in the long term, when increased business users' trust and the resulting network effects would materialise in the form of greater turnover from commission payments (see Section 6.2.2). Voluntary action on data sharing similarly can accelerate data-driven innovation in the online economy. While increased turnover does not necessarily translate into investments in innovation, the platform economy is innovation-driven and online platforms invest massively in R&amp;D</w:t>
      </w:r>
      <w:r>
        <w:rPr>
          <w:noProof/>
          <w:color w:val="000000"/>
          <w:szCs w:val="24"/>
          <w:vertAlign w:val="superscript"/>
          <w:lang w:eastAsia="en-GB"/>
        </w:rPr>
        <w:footnoteReference w:id="215"/>
      </w:r>
      <w:r>
        <w:rPr>
          <w:noProof/>
          <w:color w:val="000000"/>
          <w:szCs w:val="24"/>
          <w:lang w:eastAsia="en-GB"/>
        </w:rPr>
        <w:t xml:space="preserve">. It is hence legitimate to expect an increase in platforms' innovation expenses in case of economic growth. </w:t>
      </w:r>
    </w:p>
    <w:p>
      <w:pPr>
        <w:autoSpaceDE w:val="0"/>
        <w:autoSpaceDN w:val="0"/>
        <w:adjustRightInd w:val="0"/>
        <w:spacing w:after="0"/>
        <w:rPr>
          <w:noProof/>
          <w:color w:val="000000"/>
          <w:szCs w:val="24"/>
          <w:lang w:eastAsia="en-GB"/>
        </w:rPr>
      </w:pPr>
    </w:p>
    <w:p>
      <w:pPr>
        <w:pStyle w:val="Heading3"/>
        <w:rPr>
          <w:noProof/>
        </w:rPr>
      </w:pPr>
      <w:bookmarkStart w:id="3742" w:name="_Toc500197201"/>
      <w:bookmarkStart w:id="3743" w:name="_Toc500241358"/>
      <w:bookmarkStart w:id="3744" w:name="_Toc500247049"/>
      <w:bookmarkStart w:id="3745" w:name="_Toc500242232"/>
      <w:bookmarkStart w:id="3746" w:name="_Toc500249941"/>
      <w:bookmarkStart w:id="3747" w:name="_Toc500252942"/>
      <w:bookmarkStart w:id="3748" w:name="_Toc500255626"/>
      <w:bookmarkStart w:id="3749" w:name="_Toc500257399"/>
      <w:bookmarkStart w:id="3750" w:name="_Toc500257843"/>
      <w:bookmarkStart w:id="3751" w:name="_Toc500256833"/>
      <w:bookmarkStart w:id="3752" w:name="_Toc500258808"/>
      <w:bookmarkStart w:id="3753" w:name="_Toc500260091"/>
      <w:bookmarkStart w:id="3754" w:name="_Toc500262984"/>
      <w:bookmarkStart w:id="3755" w:name="_Toc500271365"/>
      <w:bookmarkStart w:id="3756" w:name="_Toc500271935"/>
      <w:bookmarkStart w:id="3757" w:name="_Toc500272679"/>
      <w:bookmarkStart w:id="3758" w:name="_Toc500279129"/>
      <w:bookmarkStart w:id="3759" w:name="_Toc500280267"/>
      <w:bookmarkStart w:id="3760" w:name="_Toc500282068"/>
      <w:bookmarkStart w:id="3761" w:name="_Toc500281018"/>
      <w:bookmarkStart w:id="3762" w:name="_Toc500283428"/>
      <w:bookmarkStart w:id="3763" w:name="_Toc500282494"/>
      <w:bookmarkStart w:id="3764" w:name="_Toc505350069"/>
      <w:bookmarkStart w:id="3765" w:name="_Toc505352126"/>
      <w:bookmarkStart w:id="3766" w:name="_Toc505352448"/>
      <w:bookmarkStart w:id="3767" w:name="_Toc505353053"/>
      <w:bookmarkStart w:id="3768" w:name="_Toc505356014"/>
      <w:bookmarkStart w:id="3769" w:name="_Toc505620777"/>
      <w:bookmarkStart w:id="3770" w:name="_Toc505872653"/>
      <w:bookmarkStart w:id="3771" w:name="_Toc507428486"/>
      <w:bookmarkStart w:id="3772" w:name="_Toc507428916"/>
      <w:bookmarkStart w:id="3773" w:name="_Toc507793749"/>
      <w:bookmarkStart w:id="3774" w:name="_Toc508297468"/>
      <w:bookmarkStart w:id="3775" w:name="_Toc508350230"/>
      <w:bookmarkStart w:id="3776" w:name="_Toc508351667"/>
      <w:bookmarkStart w:id="3777" w:name="_Toc508360081"/>
      <w:bookmarkStart w:id="3778" w:name="_Toc511220576"/>
      <w:bookmarkStart w:id="3779" w:name="_Toc511235021"/>
      <w:bookmarkStart w:id="3780" w:name="_Toc511292934"/>
      <w:r>
        <w:rPr>
          <w:noProof/>
        </w:rPr>
        <w:t>Competitiveness</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p>
    <w:p>
      <w:pPr>
        <w:rPr>
          <w:noProof/>
        </w:rPr>
      </w:pPr>
      <w:r>
        <w:rPr>
          <w:noProof/>
        </w:rPr>
        <w:t xml:space="preserve">In terms of competitiveness, EU-based online platforms will not be undermined by the proposed measures, irrespective of the policy option chosen. </w:t>
      </w:r>
    </w:p>
    <w:p>
      <w:pPr>
        <w:rPr>
          <w:noProof/>
        </w:rPr>
      </w:pPr>
      <w:r>
        <w:rPr>
          <w:noProof/>
        </w:rPr>
        <w:t>Option 2a is expected to contribute to the growth of sales and will therefore create revenues for innovation which is an important competitiveness parameter. However, the relatively more limited scope of the legal transparency obligations can undermine some of the trust-building effect of the intervention foreseen under policy options 2b, 2c and 2d, and thereby limit the positive impact on innovation.</w:t>
      </w:r>
    </w:p>
    <w:p>
      <w:pPr>
        <w:rPr>
          <w:noProof/>
        </w:rPr>
      </w:pPr>
      <w:r>
        <w:rPr>
          <w:noProof/>
        </w:rPr>
        <w:t>Notwithstanding their broader scope, policy options 2b and 2c are light-touch and do not imply significant costs for online platforms. Also, since all platforms intermediating between EU-based business users and consumers will have to comply with the measure, any risk of European platforms being undercut by platforms not complying with the proposed measure is minimal. Rather than driving operators of online platforms out of Europe, the proposed measure is estimated to increase trust and lead to an increase in the number of businesses present on online platforms.</w:t>
      </w:r>
    </w:p>
    <w:p>
      <w:pPr>
        <w:autoSpaceDE w:val="0"/>
        <w:autoSpaceDN w:val="0"/>
        <w:adjustRightInd w:val="0"/>
        <w:spacing w:after="0"/>
        <w:rPr>
          <w:noProof/>
          <w:color w:val="000000"/>
          <w:szCs w:val="24"/>
          <w:lang w:eastAsia="en-GB"/>
        </w:rPr>
      </w:pPr>
      <w:r>
        <w:rPr>
          <w:noProof/>
          <w:color w:val="000000"/>
          <w:szCs w:val="24"/>
          <w:lang w:eastAsia="en-GB"/>
        </w:rPr>
        <w:t xml:space="preserve">The platform ecosystem is also expected to become more </w:t>
      </w:r>
      <w:r>
        <w:rPr>
          <w:b/>
          <w:noProof/>
          <w:color w:val="000000"/>
          <w:szCs w:val="24"/>
          <w:lang w:eastAsia="en-GB"/>
        </w:rPr>
        <w:t>competitive</w:t>
      </w:r>
      <w:r>
        <w:rPr>
          <w:noProof/>
          <w:color w:val="000000"/>
          <w:szCs w:val="24"/>
          <w:lang w:eastAsia="en-GB"/>
        </w:rPr>
        <w:t xml:space="preserve"> as a result of this initiative aiming at greater predictability for the platform ecosystem. Policy options 2a, 2b and 2c will, although to a different extent, have a positive or neutral impact on the three components of competitiveness, as defined in the Better Regulation toolbox:</w:t>
      </w:r>
    </w:p>
    <w:p>
      <w:pPr>
        <w:autoSpaceDE w:val="0"/>
        <w:autoSpaceDN w:val="0"/>
        <w:adjustRightInd w:val="0"/>
        <w:spacing w:after="0"/>
        <w:rPr>
          <w:noProof/>
          <w:color w:val="000000"/>
          <w:szCs w:val="24"/>
          <w:lang w:eastAsia="en-GB"/>
        </w:rPr>
      </w:pPr>
    </w:p>
    <w:p>
      <w:pPr>
        <w:numPr>
          <w:ilvl w:val="0"/>
          <w:numId w:val="153"/>
        </w:numPr>
        <w:autoSpaceDE w:val="0"/>
        <w:autoSpaceDN w:val="0"/>
        <w:adjustRightInd w:val="0"/>
        <w:spacing w:after="0"/>
        <w:rPr>
          <w:noProof/>
          <w:color w:val="000000"/>
          <w:szCs w:val="24"/>
          <w:lang w:eastAsia="en-GB"/>
        </w:rPr>
      </w:pPr>
      <w:r>
        <w:rPr>
          <w:noProof/>
          <w:color w:val="000000"/>
          <w:szCs w:val="24"/>
          <w:lang w:eastAsia="en-GB"/>
        </w:rPr>
        <w:t>Price-competitiveness: it will generate some regulatory costs but these are expected to be limited, and mitigated through the threshold(s) exemptions. They are thus not expected to impact prices, especially given that costs would be offset by the growth of the platform economy.</w:t>
      </w:r>
    </w:p>
    <w:p>
      <w:pPr>
        <w:numPr>
          <w:ilvl w:val="0"/>
          <w:numId w:val="153"/>
        </w:numPr>
        <w:autoSpaceDE w:val="0"/>
        <w:autoSpaceDN w:val="0"/>
        <w:adjustRightInd w:val="0"/>
        <w:spacing w:after="0"/>
        <w:rPr>
          <w:noProof/>
          <w:color w:val="000000"/>
          <w:szCs w:val="24"/>
          <w:lang w:eastAsia="en-GB"/>
        </w:rPr>
      </w:pPr>
      <w:r>
        <w:rPr>
          <w:noProof/>
          <w:color w:val="000000"/>
          <w:szCs w:val="24"/>
          <w:lang w:eastAsia="en-GB"/>
        </w:rPr>
        <w:t>Innovation capacity: in all three scenarios 2a, 2b and 2c, platforms will be incentivised as compared to the baseline scenario to innovate in order to compete with small emerging platforms, and to develop better quality services and products. Option 2a would already imply innovation opportunities but they take longer to materialise given the limited scope of legal transparency. Option 2b would imply greater value added for business users and hence potentially higher innovation opportunities. Option 2c would theoretically extend those benefits to online general search engines. It is however uncertain to what extent greater insight in ranking policy would lead to increased online revenues for business users, and hence in possible R&amp;D investments. The positive impact on online general search engines would therefore also have to be estimated as limited, notwithstanding the large scale for improving user trust.</w:t>
      </w:r>
      <w:r>
        <w:rPr>
          <w:noProof/>
          <w:color w:val="000000"/>
          <w:szCs w:val="24"/>
          <w:vertAlign w:val="superscript"/>
          <w:lang w:eastAsia="en-GB"/>
        </w:rPr>
        <w:footnoteReference w:id="216"/>
      </w:r>
      <w:r>
        <w:rPr>
          <w:noProof/>
          <w:color w:val="000000"/>
          <w:szCs w:val="24"/>
          <w:lang w:eastAsia="en-GB"/>
        </w:rPr>
        <w:t xml:space="preserve"> It accordingly appears difficult to assess the value added of option 2c as compared to option 2b (for Section 7). It is therefore policy options 2b and 2c that are expected to contribute to the greatest extent to the growth of the platform economy, and therefore with more revenues to invest in R&amp;D&amp;I. Due to the increased trust and presence on platforms, business users would seize innovation opportunities offered by platforms and better embrace digital transformation.</w:t>
      </w:r>
    </w:p>
    <w:p>
      <w:pPr>
        <w:numPr>
          <w:ilvl w:val="0"/>
          <w:numId w:val="153"/>
        </w:numPr>
        <w:autoSpaceDE w:val="0"/>
        <w:autoSpaceDN w:val="0"/>
        <w:adjustRightInd w:val="0"/>
        <w:spacing w:after="0"/>
        <w:rPr>
          <w:noProof/>
          <w:color w:val="000000"/>
          <w:szCs w:val="24"/>
          <w:lang w:eastAsia="en-GB"/>
        </w:rPr>
      </w:pPr>
      <w:r>
        <w:rPr>
          <w:noProof/>
          <w:color w:val="000000"/>
          <w:szCs w:val="24"/>
          <w:lang w:eastAsia="en-GB"/>
        </w:rPr>
        <w:t>International competitiveness: platforms would be incentivised to increase the level of quality of service offered to business users. The increase in quality of the products and services of online platforms will be an asset when competing with non-EU companies. This is also true for businesses active on online platforms; they would become more competitive as a result of developing innovative products and services. They would also have increased incentives to compete with foreign companies due to the market access and business opportunities offered by a better functioning platform economy.</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The impact of option 2d on competitiveness is more difficult to predict, and is therefore accompanied by greater uncertainty than policy options 2a, 2b and 2c. This option would indeed equally create incentives for platforms and businesses to increase their effort to offer improved services as a result from the introduced quality standards. However, the innovation capacity of platforms may be limited in option 2d by the measure contained in this option to release data concerning email addresses. Their ability to compete could be constrained by the possible decrease in revenues which may result from the reduced use of data, which is at the basis of online platforms' competitive advantage. The immediate impact of option 2d on business users would be increased revenues due to improved customer base. However, if option 2d affects negatively platforms, it could not be excluded that their reduced ability to innovate and compete is passed on business users in the longer term.</w:t>
      </w:r>
    </w:p>
    <w:p>
      <w:pPr>
        <w:autoSpaceDE w:val="0"/>
        <w:autoSpaceDN w:val="0"/>
        <w:adjustRightInd w:val="0"/>
        <w:spacing w:after="0"/>
        <w:rPr>
          <w:noProof/>
          <w:color w:val="000000"/>
          <w:szCs w:val="24"/>
          <w:lang w:eastAsia="en-GB"/>
        </w:rPr>
      </w:pPr>
    </w:p>
    <w:p>
      <w:pPr>
        <w:pStyle w:val="Heading3"/>
        <w:rPr>
          <w:noProof/>
        </w:rPr>
      </w:pPr>
      <w:bookmarkStart w:id="3781" w:name="_Toc500197202"/>
      <w:bookmarkStart w:id="3782" w:name="_Toc500241359"/>
      <w:bookmarkStart w:id="3783" w:name="_Toc500247050"/>
      <w:bookmarkStart w:id="3784" w:name="_Toc500242233"/>
      <w:bookmarkStart w:id="3785" w:name="_Toc500249942"/>
      <w:bookmarkStart w:id="3786" w:name="_Toc500252943"/>
      <w:bookmarkStart w:id="3787" w:name="_Toc500255627"/>
      <w:bookmarkStart w:id="3788" w:name="_Toc500257400"/>
      <w:bookmarkStart w:id="3789" w:name="_Toc500257844"/>
      <w:bookmarkStart w:id="3790" w:name="_Toc500256834"/>
      <w:bookmarkStart w:id="3791" w:name="_Toc500258809"/>
      <w:bookmarkStart w:id="3792" w:name="_Toc500260092"/>
      <w:bookmarkStart w:id="3793" w:name="_Toc500262985"/>
      <w:bookmarkStart w:id="3794" w:name="_Toc500271366"/>
      <w:bookmarkStart w:id="3795" w:name="_Toc500271936"/>
      <w:bookmarkStart w:id="3796" w:name="_Toc500272680"/>
      <w:bookmarkStart w:id="3797" w:name="_Toc500279130"/>
      <w:bookmarkStart w:id="3798" w:name="_Toc500280268"/>
      <w:bookmarkStart w:id="3799" w:name="_Toc500282069"/>
      <w:bookmarkStart w:id="3800" w:name="_Toc500281019"/>
      <w:bookmarkStart w:id="3801" w:name="_Toc500283429"/>
      <w:bookmarkStart w:id="3802" w:name="_Toc500282495"/>
      <w:bookmarkStart w:id="3803" w:name="_Toc505350070"/>
      <w:bookmarkStart w:id="3804" w:name="_Toc505352127"/>
      <w:bookmarkStart w:id="3805" w:name="_Toc505352449"/>
      <w:bookmarkStart w:id="3806" w:name="_Toc505353054"/>
      <w:bookmarkStart w:id="3807" w:name="_Toc505356015"/>
      <w:bookmarkStart w:id="3808" w:name="_Toc505620778"/>
      <w:bookmarkStart w:id="3809" w:name="_Toc505872654"/>
      <w:bookmarkStart w:id="3810" w:name="_Toc507428487"/>
      <w:bookmarkStart w:id="3811" w:name="_Toc507428917"/>
      <w:bookmarkStart w:id="3812" w:name="_Toc507793750"/>
      <w:bookmarkStart w:id="3813" w:name="_Toc508297469"/>
      <w:bookmarkStart w:id="3814" w:name="_Toc508350231"/>
      <w:bookmarkStart w:id="3815" w:name="_Toc508351668"/>
      <w:bookmarkStart w:id="3816" w:name="_Toc508360082"/>
      <w:bookmarkStart w:id="3817" w:name="_Toc511220577"/>
      <w:bookmarkStart w:id="3818" w:name="_Toc511235022"/>
      <w:bookmarkStart w:id="3819" w:name="_Toc511292935"/>
      <w:r>
        <w:rPr>
          <w:noProof/>
        </w:rPr>
        <w:t>Competition</w:t>
      </w:r>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p>
    <w:p>
      <w:pPr>
        <w:autoSpaceDE w:val="0"/>
        <w:autoSpaceDN w:val="0"/>
        <w:adjustRightInd w:val="0"/>
        <w:spacing w:after="0"/>
        <w:rPr>
          <w:noProof/>
          <w:color w:val="000000"/>
          <w:szCs w:val="24"/>
          <w:lang w:eastAsia="en-GB"/>
        </w:rPr>
      </w:pPr>
      <w:r>
        <w:rPr>
          <w:noProof/>
          <w:color w:val="000000"/>
          <w:szCs w:val="24"/>
          <w:lang w:eastAsia="en-GB"/>
        </w:rPr>
        <w:t xml:space="preserve">The co-regulatory options retained would set a standard for higher quality of service thus creating the opportunity for start-up platforms to compete on the basis of the better business environment they would offer to professional users. Both options would thus likely create the right regulatory environment for </w:t>
      </w:r>
      <w:r>
        <w:rPr>
          <w:b/>
          <w:i/>
          <w:noProof/>
          <w:color w:val="000000"/>
          <w:szCs w:val="24"/>
          <w:lang w:eastAsia="en-GB"/>
        </w:rPr>
        <w:t>increased competition</w:t>
      </w:r>
      <w:r>
        <w:rPr>
          <w:noProof/>
          <w:color w:val="000000"/>
          <w:szCs w:val="24"/>
          <w:lang w:eastAsia="en-GB"/>
        </w:rPr>
        <w:t xml:space="preserve"> as compared to the baseline scenario on both sides of the market - among platforms and among businesses present on these platforms. Increased competition could be expected to lead to higher quality products/services provided to business- and end-users.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Under option 2a, the mandatory transparency provides additional competitive parameters for start-up platform companies. Even small increases in user trust will equally support the growth of existing platforms as well as the emergence of start-up platforms. Increased transparency though non-binding for some of the issues would possibly give the right signal to more businesses to use online intermediation; this could in return lead to more competition.</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In option 2b, the increased trust resulting from the resolution of disputes with online platforms will expand the business user base of existing platforms. This will feed into the existing network effects laid out in the problem statement. The resulting renewed dynamism of the platform economy would </w:t>
      </w:r>
      <w:r>
        <w:rPr>
          <w:i/>
          <w:noProof/>
          <w:color w:val="000000"/>
          <w:szCs w:val="24"/>
          <w:lang w:eastAsia="en-GB"/>
        </w:rPr>
        <w:t>a priori</w:t>
      </w:r>
      <w:r>
        <w:rPr>
          <w:noProof/>
          <w:color w:val="000000"/>
          <w:szCs w:val="24"/>
          <w:lang w:eastAsia="en-GB"/>
        </w:rPr>
        <w:t xml:space="preserve"> allow the emergence of new, small platforms. Legally binding transparency rules on all six issues identified and appropriate redress tools could also be expected to contribute to more competition among business users.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Option 2c would extend these above effects to online general search engines and the business users who use them as a gateway to customers. This option may be expected to have an indirect positive effect through enhanced transparency as a complementary tool to competition law.</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The positive effect on online platforms will be more limited in option 2d, where the risk of free-riding by business users is greater; the number of business users active on platforms may not increase as much, if platforms are faced with the need to redesign their business strategies. On the other hand, option 2d could lead to increased competition since the access to emails would possibly allow some enterprises to increase their business thus creating new competition dynamics. This could not however be predicted with certainty because of the interaction with the consumer side of the market, and namely the "transaction point" discussed under section 6.6 below, i.e. if the consumers perceive the 'email' sharing request made to them as too burdensome, there may not be a positive effect on business users' turnover generated through online intermediation.</w:t>
      </w:r>
    </w:p>
    <w:p>
      <w:pPr>
        <w:autoSpaceDE w:val="0"/>
        <w:autoSpaceDN w:val="0"/>
        <w:adjustRightInd w:val="0"/>
        <w:spacing w:after="0"/>
        <w:rPr>
          <w:noProof/>
          <w:color w:val="000000"/>
          <w:szCs w:val="24"/>
          <w:lang w:eastAsia="en-GB"/>
        </w:rPr>
      </w:pPr>
    </w:p>
    <w:p>
      <w:pPr>
        <w:pStyle w:val="Heading2"/>
        <w:rPr>
          <w:noProof/>
        </w:rPr>
      </w:pPr>
      <w:bookmarkStart w:id="3820" w:name="_Toc505329111"/>
      <w:bookmarkStart w:id="3821" w:name="_Toc505331191"/>
      <w:bookmarkStart w:id="3822" w:name="_Toc505335135"/>
      <w:bookmarkStart w:id="3823" w:name="_Toc505335535"/>
      <w:bookmarkStart w:id="3824" w:name="_Toc505335646"/>
      <w:bookmarkStart w:id="3825" w:name="_Toc505335736"/>
      <w:bookmarkStart w:id="3826" w:name="_Toc505336114"/>
      <w:bookmarkStart w:id="3827" w:name="_Toc505336432"/>
      <w:bookmarkStart w:id="3828" w:name="_Toc505337389"/>
      <w:bookmarkStart w:id="3829" w:name="_Toc505337479"/>
      <w:bookmarkStart w:id="3830" w:name="_Toc505337889"/>
      <w:bookmarkStart w:id="3831" w:name="_Toc505338458"/>
      <w:bookmarkStart w:id="3832" w:name="_Toc505338548"/>
      <w:bookmarkStart w:id="3833" w:name="_Toc505338623"/>
      <w:bookmarkStart w:id="3834" w:name="_Toc505341528"/>
      <w:bookmarkStart w:id="3835" w:name="_Toc505341618"/>
      <w:bookmarkStart w:id="3836" w:name="_Toc505342396"/>
      <w:bookmarkStart w:id="3837" w:name="_Toc505342486"/>
      <w:bookmarkStart w:id="3838" w:name="_Toc505342576"/>
      <w:bookmarkStart w:id="3839" w:name="_Toc505342675"/>
      <w:bookmarkStart w:id="3840" w:name="_Toc505342776"/>
      <w:bookmarkStart w:id="3841" w:name="_Toc505342866"/>
      <w:bookmarkStart w:id="3842" w:name="_Toc505343276"/>
      <w:bookmarkStart w:id="3843" w:name="_Toc505343366"/>
      <w:bookmarkStart w:id="3844" w:name="_Toc505345666"/>
      <w:bookmarkStart w:id="3845" w:name="_Toc505346044"/>
      <w:bookmarkStart w:id="3846" w:name="_Toc505346172"/>
      <w:bookmarkStart w:id="3847" w:name="_Toc505346262"/>
      <w:bookmarkStart w:id="3848" w:name="_Toc505346352"/>
      <w:bookmarkStart w:id="3849" w:name="_Toc505346796"/>
      <w:bookmarkStart w:id="3850" w:name="_Toc505347403"/>
      <w:bookmarkStart w:id="3851" w:name="_Toc505347493"/>
      <w:bookmarkStart w:id="3852" w:name="_Toc505347729"/>
      <w:bookmarkStart w:id="3853" w:name="_Toc505348226"/>
      <w:bookmarkStart w:id="3854" w:name="_Toc505348427"/>
      <w:bookmarkStart w:id="3855" w:name="_Toc505348517"/>
      <w:bookmarkStart w:id="3856" w:name="_Toc505348607"/>
      <w:bookmarkStart w:id="3857" w:name="_Toc505348697"/>
      <w:bookmarkStart w:id="3858" w:name="_Toc505348846"/>
      <w:bookmarkStart w:id="3859" w:name="_Toc505348936"/>
      <w:bookmarkStart w:id="3860" w:name="_Toc505349026"/>
      <w:bookmarkStart w:id="3861" w:name="_Toc505349116"/>
      <w:bookmarkStart w:id="3862" w:name="_Toc505349206"/>
      <w:bookmarkStart w:id="3863" w:name="_Toc505349383"/>
      <w:bookmarkStart w:id="3864" w:name="_Toc505349560"/>
      <w:bookmarkStart w:id="3865" w:name="_Toc505349737"/>
      <w:bookmarkStart w:id="3866" w:name="_Toc505351391"/>
      <w:bookmarkStart w:id="3867" w:name="_Toc505352129"/>
      <w:bookmarkStart w:id="3868" w:name="_Toc505352539"/>
      <w:bookmarkStart w:id="3869" w:name="_Toc505353056"/>
      <w:bookmarkStart w:id="3870" w:name="_Toc505353147"/>
      <w:bookmarkStart w:id="3871" w:name="_Toc505358584"/>
      <w:bookmarkStart w:id="3872" w:name="_Toc505587696"/>
      <w:bookmarkStart w:id="3873" w:name="_Toc505593988"/>
      <w:bookmarkStart w:id="3874" w:name="_Toc505601906"/>
      <w:bookmarkStart w:id="3875" w:name="_Toc505607701"/>
      <w:bookmarkStart w:id="3876" w:name="_Toc505608263"/>
      <w:bookmarkStart w:id="3877" w:name="_Toc505608522"/>
      <w:bookmarkStart w:id="3878" w:name="_Toc505608740"/>
      <w:bookmarkStart w:id="3879" w:name="_Toc505609604"/>
      <w:bookmarkStart w:id="3880" w:name="_Toc505610015"/>
      <w:bookmarkStart w:id="3881" w:name="_Toc505611217"/>
      <w:bookmarkStart w:id="3882" w:name="_Toc505611437"/>
      <w:bookmarkStart w:id="3883" w:name="_Toc505612770"/>
      <w:bookmarkStart w:id="3884" w:name="_Toc505612873"/>
      <w:bookmarkStart w:id="3885" w:name="_Toc505613328"/>
      <w:bookmarkStart w:id="3886" w:name="_Toc505613944"/>
      <w:bookmarkStart w:id="3887" w:name="_Toc505614168"/>
      <w:bookmarkStart w:id="3888" w:name="_Toc505614488"/>
      <w:bookmarkStart w:id="3889" w:name="_Toc505614859"/>
      <w:bookmarkStart w:id="3890" w:name="_Toc505615332"/>
      <w:bookmarkStart w:id="3891" w:name="_Toc505615630"/>
      <w:bookmarkStart w:id="3892" w:name="_Toc505616602"/>
      <w:bookmarkStart w:id="3893" w:name="_Toc505669835"/>
      <w:bookmarkStart w:id="3894" w:name="_Toc505853386"/>
      <w:bookmarkStart w:id="3895" w:name="_Toc505853486"/>
      <w:bookmarkStart w:id="3896" w:name="_Toc505853961"/>
      <w:bookmarkStart w:id="3897" w:name="_Toc505854368"/>
      <w:bookmarkStart w:id="3898" w:name="_Toc505864463"/>
      <w:bookmarkStart w:id="3899" w:name="_Toc505868930"/>
      <w:bookmarkStart w:id="3900" w:name="_Toc505872656"/>
      <w:bookmarkStart w:id="3901" w:name="_Toc505873380"/>
      <w:bookmarkStart w:id="3902" w:name="_Toc507407516"/>
      <w:bookmarkStart w:id="3903" w:name="_Toc507408603"/>
      <w:bookmarkStart w:id="3904" w:name="_Toc507408737"/>
      <w:bookmarkStart w:id="3905" w:name="_Toc507409828"/>
      <w:bookmarkStart w:id="3906" w:name="_Toc507410637"/>
      <w:bookmarkStart w:id="3907" w:name="_Toc507411036"/>
      <w:bookmarkStart w:id="3908" w:name="_Toc507411223"/>
      <w:bookmarkStart w:id="3909" w:name="_Toc507411563"/>
      <w:bookmarkStart w:id="3910" w:name="_Toc507412451"/>
      <w:bookmarkStart w:id="3911" w:name="_Toc507413697"/>
      <w:bookmarkStart w:id="3912" w:name="_Toc507414679"/>
      <w:bookmarkStart w:id="3913" w:name="_Toc507414454"/>
      <w:bookmarkStart w:id="3914" w:name="_Toc507414860"/>
      <w:bookmarkStart w:id="3915" w:name="_Toc507416380"/>
      <w:bookmarkStart w:id="3916" w:name="_Toc507416832"/>
      <w:bookmarkStart w:id="3917" w:name="_Toc507416980"/>
      <w:bookmarkStart w:id="3918" w:name="_Toc507417085"/>
      <w:bookmarkStart w:id="3919" w:name="_Toc507417228"/>
      <w:bookmarkStart w:id="3920" w:name="_Toc507417333"/>
      <w:bookmarkStart w:id="3921" w:name="_Toc507417481"/>
      <w:bookmarkStart w:id="3922" w:name="_Toc507417629"/>
      <w:bookmarkStart w:id="3923" w:name="_Toc507417739"/>
      <w:bookmarkStart w:id="3924" w:name="_Toc507418050"/>
      <w:bookmarkStart w:id="3925" w:name="_Toc507421272"/>
      <w:bookmarkStart w:id="3926" w:name="_Toc507421456"/>
      <w:bookmarkStart w:id="3927" w:name="_Toc507421790"/>
      <w:bookmarkStart w:id="3928" w:name="_Toc507421938"/>
      <w:bookmarkStart w:id="3929" w:name="_Toc507422086"/>
      <w:bookmarkStart w:id="3930" w:name="_Toc507422235"/>
      <w:bookmarkStart w:id="3931" w:name="_Toc507422633"/>
      <w:bookmarkStart w:id="3932" w:name="_Toc507423459"/>
      <w:bookmarkStart w:id="3933" w:name="_Toc507423579"/>
      <w:bookmarkStart w:id="3934" w:name="_Toc507424592"/>
      <w:bookmarkStart w:id="3935" w:name="_Toc507424852"/>
      <w:bookmarkStart w:id="3936" w:name="_Toc507425060"/>
      <w:bookmarkStart w:id="3937" w:name="_Toc507425208"/>
      <w:bookmarkStart w:id="3938" w:name="_Toc507425356"/>
      <w:bookmarkStart w:id="3939" w:name="_Toc507425553"/>
      <w:bookmarkStart w:id="3940" w:name="_Toc507425694"/>
      <w:bookmarkStart w:id="3941" w:name="_Toc507425842"/>
      <w:bookmarkStart w:id="3942" w:name="_Toc507426422"/>
      <w:bookmarkStart w:id="3943" w:name="_Toc507427208"/>
      <w:bookmarkStart w:id="3944" w:name="_Toc507427305"/>
      <w:bookmarkStart w:id="3945" w:name="_Toc507427410"/>
      <w:bookmarkStart w:id="3946" w:name="_Toc507427649"/>
      <w:bookmarkStart w:id="3947" w:name="_Toc507427776"/>
      <w:bookmarkStart w:id="3948" w:name="_Toc507428036"/>
      <w:bookmarkStart w:id="3949" w:name="_Toc507428177"/>
      <w:bookmarkStart w:id="3950" w:name="_Toc507428348"/>
      <w:bookmarkStart w:id="3951" w:name="_Toc507428489"/>
      <w:bookmarkStart w:id="3952" w:name="_Toc507428918"/>
      <w:bookmarkStart w:id="3953" w:name="_Toc505350071"/>
      <w:bookmarkStart w:id="3954" w:name="_Toc505352130"/>
      <w:bookmarkStart w:id="3955" w:name="_Toc505352450"/>
      <w:bookmarkStart w:id="3956" w:name="_Toc505353057"/>
      <w:bookmarkStart w:id="3957" w:name="_Toc505356016"/>
      <w:bookmarkStart w:id="3958" w:name="_Toc505620779"/>
      <w:bookmarkStart w:id="3959" w:name="_Toc505872657"/>
      <w:bookmarkStart w:id="3960" w:name="_Toc505873381"/>
      <w:bookmarkStart w:id="3961" w:name="_Toc507428490"/>
      <w:bookmarkStart w:id="3962" w:name="_Toc507428919"/>
      <w:bookmarkStart w:id="3963" w:name="_Toc507793751"/>
      <w:bookmarkStart w:id="3964" w:name="_Toc508297470"/>
      <w:bookmarkStart w:id="3965" w:name="_Toc508350232"/>
      <w:bookmarkStart w:id="3966" w:name="_Toc508351669"/>
      <w:bookmarkStart w:id="3967" w:name="_Toc508360083"/>
      <w:bookmarkStart w:id="3968" w:name="_Toc511220578"/>
      <w:bookmarkStart w:id="3969" w:name="_Toc511235023"/>
      <w:bookmarkStart w:id="3970" w:name="_Toc511292936"/>
      <w:bookmarkStart w:id="3971" w:name="_Toc500197203"/>
      <w:bookmarkStart w:id="3972" w:name="_Toc500241360"/>
      <w:bookmarkStart w:id="3973" w:name="_Toc500247051"/>
      <w:bookmarkStart w:id="3974" w:name="_Toc500242235"/>
      <w:bookmarkStart w:id="3975" w:name="_Toc500249943"/>
      <w:bookmarkStart w:id="3976" w:name="_Toc500252944"/>
      <w:bookmarkStart w:id="3977" w:name="_Toc500255628"/>
      <w:bookmarkStart w:id="3978" w:name="_Toc500257401"/>
      <w:bookmarkStart w:id="3979" w:name="_Toc500257845"/>
      <w:bookmarkStart w:id="3980" w:name="_Toc500256835"/>
      <w:bookmarkStart w:id="3981" w:name="_Toc500258810"/>
      <w:bookmarkStart w:id="3982" w:name="_Toc500260093"/>
      <w:bookmarkStart w:id="3983" w:name="_Toc500262986"/>
      <w:bookmarkStart w:id="3984" w:name="_Toc500271367"/>
      <w:bookmarkStart w:id="3985" w:name="_Toc500271937"/>
      <w:bookmarkStart w:id="3986" w:name="_Toc500272685"/>
      <w:bookmarkStart w:id="3987" w:name="_Toc500279131"/>
      <w:bookmarkStart w:id="3988" w:name="_Toc500280269"/>
      <w:bookmarkStart w:id="3989" w:name="_Toc500282070"/>
      <w:bookmarkStart w:id="3990" w:name="_Toc500281070"/>
      <w:bookmarkStart w:id="3991" w:name="_Toc500283430"/>
      <w:bookmarkStart w:id="3992" w:name="_Toc500282496"/>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r>
        <w:rPr>
          <w:noProof/>
        </w:rPr>
        <w:t>Employment and social impact</w:t>
      </w:r>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p>
    <w:p>
      <w:pPr>
        <w:rPr>
          <w:noProof/>
        </w:rPr>
      </w:pPr>
      <w:r>
        <w:rPr>
          <w:noProof/>
        </w:rPr>
        <w:t xml:space="preserve">The overall impact of the co-regulatory options on social welfare including in particular employment is likely to be </w:t>
      </w:r>
      <w:r>
        <w:rPr>
          <w:b/>
          <w:noProof/>
        </w:rPr>
        <w:t>positive</w:t>
      </w:r>
      <w:r>
        <w:rPr>
          <w:noProof/>
        </w:rPr>
        <w:t>. As described above the measures aiming to full potential of the online platform economy will lead to an increase in turnover for both business users and platforms. The increase of business users' turnover may be expected to lead to increased employment opportunities. This expectation would probably be less valid for online platforms despite the fact that they will see their revenues from commissions increasing (as a result of the increase in sales over platforms). Given that platforms are innovation-driven, it would be difficult to predict whether they would use increased revenues to create additional jobs instead of investing in research and development.</w:t>
      </w:r>
    </w:p>
    <w:p>
      <w:pPr>
        <w:rPr>
          <w:noProof/>
        </w:rPr>
      </w:pPr>
      <w:r>
        <w:rPr>
          <w:noProof/>
        </w:rPr>
        <w:t>However, even if the initiative would not lead to the creation of new jobs either by business users or platforms, it would be reasonable to assume that it would contribute to maintaining the current number of jobs offered by the 1 million EU businesses active on online platforms. By offering better opportunities to businesses to grow through improved relationships with online platforms, the policy options 2a, 2b, 2c would preserve the 4.7 million</w:t>
      </w:r>
      <w:r>
        <w:rPr>
          <w:noProof/>
          <w:vertAlign w:val="superscript"/>
        </w:rPr>
        <w:footnoteReference w:id="217"/>
      </w:r>
      <w:r>
        <w:rPr>
          <w:noProof/>
        </w:rPr>
        <w:t xml:space="preserve"> jobs already created by business users of platforms. The effect of Option 2d is more uncertain. Option 2d could on the one hand be expected to have a greater positive impact on job creation by business users since it would expand their client base thus possibly leading to an increase in their turnover. On the other hand, this option would be more intrusive in platforms' business strategies and ultimately limit online market access and business opportunities for professional users. This could possibly have a negative impact on jobs both for platforms and their business users.</w:t>
      </w:r>
    </w:p>
    <w:p>
      <w:pPr>
        <w:rPr>
          <w:noProof/>
        </w:rPr>
      </w:pPr>
      <w:r>
        <w:rPr>
          <w:noProof/>
        </w:rPr>
        <w:t>In addition, while the primary impacts of the initiative are of an economic nature, some beneficial social impact in particular for self-employed individuals is conceivable. A large part of sellers on e-commerce market places are self-employed individuals, with 89% of all sellers achieving a turnover of less than € 50,000.</w:t>
      </w:r>
      <w:r>
        <w:rPr>
          <w:noProof/>
          <w:vertAlign w:val="superscript"/>
        </w:rPr>
        <w:footnoteReference w:id="218"/>
      </w:r>
      <w:r>
        <w:rPr>
          <w:noProof/>
        </w:rPr>
        <w:t xml:space="preserve"> In addition, both options will cover collaborative economy platforms to the extent these host professional users. Whether a user of a platform is considered professional or not depends on national rules in the EU. However, the proposed obligations would lead to greater transparency, predictability, and certainty for all users.</w:t>
      </w:r>
      <w:r>
        <w:rPr>
          <w:noProof/>
          <w:vertAlign w:val="superscript"/>
        </w:rPr>
        <w:footnoteReference w:id="219"/>
      </w:r>
      <w:r>
        <w:rPr>
          <w:noProof/>
        </w:rPr>
        <w:t xml:space="preserve"> Overall, although difficult to quantify, it is therefore reasonable to assume that the proposed options will provide more predictability also to the benefit of a large number of particularly vulnerable economic actors.</w:t>
      </w:r>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r>
        <w:rPr>
          <w:noProof/>
        </w:rPr>
        <w:t xml:space="preserve"> The net benefit of the initiative – improved businesses' access to innovation and business opportunities created by inline platforms, increased competition leading to lower prices, higher quality and broader choice for consumers of goods and services offered on online platforms - should outweigh the costs. </w:t>
      </w:r>
    </w:p>
    <w:p>
      <w:pPr>
        <w:pStyle w:val="Heading2"/>
        <w:rPr>
          <w:noProof/>
          <w:lang w:eastAsia="en-GB"/>
        </w:rPr>
      </w:pPr>
      <w:bookmarkStart w:id="3993" w:name="_Toc501369771"/>
      <w:bookmarkStart w:id="3994" w:name="_Toc502910445"/>
      <w:bookmarkStart w:id="3995" w:name="_Toc501369773"/>
      <w:bookmarkStart w:id="3996" w:name="_Toc502910447"/>
      <w:bookmarkStart w:id="3997" w:name="_Toc501369775"/>
      <w:bookmarkStart w:id="3998" w:name="_Toc502910449"/>
      <w:bookmarkStart w:id="3999" w:name="_Toc501369777"/>
      <w:bookmarkStart w:id="4000" w:name="_Toc502910451"/>
      <w:bookmarkStart w:id="4001" w:name="_Toc501369779"/>
      <w:bookmarkStart w:id="4002" w:name="_Toc502910453"/>
      <w:bookmarkStart w:id="4003" w:name="_Toc501369782"/>
      <w:bookmarkStart w:id="4004" w:name="_Toc502910456"/>
      <w:bookmarkStart w:id="4005" w:name="_Toc501369784"/>
      <w:bookmarkStart w:id="4006" w:name="_Toc502910458"/>
      <w:bookmarkStart w:id="4007" w:name="_Toc501369786"/>
      <w:bookmarkStart w:id="4008" w:name="_Toc502910460"/>
      <w:bookmarkStart w:id="4009" w:name="_Toc501369788"/>
      <w:bookmarkStart w:id="4010" w:name="_Toc502910462"/>
      <w:bookmarkStart w:id="4011" w:name="_Toc501369791"/>
      <w:bookmarkStart w:id="4012" w:name="_Toc502910465"/>
      <w:bookmarkStart w:id="4013" w:name="_Toc500186726"/>
      <w:bookmarkStart w:id="4014" w:name="_Toc500182000"/>
      <w:bookmarkStart w:id="4015" w:name="_Toc500187812"/>
      <w:bookmarkStart w:id="4016" w:name="_Toc500187468"/>
      <w:bookmarkStart w:id="4017" w:name="_Toc500189092"/>
      <w:bookmarkStart w:id="4018" w:name="_Toc500189819"/>
      <w:bookmarkStart w:id="4019" w:name="_Toc500190639"/>
      <w:bookmarkStart w:id="4020" w:name="_Toc500189471"/>
      <w:bookmarkStart w:id="4021" w:name="_Toc500191299"/>
      <w:bookmarkStart w:id="4022" w:name="_Toc500192026"/>
      <w:bookmarkStart w:id="4023" w:name="_Toc500192846"/>
      <w:bookmarkStart w:id="4024" w:name="_Toc500193666"/>
      <w:bookmarkStart w:id="4025" w:name="_Toc500191870"/>
      <w:bookmarkStart w:id="4026" w:name="_Toc500194150"/>
      <w:bookmarkStart w:id="4027" w:name="_Toc500194877"/>
      <w:bookmarkStart w:id="4028" w:name="_Toc500195246"/>
      <w:bookmarkStart w:id="4029" w:name="_Toc500195710"/>
      <w:bookmarkStart w:id="4030" w:name="_Toc500196108"/>
      <w:bookmarkStart w:id="4031" w:name="_Toc500196575"/>
      <w:bookmarkStart w:id="4032" w:name="_Toc500187785"/>
      <w:bookmarkStart w:id="4033" w:name="_Toc500191880"/>
      <w:bookmarkStart w:id="4034" w:name="_Toc500195681"/>
      <w:bookmarkStart w:id="4035" w:name="_Toc500197204"/>
      <w:bookmarkStart w:id="4036" w:name="_Toc500197684"/>
      <w:bookmarkStart w:id="4037" w:name="_Toc500232680"/>
      <w:bookmarkStart w:id="4038" w:name="_Toc500233577"/>
      <w:bookmarkStart w:id="4039" w:name="_Toc500234053"/>
      <w:bookmarkStart w:id="4040" w:name="_Toc500234529"/>
      <w:bookmarkStart w:id="4041" w:name="_Toc500235005"/>
      <w:bookmarkStart w:id="4042" w:name="_Toc500235379"/>
      <w:bookmarkStart w:id="4043" w:name="_Toc500235855"/>
      <w:bookmarkStart w:id="4044" w:name="_Toc500235000"/>
      <w:bookmarkStart w:id="4045" w:name="_Toc500236807"/>
      <w:bookmarkStart w:id="4046" w:name="_Toc500234977"/>
      <w:bookmarkStart w:id="4047" w:name="_Toc500238101"/>
      <w:bookmarkStart w:id="4048" w:name="_Toc500238517"/>
      <w:bookmarkStart w:id="4049" w:name="_Toc500238833"/>
      <w:bookmarkStart w:id="4050" w:name="_Toc500235685"/>
      <w:bookmarkStart w:id="4051" w:name="_Toc500239065"/>
      <w:bookmarkStart w:id="4052" w:name="_Toc500239545"/>
      <w:bookmarkStart w:id="4053" w:name="_Toc500240023"/>
      <w:bookmarkStart w:id="4054" w:name="_Toc500240401"/>
      <w:bookmarkStart w:id="4055" w:name="_Toc500240881"/>
      <w:bookmarkStart w:id="4056" w:name="_Toc500238706"/>
      <w:bookmarkStart w:id="4057" w:name="_Toc500241361"/>
      <w:bookmarkStart w:id="4058" w:name="_Toc500240000"/>
      <w:bookmarkStart w:id="4059" w:name="_Toc500242375"/>
      <w:bookmarkStart w:id="4060" w:name="_Toc500243233"/>
      <w:bookmarkStart w:id="4061" w:name="_Toc500243609"/>
      <w:bookmarkStart w:id="4062" w:name="_Toc500241739"/>
      <w:bookmarkStart w:id="4063" w:name="_Toc500244188"/>
      <w:bookmarkStart w:id="4064" w:name="_Toc500242386"/>
      <w:bookmarkStart w:id="4065" w:name="_Toc500235863"/>
      <w:bookmarkStart w:id="4066" w:name="_Toc500238703"/>
      <w:bookmarkStart w:id="4067" w:name="_Toc500244656"/>
      <w:bookmarkStart w:id="4068" w:name="_Toc500245136"/>
      <w:bookmarkStart w:id="4069" w:name="_Toc500245616"/>
      <w:bookmarkStart w:id="4070" w:name="_Toc500246572"/>
      <w:bookmarkStart w:id="4071" w:name="_Toc500247052"/>
      <w:bookmarkStart w:id="4072" w:name="_Toc500247532"/>
      <w:bookmarkStart w:id="4073" w:name="_Toc500248012"/>
      <w:bookmarkStart w:id="4074" w:name="_Toc500248492"/>
      <w:bookmarkStart w:id="4075" w:name="_Toc500244728"/>
      <w:bookmarkStart w:id="4076" w:name="_Toc500248818"/>
      <w:bookmarkStart w:id="4077" w:name="_Toc500242236"/>
      <w:bookmarkStart w:id="4078" w:name="_Toc500249194"/>
      <w:bookmarkStart w:id="4079" w:name="_Toc500249570"/>
      <w:bookmarkStart w:id="4080" w:name="_Toc500249932"/>
      <w:bookmarkStart w:id="4081" w:name="_Toc500250414"/>
      <w:bookmarkStart w:id="4082" w:name="_Toc500250896"/>
      <w:bookmarkStart w:id="4083" w:name="_Toc500249944"/>
      <w:bookmarkStart w:id="4084" w:name="_Toc500244183"/>
      <w:bookmarkStart w:id="4085" w:name="_Toc500250269"/>
      <w:bookmarkStart w:id="4086" w:name="_Toc500251497"/>
      <w:bookmarkStart w:id="4087" w:name="_Toc500251875"/>
      <w:bookmarkStart w:id="4088" w:name="_Toc500251499"/>
      <w:bookmarkStart w:id="4089" w:name="_Toc500252463"/>
      <w:bookmarkStart w:id="4090" w:name="_Toc500252945"/>
      <w:bookmarkStart w:id="4091" w:name="_Toc500253786"/>
      <w:bookmarkStart w:id="4092" w:name="_Toc500254183"/>
      <w:bookmarkStart w:id="4093" w:name="_Toc500254665"/>
      <w:bookmarkStart w:id="4094" w:name="_Toc500255147"/>
      <w:bookmarkStart w:id="4095" w:name="_Toc500255629"/>
      <w:bookmarkStart w:id="4096" w:name="_Toc500256111"/>
      <w:bookmarkStart w:id="4097" w:name="_Toc500255114"/>
      <w:bookmarkStart w:id="4098" w:name="_Toc500256848"/>
      <w:bookmarkStart w:id="4099" w:name="_Toc500254040"/>
      <w:bookmarkStart w:id="4100" w:name="_Toc500257402"/>
      <w:bookmarkStart w:id="4101" w:name="_Toc500257846"/>
      <w:bookmarkStart w:id="4102" w:name="_Toc500244198"/>
      <w:bookmarkStart w:id="4103" w:name="_Toc500248500"/>
      <w:bookmarkStart w:id="4104" w:name="_Toc500251714"/>
      <w:bookmarkStart w:id="4105" w:name="_Toc500256836"/>
      <w:bookmarkStart w:id="4106" w:name="_Toc500258459"/>
      <w:bookmarkStart w:id="4107" w:name="_Toc500258811"/>
      <w:bookmarkStart w:id="4108" w:name="_Toc500259247"/>
      <w:bookmarkStart w:id="4109" w:name="_Toc500259585"/>
      <w:bookmarkStart w:id="4110" w:name="_Toc500259913"/>
      <w:bookmarkStart w:id="4111" w:name="_Toc500251719"/>
      <w:bookmarkStart w:id="4112" w:name="_Toc500260094"/>
      <w:bookmarkStart w:id="4113" w:name="_Toc500260422"/>
      <w:bookmarkStart w:id="4114" w:name="_Toc500259943"/>
      <w:bookmarkStart w:id="4115" w:name="_Toc500260974"/>
      <w:bookmarkStart w:id="4116" w:name="_Toc500261357"/>
      <w:bookmarkStart w:id="4117" w:name="_Toc500261645"/>
      <w:bookmarkStart w:id="4118" w:name="_Toc500262544"/>
      <w:bookmarkStart w:id="4119" w:name="_Toc500262987"/>
      <w:bookmarkStart w:id="4120" w:name="_Toc500263438"/>
      <w:bookmarkStart w:id="4121" w:name="_Toc500263889"/>
      <w:bookmarkStart w:id="4122" w:name="_Toc500264238"/>
      <w:bookmarkStart w:id="4123" w:name="_Toc500262561"/>
      <w:bookmarkStart w:id="4124" w:name="_Toc500265299"/>
      <w:bookmarkStart w:id="4125" w:name="_Toc500265750"/>
      <w:bookmarkStart w:id="4126" w:name="_Toc500266201"/>
      <w:bookmarkStart w:id="4127" w:name="_Toc500266652"/>
      <w:bookmarkStart w:id="4128" w:name="_Toc500267095"/>
      <w:bookmarkStart w:id="4129" w:name="_Toc500262507"/>
      <w:bookmarkStart w:id="4130" w:name="_Toc500265721"/>
      <w:bookmarkStart w:id="4131" w:name="_Toc500267567"/>
      <w:bookmarkStart w:id="4132" w:name="_Toc500268018"/>
      <w:bookmarkStart w:id="4133" w:name="_Toc500268471"/>
      <w:bookmarkStart w:id="4134" w:name="_Toc500267515"/>
      <w:bookmarkStart w:id="4135" w:name="_Toc500268924"/>
      <w:bookmarkStart w:id="4136" w:name="_Toc500269353"/>
      <w:bookmarkStart w:id="4137" w:name="_Toc500268883"/>
      <w:bookmarkStart w:id="4138" w:name="_Toc500270035"/>
      <w:bookmarkStart w:id="4139" w:name="_Toc500270918"/>
      <w:bookmarkStart w:id="4140" w:name="_Toc500271368"/>
      <w:bookmarkStart w:id="4141" w:name="_Toc500263352"/>
      <w:bookmarkStart w:id="4142" w:name="_Toc500270477"/>
      <w:bookmarkStart w:id="4143" w:name="_Toc500271597"/>
      <w:bookmarkStart w:id="4144" w:name="_Toc500271938"/>
      <w:bookmarkStart w:id="4145" w:name="_Toc500272207"/>
      <w:bookmarkStart w:id="4146" w:name="_Toc500272661"/>
      <w:bookmarkStart w:id="4147" w:name="_Toc500273114"/>
      <w:bookmarkStart w:id="4148" w:name="_Toc500273567"/>
      <w:bookmarkStart w:id="4149" w:name="_Toc500274199"/>
      <w:bookmarkStart w:id="4150" w:name="_Toc500274633"/>
      <w:bookmarkStart w:id="4151" w:name="_Toc500267995"/>
      <w:bookmarkStart w:id="4152" w:name="_Toc500275085"/>
      <w:bookmarkStart w:id="4153" w:name="_Toc500275537"/>
      <w:bookmarkStart w:id="4154" w:name="_Toc500270320"/>
      <w:bookmarkStart w:id="4155" w:name="_Toc500275981"/>
      <w:bookmarkStart w:id="4156" w:name="_Toc500276434"/>
      <w:bookmarkStart w:id="4157" w:name="_Toc500276887"/>
      <w:bookmarkStart w:id="4158" w:name="_Toc500274902"/>
      <w:bookmarkStart w:id="4159" w:name="_Toc500272714"/>
      <w:bookmarkStart w:id="4160" w:name="_Toc500277743"/>
      <w:bookmarkStart w:id="4161" w:name="_Toc500278179"/>
      <w:bookmarkStart w:id="4162" w:name="_Toc500275276"/>
      <w:bookmarkStart w:id="4163" w:name="_Toc500278633"/>
      <w:bookmarkStart w:id="4164" w:name="_Toc500277303"/>
      <w:bookmarkStart w:id="4165" w:name="_Toc500279132"/>
      <w:bookmarkStart w:id="4166" w:name="_Toc500279574"/>
      <w:bookmarkStart w:id="4167" w:name="_Toc500280270"/>
      <w:bookmarkStart w:id="4168" w:name="_Toc500280724"/>
      <w:bookmarkStart w:id="4169" w:name="_Toc500281163"/>
      <w:bookmarkStart w:id="4170" w:name="_Toc500281617"/>
      <w:bookmarkStart w:id="4171" w:name="_Toc500282071"/>
      <w:bookmarkStart w:id="4172" w:name="_Toc500282414"/>
      <w:bookmarkStart w:id="4173" w:name="_Toc500277020"/>
      <w:bookmarkStart w:id="4174" w:name="_Toc500281073"/>
      <w:bookmarkStart w:id="4175" w:name="_Toc500282865"/>
      <w:bookmarkStart w:id="4176" w:name="_Toc500282966"/>
      <w:bookmarkStart w:id="4177" w:name="_Toc500175461"/>
      <w:bookmarkStart w:id="4178" w:name="_Toc500177912"/>
      <w:bookmarkStart w:id="4179" w:name="_Toc500178929"/>
      <w:bookmarkStart w:id="4180" w:name="_Toc500181613"/>
      <w:bookmarkStart w:id="4181" w:name="_Toc500182071"/>
      <w:bookmarkStart w:id="4182" w:name="_Toc500182829"/>
      <w:bookmarkStart w:id="4183" w:name="_Toc500183982"/>
      <w:bookmarkStart w:id="4184" w:name="_Toc500187185"/>
      <w:bookmarkStart w:id="4185" w:name="_Toc500190640"/>
      <w:bookmarkStart w:id="4186" w:name="_Toc500193667"/>
      <w:bookmarkStart w:id="4187" w:name="_Toc500196109"/>
      <w:bookmarkStart w:id="4188" w:name="_Toc500197205"/>
      <w:bookmarkStart w:id="4189" w:name="_Toc500241362"/>
      <w:bookmarkStart w:id="4190" w:name="_Toc500238704"/>
      <w:bookmarkStart w:id="4191" w:name="_Toc500247053"/>
      <w:bookmarkStart w:id="4192" w:name="_Toc500242287"/>
      <w:bookmarkStart w:id="4193" w:name="_Toc500249945"/>
      <w:bookmarkStart w:id="4194" w:name="_Toc500250270"/>
      <w:bookmarkStart w:id="4195" w:name="_Toc500252946"/>
      <w:bookmarkStart w:id="4196" w:name="_Toc500255630"/>
      <w:bookmarkStart w:id="4197" w:name="_Toc500257403"/>
      <w:bookmarkStart w:id="4198" w:name="_Toc500257847"/>
      <w:bookmarkStart w:id="4199" w:name="_Toc500256837"/>
      <w:bookmarkStart w:id="4200" w:name="_Toc500258812"/>
      <w:bookmarkStart w:id="4201" w:name="_Toc500260095"/>
      <w:bookmarkStart w:id="4202" w:name="_Toc500261358"/>
      <w:bookmarkStart w:id="4203" w:name="_Toc500262988"/>
      <w:bookmarkStart w:id="4204" w:name="_Toc500271369"/>
      <w:bookmarkStart w:id="4205" w:name="_Toc500271939"/>
      <w:bookmarkStart w:id="4206" w:name="_Toc500272764"/>
      <w:bookmarkStart w:id="4207" w:name="_Toc500277744"/>
      <w:bookmarkStart w:id="4208" w:name="_Toc500279133"/>
      <w:bookmarkStart w:id="4209" w:name="_Toc500280271"/>
      <w:bookmarkStart w:id="4210" w:name="_Toc500282072"/>
      <w:bookmarkStart w:id="4211" w:name="_Toc500281074"/>
      <w:bookmarkStart w:id="4212" w:name="_Toc500283431"/>
      <w:bookmarkStart w:id="4213" w:name="_Toc500282497"/>
      <w:bookmarkStart w:id="4214" w:name="_Toc505350072"/>
      <w:bookmarkStart w:id="4215" w:name="_Toc505352131"/>
      <w:bookmarkStart w:id="4216" w:name="_Toc505352451"/>
      <w:bookmarkStart w:id="4217" w:name="_Toc505353058"/>
      <w:bookmarkStart w:id="4218" w:name="_Toc505356017"/>
      <w:bookmarkStart w:id="4219" w:name="_Toc505620780"/>
      <w:bookmarkStart w:id="4220" w:name="_Toc505872658"/>
      <w:bookmarkStart w:id="4221" w:name="_Toc505873382"/>
      <w:bookmarkStart w:id="4222" w:name="_Toc507428491"/>
      <w:bookmarkStart w:id="4223" w:name="_Toc507428920"/>
      <w:bookmarkStart w:id="4224" w:name="_Toc507793752"/>
      <w:bookmarkStart w:id="4225" w:name="_Toc508297471"/>
      <w:bookmarkStart w:id="4226" w:name="_Toc508350233"/>
      <w:bookmarkStart w:id="4227" w:name="_Toc508351670"/>
      <w:bookmarkStart w:id="4228" w:name="_Toc508360084"/>
      <w:bookmarkStart w:id="4229" w:name="_Toc511220579"/>
      <w:bookmarkStart w:id="4230" w:name="_Toc511235024"/>
      <w:bookmarkStart w:id="4231" w:name="_Toc511292937"/>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r>
        <w:rPr>
          <w:noProof/>
          <w:lang w:eastAsia="en-GB"/>
        </w:rPr>
        <w:t>Impact on consumers</w:t>
      </w:r>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p>
    <w:p>
      <w:pPr>
        <w:autoSpaceDE w:val="0"/>
        <w:autoSpaceDN w:val="0"/>
        <w:adjustRightInd w:val="0"/>
        <w:spacing w:after="0"/>
        <w:rPr>
          <w:noProof/>
          <w:color w:val="000000"/>
          <w:szCs w:val="24"/>
          <w:lang w:eastAsia="en-GB"/>
        </w:rPr>
      </w:pPr>
      <w:r>
        <w:rPr>
          <w:noProof/>
          <w:color w:val="000000"/>
          <w:szCs w:val="24"/>
          <w:lang w:eastAsia="en-GB"/>
        </w:rPr>
        <w:t xml:space="preserve">Online platforms being two-sided markets with business users on one side of the market and consumers on the other, it would be legitimate to ask the question whether the proposed intervention on the business users' side would not impact the consumer side of the market. Given that platforms would incur some regulatory costs on the business users-side as a result of the initiative, they may attempt to recoup costs on the consumers-side through e.g. higher prices or decreased quality.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This risk is particularly high for option 2d, in which online platforms may be partially deprived of one of their key assets, i.e. consumer data. As the exact share of consumers who would agree to this measure is difficult to estimate, it is equally difficult to determine whether platforms would pass on possible losses from this measure to consumers. Therefore, the mandate of the dedicated EU Observatory (see Section 5.2) should include the task of monitoring, inter alia, to what extent platforms share both non-personal and personal data, e.g. e-mail addresses, with business users and to what extent business users request access to such data.</w:t>
      </w:r>
    </w:p>
    <w:p>
      <w:pPr>
        <w:autoSpaceDE w:val="0"/>
        <w:autoSpaceDN w:val="0"/>
        <w:adjustRightInd w:val="0"/>
        <w:spacing w:after="0"/>
        <w:rPr>
          <w:noProof/>
          <w:color w:val="000000"/>
          <w:szCs w:val="24"/>
          <w:lang w:eastAsia="en-GB"/>
        </w:rPr>
      </w:pPr>
    </w:p>
    <w:p>
      <w:pPr>
        <w:tabs>
          <w:tab w:val="left" w:pos="2302"/>
        </w:tabs>
        <w:rPr>
          <w:noProof/>
        </w:rPr>
      </w:pPr>
      <w:r>
        <w:rPr>
          <w:noProof/>
        </w:rPr>
        <w:t>In option 2b however, the risks of platforms passing on costs to consumers are far more limited due to i. the specificities of platforms’ business model and ii. the proportionate nature of the option. Consumers are at the core of platforms’ business strategy. They benefit from very competitively priced high-quality products and services. Platforms would not put in question their successful business models without a valid reason to do so. Option 2 would not impact platforms’ business strategies, in line with the third specific objective according to which no undue burden should be put on them. It is proportionate as it is light-touch, targeted and its co-regulatory nature gives sufficient flexibility to industry.</w:t>
      </w:r>
    </w:p>
    <w:p>
      <w:pPr>
        <w:rPr>
          <w:noProof/>
        </w:rPr>
      </w:pPr>
      <w:r>
        <w:rPr>
          <w:noProof/>
        </w:rPr>
        <w:t xml:space="preserve">The expected increase in the number of platforms and businesses active on these platforms would likely lead to increased choice for consumers on online platforms and increased competition among business users for these consumers, thus better prices and quality. At the same time, if the present initiative contributes indeed to increasing the number of successful online platforms, this would also translate into increased search costs for consumers who would spend more time choosing the product and/or service they need. Arguably, the increased number of platforms could result in the appearance of more specialised platforms. This could in turn lead to higher quality products being offered on the market, thus counterbalancing the disadvantage of higher search costs. Finally, even if the growth of the number of business users on platforms is limited, the businesses which are currently present on platforms are still more likely to continue using platforms, thus contributing to maintaining a level of quality and choice for consumers similar to the current one. </w:t>
      </w:r>
    </w:p>
    <w:p>
      <w:pPr>
        <w:rPr>
          <w:noProof/>
        </w:rPr>
      </w:pPr>
      <w:r>
        <w:rPr>
          <w:noProof/>
        </w:rPr>
        <w:t>When analysing impacts on consumers under option 2c, it is important to underline the value added that online general search engines have brought for them – in one-click consumers have access to a huge variety of information, businesses, goods and services. While the ranking transparency obligation does not target "consumer users" (i.e. searchers), a transparency obligation would indirectly contribute to safeguarding and possibly strengthening this positive effect. By prioritising tools like OneBox over organic links online general search engines are not necessarily delivering the most relevant search results on top of the page. A transparency obligation would incentivise search engine operators to be more cautious and transparent in those instances where there a conflict of interest could exist between their own services and competitors' services. This would possibly contribute to a more impartial and pro-competitive outcome for consumers. Given that popularity is an important factor for getting visibility, webpages ranked objectively higher have greater chance of being linked back by a higher number of visitors, which in the longer term could materialise through results of even higher relevance getting better ranking.</w:t>
      </w:r>
    </w:p>
    <w:p>
      <w:pPr>
        <w:tabs>
          <w:tab w:val="left" w:pos="2302"/>
        </w:tabs>
        <w:rPr>
          <w:noProof/>
          <w:sz w:val="22"/>
        </w:rPr>
      </w:pPr>
      <w:r>
        <w:rPr>
          <w:noProof/>
        </w:rPr>
        <w:t>Business-oriented fair practices would also complement consumer protection rules, thus enhancing end-users trust in the platform economy, giving them confidence in buying online thus benefitting from larger cross-border offer. This could support the existing trend of growing consumer trust in e-commerce. More than one in two Europeans now buy online (55% of consumers in 2016</w:t>
      </w:r>
      <w:r>
        <w:rPr>
          <w:noProof/>
          <w:vertAlign w:val="superscript"/>
        </w:rPr>
        <w:footnoteReference w:id="220"/>
      </w:r>
      <w:r>
        <w:rPr>
          <w:noProof/>
        </w:rPr>
        <w:t xml:space="preserve">). Since 2014, consumers' levels of trust have increased by 12 percentage points for purchases from retailers located in the same country (72.4% of consumers are confident buying online in their own country) and by 21 percentage points for purchases from other EU Member States (57.8%). </w:t>
      </w:r>
      <w:r>
        <w:rPr>
          <w:noProof/>
          <w:color w:val="000000" w:themeColor="text1"/>
        </w:rPr>
        <w:t xml:space="preserve">In conclusion, the co-regulatory options' </w:t>
      </w:r>
      <w:r>
        <w:rPr>
          <w:noProof/>
        </w:rPr>
        <w:t>expected impact of widening consumer choice and its expected indirect positive effect on consumer trust mean that it will contribute to the further increase of consumer trust in online markets in the coming years.  Therefore, should one of the co-regulatory options be implemented in four years' time, and given the positive trend in consumer trust in online shopping in recent years, it can be reasonably expected that more than 75% of consumers will be confident buying online in their own country and over 60% cross-border by 2020.</w:t>
      </w:r>
    </w:p>
    <w:p>
      <w:pPr>
        <w:tabs>
          <w:tab w:val="left" w:pos="2302"/>
        </w:tabs>
        <w:rPr>
          <w:noProof/>
        </w:rPr>
      </w:pPr>
      <w:r>
        <w:rPr>
          <w:noProof/>
        </w:rPr>
        <w:t>Option 2d implies some burden on end-users who would be obliged under this option to provide their consent for their email addresses to be shared with platforms' business users. If this translates in less purchases being done on online platforms this could lead to less businesses being present on online platform (especially given the risk of free-riding). This would in turn negatively affect indirect network effects and lead in the long term to reduced consumer choice on online platforms. The latter could however be compensated by an increased choice of products/services offered offline and/or on business own websites.</w:t>
      </w:r>
    </w:p>
    <w:p>
      <w:pPr>
        <w:pStyle w:val="Heading2"/>
        <w:rPr>
          <w:noProof/>
          <w:lang w:eastAsia="en-GB"/>
        </w:rPr>
      </w:pPr>
      <w:bookmarkStart w:id="4232" w:name="_Toc500175463"/>
      <w:bookmarkStart w:id="4233" w:name="_Toc500177914"/>
      <w:bookmarkStart w:id="4234" w:name="_Toc500178931"/>
      <w:bookmarkStart w:id="4235" w:name="_Toc500181615"/>
      <w:bookmarkStart w:id="4236" w:name="_Toc500182073"/>
      <w:bookmarkStart w:id="4237" w:name="_Toc500182831"/>
      <w:bookmarkStart w:id="4238" w:name="_Toc500183984"/>
      <w:bookmarkStart w:id="4239" w:name="_Toc500187187"/>
      <w:bookmarkStart w:id="4240" w:name="_Toc500190642"/>
      <w:bookmarkStart w:id="4241" w:name="_Toc500193669"/>
      <w:bookmarkStart w:id="4242" w:name="_Toc500196111"/>
      <w:bookmarkStart w:id="4243" w:name="_Toc500197207"/>
      <w:bookmarkStart w:id="4244" w:name="_Toc500241364"/>
      <w:bookmarkStart w:id="4245" w:name="_Toc500238707"/>
      <w:bookmarkStart w:id="4246" w:name="_Toc500247055"/>
      <w:bookmarkStart w:id="4247" w:name="_Toc500242291"/>
      <w:bookmarkStart w:id="4248" w:name="_Toc500249947"/>
      <w:bookmarkStart w:id="4249" w:name="_Toc500250272"/>
      <w:bookmarkStart w:id="4250" w:name="_Toc500252948"/>
      <w:bookmarkStart w:id="4251" w:name="_Toc500255632"/>
      <w:bookmarkStart w:id="4252" w:name="_Toc500257405"/>
      <w:bookmarkStart w:id="4253" w:name="_Toc500257849"/>
      <w:bookmarkStart w:id="4254" w:name="_Toc500256842"/>
      <w:bookmarkStart w:id="4255" w:name="_Toc500258814"/>
      <w:bookmarkStart w:id="4256" w:name="_Toc500260097"/>
      <w:bookmarkStart w:id="4257" w:name="_Toc500261360"/>
      <w:bookmarkStart w:id="4258" w:name="_Toc500262990"/>
      <w:bookmarkStart w:id="4259" w:name="_Toc500271371"/>
      <w:bookmarkStart w:id="4260" w:name="_Toc500271941"/>
      <w:bookmarkStart w:id="4261" w:name="_Toc500276437"/>
      <w:bookmarkStart w:id="4262" w:name="_Toc500272784"/>
      <w:bookmarkStart w:id="4263" w:name="_Toc500277746"/>
      <w:bookmarkStart w:id="4264" w:name="_Toc500279135"/>
      <w:bookmarkStart w:id="4265" w:name="_Toc500280273"/>
      <w:bookmarkStart w:id="4266" w:name="_Toc500282074"/>
      <w:bookmarkStart w:id="4267" w:name="_Toc500281076"/>
      <w:bookmarkStart w:id="4268" w:name="_Toc500283433"/>
      <w:bookmarkStart w:id="4269" w:name="_Toc500282499"/>
      <w:bookmarkStart w:id="4270" w:name="_Toc505350073"/>
      <w:bookmarkStart w:id="4271" w:name="_Toc505352132"/>
      <w:bookmarkStart w:id="4272" w:name="_Toc505352452"/>
      <w:bookmarkStart w:id="4273" w:name="_Toc505353059"/>
      <w:bookmarkStart w:id="4274" w:name="_Toc505356018"/>
      <w:bookmarkStart w:id="4275" w:name="_Toc505620781"/>
      <w:bookmarkStart w:id="4276" w:name="_Toc505872659"/>
      <w:bookmarkStart w:id="4277" w:name="_Toc505873383"/>
      <w:bookmarkStart w:id="4278" w:name="_Toc507428492"/>
      <w:bookmarkStart w:id="4279" w:name="_Toc507428921"/>
      <w:bookmarkStart w:id="4280" w:name="_Toc507793753"/>
      <w:bookmarkStart w:id="4281" w:name="_Toc508297472"/>
      <w:bookmarkStart w:id="4282" w:name="_Toc508350234"/>
      <w:bookmarkStart w:id="4283" w:name="_Toc508351671"/>
      <w:bookmarkStart w:id="4284" w:name="_Toc508360085"/>
      <w:bookmarkStart w:id="4285" w:name="_Toc511220580"/>
      <w:bookmarkStart w:id="4286" w:name="_Toc511235025"/>
      <w:bookmarkStart w:id="4287" w:name="_Toc511292938"/>
      <w:r>
        <w:rPr>
          <w:noProof/>
          <w:lang w:eastAsia="en-GB"/>
        </w:rPr>
        <w:t>Environmental impact</w:t>
      </w:r>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p>
    <w:p>
      <w:pPr>
        <w:spacing w:after="0"/>
        <w:rPr>
          <w:noProof/>
          <w:color w:val="000000"/>
        </w:rPr>
      </w:pPr>
      <w:r>
        <w:rPr>
          <w:noProof/>
          <w:color w:val="000000"/>
        </w:rPr>
        <w:t>The co-regulatory options aims at addressing the issues business users have in their relationship with several types of online platforms: e-commerce marketplaces, app stores, online travel agencies, and social media. Transactions on these online platforms, except for the e-commerce marketplaces, do not imply physical delivery, and should therefore have no direct environmental impact of these sectors. In addition, the initiative aims at contributing to releasing the full potential of the digital economy in the EU. A well-functioning digital economy contributes to the development of more innovative technologies and efficient production processes. Digitally-driven economic growth is less resource-extensive due mainly to efficiency gains stemming from innovation. While no clear-cut quantified assessment of the environmental impacts associated with the present initiative is available, it is nonetheless not expected to have a significant detrimental impact on the environment. This is valid for all options retained.</w:t>
      </w:r>
    </w:p>
    <w:p>
      <w:pPr>
        <w:pStyle w:val="Heading2"/>
        <w:rPr>
          <w:noProof/>
          <w:lang w:eastAsia="en-GB"/>
        </w:rPr>
      </w:pPr>
      <w:bookmarkStart w:id="4288" w:name="_Toc500175465"/>
      <w:bookmarkStart w:id="4289" w:name="_Toc500177916"/>
      <w:bookmarkStart w:id="4290" w:name="_Toc500178933"/>
      <w:bookmarkStart w:id="4291" w:name="_Toc500181617"/>
      <w:bookmarkStart w:id="4292" w:name="_Toc500182075"/>
      <w:bookmarkStart w:id="4293" w:name="_Toc500182833"/>
      <w:bookmarkStart w:id="4294" w:name="_Toc500183986"/>
      <w:bookmarkStart w:id="4295" w:name="_Toc500187189"/>
      <w:bookmarkStart w:id="4296" w:name="_Toc500190644"/>
      <w:bookmarkStart w:id="4297" w:name="_Toc500193671"/>
      <w:bookmarkStart w:id="4298" w:name="_Toc500196116"/>
      <w:bookmarkStart w:id="4299" w:name="_Toc500197212"/>
      <w:bookmarkStart w:id="4300" w:name="_Toc500241369"/>
      <w:bookmarkStart w:id="4301" w:name="_Toc500238766"/>
      <w:bookmarkStart w:id="4302" w:name="_Toc500247060"/>
      <w:bookmarkStart w:id="4303" w:name="_Toc500242324"/>
      <w:bookmarkStart w:id="4304" w:name="_Toc500252953"/>
      <w:bookmarkStart w:id="4305" w:name="_Toc500255637"/>
      <w:bookmarkStart w:id="4306" w:name="_Toc500257410"/>
      <w:bookmarkStart w:id="4307" w:name="_Toc500257854"/>
      <w:bookmarkStart w:id="4308" w:name="_Toc500256847"/>
      <w:bookmarkStart w:id="4309" w:name="_Toc500258819"/>
      <w:bookmarkStart w:id="4310" w:name="_Toc500260102"/>
      <w:bookmarkStart w:id="4311" w:name="_Toc500261365"/>
      <w:bookmarkStart w:id="4312" w:name="_Toc500262995"/>
      <w:bookmarkStart w:id="4313" w:name="_Toc500271376"/>
      <w:bookmarkStart w:id="4314" w:name="_Toc500271946"/>
      <w:bookmarkStart w:id="4315" w:name="_Toc500276442"/>
      <w:bookmarkStart w:id="4316" w:name="_Toc500272793"/>
      <w:bookmarkStart w:id="4317" w:name="_Toc500277751"/>
      <w:bookmarkStart w:id="4318" w:name="_Toc500279140"/>
      <w:bookmarkStart w:id="4319" w:name="_Toc500280278"/>
      <w:bookmarkStart w:id="4320" w:name="_Toc500282079"/>
      <w:bookmarkStart w:id="4321" w:name="_Toc500281086"/>
      <w:bookmarkStart w:id="4322" w:name="_Toc500283434"/>
      <w:bookmarkStart w:id="4323" w:name="_Toc500282500"/>
      <w:bookmarkStart w:id="4324" w:name="_Toc505350074"/>
      <w:bookmarkStart w:id="4325" w:name="_Toc505352133"/>
      <w:bookmarkStart w:id="4326" w:name="_Toc505352453"/>
      <w:bookmarkStart w:id="4327" w:name="_Toc505353060"/>
      <w:bookmarkStart w:id="4328" w:name="_Toc505356019"/>
      <w:bookmarkStart w:id="4329" w:name="_Toc505620782"/>
      <w:bookmarkStart w:id="4330" w:name="_Toc505872660"/>
      <w:bookmarkStart w:id="4331" w:name="_Toc505873384"/>
      <w:bookmarkStart w:id="4332" w:name="_Toc507428493"/>
      <w:bookmarkStart w:id="4333" w:name="_Toc507428922"/>
      <w:bookmarkStart w:id="4334" w:name="_Toc507793754"/>
      <w:bookmarkStart w:id="4335" w:name="_Toc508297473"/>
      <w:bookmarkStart w:id="4336" w:name="_Toc508350235"/>
      <w:bookmarkStart w:id="4337" w:name="_Toc508351672"/>
      <w:bookmarkStart w:id="4338" w:name="_Toc508360086"/>
      <w:bookmarkStart w:id="4339" w:name="_Toc511220581"/>
      <w:bookmarkStart w:id="4340" w:name="_Toc511235026"/>
      <w:bookmarkStart w:id="4341" w:name="_Toc511292939"/>
      <w:r>
        <w:rPr>
          <w:noProof/>
          <w:lang w:eastAsia="en-GB"/>
        </w:rPr>
        <w:t>Impact on fundamental rights</w:t>
      </w:r>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p>
    <w:p>
      <w:pPr>
        <w:rPr>
          <w:noProof/>
        </w:rPr>
      </w:pPr>
      <w:r>
        <w:rPr>
          <w:noProof/>
          <w:lang w:val="en-US"/>
        </w:rPr>
        <w:t xml:space="preserve">All co-regulatory options fully comply with the Charter of Fundamental Rights ("CFR"), in particular with Articles 8, 16 and 47 CFR. The rationale behind this initiative is to establish a more balanced commercial relationship, while ensuring that platforms maintain full discretion over their business concepts. All retained options are designed in a way that the right to conduct a business, pursuant to Article 16 CFR, is preserved </w:t>
      </w:r>
      <w:r>
        <w:rPr>
          <w:noProof/>
        </w:rPr>
        <w:t xml:space="preserve">fairly on both sides at a similar level. Important to note in this regard is that one of the problem drivers is a dependency-induced imbalance in bargaining power which can unduly restrict the contractual freedom of business users. In such cases, there is, arguably, a failure of the market to maintain the freedom to contract and therefore a lack of respect for Article 16 CFR. The legal transparency obligations foreseen under options 2a, 2b, 2c and 2d therefore apply strictly to situations where general terms and conditions are unilaterally imposed by online platforms on their business users. </w:t>
      </w:r>
    </w:p>
    <w:p>
      <w:pPr>
        <w:rPr>
          <w:noProof/>
        </w:rPr>
      </w:pPr>
      <w:r>
        <w:rPr>
          <w:noProof/>
        </w:rPr>
        <w:t xml:space="preserve">Different from policy option 2a, the policy options 2b, 2c and 2d include legal transparency obligations on technically more complex and fast-changing issues such as ranking. As described in section 6.2.1, these options therefore imply a relatively more pronounced risk of legal uncertainty for online platforms, which should however be alleviated by the co-regulatory design that uses technologically-neutral legal principles to be implemented by industry. All of the above options would therefore appropriately balance the fundamental rights concerned, by improving respect for business users' freedom to contract while safeguarding online platforms' right to legal certainty. </w:t>
      </w:r>
    </w:p>
    <w:p>
      <w:pPr>
        <w:rPr>
          <w:noProof/>
        </w:rPr>
      </w:pPr>
      <w:r>
        <w:rPr>
          <w:noProof/>
        </w:rPr>
        <w:t>In relation to providers of online general search engines, policy option 2c addresses a single trading practice that is capable of yielding significant dependency-induced harm, even outside a formal contractual relationship. The relevant legal transparency obligation on ranking in online general search will moreover allow the relevant providers to build on existing examples of transparency provided to their users. The narrow scope and limited cost of policy option 2c thereby respects the right of providers of online general search engines to conduct their business. It should at the same time improve the predictability for business users whose websites depend for a large share of Internet traffic on online general search engines, in light of potential unilateral ranking practices that can negatively impact their freedom to conduct a business.</w:t>
      </w:r>
    </w:p>
    <w:p>
      <w:pPr>
        <w:rPr>
          <w:noProof/>
          <w:lang w:val="en-US"/>
        </w:rPr>
      </w:pPr>
      <w:r>
        <w:rPr>
          <w:noProof/>
          <w:lang w:val="en-US"/>
        </w:rPr>
        <w:t xml:space="preserve">The co-regulatory options also comply with the right of access to justice laid down in Article 47 CFR. The various policy options will namely establish mandatory EU rules enforceable by business representative organisations. This will ensure that existing barriers to accessing justice for business users of online platforms, which take the form of an important fear of retaliation combined with the need to litigate across borders – frequently outside the EU, are lowered. The legal obligations for online platform providers to establish an effective internal complaint-handling mechanism and to engage in good faith in mediation should at the same time limit the need for lengthy and costly court proceedings – while leaving both online platforms and business users entirely free to actually instigate such court proceedings at any time. The objective of creating an efficient redress facilitating EU business users' access to redress also does not interfere with platforms' contractual freedom to determine relevant courts and legal regimes for contractual issues. All co-regulatory policy options will therefore serve to reinforce the respect for Article 47 CFR.    </w:t>
      </w:r>
    </w:p>
    <w:p>
      <w:pPr>
        <w:autoSpaceDE w:val="0"/>
        <w:autoSpaceDN w:val="0"/>
        <w:adjustRightInd w:val="0"/>
        <w:spacing w:after="0"/>
        <w:rPr>
          <w:noProof/>
          <w:color w:val="000000"/>
          <w:szCs w:val="24"/>
          <w:lang w:eastAsia="en-GB"/>
        </w:rPr>
      </w:pPr>
      <w:r>
        <w:rPr>
          <w:noProof/>
          <w:color w:val="000000"/>
          <w:szCs w:val="24"/>
          <w:lang w:val="en-US" w:eastAsia="en-GB"/>
        </w:rPr>
        <w:t xml:space="preserve">Compliance with Article 8 CFR is ensured by the fact that all the respective options have been envisaged only provided that they conform to the provisions of the General Data Protection Regulation (2016/679/EU). Thereby, the high degree of data protection for European citizens as stipulated under Article 8 CFR is safeguarded. </w:t>
      </w:r>
      <w:r>
        <w:rPr>
          <w:noProof/>
          <w:color w:val="000000"/>
          <w:szCs w:val="24"/>
          <w:lang w:eastAsia="en-GB"/>
        </w:rPr>
        <w:t>As regards GDPR, option 2d adds a legal obligation for platforms to give business users the opportunity to ask for customers' consent to obtain and process their e-mail addresses after the completion of a transaction and the payment of the commission to the respective platform. In its implementation, this measure will be carried out in full compliance with the GDPR – including the provisions regarding taking up the roles of data controller and data processor by the platforms. At the same time, different from policy options 2b and 2c, the data sharing obligation foreseen under this option involves a risk that business users circumvent the platform, thereby disrupting the latter's business model. This data sharing obligation therefore risks negatively impacting the right of online platforms to conduct their business, by failing to achieve an appropriate balance between this right of platform and the corresponding right of business users.</w:t>
      </w:r>
    </w:p>
    <w:p>
      <w:pPr>
        <w:tabs>
          <w:tab w:val="left" w:pos="2302"/>
        </w:tabs>
        <w:spacing w:after="0"/>
        <w:rPr>
          <w:noProof/>
        </w:rPr>
      </w:pPr>
    </w:p>
    <w:p>
      <w:pPr>
        <w:pStyle w:val="Heading2"/>
        <w:rPr>
          <w:noProof/>
          <w:lang w:eastAsia="en-GB"/>
        </w:rPr>
      </w:pPr>
      <w:bookmarkStart w:id="4342" w:name="_Toc500197213"/>
      <w:bookmarkStart w:id="4343" w:name="_Toc500241370"/>
      <w:bookmarkStart w:id="4344" w:name="_Toc500238768"/>
      <w:bookmarkStart w:id="4345" w:name="_Toc500247061"/>
      <w:bookmarkStart w:id="4346" w:name="_Toc500242325"/>
      <w:bookmarkStart w:id="4347" w:name="_Toc500252954"/>
      <w:bookmarkStart w:id="4348" w:name="_Toc500255638"/>
      <w:bookmarkStart w:id="4349" w:name="_Toc500257411"/>
      <w:bookmarkStart w:id="4350" w:name="_Toc500257855"/>
      <w:bookmarkStart w:id="4351" w:name="_Toc500256849"/>
      <w:bookmarkStart w:id="4352" w:name="_Toc500258820"/>
      <w:bookmarkStart w:id="4353" w:name="_Toc500260103"/>
      <w:bookmarkStart w:id="4354" w:name="_Toc500261366"/>
      <w:bookmarkStart w:id="4355" w:name="_Toc500262996"/>
      <w:bookmarkStart w:id="4356" w:name="_Toc500271377"/>
      <w:bookmarkStart w:id="4357" w:name="_Toc500271947"/>
      <w:bookmarkStart w:id="4358" w:name="_Toc500276443"/>
      <w:bookmarkStart w:id="4359" w:name="_Toc500272794"/>
      <w:bookmarkStart w:id="4360" w:name="_Toc500277752"/>
      <w:bookmarkStart w:id="4361" w:name="_Toc500279141"/>
      <w:bookmarkStart w:id="4362" w:name="_Toc500280279"/>
      <w:bookmarkStart w:id="4363" w:name="_Toc500282080"/>
      <w:bookmarkStart w:id="4364" w:name="_Toc500281087"/>
      <w:bookmarkStart w:id="4365" w:name="_Toc500283435"/>
      <w:bookmarkStart w:id="4366" w:name="_Toc500282501"/>
      <w:bookmarkStart w:id="4367" w:name="_Toc505350075"/>
      <w:bookmarkStart w:id="4368" w:name="_Toc505352134"/>
      <w:bookmarkStart w:id="4369" w:name="_Toc505352454"/>
      <w:bookmarkStart w:id="4370" w:name="_Toc505353061"/>
      <w:bookmarkStart w:id="4371" w:name="_Toc505356020"/>
      <w:bookmarkStart w:id="4372" w:name="_Toc505620783"/>
      <w:bookmarkStart w:id="4373" w:name="_Toc505872661"/>
      <w:bookmarkStart w:id="4374" w:name="_Toc505873385"/>
      <w:bookmarkStart w:id="4375" w:name="_Toc507428494"/>
      <w:bookmarkStart w:id="4376" w:name="_Toc507428923"/>
      <w:bookmarkStart w:id="4377" w:name="_Toc507793755"/>
      <w:bookmarkStart w:id="4378" w:name="_Toc508297474"/>
      <w:bookmarkStart w:id="4379" w:name="_Toc508350236"/>
      <w:bookmarkStart w:id="4380" w:name="_Toc508351673"/>
      <w:bookmarkStart w:id="4381" w:name="_Toc508360087"/>
      <w:bookmarkStart w:id="4382" w:name="_Toc511220582"/>
      <w:bookmarkStart w:id="4383" w:name="_Toc511235027"/>
      <w:bookmarkStart w:id="4384" w:name="_Toc511292940"/>
      <w:r>
        <w:rPr>
          <w:noProof/>
          <w:lang w:eastAsia="en-GB"/>
        </w:rPr>
        <w:t>Summary</w:t>
      </w:r>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p>
    <w:p>
      <w:pPr>
        <w:tabs>
          <w:tab w:val="left" w:pos="2302"/>
        </w:tabs>
        <w:rPr>
          <w:noProof/>
          <w:lang w:eastAsia="en-GB"/>
        </w:rPr>
      </w:pPr>
      <w:r>
        <w:rPr>
          <w:noProof/>
          <w:lang w:eastAsia="en-GB"/>
        </w:rPr>
        <w:t>All co-regulatory options have features that could impact the functioning of the online platform economy, for instance by increasing regulatory costs which potentially could be passed on to consumers, or limit access to online platforms. Such unintended impacts have been analysed and are expected to be limited by the additional growth and competition which will result from the increased legal certainty and possibilities for redress created by the instrument proposed. Nonetheless, certain features of option 2d create significant risks for the platforms business model. The impacts of the four options are summarised below.</w:t>
      </w:r>
    </w:p>
    <w:p>
      <w:pPr>
        <w:keepNext/>
        <w:spacing w:before="120" w:after="120"/>
        <w:jc w:val="center"/>
        <w:rPr>
          <w:b/>
          <w:noProof/>
          <w:szCs w:val="24"/>
        </w:rPr>
      </w:pPr>
      <w:r>
        <w:rPr>
          <w:b/>
          <w:noProof/>
          <w:szCs w:val="24"/>
        </w:rPr>
        <w:t>Table 5: Summary of impacts of retained options</w:t>
      </w:r>
    </w:p>
    <w:tbl>
      <w:tblPr>
        <w:tblStyle w:val="TableGrid5"/>
        <w:tblW w:w="9228" w:type="dxa"/>
        <w:tblLook w:val="04A0" w:firstRow="1" w:lastRow="0" w:firstColumn="1" w:lastColumn="0" w:noHBand="0" w:noVBand="1"/>
      </w:tblPr>
      <w:tblGrid>
        <w:gridCol w:w="1916"/>
        <w:gridCol w:w="1680"/>
        <w:gridCol w:w="1987"/>
        <w:gridCol w:w="1658"/>
        <w:gridCol w:w="1987"/>
      </w:tblGrid>
      <w:tr>
        <w:trPr>
          <w:trHeight w:val="488"/>
        </w:trPr>
        <w:tc>
          <w:tcPr>
            <w:tcW w:w="1916" w:type="dxa"/>
          </w:tcPr>
          <w:p>
            <w:pPr>
              <w:tabs>
                <w:tab w:val="left" w:pos="2302"/>
              </w:tabs>
              <w:jc w:val="center"/>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Type of impact</w:t>
            </w:r>
          </w:p>
        </w:tc>
        <w:tc>
          <w:tcPr>
            <w:tcW w:w="1680" w:type="dxa"/>
          </w:tcPr>
          <w:p>
            <w:pPr>
              <w:tabs>
                <w:tab w:val="left" w:pos="2302"/>
              </w:tabs>
              <w:jc w:val="center"/>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Option 2a</w:t>
            </w:r>
          </w:p>
        </w:tc>
        <w:tc>
          <w:tcPr>
            <w:tcW w:w="1987" w:type="dxa"/>
          </w:tcPr>
          <w:p>
            <w:pPr>
              <w:tabs>
                <w:tab w:val="left" w:pos="2302"/>
              </w:tabs>
              <w:jc w:val="center"/>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Option 2b</w:t>
            </w:r>
          </w:p>
        </w:tc>
        <w:tc>
          <w:tcPr>
            <w:tcW w:w="1658" w:type="dxa"/>
          </w:tcPr>
          <w:p>
            <w:pPr>
              <w:tabs>
                <w:tab w:val="left" w:pos="2302"/>
              </w:tabs>
              <w:jc w:val="center"/>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Option 2c</w:t>
            </w:r>
          </w:p>
        </w:tc>
        <w:tc>
          <w:tcPr>
            <w:tcW w:w="1987" w:type="dxa"/>
          </w:tcPr>
          <w:p>
            <w:pPr>
              <w:tabs>
                <w:tab w:val="left" w:pos="2302"/>
              </w:tabs>
              <w:jc w:val="center"/>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Option 2d</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Internal market fragmentation</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Neutral to positive: legal transparency and redress measures will increase legal certainty. However, with various high-impact trading practices being left to self-regulation (ranking, data, discrimination, MFNs), this options may not prevent direct harm to businesses. The effect of EU monitoring / pushing reputational levers will also be less pronounced in the absence of legal transparency obligations on all high-impact trading practices. The risk of fragmentation thus remains large since national authorities would continue intervening to solve existing imbalances. </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reduced need to intervene at national level to resolve them. The new rules together with the EU observatory will help allow building a common EU understanding of what issues are, thus also allowing for more consistent regulatory approaches when such are deemed necessary at national level.</w:t>
            </w:r>
          </w:p>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 </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As in option 2b: transparency and redress measures will increase legal certainty, and monitoring tools will help limit further fragmentation.</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As in previous options 2b and 2c: transparency and redress measures will increase legal certainty, and monitoring tools will help limit further fragmentation.</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Growth</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 to positive: increase in trust in the platform environment will support growth in sales, while limited legal obligations represent minimal compliance costs. Leaving high-profile issues such as ranking, data, discrimination and MFNs to self-regulation can however undermine some of the trust-building effect of the legal measures on terms &amp; conditions, delisting and redress, following increasing awareness and concern among businesses.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increase in trust in the platform environment will support growth in sales realised on online platforms. This impact, positive both for platforms and business users would contribute to mitigating possible impact of compliance costs. The expected growth of the platform economy in conjunction with foreseen growth of online activities could be expected to contribute to digital growth within the internal market.</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Positive impacts as in Option 2b, extended also to the online general search environment. </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Uncertain: risk of free-riding by business users limits positive impact on sales realised on online platforms. While growth in the online intermediation could be suboptimal, it could possibly be compensated to some extent by growth in online sales on business users' own websites.</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Platforms</w:t>
            </w:r>
          </w:p>
          <w:p>
            <w:pPr>
              <w:tabs>
                <w:tab w:val="left" w:pos="2302"/>
              </w:tabs>
              <w:rPr>
                <w:rFonts w:asciiTheme="minorHAnsi" w:eastAsiaTheme="minorHAnsi" w:hAnsiTheme="minorHAnsi" w:cstheme="minorBidi"/>
                <w:b/>
                <w:noProof/>
                <w:sz w:val="20"/>
                <w:szCs w:val="22"/>
                <w:lang w:eastAsia="en-GB"/>
              </w:rPr>
            </w:pPr>
          </w:p>
        </w:tc>
        <w:tc>
          <w:tcPr>
            <w:tcW w:w="1680" w:type="dxa"/>
          </w:tcPr>
          <w:p>
            <w:pPr>
              <w:tabs>
                <w:tab w:val="left" w:pos="2302"/>
              </w:tabs>
              <w:rPr>
                <w:rFonts w:asciiTheme="minorHAnsi" w:eastAsiaTheme="minorHAnsi" w:hAnsiTheme="minorHAnsi" w:cstheme="minorBidi"/>
                <w:noProof/>
                <w:sz w:val="20"/>
                <w:szCs w:val="22"/>
              </w:rPr>
            </w:pPr>
            <w:r>
              <w:rPr>
                <w:rFonts w:asciiTheme="minorHAnsi" w:eastAsiaTheme="minorHAnsi" w:hAnsiTheme="minorHAnsi" w:cstheme="minorBidi"/>
                <w:noProof/>
                <w:sz w:val="20"/>
                <w:szCs w:val="22"/>
                <w:lang w:eastAsia="en-GB"/>
              </w:rPr>
              <w:t>Minimal costs: The legal transparency obligations on terms and conditions and delisting imply only limited costs for platforms while allowing them to benefit from increased trust.</w:t>
            </w:r>
          </w:p>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Smaller platforms are exempted from the most burdensome internal redress mechanism obligation. The two-step approach will ensure that thresholds are adapted if needed to respond to the evolution of the fast-changing platform economy. Threshold for small platforms will support emergence of new players.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Limited costs: the impacts of 2a are also valid here. The extension of the legally binding nature of the requirements to all areas of issues would create some additional one-off and running costs as compared to 2a. These costs remain limited to ensure the effectiveness of the obligations and exempt small platforms from disproportionate burden (possibility for thresholds to be reviewed in a second step). The limited regulatory costs are expected to be outweighed by the increased growth opportunities for platforms (more sales would also translate in increased commissions for platforms) created by positive indirect network effects. Small platforms can benefit from appropriate thresholds to grow. A clear and predictable regulatory environment would also support emergence of new players.</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Limited costs: the extension of the ranking transparency requirement and parts of redress would create some limited costs for online general search engines. The additional trust for search engines which would result from the initiative is expected to counterbalance the limited costs.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Negative to neutral: While thresholds may help small platforms to develop new business models, this option may impact platforms' business strategies. It does imply relatively high costs for platforms without creating benefits to compensate for costs.</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Business users</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proposed measure, while not binding for all issues, would offer a higher quality experience for business users.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Business users would benefit from greater predictability. Clarity of platforms' policies and improved access to redress would allow businesses to better grasp the innovation and business opportunities offered by online intermediaries. Business users' sales would grow as a result from their increased trust in the platform economy and stemming strengthened network effects.</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In addition to benefits identified under option 2a, businesses would be able to develop better informed search optimisation strategies. This would be particularly beneficial for SMEs and enterprises with no or emerging online presence.</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to neutral: In addition to benefits under option 2c, option 2d would allow business users to expand their customer base. Potentially negative effects are however not to be excluded in the longer term if platforms' environment dynamics change as a result of option 2d's impact on platforms' business strategies.</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Public administrations</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Limited costs: legal obligations require mostly one-off implementation and are easy to monitor. Moreover, instead of relying on public enforcement that would have to be financed by national or EU administrations, the co-regulatory design of this policy option foresees private litigation by representative associations and therefore implies no additional costs. Finally, the Commission will bear the costs of EU Observatory and portal.</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As Option 2a. </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As Option 2a.</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As option 2a.</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Employment and Social impact</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 to positive: growth of the platform economy will contribute to maintaining the 4.7 million jobs created by business users of platforms.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Positive: as in option 2b but the maintaining effect on employment could be expected to be stronger due to the additional incentives provided by the legal character of transparency measures for all six issues. Expected positive social impact. </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As option 2b, option 2c could be expected to lead to increased employment opportunities for businesses dependent on online platforms and on general search engines. Should the positive effect be more limited than expected, option 2c would contribute to maintaining existing jobs.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Uncertain: impact would depend on whether the immediate effect of possible increase in number of jobs by business users would outweigh possible job cuts. The latter would be due to potential decrease in business opportunities in the platform economy as a result of option 2d – related obligations.</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Innovation</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 to positive: any action injecting trust would increase sales, thus creating revenues for innovation. However, as with the foreseen impact on growth, the limited scope of the legal transparency obligations can undermine some of the trust-building effect of the intervention and thereby limit the positive impact on innovation.</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growth of sales will create revenues for innovation both for platforms and business users.</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Positive: Better insight in ranking policies could help business users grasp innovation opportunities offered online. </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Negative: may interfere with platforms' ability to develop new data-driven services and products. This could in turn reduce innovation opportunities offered to business users.</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Competitiveness</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 to positive: costs will be particularly limited and price-competitiveness therefore unaffected; innovation could increase and support international competitiveness.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competitiveness would be reinforced through the enhanced incentives for platforms to compete on the basis of greater transparency and increased quality of service. Positive impact on trust and presumably growth of the sector would support international competitiveness through increased innovation opportunities for business users and platforms. Start-up and small platforms could use increased transparency and redress standards (incentivised through the measure) to build a competitive advantage.</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As in option 2b. In addition, if greater insight in SEO leads businesses to access new markets and embrace innovation (cf. above) this could translate in strengthened positive impact on competitiveness.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Negative to neutral: limited impact on price-competitiveness but negative impact on innovation and international competitiveness.</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Competition</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the mandatory transparency provides additional competitive parameters for start-up platform companies. Even small increases in user trust will equally support the growth of existing platforms as well as the emergence of startup platforms.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expansion of user base will support emergence of new, small platforms.</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Increased pro-competitive effect among platforms through enhanced transparency. Potential indirect effect: competition among business users could potentially increase due to greater insight in ranking policies.</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Negative to neutral: as for option 2c but the business model of platforms may be impacted by sharing of data, which makes the effect uncertain on inter-platform competition. Uncertainty is also true for business- and end- users – the potential positive effect expected could be counteracted by consumers concluding fewer transactions because of the increased burden to prior respond to email sharing requests.</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Consumers</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 to positive: linked to growth, the limited scope of the legal transparency obligations can undermine some of the trust-building effect of the intervention and thereby limit the positive impact on consumer choice.</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improved P2B relations will allow maintaining and possibly increasing consumers' choice in terms of quality goods and services offered at a competitive price. Legal transparency obligation on ranking combined with EU monitoring may in addition have particularly important indirect positive effect for consumers that will be able to make more informed purchasing decisions.</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Positive indirect effect: could contribute to a more impartial, pro-competitive outcome in the form of higher relevance results being more easily identifiable.</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Uncertain: sharing of data is a direct burden for consumers. If considered too heavy by them, the email-related obligation may result in reduced purchase on online platforms. This could negatively affect indirect network effects and lead in the long term to reduced consumer choice.</w:t>
            </w:r>
          </w:p>
        </w:tc>
      </w:tr>
      <w:t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Environment</w:t>
            </w:r>
          </w:p>
        </w:tc>
        <w:tc>
          <w:tcPr>
            <w:tcW w:w="1680"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Neutral</w:t>
            </w:r>
          </w:p>
        </w:tc>
      </w:tr>
      <w:tr>
        <w:trPr>
          <w:trHeight w:val="177"/>
        </w:trPr>
        <w:tc>
          <w:tcPr>
            <w:tcW w:w="1916" w:type="dxa"/>
          </w:tcPr>
          <w:p>
            <w:pPr>
              <w:tabs>
                <w:tab w:val="left" w:pos="2302"/>
              </w:tabs>
              <w:rPr>
                <w:rFonts w:asciiTheme="minorHAnsi" w:eastAsiaTheme="minorHAnsi" w:hAnsiTheme="minorHAnsi" w:cstheme="minorBidi"/>
                <w:b/>
                <w:noProof/>
                <w:sz w:val="20"/>
                <w:szCs w:val="22"/>
                <w:lang w:eastAsia="en-GB"/>
              </w:rPr>
            </w:pPr>
            <w:r>
              <w:rPr>
                <w:rFonts w:asciiTheme="minorHAnsi" w:eastAsiaTheme="minorHAnsi" w:hAnsiTheme="minorHAnsi" w:cstheme="minorBidi"/>
                <w:b/>
                <w:noProof/>
                <w:sz w:val="20"/>
                <w:szCs w:val="22"/>
                <w:lang w:eastAsia="en-GB"/>
              </w:rPr>
              <w:t>Fundamental rights</w:t>
            </w:r>
          </w:p>
        </w:tc>
        <w:tc>
          <w:tcPr>
            <w:tcW w:w="1680" w:type="dxa"/>
          </w:tcPr>
          <w:p>
            <w:pPr>
              <w:tabs>
                <w:tab w:val="left" w:pos="2302"/>
              </w:tabs>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The legal transparency and redress measures will help safeguard the freedom to contract (to conduct a business), by improving the situation for businesses without affecting online platforms' freedom to determine their business concepts implemented in general terms and conditions. These measures will also improve the right of access to justice for business users, by addressing importing barriers to accessing cross-border justice. </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Legal measures on technically complex issues such as ranking imply some risk of legal uncertainty for online platforms, which should however be alleviated by the co-regulatory design that uses technologically neutral legal principles to be implemented by industry. These measures combined with the legal redress measures at the same time ensure the appropriate respect for business users' freedom to contract as well as for their right of access to justice.</w:t>
            </w:r>
          </w:p>
        </w:tc>
        <w:tc>
          <w:tcPr>
            <w:tcW w:w="1658"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The targeted legal transparency obligation on ranking in online general search strengthens the positive impact of policy options 2a and 2b on business users' right to conduct their business, while leaving the corresponding right of providers of online general search engines unaffected.</w:t>
            </w:r>
          </w:p>
        </w:tc>
        <w:tc>
          <w:tcPr>
            <w:tcW w:w="1987" w:type="dxa"/>
          </w:tcPr>
          <w:p>
            <w:pPr>
              <w:tabs>
                <w:tab w:val="left" w:pos="2302"/>
              </w:tabs>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Article 8 CFR is safeguarded, as compliance with GDPR would be ensured. The data sharing obligation however risks negatively affecting online platforms' freedom to conduct a business.</w:t>
            </w:r>
          </w:p>
        </w:tc>
      </w:tr>
    </w:tbl>
    <w:p>
      <w:pPr>
        <w:rPr>
          <w:noProof/>
        </w:rPr>
      </w:pPr>
    </w:p>
    <w:sectPr>
      <w:headerReference w:type="even" r:id="rId63"/>
      <w:headerReference w:type="default" r:id="rId64"/>
      <w:footerReference w:type="even" r:id="rId65"/>
      <w:footerReference w:type="default" r:id="rId66"/>
      <w:headerReference w:type="first" r:id="rId67"/>
      <w:footerReference w:type="first" r:id="rId6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2"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6858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23483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123</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68789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160</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754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5411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 xml:space="preserve"> </w:t>
      </w:r>
      <w:r>
        <w:tab/>
        <w:t>"giving effect to the agreement would lead to a manifest injustice or would be manifestly contrary to the public policy of the State of the court seized".</w:t>
      </w:r>
    </w:p>
  </w:footnote>
  <w:footnote w:id="3">
    <w:p>
      <w:pPr>
        <w:pStyle w:val="FootnoteText"/>
        <w:spacing w:after="0"/>
        <w:ind w:left="284" w:hanging="284"/>
        <w:jc w:val="left"/>
      </w:pPr>
      <w:r>
        <w:rPr>
          <w:rStyle w:val="FootnoteReference"/>
        </w:rPr>
        <w:footnoteRef/>
      </w:r>
      <w:r>
        <w:t xml:space="preserve"> </w:t>
      </w:r>
      <w:r>
        <w:tab/>
        <w:t>"Overriding mandatory provisions are provisions the respect for which is regarded as crucial by a country for safeguarding its public interests, such as its political, social or economic organisation, to such an extent that they are applicable to any situation falling within their scope, irrespective of the law otherwise applicable to the contract under this Regulation".</w:t>
      </w:r>
    </w:p>
  </w:footnote>
  <w:footnote w:id="4">
    <w:p>
      <w:pPr>
        <w:pStyle w:val="FootnoteText"/>
        <w:spacing w:after="0"/>
        <w:ind w:left="284" w:hanging="284"/>
      </w:pPr>
      <w:r>
        <w:rPr>
          <w:rStyle w:val="FootnoteReference"/>
        </w:rPr>
        <w:footnoteRef/>
      </w:r>
      <w:r>
        <w:t xml:space="preserve"> </w:t>
      </w:r>
      <w:r>
        <w:tab/>
        <w:t>Court of Justice of 12 June 2014, Intel –v- Commission (T-289/09) at paragraphs 243 and 244, confirmed in the judgment of the Court (Grand Chamber) of 6 September 2017 in case C-413/14, and of the Court of Justice of 9 November 2000, Ingmar (C-381/98), paragraph 25.</w:t>
      </w:r>
    </w:p>
  </w:footnote>
  <w:footnote w:id="5">
    <w:p>
      <w:pPr>
        <w:pStyle w:val="FootnoteText"/>
        <w:spacing w:after="0"/>
        <w:ind w:left="284" w:hanging="284"/>
      </w:pPr>
      <w:r>
        <w:rPr>
          <w:rStyle w:val="FootnoteReference"/>
        </w:rPr>
        <w:footnoteRef/>
      </w:r>
      <w:r>
        <w:t xml:space="preserve"> </w:t>
      </w:r>
      <w:r>
        <w:tab/>
        <w:t>Study on Residual Jurisdiction (Review of the Member States’ Rules concerning the “Residual Jurisdiction” of their courts in Civil and Commercial Matters pursuant to the Brussels I and II Regulations), Service Contract JLS/C4/2005/07-30-CE)0040309/00-37, General Report (final version dated 3 September 2007) prepared by Prof. Arnaud Nuyts, Liederkerke, Wolters, Waelbroek, Kirkpatrick in collaboration with Katarzyna Szychowska, Unit for Private International Law, Universite Libre de Bruxelles).</w:t>
      </w:r>
    </w:p>
  </w:footnote>
  <w:footnote w:id="6">
    <w:p>
      <w:pPr>
        <w:pStyle w:val="FootnoteText"/>
        <w:spacing w:after="0"/>
        <w:ind w:left="284" w:hanging="284"/>
      </w:pPr>
      <w:r>
        <w:rPr>
          <w:rStyle w:val="FootnoteReference"/>
        </w:rPr>
        <w:footnoteRef/>
      </w:r>
      <w:r>
        <w:t xml:space="preserve"> </w:t>
      </w:r>
      <w:r>
        <w:tab/>
        <w:t>Report from the Commission on the implementation of the Commission Recommendation of 11 June 2013 on common principles for injunctive and compensatory collective redress mechanisms in the Members States concerning violations of rights granted under Union Law (2013/369/EU) (forthcoming).</w:t>
      </w:r>
    </w:p>
  </w:footnote>
  <w:footnote w:id="7">
    <w:p>
      <w:pPr>
        <w:pStyle w:val="FootnoteText"/>
        <w:ind w:left="284" w:hanging="284"/>
        <w:contextualSpacing/>
      </w:pPr>
      <w:r>
        <w:rPr>
          <w:rStyle w:val="FootnoteReference"/>
        </w:rPr>
        <w:footnoteRef/>
      </w:r>
      <w:r>
        <w:t xml:space="preserve">  </w:t>
      </w:r>
      <w:r>
        <w:tab/>
        <w:t>Legal Study on unfair commercial practices within B2B e-markets, ENTR/04/69 of May 2006.</w:t>
      </w:r>
    </w:p>
  </w:footnote>
  <w:footnote w:id="8">
    <w:p>
      <w:pPr>
        <w:pStyle w:val="FootnoteText"/>
        <w:ind w:left="284" w:hanging="284"/>
        <w:contextualSpacing/>
      </w:pPr>
      <w:r>
        <w:rPr>
          <w:rStyle w:val="FootnoteReference"/>
        </w:rPr>
        <w:footnoteRef/>
      </w:r>
      <w:r>
        <w:t xml:space="preserve"> </w:t>
      </w:r>
      <w:r>
        <w:tab/>
        <w:t>Definition refers to the European Commission's proposal for a Directive establishing the Electronic Communications Code.</w:t>
      </w:r>
    </w:p>
  </w:footnote>
  <w:footnote w:id="9">
    <w:p>
      <w:pPr>
        <w:pStyle w:val="FootnoteText"/>
        <w:ind w:left="284" w:hanging="284"/>
        <w:contextualSpacing/>
      </w:pPr>
      <w:r>
        <w:rPr>
          <w:rStyle w:val="FootnoteReference"/>
        </w:rPr>
        <w:footnoteRef/>
      </w:r>
      <w:r>
        <w:t xml:space="preserve"> </w:t>
      </w:r>
      <w:r>
        <w:tab/>
        <w:t>For example, Amazon hosts thousands of voice-activated and delivered software applications ("Skills") as part of its Alexa voice service.</w:t>
      </w:r>
    </w:p>
  </w:footnote>
  <w:footnote w:id="10">
    <w:p>
      <w:pPr>
        <w:pStyle w:val="FootnoteText"/>
        <w:ind w:left="284" w:hanging="284"/>
        <w:contextualSpacing/>
      </w:pPr>
      <w:r>
        <w:rPr>
          <w:rStyle w:val="FootnoteReference"/>
        </w:rPr>
        <w:footnoteRef/>
      </w:r>
      <w:r>
        <w:t xml:space="preserve"> </w:t>
      </w:r>
      <w:r>
        <w:tab/>
        <w:t xml:space="preserve">Directive 2000/31/EC of the European Parliament and of the Council of 8 June 2000 on certain legal aspects of information society services, in particular electronic commerce, in the Internal Market </w:t>
      </w:r>
    </w:p>
  </w:footnote>
  <w:footnote w:id="11">
    <w:p>
      <w:pPr>
        <w:pStyle w:val="FootnoteText"/>
        <w:ind w:left="284" w:hanging="284"/>
      </w:pPr>
      <w:r>
        <w:rPr>
          <w:rStyle w:val="FootnoteReference"/>
        </w:rPr>
        <w:footnoteRef/>
      </w:r>
      <w:r>
        <w:t xml:space="preserve"> </w:t>
      </w:r>
      <w:r>
        <w:tab/>
        <w:t>Directive (EU) 2016/1148 of the European Parliament and of the Council of 6 July 2016 concerning measures for a high common level of security of network and information systems across the Union; online search engines are defined as "a digital service that allows users to perform searches of, in principle, all websites or websites in a particular language on the basis of a query on any subject in the form of a keyword, phrase or other input, and returns links in which information related to the requested content can be found".</w:t>
      </w:r>
    </w:p>
  </w:footnote>
  <w:footnote w:id="12">
    <w:p>
      <w:pPr>
        <w:pStyle w:val="FootnoteText"/>
        <w:spacing w:after="0"/>
        <w:ind w:left="284" w:hanging="284"/>
      </w:pPr>
      <w:r>
        <w:rPr>
          <w:rStyle w:val="FootnoteReference"/>
        </w:rPr>
        <w:footnoteRef/>
      </w:r>
      <w:r>
        <w:t xml:space="preserve"> </w:t>
      </w:r>
      <w:r>
        <w:tab/>
        <w:t>Table 4.7 of the ECORYS 2017 (see footnote 3, page 64).</w:t>
      </w:r>
    </w:p>
  </w:footnote>
  <w:footnote w:id="13">
    <w:p>
      <w:pPr>
        <w:pStyle w:val="FootnoteText"/>
        <w:spacing w:after="0"/>
        <w:ind w:left="284" w:hanging="284"/>
      </w:pPr>
      <w:r>
        <w:rPr>
          <w:rStyle w:val="FootnoteReference"/>
        </w:rPr>
        <w:footnoteRef/>
      </w:r>
      <w:r>
        <w:t xml:space="preserve"> </w:t>
      </w:r>
      <w:r>
        <w:tab/>
        <w:t>Report from the Commission on the implementation of the Commission Recommendation of 11 June 2013 on common principles for injunctive and compensatory collective redress mechanisms in the Member States concerning violations of rights granted under Union Law (2013/396/EU) (forthcoming)</w:t>
      </w:r>
    </w:p>
  </w:footnote>
  <w:footnote w:id="14">
    <w:p>
      <w:pPr>
        <w:pStyle w:val="FootnoteText"/>
        <w:spacing w:after="0"/>
        <w:ind w:left="284" w:hanging="284"/>
      </w:pPr>
      <w:r>
        <w:rPr>
          <w:rStyle w:val="FootnoteReference"/>
        </w:rPr>
        <w:footnoteRef/>
      </w:r>
      <w:r>
        <w:t xml:space="preserve"> </w:t>
      </w:r>
      <w:r>
        <w:tab/>
        <w:t>Annex 7 of the Commission Staff Working Document – Accompanying document to the Proposal for a Directive of the European Parliament and of the Council on combating late payment in commercial transactions (recast) Impact Assessment (COM(2009) 126 final, SEC (2009 316) shows that organisations representing SMEs have legal standing to bring injunctive actions to tackle unfair trading practices in general, or for late payments in particular, under all Member States’ national laws; save that in France it is done so in a different manner to the other Member States by reference to direct or indirect detriment to fair competition and in Poland, the system is less developed. The situation in the Member States is set out in more detail in Annex 8.</w:t>
      </w:r>
    </w:p>
  </w:footnote>
  <w:footnote w:id="15">
    <w:p>
      <w:pPr>
        <w:pStyle w:val="FootnoteText"/>
        <w:contextualSpacing/>
      </w:pPr>
      <w:r>
        <w:rPr>
          <w:rStyle w:val="FootnoteReference"/>
        </w:rPr>
        <w:footnoteRef/>
      </w:r>
      <w:r>
        <w:t xml:space="preserve"> </w:t>
      </w:r>
      <w:r>
        <w:tab/>
        <w:t>Directive (EU) 2016/1148 of the European Parliament and of the Council of 6 July 2016 concerning measures for a high common level of security of network and information systems across the Union; online search engines are defined as "a digital service that allows users to perform searches of, in principle, all websites or websites in a particular language on the basis of a query on any subject in the form of a keyword, phrase or other input, and returns links in which information related to the requested content can be found".</w:t>
      </w:r>
    </w:p>
  </w:footnote>
  <w:footnote w:id="16">
    <w:p>
      <w:pPr>
        <w:pStyle w:val="FootnoteText"/>
        <w:contextualSpacing/>
      </w:pPr>
      <w:r>
        <w:rPr>
          <w:rStyle w:val="FootnoteReference"/>
        </w:rPr>
        <w:footnoteRef/>
      </w:r>
      <w:r>
        <w:t xml:space="preserve"> </w:t>
      </w:r>
      <w:r>
        <w:tab/>
        <w:t xml:space="preserve">Forthcoming. Summary available in Annex 6 </w:t>
      </w:r>
    </w:p>
  </w:footnote>
  <w:footnote w:id="17">
    <w:p>
      <w:pPr>
        <w:pStyle w:val="FootnoteText"/>
        <w:contextualSpacing/>
      </w:pPr>
      <w:r>
        <w:rPr>
          <w:rStyle w:val="FootnoteReference"/>
        </w:rPr>
        <w:footnoteRef/>
      </w:r>
      <w:r>
        <w:t xml:space="preserve"> </w:t>
      </w:r>
      <w:r>
        <w:tab/>
        <w:t>Forthcoming. Summary available in Annex 6</w:t>
      </w:r>
    </w:p>
  </w:footnote>
  <w:footnote w:id="18">
    <w:p>
      <w:pPr>
        <w:spacing w:after="0"/>
        <w:ind w:left="720" w:hanging="720"/>
        <w:rPr>
          <w:rFonts w:eastAsiaTheme="minorHAnsi"/>
          <w:b/>
          <w:sz w:val="20"/>
          <w:u w:val="single"/>
        </w:rPr>
      </w:pPr>
      <w:r>
        <w:rPr>
          <w:rStyle w:val="FootnoteReference"/>
          <w:sz w:val="20"/>
        </w:rPr>
        <w:footnoteRef/>
      </w:r>
      <w:r>
        <w:rPr>
          <w:sz w:val="20"/>
        </w:rPr>
        <w:t xml:space="preserve"> </w:t>
      </w:r>
      <w:r>
        <w:rPr>
          <w:sz w:val="20"/>
        </w:rPr>
        <w:tab/>
      </w:r>
      <w:hyperlink r:id="rId1" w:history="1">
        <w:r>
          <w:rPr>
            <w:rStyle w:val="Hyperlink"/>
            <w:rFonts w:eastAsiaTheme="minorHAnsi"/>
            <w:b/>
            <w:sz w:val="20"/>
          </w:rPr>
          <w:t>https://ec.europa.eu/digital-single-market/en/news/results-public-consultation-regulatory-environment-platforms-online-intermediaries-data-and</w:t>
        </w:r>
      </w:hyperlink>
    </w:p>
  </w:footnote>
  <w:footnote w:id="19">
    <w:p>
      <w:pPr>
        <w:pStyle w:val="FootnoteText"/>
        <w:spacing w:after="0"/>
      </w:pPr>
      <w:r>
        <w:rPr>
          <w:rStyle w:val="FootnoteReference"/>
        </w:rPr>
        <w:footnoteRef/>
      </w:r>
      <w:r>
        <w:t xml:space="preserve"> </w:t>
      </w:r>
      <w:r>
        <w:tab/>
      </w:r>
      <w:hyperlink r:id="rId2" w:history="1">
        <w:r>
          <w:rPr>
            <w:rStyle w:val="Hyperlink"/>
            <w:rFonts w:eastAsiaTheme="minorHAnsi"/>
          </w:rPr>
          <w:t>https://ec.europa.eu/digital-single-market/en/news/study-online-platforms-contrasting-perceptions-european-stakeholders-qualitative-analysis</w:t>
        </w:r>
      </w:hyperlink>
    </w:p>
  </w:footnote>
  <w:footnote w:id="20">
    <w:p>
      <w:pPr>
        <w:pStyle w:val="FootnoteText"/>
        <w:spacing w:after="0"/>
        <w:ind w:left="720" w:hanging="720"/>
      </w:pPr>
      <w:r>
        <w:rPr>
          <w:rStyle w:val="FootnoteReference"/>
        </w:rPr>
        <w:footnoteRef/>
      </w:r>
      <w:r>
        <w:t xml:space="preserve">     See footnote 1</w:t>
      </w:r>
    </w:p>
  </w:footnote>
  <w:footnote w:id="21">
    <w:p>
      <w:pPr>
        <w:spacing w:after="200"/>
        <w:rPr>
          <w:rFonts w:eastAsiaTheme="minorHAnsi"/>
          <w:b/>
          <w:sz w:val="20"/>
          <w:u w:val="single"/>
        </w:rPr>
      </w:pPr>
      <w:r>
        <w:rPr>
          <w:rStyle w:val="FootnoteReference"/>
          <w:sz w:val="20"/>
        </w:rPr>
        <w:footnoteRef/>
      </w:r>
      <w:r>
        <w:rPr>
          <w:rStyle w:val="Hyperlink"/>
          <w:rFonts w:eastAsiaTheme="minorHAnsi"/>
          <w:sz w:val="20"/>
        </w:rPr>
        <w:t xml:space="preserve"> https://data.europa.eu/euodp/fi/data/dataset/S2125_439_ENG</w:t>
      </w:r>
    </w:p>
  </w:footnote>
  <w:footnote w:id="22">
    <w:p>
      <w:pPr>
        <w:spacing w:after="0"/>
        <w:ind w:left="284" w:hanging="284"/>
        <w:rPr>
          <w:rFonts w:eastAsiaTheme="minorHAnsi"/>
          <w:b/>
          <w:sz w:val="20"/>
          <w:u w:val="single"/>
        </w:rPr>
      </w:pPr>
      <w:r>
        <w:rPr>
          <w:rStyle w:val="FootnoteReference"/>
          <w:sz w:val="20"/>
        </w:rPr>
        <w:footnoteRef/>
      </w:r>
      <w:r>
        <w:rPr>
          <w:sz w:val="20"/>
        </w:rPr>
        <w:t xml:space="preserve"> Full report available at </w:t>
      </w:r>
      <w:hyperlink r:id="rId3" w:history="1">
        <w:r>
          <w:rPr>
            <w:rStyle w:val="Hyperlink"/>
            <w:rFonts w:eastAsiaTheme="minorHAnsi"/>
            <w:sz w:val="20"/>
          </w:rPr>
          <w:t>https://ec.europa.eu/digital-single-market/en/news/data-related-aspects-business-platform-trading-practices-workshop-report</w:t>
        </w:r>
      </w:hyperlink>
      <w:r>
        <w:rPr>
          <w:rFonts w:eastAsiaTheme="minorHAnsi"/>
          <w:b/>
          <w:sz w:val="20"/>
          <w:u w:val="single"/>
        </w:rPr>
        <w:t xml:space="preserve"> </w:t>
      </w:r>
    </w:p>
  </w:footnote>
  <w:footnote w:id="23">
    <w:p>
      <w:pPr>
        <w:pStyle w:val="FootnoteText"/>
        <w:spacing w:after="0"/>
        <w:ind w:left="284" w:hanging="284"/>
      </w:pPr>
      <w:r>
        <w:rPr>
          <w:rStyle w:val="FootnoteReference"/>
        </w:rPr>
        <w:footnoteRef/>
      </w:r>
      <w:r>
        <w:t xml:space="preserve">    Full report available at </w:t>
      </w:r>
      <w:hyperlink r:id="rId4" w:history="1">
        <w:r>
          <w:rPr>
            <w:rStyle w:val="Hyperlink"/>
            <w:rFonts w:eastAsiaTheme="minorHAnsi"/>
          </w:rPr>
          <w:t>https://ec.europa.eu/newsroom/document.cfm?doc_id=43829</w:t>
        </w:r>
      </w:hyperlink>
    </w:p>
  </w:footnote>
  <w:footnote w:id="24">
    <w:p>
      <w:pPr>
        <w:spacing w:after="0"/>
        <w:ind w:left="284" w:hanging="284"/>
        <w:rPr>
          <w:rFonts w:eastAsiaTheme="minorHAnsi"/>
          <w:b/>
          <w:sz w:val="20"/>
          <w:u w:val="single"/>
        </w:rPr>
      </w:pPr>
      <w:r>
        <w:rPr>
          <w:rStyle w:val="FootnoteReference"/>
          <w:sz w:val="20"/>
        </w:rPr>
        <w:footnoteRef/>
      </w:r>
      <w:r>
        <w:rPr>
          <w:sz w:val="20"/>
        </w:rPr>
        <w:t xml:space="preserve"> </w:t>
      </w:r>
      <w:r>
        <w:rPr>
          <w:sz w:val="20"/>
        </w:rPr>
        <w:tab/>
        <w:t xml:space="preserve">Full report available at </w:t>
      </w:r>
      <w:hyperlink r:id="rId5" w:history="1">
        <w:r>
          <w:rPr>
            <w:rStyle w:val="Hyperlink"/>
            <w:rFonts w:eastAsiaTheme="minorHAnsi"/>
            <w:sz w:val="20"/>
          </w:rPr>
          <w:t>https://ec.europa.eu/newsroom/document.cfm?doc_id=40698</w:t>
        </w:r>
      </w:hyperlink>
    </w:p>
    <w:p>
      <w:pPr>
        <w:pStyle w:val="FootnoteText"/>
        <w:spacing w:after="0"/>
        <w:ind w:left="284" w:hanging="284"/>
      </w:pPr>
    </w:p>
  </w:footnote>
  <w:footnote w:id="25">
    <w:p>
      <w:pPr>
        <w:spacing w:after="0"/>
        <w:ind w:hanging="284"/>
        <w:rPr>
          <w:rFonts w:eastAsiaTheme="minorHAnsi"/>
          <w:sz w:val="20"/>
          <w:u w:val="single"/>
        </w:rPr>
      </w:pPr>
      <w:r>
        <w:rPr>
          <w:rStyle w:val="FootnoteReference"/>
          <w:sz w:val="20"/>
        </w:rPr>
        <w:footnoteRef/>
      </w:r>
      <w:r>
        <w:rPr>
          <w:sz w:val="20"/>
        </w:rPr>
        <w:t xml:space="preserve"> </w:t>
      </w:r>
      <w:r>
        <w:rPr>
          <w:sz w:val="20"/>
        </w:rPr>
        <w:tab/>
        <w:t xml:space="preserve">Full report available at </w:t>
      </w:r>
      <w:hyperlink r:id="rId6" w:history="1">
        <w:r>
          <w:rPr>
            <w:rStyle w:val="Hyperlink"/>
            <w:rFonts w:eastAsiaTheme="minorHAnsi"/>
            <w:sz w:val="20"/>
          </w:rPr>
          <w:t>https://ec.europa.eu/newsroom/document.cfm?doc_id=43936</w:t>
        </w:r>
      </w:hyperlink>
      <w:r>
        <w:rPr>
          <w:rFonts w:eastAsiaTheme="minorHAnsi"/>
          <w:sz w:val="20"/>
          <w:u w:val="single"/>
        </w:rPr>
        <w:t xml:space="preserve"> </w:t>
      </w:r>
    </w:p>
    <w:p>
      <w:pPr>
        <w:pStyle w:val="FootnoteText"/>
        <w:spacing w:after="0"/>
        <w:ind w:hanging="284"/>
      </w:pPr>
    </w:p>
  </w:footnote>
  <w:footnote w:id="26">
    <w:p>
      <w:pPr>
        <w:spacing w:after="0"/>
        <w:ind w:hanging="284"/>
        <w:rPr>
          <w:sz w:val="20"/>
        </w:rPr>
      </w:pPr>
      <w:r>
        <w:rPr>
          <w:rStyle w:val="FootnoteReference"/>
          <w:sz w:val="20"/>
        </w:rPr>
        <w:footnoteRef/>
      </w:r>
      <w:r>
        <w:rPr>
          <w:sz w:val="20"/>
        </w:rPr>
        <w:t xml:space="preserve"> </w:t>
      </w:r>
      <w:r>
        <w:rPr>
          <w:sz w:val="20"/>
        </w:rPr>
        <w:tab/>
        <w:t xml:space="preserve">Full report available at </w:t>
      </w:r>
      <w:hyperlink r:id="rId7" w:history="1">
        <w:r>
          <w:rPr>
            <w:rStyle w:val="Hyperlink"/>
            <w:rFonts w:eastAsiaTheme="minorHAnsi"/>
            <w:sz w:val="20"/>
          </w:rPr>
          <w:t>https://ec.europa.eu/newsroom/document.cfm?doc_id=45987</w:t>
        </w:r>
      </w:hyperlink>
    </w:p>
  </w:footnote>
  <w:footnote w:id="27">
    <w:p>
      <w:pPr>
        <w:pStyle w:val="FootnoteText"/>
        <w:spacing w:after="0"/>
        <w:ind w:left="284" w:hanging="284"/>
      </w:pPr>
      <w:r>
        <w:rPr>
          <w:rStyle w:val="FootnoteReference"/>
        </w:rPr>
        <w:footnoteRef/>
      </w:r>
      <w:r>
        <w:t xml:space="preserve"> </w:t>
      </w:r>
      <w:hyperlink r:id="rId8" w:history="1">
        <w:r>
          <w:rPr>
            <w:rStyle w:val="Hyperlink"/>
          </w:rPr>
          <w:t>Note of the European Parliament, Quantifying the cost of not using mediation – a data analysis</w:t>
        </w:r>
      </w:hyperlink>
      <w:r>
        <w:t xml:space="preserve">. </w:t>
      </w:r>
      <w:r>
        <w:rPr>
          <w:rStyle w:val="Hyperlink"/>
        </w:rPr>
        <w:t xml:space="preserve"> </w:t>
      </w:r>
    </w:p>
  </w:footnote>
  <w:footnote w:id="28">
    <w:p>
      <w:pPr>
        <w:pStyle w:val="FootnoteText"/>
        <w:spacing w:after="0"/>
        <w:ind w:left="284" w:hanging="284"/>
      </w:pPr>
      <w:r>
        <w:rPr>
          <w:rStyle w:val="FootnoteReference"/>
        </w:rPr>
        <w:footnoteRef/>
      </w:r>
      <w:r>
        <w:t xml:space="preserve"> </w:t>
      </w:r>
      <w:r>
        <w:tab/>
        <w:t>Dealroom report.</w:t>
      </w:r>
    </w:p>
  </w:footnote>
  <w:footnote w:id="29">
    <w:p>
      <w:pPr>
        <w:pStyle w:val="FootnoteText"/>
        <w:spacing w:after="0"/>
        <w:ind w:left="284" w:hanging="284"/>
      </w:pPr>
      <w:r>
        <w:rPr>
          <w:rStyle w:val="FootnoteReference"/>
        </w:rPr>
        <w:footnoteRef/>
      </w:r>
      <w:r>
        <w:t xml:space="preserve"> </w:t>
      </w:r>
      <w:r>
        <w:tab/>
        <w:t>See Section IA dealing with proportionality for more detail.</w:t>
      </w:r>
    </w:p>
  </w:footnote>
  <w:footnote w:id="30">
    <w:p>
      <w:pPr>
        <w:pStyle w:val="FootnoteText"/>
        <w:spacing w:after="0"/>
        <w:ind w:left="284" w:hanging="284"/>
      </w:pPr>
      <w:r>
        <w:rPr>
          <w:rStyle w:val="FootnoteReference"/>
        </w:rPr>
        <w:footnoteRef/>
      </w:r>
      <w:r>
        <w:t xml:space="preserve"> </w:t>
      </w:r>
      <w:r>
        <w:tab/>
        <w:t>Assuming a cost of one additional FTE for small companies having between 50 and 250 employees.</w:t>
      </w:r>
    </w:p>
  </w:footnote>
  <w:footnote w:id="31">
    <w:p>
      <w:pPr>
        <w:pStyle w:val="FootnoteText"/>
        <w:spacing w:after="0"/>
        <w:ind w:left="284" w:hanging="284"/>
      </w:pPr>
      <w:r>
        <w:rPr>
          <w:rStyle w:val="FootnoteReference"/>
        </w:rPr>
        <w:footnoteRef/>
      </w:r>
      <w:r>
        <w:t xml:space="preserve"> </w:t>
      </w:r>
      <w:r>
        <w:tab/>
        <w:t>Based on the actual example of a EUR 1.75 million one-off cost for a platform company achieving a EUR 6 billion annual turnover.</w:t>
      </w:r>
    </w:p>
  </w:footnote>
  <w:footnote w:id="32">
    <w:p>
      <w:pPr>
        <w:pStyle w:val="FootnoteText"/>
        <w:ind w:left="284" w:hanging="284"/>
      </w:pPr>
      <w:r>
        <w:rPr>
          <w:rStyle w:val="FootnoteReference"/>
        </w:rPr>
        <w:footnoteRef/>
      </w:r>
      <w:r>
        <w:t xml:space="preserve"> </w:t>
      </w:r>
      <w:r>
        <w:tab/>
        <w:t>In the Netherlands alone, over 2 900 certified mediators are currently active, see: Mediators federatie Nederland, MfN-vragenlijst of 2016.</w:t>
      </w:r>
    </w:p>
  </w:footnote>
  <w:footnote w:id="33">
    <w:p>
      <w:pPr>
        <w:pStyle w:val="FootnoteText"/>
        <w:spacing w:after="0"/>
      </w:pPr>
      <w:r>
        <w:rPr>
          <w:rStyle w:val="FootnoteReference"/>
        </w:rPr>
        <w:footnoteRef/>
      </w:r>
      <w:r>
        <w:t xml:space="preserve"> </w:t>
      </w:r>
      <w:r>
        <w:tab/>
        <w:t xml:space="preserve">According to the </w:t>
      </w:r>
      <w:hyperlink r:id="rId9" w:history="1">
        <w:r>
          <w:rPr>
            <w:rStyle w:val="Hyperlink"/>
          </w:rPr>
          <w:t>Dealroom</w:t>
        </w:r>
      </w:hyperlink>
      <w:r>
        <w:t xml:space="preserve"> database there are 7,012 EU platform businesses and 19,526 global platform businesses.</w:t>
      </w:r>
    </w:p>
  </w:footnote>
  <w:footnote w:id="34">
    <w:p>
      <w:pPr>
        <w:pStyle w:val="FootnoteText"/>
        <w:spacing w:after="0"/>
      </w:pPr>
      <w:r>
        <w:rPr>
          <w:rStyle w:val="FootnoteReference"/>
        </w:rPr>
        <w:footnoteRef/>
      </w:r>
      <w:r>
        <w:t xml:space="preserve"> </w:t>
      </w:r>
      <w:r>
        <w:tab/>
        <w:t>The definition of search engine does not cover search functions that are limited to the content of a specific website, irrespective of whether the search function is provided by an external search engine. Neither does it cover online services that compare the price of particular products or services from different traders, and then redirect the user to the preferred trader to purchase the product. See Directive (EU) No 2016/1148/EU of the European Parliament and of the Council of 6 July 2016 concerning measures for a high common level of security network and information systems across the Union (OJ L 194, 19.7.2016, p1).</w:t>
      </w:r>
    </w:p>
  </w:footnote>
  <w:footnote w:id="35">
    <w:p>
      <w:pPr>
        <w:pStyle w:val="FootnoteText"/>
        <w:spacing w:after="0"/>
      </w:pPr>
      <w:r>
        <w:rPr>
          <w:rStyle w:val="FootnoteReference"/>
        </w:rPr>
        <w:footnoteRef/>
      </w:r>
      <w:r>
        <w:t xml:space="preserve"> </w:t>
      </w:r>
      <w:r>
        <w:tab/>
        <w:t xml:space="preserve">Consumer Conditions Scoreboard – Consumers at Home in the Single Market. 2017 Edition. </w:t>
      </w:r>
    </w:p>
  </w:footnote>
  <w:footnote w:id="36">
    <w:p>
      <w:pPr>
        <w:pStyle w:val="FootnoteText"/>
        <w:spacing w:after="0"/>
      </w:pPr>
      <w:r>
        <w:rPr>
          <w:rStyle w:val="FootnoteReference"/>
        </w:rPr>
        <w:footnoteRef/>
      </w:r>
      <w:r>
        <w:t xml:space="preserve"> </w:t>
      </w:r>
      <w:r>
        <w:tab/>
        <w:t xml:space="preserve">LSE et al., </w:t>
      </w:r>
      <w:r>
        <w:rPr>
          <w:i/>
        </w:rPr>
        <w:t>Behavioural Study on the Transparency of Online Platforms</w:t>
      </w:r>
      <w:r>
        <w:t>, Request for Specific Services 2016 85 04 for the implementation of the Framework Contract no Chafea/2015/CP/01, forthcoming (commissioned by DG JUST))</w:t>
      </w:r>
    </w:p>
  </w:footnote>
  <w:footnote w:id="37">
    <w:p>
      <w:pPr>
        <w:pStyle w:val="FootnoteText"/>
        <w:spacing w:after="0"/>
      </w:pPr>
      <w:r>
        <w:rPr>
          <w:rStyle w:val="FootnoteReference"/>
        </w:rPr>
        <w:footnoteRef/>
      </w:r>
      <w:r>
        <w:t xml:space="preserve"> </w:t>
      </w:r>
      <w:r>
        <w:tab/>
        <w:t>See also Annex 2.</w:t>
      </w:r>
    </w:p>
  </w:footnote>
  <w:footnote w:id="38">
    <w:p>
      <w:pPr>
        <w:pStyle w:val="FootnoteText"/>
        <w:spacing w:after="0"/>
      </w:pPr>
      <w:r>
        <w:rPr>
          <w:rStyle w:val="FootnoteReference"/>
        </w:rPr>
        <w:footnoteRef/>
      </w:r>
      <w:r>
        <w:t xml:space="preserve"> </w:t>
      </w:r>
      <w:r>
        <w:tab/>
        <w:t>e.g. either an industry body, who issues a notice of non-compliance to the platform and demands it complies with the rule, or to an EU level Agency/government body, who similarly issues a notice of non-compliance but who has the ability to impose a fine or a penalty in the case of non-compliance with such notice.</w:t>
      </w:r>
    </w:p>
  </w:footnote>
  <w:footnote w:id="39">
    <w:p>
      <w:pPr>
        <w:pStyle w:val="FootnoteText"/>
        <w:spacing w:after="0"/>
      </w:pPr>
      <w:r>
        <w:rPr>
          <w:rStyle w:val="FootnoteReference"/>
        </w:rPr>
        <w:footnoteRef/>
      </w:r>
      <w:r>
        <w:t xml:space="preserve"> </w:t>
      </w:r>
      <w:r>
        <w:tab/>
      </w:r>
      <w:r>
        <w:rPr>
          <w:rFonts w:eastAsia="Calibri"/>
        </w:rPr>
        <w:t>Some business users are of the view that such organism would be competent for all platform-related issues, i.e. B2C and B2B.</w:t>
      </w:r>
    </w:p>
  </w:footnote>
  <w:footnote w:id="40">
    <w:p>
      <w:pPr>
        <w:pStyle w:val="FootnoteText"/>
        <w:spacing w:after="0"/>
      </w:pPr>
      <w:r>
        <w:rPr>
          <w:rStyle w:val="FootnoteReference"/>
        </w:rPr>
        <w:footnoteRef/>
      </w:r>
      <w:r>
        <w:t xml:space="preserve"> </w:t>
      </w:r>
      <w:r>
        <w:tab/>
        <w:t>See also Annex 2.</w:t>
      </w:r>
    </w:p>
  </w:footnote>
  <w:footnote w:id="41">
    <w:p>
      <w:pPr>
        <w:pStyle w:val="FootnoteText"/>
      </w:pPr>
      <w:r>
        <w:rPr>
          <w:rStyle w:val="FootnoteReference"/>
        </w:rPr>
        <w:footnoteRef/>
      </w:r>
      <w:r>
        <w:t xml:space="preserve"> See also Annex 2.</w:t>
      </w:r>
    </w:p>
  </w:footnote>
  <w:footnote w:id="42">
    <w:p>
      <w:pPr>
        <w:pStyle w:val="FootnoteText"/>
        <w:spacing w:after="0"/>
        <w:ind w:left="284" w:hanging="284"/>
      </w:pPr>
      <w:r>
        <w:rPr>
          <w:rStyle w:val="FootnoteReference"/>
        </w:rPr>
        <w:footnoteRef/>
      </w:r>
      <w:r>
        <w:rPr>
          <w:rStyle w:val="FootnoteReference"/>
        </w:rPr>
        <w:t xml:space="preserve"> </w:t>
      </w:r>
      <w:r>
        <w:tab/>
        <w:t>Ecorys, 'Business-to-Business relations in the online platform environment', FWC ENTR/300/PP/2013/FC-WIFO, Final Report, e.g. page 12: "</w:t>
      </w:r>
      <w:r>
        <w:rPr>
          <w:i/>
        </w:rPr>
        <w:t>The lack of transparency in the search and ranking criteria and the perceived lack of consistency in application of the ranking criteria (discrimination) have a detrimental impact on innovation by business users, with efforts focused on meeting the criteria of the algorithm rather than meeting the actual consumer demand</w:t>
      </w:r>
      <w:r>
        <w:t xml:space="preserve">". </w:t>
      </w:r>
    </w:p>
  </w:footnote>
  <w:footnote w:id="43">
    <w:p>
      <w:pPr>
        <w:pStyle w:val="FootnoteText"/>
        <w:spacing w:after="0"/>
        <w:ind w:left="284" w:hanging="284"/>
      </w:pPr>
      <w:r>
        <w:rPr>
          <w:rStyle w:val="FootnoteReference"/>
        </w:rPr>
        <w:footnoteRef/>
      </w:r>
      <w:r>
        <w:t xml:space="preserve"> </w:t>
      </w:r>
      <w:r>
        <w:tab/>
        <w:t>Euromonitor International, Passport Database 2016 Edition.</w:t>
      </w:r>
    </w:p>
  </w:footnote>
  <w:footnote w:id="44">
    <w:p>
      <w:pPr>
        <w:pStyle w:val="FootnoteText"/>
        <w:spacing w:after="0"/>
        <w:ind w:left="284" w:hanging="284"/>
      </w:pPr>
      <w:r>
        <w:rPr>
          <w:rStyle w:val="FootnoteReference"/>
        </w:rPr>
        <w:footnoteRef/>
      </w:r>
      <w:r>
        <w:t xml:space="preserve"> </w:t>
      </w:r>
      <w:r>
        <w:tab/>
        <w:t>Webretailer is a website for businesses who sell through online marketplaces. They conduct regular surveys on topics of interest to sellers. In 2016 they passed a questionnaire on sellers on Amazon (</w:t>
      </w:r>
      <w:hyperlink r:id="rId10" w:anchor="/" w:history="1">
        <w:r>
          <w:rPr>
            <w:rStyle w:val="s1"/>
          </w:rPr>
          <w:t>http://www.webretailer.com/lean-commerce/amazon-sellers-survey-2016/#/</w:t>
        </w:r>
      </w:hyperlink>
      <w:r>
        <w:t>) and in 2014 one on sellers in several marketplaces. They claim to have circa 20k affiliates worldwide. In the last survey, they asked for problems and 61% replied the biggest concern was being banned from selling on Amazon.</w:t>
      </w:r>
    </w:p>
  </w:footnote>
  <w:footnote w:id="45">
    <w:p>
      <w:pPr>
        <w:pStyle w:val="FootnoteText"/>
        <w:spacing w:after="0"/>
        <w:ind w:left="284" w:hanging="284"/>
      </w:pPr>
      <w:r>
        <w:rPr>
          <w:rStyle w:val="FootnoteReference"/>
        </w:rPr>
        <w:footnoteRef/>
      </w:r>
      <w:r>
        <w:t xml:space="preserve"> </w:t>
      </w:r>
      <w:r>
        <w:tab/>
        <w:t>Bulgaria, Croatia, Czech Republic, Hungary, Poland, Romania, Slovakia, Slovenia, Austria, Belgium, Denmark, Finland, France, Germany, Greece, Ireland, Italy, Netherlands, Portugal, Spain, Sweden, United Kingdom.</w:t>
      </w:r>
    </w:p>
  </w:footnote>
  <w:footnote w:id="46">
    <w:p>
      <w:pPr>
        <w:pStyle w:val="FootnoteText"/>
        <w:spacing w:after="0"/>
        <w:ind w:left="284" w:hanging="284"/>
      </w:pPr>
      <w:r>
        <w:rPr>
          <w:rStyle w:val="FootnoteReference"/>
        </w:rPr>
        <w:footnoteRef/>
      </w:r>
      <w:r>
        <w:t xml:space="preserve">  </w:t>
      </w:r>
      <w:r>
        <w:tab/>
        <w:t>Vision Mobile, THE EUROPEAN APP ECONOMY 2014.</w:t>
      </w:r>
    </w:p>
  </w:footnote>
  <w:footnote w:id="47">
    <w:p>
      <w:pPr>
        <w:pStyle w:val="FootnoteText"/>
        <w:spacing w:after="0"/>
        <w:ind w:left="284" w:hanging="284"/>
      </w:pPr>
      <w:r>
        <w:rPr>
          <w:rStyle w:val="FootnoteReference"/>
        </w:rPr>
        <w:footnoteRef/>
      </w:r>
      <w:r>
        <w:t xml:space="preserve">  Application Developers Alliance (2016), Competition in the Mobile App Ecosystem. Global survey of 673 Mobile App Publishers and Developers.</w:t>
      </w:r>
    </w:p>
  </w:footnote>
  <w:footnote w:id="48">
    <w:p>
      <w:pPr>
        <w:pStyle w:val="FootnoteText"/>
        <w:spacing w:after="0"/>
        <w:ind w:left="284" w:hanging="284"/>
      </w:pPr>
      <w:r>
        <w:rPr>
          <w:rStyle w:val="FootnoteReference"/>
        </w:rPr>
        <w:footnoteRef/>
      </w:r>
      <w:r>
        <w:t xml:space="preserve">  </w:t>
      </w:r>
      <w:r>
        <w:tab/>
        <w:t>Unfortunately, a similar report produced for the year 2015 does not provide figures about turnover.</w:t>
      </w:r>
    </w:p>
  </w:footnote>
  <w:footnote w:id="49">
    <w:p>
      <w:pPr>
        <w:widowControl w:val="0"/>
        <w:autoSpaceDE w:val="0"/>
        <w:autoSpaceDN w:val="0"/>
        <w:adjustRightInd w:val="0"/>
        <w:spacing w:after="0"/>
        <w:ind w:left="284" w:hanging="284"/>
        <w:rPr>
          <w:sz w:val="20"/>
        </w:rPr>
      </w:pPr>
      <w:r>
        <w:rPr>
          <w:rStyle w:val="FootnoteReference"/>
          <w:sz w:val="20"/>
        </w:rPr>
        <w:footnoteRef/>
      </w:r>
      <w:r>
        <w:rPr>
          <w:sz w:val="20"/>
        </w:rPr>
        <w:t xml:space="preserve"> </w:t>
      </w:r>
      <w:r>
        <w:rPr>
          <w:sz w:val="20"/>
        </w:rPr>
        <w:tab/>
        <w:t xml:space="preserve">Social commerce, i.e., the direct effect of social media on e-commerce is still relatively low. In Spain, for instance, according to eMarket Services, only 14% of social media users shopped directly on social media </w:t>
      </w:r>
      <w:r>
        <w:rPr>
          <w:color w:val="021236"/>
          <w:sz w:val="20"/>
        </w:rPr>
        <w:t xml:space="preserve">networks in 2013; 74% of them have made purchases on Facebook, a phenomenon termed F-Commerce. </w:t>
      </w:r>
    </w:p>
  </w:footnote>
  <w:footnote w:id="50">
    <w:p>
      <w:pPr>
        <w:widowControl w:val="0"/>
        <w:autoSpaceDE w:val="0"/>
        <w:autoSpaceDN w:val="0"/>
        <w:adjustRightInd w:val="0"/>
        <w:spacing w:after="0"/>
        <w:ind w:hanging="284"/>
        <w:rPr>
          <w:sz w:val="20"/>
        </w:rPr>
      </w:pPr>
      <w:r>
        <w:rPr>
          <w:rStyle w:val="FootnoteReference"/>
          <w:sz w:val="20"/>
        </w:rPr>
        <w:footnoteRef/>
      </w:r>
      <w:r>
        <w:rPr>
          <w:sz w:val="20"/>
        </w:rPr>
        <w:t xml:space="preserve"> </w:t>
      </w:r>
      <w:hyperlink r:id="rId11" w:history="1">
        <w:r>
          <w:rPr>
            <w:rStyle w:val="Hyperlink"/>
            <w:sz w:val="20"/>
          </w:rPr>
          <w:t>www.similarweb.com</w:t>
        </w:r>
      </w:hyperlink>
      <w:r>
        <w:rPr>
          <w:sz w:val="20"/>
        </w:rPr>
        <w:t xml:space="preserve"> </w:t>
      </w:r>
    </w:p>
  </w:footnote>
  <w:footnote w:id="51">
    <w:p>
      <w:pPr>
        <w:pStyle w:val="FootnoteText"/>
        <w:spacing w:after="0"/>
        <w:ind w:left="284" w:hanging="284"/>
      </w:pPr>
      <w:r>
        <w:rPr>
          <w:rStyle w:val="FootnoteReference"/>
        </w:rPr>
        <w:footnoteRef/>
      </w:r>
      <w:r>
        <w:t xml:space="preserve"> Duch-Brown, Nestor, "Quality discrimination in multi-sided markets", JRC report (to be published).</w:t>
      </w:r>
    </w:p>
  </w:footnote>
  <w:footnote w:id="52">
    <w:p>
      <w:pPr>
        <w:pStyle w:val="FootnoteText"/>
        <w:spacing w:after="0"/>
      </w:pPr>
      <w:r>
        <w:rPr>
          <w:rStyle w:val="FootnoteReference"/>
        </w:rPr>
        <w:footnoteRef/>
      </w:r>
      <w:r>
        <w:t xml:space="preserve"> Duch-Brown, Nestor, "Platform to business relations in online ecosystem", JRC report (to be published).</w:t>
      </w:r>
    </w:p>
  </w:footnote>
  <w:footnote w:id="53">
    <w:p>
      <w:pPr>
        <w:pStyle w:val="FootnoteText"/>
        <w:spacing w:after="0"/>
        <w:ind w:left="284" w:hanging="284"/>
      </w:pPr>
      <w:r>
        <w:rPr>
          <w:rStyle w:val="FootnoteReference"/>
        </w:rPr>
        <w:footnoteRef/>
      </w:r>
      <w:r>
        <w:t xml:space="preserve"> Eurostat, Internet access and use statistics, 2016: </w:t>
      </w:r>
      <w:hyperlink r:id="rId12" w:history="1">
        <w:r>
          <w:rPr>
            <w:rStyle w:val="Hyperlink"/>
          </w:rPr>
          <w:t>http://ec.europa.eu/eurostat/statistics-explained/index.php/Internet_access_and_use_statistics_-_households_and_individuals</w:t>
        </w:r>
      </w:hyperlink>
      <w:r>
        <w:t xml:space="preserve"> </w:t>
      </w:r>
    </w:p>
  </w:footnote>
  <w:footnote w:id="54">
    <w:p>
      <w:pPr>
        <w:pStyle w:val="FootnoteText"/>
        <w:spacing w:after="0"/>
        <w:ind w:left="284" w:hanging="284"/>
      </w:pPr>
      <w:r>
        <w:rPr>
          <w:rStyle w:val="FootnoteReference"/>
        </w:rPr>
        <w:footnoteRef/>
      </w:r>
      <w:r>
        <w:t xml:space="preserve">  Ecorys, 'Business-to-Business relations in the online platform environment', FWC ENTR/300/PP/2013/FC-WIFO, Final Report, forthcoming.</w:t>
      </w:r>
    </w:p>
  </w:footnote>
  <w:footnote w:id="55">
    <w:p>
      <w:pPr>
        <w:pStyle w:val="FootnoteText"/>
        <w:spacing w:after="0"/>
        <w:ind w:left="284" w:hanging="284"/>
      </w:pPr>
      <w:r>
        <w:rPr>
          <w:rStyle w:val="FootnoteReference"/>
        </w:rPr>
        <w:footnoteRef/>
      </w:r>
      <w:r>
        <w:t xml:space="preserve"> </w:t>
      </w:r>
      <w:r>
        <w:tab/>
        <w:t xml:space="preserve">A recent survey among European SMEs showed that around 37% sell their products or services online, with 42% of these online sellers using third-party online market places to do so: </w:t>
      </w:r>
      <w:hyperlink r:id="rId13" w:history="1">
        <w:r>
          <w:rPr>
            <w:rStyle w:val="Hyperlink"/>
          </w:rPr>
          <w:t>Flash Eurobarometer 439 'The use of online marketplaces and search engines by SMEs' of April/June 2016</w:t>
        </w:r>
      </w:hyperlink>
      <w:r>
        <w:t xml:space="preserve">. Also, latest </w:t>
      </w:r>
      <w:hyperlink r:id="rId14" w:history="1">
        <w:r>
          <w:rPr>
            <w:rStyle w:val="Hyperlink"/>
          </w:rPr>
          <w:t>Eurostat figures</w:t>
        </w:r>
      </w:hyperlink>
      <w:r>
        <w:t xml:space="preserve"> show that 39% of all European businesses used online social media in 2015, with social networks being the dominant outlet.</w:t>
      </w:r>
    </w:p>
  </w:footnote>
  <w:footnote w:id="56">
    <w:p>
      <w:pPr>
        <w:pStyle w:val="FootnoteText"/>
        <w:spacing w:after="0"/>
        <w:ind w:left="284" w:hanging="284"/>
      </w:pPr>
      <w:r>
        <w:rPr>
          <w:rStyle w:val="FootnoteReference"/>
        </w:rPr>
        <w:footnoteRef/>
      </w:r>
      <w:r>
        <w:t xml:space="preserve"> </w:t>
      </w:r>
      <w:r>
        <w:tab/>
        <w:t>Ecorys, 'Business-to-Business relations in the online platform environment', FWC ENTR/300/PP/2013/FC-WIFO, Final Report, forthcoming.</w:t>
      </w:r>
    </w:p>
  </w:footnote>
  <w:footnote w:id="57">
    <w:p>
      <w:pPr>
        <w:pStyle w:val="FootnoteText"/>
        <w:spacing w:after="0"/>
        <w:ind w:left="284" w:hanging="284"/>
      </w:pPr>
      <w:r>
        <w:rPr>
          <w:rStyle w:val="FootnoteReference"/>
        </w:rPr>
        <w:footnoteRef/>
      </w:r>
      <w:r>
        <w:t xml:space="preserve"> </w:t>
      </w:r>
      <w:r>
        <w:tab/>
        <w:t>A. Lendle, M. Olarreaga, S. Schropp, P.L. Vezina: There goes gravity: eBay and the death of distance, 2016.</w:t>
      </w:r>
    </w:p>
  </w:footnote>
  <w:footnote w:id="58">
    <w:p>
      <w:pPr>
        <w:pStyle w:val="FootnoteText"/>
        <w:spacing w:after="0"/>
        <w:ind w:left="284" w:hanging="284"/>
      </w:pPr>
      <w:r>
        <w:rPr>
          <w:rStyle w:val="FootnoteReference"/>
        </w:rPr>
        <w:footnoteRef/>
      </w:r>
      <w:r>
        <w:t xml:space="preserve">   See the explmanations in the IA</w:t>
      </w:r>
    </w:p>
  </w:footnote>
  <w:footnote w:id="59">
    <w:p>
      <w:pPr>
        <w:pStyle w:val="FootnoteText"/>
        <w:spacing w:after="0"/>
        <w:ind w:left="284" w:hanging="284"/>
      </w:pPr>
      <w:r>
        <w:rPr>
          <w:rStyle w:val="FootnoteReference"/>
        </w:rPr>
        <w:footnoteRef/>
      </w:r>
      <w:r>
        <w:t xml:space="preserve"> </w:t>
      </w:r>
      <w:r>
        <w:tab/>
        <w:t>App figures – number of new developers by year, 2016.</w:t>
      </w:r>
    </w:p>
  </w:footnote>
  <w:footnote w:id="60">
    <w:p>
      <w:pPr>
        <w:pStyle w:val="FootnoteText"/>
        <w:spacing w:after="0"/>
        <w:ind w:left="284" w:hanging="284"/>
      </w:pPr>
      <w:r>
        <w:rPr>
          <w:rStyle w:val="FootnoteReference"/>
        </w:rPr>
        <w:footnoteRef/>
      </w:r>
      <w:r>
        <w:t xml:space="preserve"> </w:t>
      </w:r>
      <w:r>
        <w:tab/>
        <w:t>HOTREC, Annual Report 2016/2017 p. 5.</w:t>
      </w:r>
    </w:p>
  </w:footnote>
  <w:footnote w:id="61">
    <w:p>
      <w:pPr>
        <w:pStyle w:val="FootnoteText"/>
        <w:spacing w:after="0"/>
        <w:ind w:left="284" w:hanging="284"/>
      </w:pPr>
      <w:r>
        <w:rPr>
          <w:rStyle w:val="FootnoteReference"/>
        </w:rPr>
        <w:footnoteRef/>
      </w:r>
      <w:r>
        <w:t xml:space="preserve"> </w:t>
      </w:r>
      <w:r>
        <w:tab/>
        <w:t xml:space="preserve">Phocuswright, European Online Travel Overview Twelfth Edition, </w:t>
      </w:r>
      <w:hyperlink r:id="rId15" w:history="1">
        <w:r>
          <w:rPr>
            <w:rStyle w:val="Hyperlink"/>
          </w:rPr>
          <w:t>http://www.phocuswright.com/Travel-Research/Market-Overview-Sizing/European-Online-Travel-Overview-Twelfth-Edition</w:t>
        </w:r>
      </w:hyperlink>
    </w:p>
  </w:footnote>
  <w:footnote w:id="62">
    <w:p>
      <w:pPr>
        <w:pStyle w:val="FootnoteText"/>
        <w:spacing w:after="0"/>
        <w:ind w:left="284" w:hanging="284"/>
      </w:pPr>
      <w:r>
        <w:rPr>
          <w:rStyle w:val="FootnoteReference"/>
        </w:rPr>
        <w:footnoteRef/>
      </w:r>
      <w:r>
        <w:t xml:space="preserve"> </w:t>
      </w:r>
      <w:r>
        <w:tab/>
        <w:t>Hotrec Hospitality Europe, facts and figures</w:t>
      </w:r>
    </w:p>
  </w:footnote>
  <w:footnote w:id="63">
    <w:p>
      <w:pPr>
        <w:pStyle w:val="FootnoteText"/>
        <w:spacing w:after="0"/>
        <w:ind w:left="284" w:hanging="284"/>
      </w:pPr>
      <w:r>
        <w:rPr>
          <w:rStyle w:val="FootnoteReference"/>
        </w:rPr>
        <w:footnoteRef/>
      </w:r>
      <w:r>
        <w:t xml:space="preserve"> </w:t>
      </w:r>
      <w:r>
        <w:tab/>
        <w:t xml:space="preserve">Eurostat, hotels and similar accommodation establishments by size class in 2015. </w:t>
      </w:r>
    </w:p>
  </w:footnote>
  <w:footnote w:id="64">
    <w:p>
      <w:pPr>
        <w:pStyle w:val="FootnoteText"/>
        <w:spacing w:after="0"/>
        <w:ind w:left="284" w:hanging="284"/>
      </w:pPr>
      <w:r>
        <w:rPr>
          <w:rStyle w:val="FootnoteReference"/>
        </w:rPr>
        <w:footnoteRef/>
      </w:r>
      <w:r>
        <w:t xml:space="preserve"> </w:t>
      </w:r>
      <w:r>
        <w:tab/>
        <w:t>An exception to this situation is the travel booking sector (rail and air transport). Contrary to OTAs, online marketplaces or app stores, platforms which aggregate prices for air or rail tickets are often dependent on their business users for information on flight or train times and fares. Some platforms have reported cases of transport operators refusing to supply information or threatening to revoke licenses granted to the platform to issue tickets if some of the operator's conditions are not met. However these situations are exceptional and generally contrary to competition rules, as demonstrated in a recent case concerning ferry ticketing in Latvia.</w:t>
      </w:r>
    </w:p>
  </w:footnote>
  <w:footnote w:id="65">
    <w:p>
      <w:pPr>
        <w:pStyle w:val="FootnoteText"/>
        <w:spacing w:after="0"/>
        <w:ind w:left="284" w:hanging="284"/>
      </w:pPr>
      <w:r>
        <w:rPr>
          <w:rStyle w:val="FootnoteReference"/>
        </w:rPr>
        <w:footnoteRef/>
      </w:r>
      <w:r>
        <w:t xml:space="preserve"> </w:t>
      </w:r>
      <w:r>
        <w:tab/>
        <w:t>Copenhagen Economics, 'Online Intermediaries Impact on the EU economy', EDiMA, October 2015.</w:t>
      </w:r>
    </w:p>
  </w:footnote>
  <w:footnote w:id="66">
    <w:p>
      <w:pPr>
        <w:pStyle w:val="FootnoteText"/>
        <w:spacing w:after="0"/>
        <w:ind w:left="284" w:hanging="284"/>
      </w:pPr>
      <w:r>
        <w:rPr>
          <w:rStyle w:val="FootnoteReference"/>
        </w:rPr>
        <w:footnoteRef/>
      </w:r>
      <w:r>
        <w:t xml:space="preserve">  The Rise of the Global Market Places. How to compete and prosper in the world of Amazon, Alibaba and other platforms, Ecommerce Foundation and Nyenrode Business Universiteit, 2015.</w:t>
      </w:r>
    </w:p>
  </w:footnote>
  <w:footnote w:id="67">
    <w:p>
      <w:pPr>
        <w:pStyle w:val="FootnoteText"/>
        <w:spacing w:after="0"/>
        <w:ind w:left="284" w:hanging="284"/>
      </w:pPr>
      <w:r>
        <w:rPr>
          <w:rStyle w:val="FootnoteReference"/>
        </w:rPr>
        <w:footnoteRef/>
      </w:r>
      <w:r>
        <w:t xml:space="preserve"> </w:t>
      </w:r>
      <w:r>
        <w:tab/>
        <w:t xml:space="preserve">Hotel Management, 'The Digital Marketplace in Europe: Hotels and Third Party Intermediaries In the New Age of Travel', Excerpted from the forthcoming </w:t>
      </w:r>
      <w:r>
        <w:rPr>
          <w:i/>
        </w:rPr>
        <w:t>Demystifying the Digital Marketplace</w:t>
      </w:r>
      <w:r>
        <w:t>, due out in Q2 2016.</w:t>
      </w:r>
    </w:p>
  </w:footnote>
  <w:footnote w:id="68">
    <w:p>
      <w:pPr>
        <w:pStyle w:val="FootnoteText"/>
        <w:spacing w:after="0"/>
        <w:ind w:left="426" w:hanging="426"/>
      </w:pPr>
      <w:r>
        <w:rPr>
          <w:rStyle w:val="FootnoteReference"/>
        </w:rPr>
        <w:footnoteRef/>
      </w:r>
      <w:r>
        <w:t xml:space="preserve"> </w:t>
      </w:r>
      <w:r>
        <w:tab/>
        <w:t xml:space="preserve">Different business strategies exist. For instance, Google search fundamentally build on content from users, whereas others e.g. app stores, Amazon open the platform/marketplace gradually to other businesses. </w:t>
      </w:r>
    </w:p>
  </w:footnote>
  <w:footnote w:id="69">
    <w:p>
      <w:pPr>
        <w:pStyle w:val="FootnoteText"/>
        <w:spacing w:after="0"/>
        <w:ind w:left="426" w:hanging="426"/>
      </w:pPr>
      <w:r>
        <w:rPr>
          <w:rStyle w:val="FootnoteReference"/>
        </w:rPr>
        <w:footnoteRef/>
      </w:r>
      <w:r>
        <w:t xml:space="preserve"> </w:t>
      </w:r>
      <w:r>
        <w:tab/>
        <w:t>Euromonitor, Internet retailing in France, 2016.</w:t>
      </w:r>
    </w:p>
  </w:footnote>
  <w:footnote w:id="70">
    <w:p>
      <w:pPr>
        <w:pStyle w:val="FootnoteText"/>
        <w:spacing w:after="0"/>
        <w:ind w:left="426" w:hanging="426"/>
      </w:pPr>
      <w:r>
        <w:rPr>
          <w:rStyle w:val="FootnoteReference"/>
        </w:rPr>
        <w:footnoteRef/>
      </w:r>
      <w:r>
        <w:t xml:space="preserve"> </w:t>
      </w:r>
      <w:r>
        <w:tab/>
        <w:t>For more details and examples see: Dealroom, "Platforms and marketplaces", 31 July 2017, Report for the European Commission</w:t>
      </w:r>
    </w:p>
  </w:footnote>
  <w:footnote w:id="71">
    <w:p>
      <w:pPr>
        <w:pStyle w:val="FootnoteText"/>
        <w:spacing w:after="0"/>
        <w:ind w:left="426" w:hanging="426"/>
      </w:pPr>
      <w:r>
        <w:rPr>
          <w:rStyle w:val="FootnoteReference"/>
        </w:rPr>
        <w:footnoteRef/>
      </w:r>
      <w:r>
        <w:rPr>
          <w:rStyle w:val="FootnoteReference"/>
        </w:rPr>
        <w:t xml:space="preserve"> </w:t>
      </w:r>
      <w:r>
        <w:rPr>
          <w:rStyle w:val="FootnoteReference"/>
        </w:rPr>
        <w:tab/>
      </w:r>
      <w:r>
        <w:t xml:space="preserve">Source: BVOH, </w:t>
      </w:r>
      <w:hyperlink r:id="rId16" w:history="1">
        <w:r>
          <w:rPr>
            <w:rStyle w:val="Hyperlink"/>
          </w:rPr>
          <w:t>Marketplaces across Europe – eCommerce is much more than just Amazon and eBay</w:t>
        </w:r>
      </w:hyperlink>
      <w:r>
        <w:t>,, accessed on 22 August 2017.</w:t>
      </w:r>
      <w:r>
        <w:rPr>
          <w:rStyle w:val="FootnoteReference"/>
        </w:rPr>
        <w:t xml:space="preserve"> </w:t>
      </w:r>
    </w:p>
  </w:footnote>
  <w:footnote w:id="72">
    <w:p>
      <w:pPr>
        <w:pStyle w:val="FootnoteText"/>
        <w:spacing w:after="0"/>
        <w:ind w:left="426" w:hanging="426"/>
      </w:pPr>
      <w:r>
        <w:rPr>
          <w:rStyle w:val="FootnoteReference"/>
        </w:rPr>
        <w:footnoteRef/>
      </w:r>
      <w:r>
        <w:t xml:space="preserve"> </w:t>
      </w:r>
      <w:r>
        <w:tab/>
        <w:t>According to JRC's figures there were up to 218266 3rd party sellers operating with platforms in the EU in 2016. According to Eurostat, there were 179119 enterprises selling via mail orders or the internet in the EU in 2014 (the most recent data). JRC, Nestor to provide reference.</w:t>
      </w:r>
    </w:p>
  </w:footnote>
  <w:footnote w:id="73">
    <w:p>
      <w:pPr>
        <w:pStyle w:val="FootnoteText"/>
        <w:spacing w:after="0"/>
        <w:ind w:left="426" w:hanging="426"/>
      </w:pPr>
      <w:r>
        <w:rPr>
          <w:rStyle w:val="FootnoteReference"/>
        </w:rPr>
        <w:footnoteRef/>
      </w:r>
      <w:r>
        <w:t xml:space="preserve"> </w:t>
      </w:r>
      <w:r>
        <w:tab/>
        <w:t xml:space="preserve">Euromonitor, 2016. Retail value RSP excluding sales tax. </w:t>
      </w:r>
    </w:p>
  </w:footnote>
  <w:footnote w:id="74">
    <w:p>
      <w:pPr>
        <w:pStyle w:val="FootnoteText"/>
        <w:spacing w:after="0"/>
      </w:pPr>
      <w:r>
        <w:rPr>
          <w:rStyle w:val="FootnoteReference"/>
        </w:rPr>
        <w:footnoteRef/>
      </w:r>
      <w:r>
        <w:t xml:space="preserve"> </w:t>
      </w:r>
      <w:r>
        <w:tab/>
        <w:t>JRC, The competitive landscape of online platforms.</w:t>
      </w:r>
    </w:p>
  </w:footnote>
  <w:footnote w:id="75">
    <w:p>
      <w:pPr>
        <w:pStyle w:val="FootnoteText"/>
        <w:spacing w:after="0"/>
      </w:pPr>
      <w:r>
        <w:rPr>
          <w:rStyle w:val="FootnoteReference"/>
        </w:rPr>
        <w:footnoteRef/>
      </w:r>
      <w:r>
        <w:t xml:space="preserve"> </w:t>
      </w:r>
      <w:r>
        <w:tab/>
        <w:t xml:space="preserve">Spartoo marketplace – see: </w:t>
      </w:r>
      <w:hyperlink r:id="rId17" w:history="1">
        <w:r>
          <w:rPr>
            <w:rStyle w:val="Hyperlink"/>
          </w:rPr>
          <w:t>https://www.spartoo.com/marketplace_mentions.php</w:t>
        </w:r>
      </w:hyperlink>
      <w:r>
        <w:t xml:space="preserve"> </w:t>
      </w:r>
    </w:p>
  </w:footnote>
  <w:footnote w:id="76">
    <w:p>
      <w:pPr>
        <w:pStyle w:val="FootnoteText"/>
        <w:spacing w:after="0"/>
      </w:pPr>
      <w:r>
        <w:rPr>
          <w:rStyle w:val="FootnoteReference"/>
        </w:rPr>
        <w:footnoteRef/>
      </w:r>
      <w:r>
        <w:t xml:space="preserve"> </w:t>
      </w:r>
      <w:r>
        <w:tab/>
        <w:t xml:space="preserve">Zalando marketplace – see: </w:t>
      </w:r>
      <w:hyperlink r:id="rId18" w:history="1">
        <w:r>
          <w:rPr>
            <w:rStyle w:val="Hyperlink"/>
          </w:rPr>
          <w:t>https://m.zalando.de/faq/partnerprogramm/</w:t>
        </w:r>
      </w:hyperlink>
      <w:r>
        <w:t xml:space="preserve"> </w:t>
      </w:r>
    </w:p>
  </w:footnote>
  <w:footnote w:id="77">
    <w:p>
      <w:pPr>
        <w:pStyle w:val="FootnoteText"/>
        <w:spacing w:after="0"/>
      </w:pPr>
      <w:r>
        <w:rPr>
          <w:rStyle w:val="FootnoteReference"/>
        </w:rPr>
        <w:footnoteRef/>
      </w:r>
      <w:r>
        <w:t xml:space="preserve"> </w:t>
      </w:r>
      <w:r>
        <w:tab/>
        <w:t xml:space="preserve">2.8 million in Google Play and 2.2 million apps in the App Store.. Statista Webpage, "Statistics and facts about App Stores". Retrieved from: https://www.statista.com/statistics/276623/number-of-apps-available-in-leading-app-stores/, accessed on 25 September 2017. </w:t>
      </w:r>
    </w:p>
  </w:footnote>
  <w:footnote w:id="78">
    <w:p>
      <w:pPr>
        <w:pStyle w:val="FootnoteText"/>
        <w:spacing w:after="0"/>
      </w:pPr>
      <w:r>
        <w:rPr>
          <w:rStyle w:val="FootnoteReference"/>
        </w:rPr>
        <w:footnoteRef/>
      </w:r>
      <w:r>
        <w:t xml:space="preserve"> </w:t>
      </w:r>
      <w:r>
        <w:tab/>
        <w:t>Evans Benedict, "</w:t>
      </w:r>
      <w:hyperlink r:id="rId19" w:history="1">
        <w:r>
          <w:rPr>
            <w:rStyle w:val="Hyperlink"/>
          </w:rPr>
          <w:t>Mobile is eating the world</w:t>
        </w:r>
      </w:hyperlink>
      <w:r>
        <w:t xml:space="preserve">" (March 2016).  </w:t>
      </w:r>
    </w:p>
  </w:footnote>
  <w:footnote w:id="79">
    <w:p>
      <w:pPr>
        <w:pStyle w:val="FootnoteText"/>
        <w:spacing w:after="0"/>
      </w:pPr>
      <w:r>
        <w:rPr>
          <w:rStyle w:val="FootnoteReference"/>
        </w:rPr>
        <w:footnoteRef/>
      </w:r>
      <w:r>
        <w:t xml:space="preserve"> </w:t>
      </w:r>
      <w:r>
        <w:tab/>
        <w:t>Pakman David, "</w:t>
      </w:r>
      <w:hyperlink r:id="rId20" w:anchor=".2rwedr27o" w:history="1">
        <w:r>
          <w:rPr>
            <w:rStyle w:val="Hyperlink"/>
          </w:rPr>
          <w:t>May I Have Your Attention, Please?</w:t>
        </w:r>
      </w:hyperlink>
      <w:r>
        <w:t xml:space="preserve">" (Medium, August 2015).   </w:t>
      </w:r>
    </w:p>
  </w:footnote>
  <w:footnote w:id="80">
    <w:p>
      <w:pPr>
        <w:pStyle w:val="FootnoteText"/>
        <w:spacing w:after="0"/>
      </w:pPr>
      <w:r>
        <w:rPr>
          <w:rStyle w:val="FootnoteReference"/>
        </w:rPr>
        <w:footnoteRef/>
      </w:r>
      <w:r>
        <w:t xml:space="preserve"> </w:t>
      </w:r>
      <w:r>
        <w:tab/>
        <w:t>Gartner, Statista.</w:t>
      </w:r>
    </w:p>
  </w:footnote>
  <w:footnote w:id="81">
    <w:p>
      <w:pPr>
        <w:pStyle w:val="FootnoteText"/>
        <w:spacing w:after="0"/>
      </w:pPr>
      <w:r>
        <w:rPr>
          <w:rStyle w:val="FootnoteReference"/>
        </w:rPr>
        <w:footnoteRef/>
      </w:r>
      <w:r>
        <w:t xml:space="preserve"> </w:t>
      </w:r>
      <w:r>
        <w:tab/>
        <w:t>Gigaom Research, "Sizing the EU App Economy", 2014.</w:t>
      </w:r>
    </w:p>
  </w:footnote>
  <w:footnote w:id="82">
    <w:p>
      <w:pPr>
        <w:pStyle w:val="FootnoteText"/>
        <w:spacing w:after="0"/>
      </w:pPr>
      <w:r>
        <w:rPr>
          <w:rStyle w:val="FootnoteReference"/>
        </w:rPr>
        <w:footnoteRef/>
      </w:r>
      <w:r>
        <w:t xml:space="preserve"> </w:t>
      </w:r>
      <w:r>
        <w:tab/>
        <w:t>Statista, Worldwide App Revenues, https://www.statista.com/statistics/269025/worldwide-mobile-app-revenue-forecast/</w:t>
      </w:r>
    </w:p>
  </w:footnote>
  <w:footnote w:id="83">
    <w:p>
      <w:pPr>
        <w:pStyle w:val="FootnoteText"/>
        <w:spacing w:after="0"/>
        <w:jc w:val="left"/>
      </w:pPr>
      <w:r>
        <w:rPr>
          <w:rStyle w:val="FootnoteReference"/>
        </w:rPr>
        <w:footnoteRef/>
      </w:r>
      <w:r>
        <w:t xml:space="preserve"> </w:t>
      </w:r>
      <w:r>
        <w:tab/>
        <w:t>Williamson Brian, Chan Yi Shen, Wood Sam, "A policy toolkit for the app economy – where online meets off-line</w:t>
      </w:r>
      <w:r>
        <w:rPr>
          <w:i/>
        </w:rPr>
        <w:t xml:space="preserve">" </w:t>
      </w:r>
      <w:r>
        <w:t>(2016). Retrieved from: http://www.lisboncouncil.net/index.php?option=com_downloads&amp;id=1245</w:t>
      </w:r>
    </w:p>
  </w:footnote>
  <w:footnote w:id="84">
    <w:p>
      <w:pPr>
        <w:pStyle w:val="FootnoteText"/>
        <w:spacing w:after="0"/>
      </w:pPr>
      <w:r>
        <w:rPr>
          <w:rStyle w:val="FootnoteReference"/>
        </w:rPr>
        <w:footnoteRef/>
      </w:r>
      <w:r>
        <w:t xml:space="preserve"> </w:t>
      </w:r>
      <w:r>
        <w:tab/>
        <w:t xml:space="preserve">Statista – </w:t>
      </w:r>
      <w:hyperlink r:id="rId21" w:history="1">
        <w:r>
          <w:rPr>
            <w:rStyle w:val="Hyperlink"/>
          </w:rPr>
          <w:t>Number of social media users worldwide from 2010 to 2021</w:t>
        </w:r>
      </w:hyperlink>
      <w:r>
        <w:t xml:space="preserve"> </w:t>
      </w:r>
    </w:p>
  </w:footnote>
  <w:footnote w:id="85">
    <w:p>
      <w:pPr>
        <w:pStyle w:val="FootnoteText"/>
        <w:tabs>
          <w:tab w:val="left" w:pos="360"/>
        </w:tabs>
        <w:spacing w:after="0"/>
      </w:pPr>
      <w:r>
        <w:rPr>
          <w:rStyle w:val="FootnoteReference"/>
        </w:rPr>
        <w:footnoteRef/>
      </w:r>
      <w:r>
        <w:t xml:space="preserve"> </w:t>
      </w:r>
      <w:r>
        <w:tab/>
        <w:t xml:space="preserve">Statista – </w:t>
      </w:r>
      <w:hyperlink r:id="rId22" w:history="1">
        <w:r>
          <w:rPr>
            <w:rStyle w:val="Hyperlink"/>
          </w:rPr>
          <w:t>Number of users by social network as of April 2017</w:t>
        </w:r>
      </w:hyperlink>
      <w:r>
        <w:t xml:space="preserve"> </w:t>
      </w:r>
    </w:p>
  </w:footnote>
  <w:footnote w:id="86">
    <w:p>
      <w:pPr>
        <w:pStyle w:val="FootnoteText"/>
        <w:spacing w:after="0"/>
      </w:pPr>
      <w:r>
        <w:rPr>
          <w:rStyle w:val="FootnoteReference"/>
        </w:rPr>
        <w:footnoteRef/>
      </w:r>
      <w:r>
        <w:t xml:space="preserve"> </w:t>
      </w:r>
      <w:r>
        <w:tab/>
        <w:t xml:space="preserve">Facebook investor relations: </w:t>
      </w:r>
      <w:hyperlink r:id="rId23" w:history="1">
        <w:r>
          <w:rPr>
            <w:rStyle w:val="Hyperlink"/>
          </w:rPr>
          <w:t>http://investor.fb.com/secfiling.cfm?filingID=1326801-16-67&amp;CIK=1326801</w:t>
        </w:r>
      </w:hyperlink>
      <w:r>
        <w:t xml:space="preserve"> </w:t>
      </w:r>
    </w:p>
  </w:footnote>
  <w:footnote w:id="87">
    <w:p>
      <w:pPr>
        <w:pStyle w:val="FootnoteText"/>
        <w:spacing w:after="0"/>
      </w:pPr>
      <w:r>
        <w:rPr>
          <w:rStyle w:val="FootnoteReference"/>
        </w:rPr>
        <w:footnoteRef/>
      </w:r>
      <w:r>
        <w:t xml:space="preserve"> </w:t>
      </w:r>
      <w:r>
        <w:tab/>
      </w:r>
      <w:hyperlink r:id="rId24" w:history="1">
        <w:r>
          <w:rPr>
            <w:rStyle w:val="Hyperlink"/>
          </w:rPr>
          <w:t>Future of Business Survey</w:t>
        </w:r>
      </w:hyperlink>
      <w:r>
        <w:t xml:space="preserve"> – Trade Report, January 2017. </w:t>
      </w:r>
    </w:p>
  </w:footnote>
  <w:footnote w:id="88">
    <w:p>
      <w:pPr>
        <w:pStyle w:val="FootnoteText"/>
        <w:spacing w:after="0"/>
      </w:pPr>
      <w:r>
        <w:rPr>
          <w:rStyle w:val="FootnoteReference"/>
        </w:rPr>
        <w:footnoteRef/>
      </w:r>
      <w:r>
        <w:t xml:space="preserve"> </w:t>
      </w:r>
      <w:r>
        <w:tab/>
        <w:t xml:space="preserve">"Screen scraping" is a process of collecting data by crawling through websites and extracting content from the same HTML feed used by consumers for browsing, as opposed to using an API provided by the feeder company (e.g. an airline). </w:t>
      </w:r>
    </w:p>
  </w:footnote>
  <w:footnote w:id="89">
    <w:p>
      <w:pPr>
        <w:pStyle w:val="FootnoteText"/>
        <w:spacing w:after="0"/>
      </w:pPr>
      <w:r>
        <w:rPr>
          <w:rStyle w:val="FootnoteReference"/>
        </w:rPr>
        <w:footnoteRef/>
      </w:r>
      <w:r>
        <w:t xml:space="preserve"> </w:t>
      </w:r>
      <w:r>
        <w:tab/>
      </w:r>
      <w:hyperlink r:id="rId25" w:anchor="Online_travel_agencies" w:history="1">
        <w:r>
          <w:rPr>
            <w:rStyle w:val="Hyperlink"/>
          </w:rPr>
          <w:t>https://en.wikipedia.org/wiki/Travel_website#Online_travel_agencies</w:t>
        </w:r>
      </w:hyperlink>
      <w:r>
        <w:rPr>
          <w:rStyle w:val="Hyperlink"/>
        </w:rPr>
        <w:t xml:space="preserve"> (source Wikipedia)</w:t>
      </w:r>
      <w:r>
        <w:t xml:space="preserve"> </w:t>
      </w:r>
    </w:p>
  </w:footnote>
  <w:footnote w:id="90">
    <w:p>
      <w:pPr>
        <w:pStyle w:val="FootnoteText"/>
        <w:spacing w:after="0"/>
      </w:pPr>
      <w:r>
        <w:rPr>
          <w:rStyle w:val="FootnoteReference"/>
        </w:rPr>
        <w:footnoteRef/>
      </w:r>
      <w:r>
        <w:t xml:space="preserve"> Statista: Online travel agency share of gross hotel booking revenue in Europe: </w:t>
      </w:r>
      <w:hyperlink r:id="rId26" w:history="1">
        <w:r>
          <w:rPr>
            <w:rStyle w:val="Hyperlink"/>
          </w:rPr>
          <w:t>https://www.statista.com/statistics/543906/ota-share-of-hotel-booking-sales-europe-eu/</w:t>
        </w:r>
      </w:hyperlink>
      <w:r>
        <w:t xml:space="preserve"> </w:t>
      </w:r>
    </w:p>
  </w:footnote>
  <w:footnote w:id="91">
    <w:p>
      <w:pPr>
        <w:pStyle w:val="FootnoteText"/>
        <w:spacing w:after="0"/>
      </w:pPr>
      <w:r>
        <w:rPr>
          <w:rStyle w:val="FootnoteReference"/>
        </w:rPr>
        <w:footnoteRef/>
      </w:r>
      <w:r>
        <w:t xml:space="preserve"> </w:t>
      </w:r>
      <w:r>
        <w:tab/>
        <w:t>Idem</w:t>
      </w:r>
    </w:p>
  </w:footnote>
  <w:footnote w:id="92">
    <w:p>
      <w:pPr>
        <w:pStyle w:val="FootnoteText"/>
        <w:spacing w:after="0"/>
      </w:pPr>
      <w:r>
        <w:rPr>
          <w:rStyle w:val="FootnoteReference"/>
        </w:rPr>
        <w:footnoteRef/>
      </w:r>
      <w:r>
        <w:t xml:space="preserve"> </w:t>
      </w:r>
      <w:r>
        <w:tab/>
        <w:t>Dealroom, "Platforms and marketplaces", 31 July 2017, Report for the European Commission</w:t>
      </w:r>
    </w:p>
  </w:footnote>
  <w:footnote w:id="93">
    <w:p>
      <w:pPr>
        <w:pStyle w:val="FootnoteText"/>
        <w:spacing w:after="0"/>
      </w:pPr>
      <w:r>
        <w:rPr>
          <w:rStyle w:val="FootnoteReference"/>
        </w:rPr>
        <w:footnoteRef/>
      </w:r>
      <w:r>
        <w:t xml:space="preserve"> </w:t>
      </w:r>
      <w:r>
        <w:tab/>
        <w:t>Dealroom, "</w:t>
      </w:r>
      <w:hyperlink r:id="rId27" w:history="1">
        <w:r>
          <w:rPr>
            <w:rStyle w:val="Hyperlink"/>
          </w:rPr>
          <w:t>Online travel: A deep dive</w:t>
        </w:r>
      </w:hyperlink>
      <w:r>
        <w:t xml:space="preserve">", June 2016. </w:t>
      </w:r>
    </w:p>
  </w:footnote>
  <w:footnote w:id="94">
    <w:p>
      <w:pPr>
        <w:pStyle w:val="FootnoteText"/>
        <w:spacing w:after="0"/>
        <w:contextualSpacing/>
      </w:pPr>
      <w:r>
        <w:rPr>
          <w:rStyle w:val="FootnoteReference"/>
        </w:rPr>
        <w:footnoteRef/>
      </w:r>
      <w:r>
        <w:t xml:space="preserve"> </w:t>
      </w:r>
      <w:r>
        <w:tab/>
        <w:t>Dealroom, "Platforms and marketplaces", 31 July 2017, Report for the European Commission.</w:t>
      </w:r>
    </w:p>
  </w:footnote>
  <w:footnote w:id="95">
    <w:p>
      <w:pPr>
        <w:pStyle w:val="FootnoteText"/>
        <w:contextualSpacing/>
      </w:pPr>
      <w:r>
        <w:rPr>
          <w:rStyle w:val="FootnoteReference"/>
        </w:rPr>
        <w:footnoteRef/>
      </w:r>
      <w:r>
        <w:t xml:space="preserve">   </w:t>
      </w:r>
      <w:r>
        <w:tab/>
        <w:t xml:space="preserve">Official WorldWideWebSize Webpage, "The size of the World Wide Web (The Internet)" (March 2016). Retrieved from: </w:t>
      </w:r>
      <w:hyperlink r:id="rId28" w:history="1">
        <w:r>
          <w:rPr>
            <w:rStyle w:val="Hyperlink"/>
          </w:rPr>
          <w:t>http://www.worldwidewebsize.com</w:t>
        </w:r>
      </w:hyperlink>
      <w:r>
        <w:t>, accessed on 14 March 2016</w:t>
      </w:r>
    </w:p>
  </w:footnote>
  <w:footnote w:id="96">
    <w:p>
      <w:pPr>
        <w:pStyle w:val="FootnoteText"/>
        <w:contextualSpacing/>
      </w:pPr>
      <w:r>
        <w:rPr>
          <w:rStyle w:val="FootnoteReference"/>
        </w:rPr>
        <w:footnoteRef/>
      </w:r>
      <w:r>
        <w:t xml:space="preserve"> Statista – worldwide desktop market share of leading search engines. Retrieved from: </w:t>
      </w:r>
      <w:hyperlink r:id="rId29" w:history="1">
        <w:r>
          <w:rPr>
            <w:rStyle w:val="Hyperlink"/>
          </w:rPr>
          <w:t>https://www.statista.com/statistics/216573/worldwide-market-share-of-search-engines/</w:t>
        </w:r>
      </w:hyperlink>
      <w:r>
        <w:t xml:space="preserve"> </w:t>
      </w:r>
    </w:p>
  </w:footnote>
  <w:footnote w:id="97">
    <w:p>
      <w:pPr>
        <w:pStyle w:val="FootnoteText"/>
        <w:contextualSpacing/>
      </w:pPr>
      <w:r>
        <w:rPr>
          <w:rStyle w:val="FootnoteReference"/>
        </w:rPr>
        <w:footnoteRef/>
      </w:r>
      <w:r>
        <w:t xml:space="preserve"> </w:t>
      </w:r>
      <w:r>
        <w:tab/>
        <w:t xml:space="preserve">StatCounter GlobalStats: </w:t>
      </w:r>
      <w:hyperlink r:id="rId30" w:anchor="monthly-201605-201705-bar" w:history="1">
        <w:r>
          <w:rPr>
            <w:rStyle w:val="Hyperlink"/>
          </w:rPr>
          <w:t>http://gs.statcounter.com/search-engine-market-share/all/europe/#monthly-201605-201705-bar</w:t>
        </w:r>
      </w:hyperlink>
      <w:r>
        <w:t xml:space="preserve"> </w:t>
      </w:r>
    </w:p>
  </w:footnote>
  <w:footnote w:id="98">
    <w:p>
      <w:pPr>
        <w:pStyle w:val="FootnoteText"/>
        <w:contextualSpacing/>
      </w:pPr>
      <w:r>
        <w:rPr>
          <w:rStyle w:val="FootnoteReference"/>
        </w:rPr>
        <w:footnoteRef/>
      </w:r>
      <w:r>
        <w:t xml:space="preserve"> </w:t>
      </w:r>
      <w:r>
        <w:tab/>
        <w:t>Official Alexa Webpage, "The top 500 sites on the web". Retrieved from: http://www.alexa.com/topsites. It must be noted that Alexa does not include mobile app traffic which may alter the ranking of most visited websites.</w:t>
      </w:r>
    </w:p>
  </w:footnote>
  <w:footnote w:id="99">
    <w:p>
      <w:pPr>
        <w:pStyle w:val="FootnoteText"/>
        <w:spacing w:after="0"/>
      </w:pPr>
      <w:r>
        <w:rPr>
          <w:rStyle w:val="FootnoteReference"/>
        </w:rPr>
        <w:footnoteRef/>
      </w:r>
      <w:r>
        <w:t xml:space="preserve"> Figure based on Similarweb's index of the top 100 websites for December 2017.</w:t>
      </w:r>
    </w:p>
  </w:footnote>
  <w:footnote w:id="100">
    <w:p>
      <w:pPr>
        <w:pStyle w:val="FootnoteText"/>
        <w:spacing w:after="0"/>
      </w:pPr>
      <w:r>
        <w:rPr>
          <w:rStyle w:val="FootnoteReference"/>
        </w:rPr>
        <w:footnoteRef/>
      </w:r>
      <w:r>
        <w:t xml:space="preserve"> </w:t>
      </w:r>
      <w:hyperlink r:id="rId31" w:history="1">
        <w:r>
          <w:rPr>
            <w:rStyle w:val="Hyperlink"/>
          </w:rPr>
          <w:t>https://chitika.com/2013/06/07/the-value-of-google-result-positioning-2/</w:t>
        </w:r>
      </w:hyperlink>
      <w:r>
        <w:t xml:space="preserve"> </w:t>
      </w:r>
    </w:p>
  </w:footnote>
  <w:footnote w:id="101">
    <w:p>
      <w:pPr>
        <w:pStyle w:val="FootnoteText"/>
        <w:ind w:left="284" w:hanging="284"/>
      </w:pPr>
      <w:r>
        <w:rPr>
          <w:rStyle w:val="FootnoteReference"/>
        </w:rPr>
        <w:footnoteRef/>
      </w:r>
      <w:r>
        <w:t xml:space="preserve"> </w:t>
      </w:r>
      <w:r>
        <w:tab/>
        <w:t>PageRank, Google's best known algorithm to rank websites in their search engine results, works by counting the number and quality of links to a page to determine a rough estimate of how important the website is. PageRank is a way of measuring the importance of website pages. The underlying assumption is that more important websites are likely to receive more links from other websites. PageRank (PR) is a calculation, famously invented by Google founders Larry Page and Sergey Brin, which evaluates the quality and quantity of links to a webpage to determine a relative score of that page's importance and authority on a 0 to 10 scale. Google Panda is a change to Google's search results ranking algorithm that was first released in February 2011. The change aimed to lower the rank of "low-quality sites" or "thin sites", in particular "content farms", and return higher-quality sites near the top of the search results.</w:t>
      </w:r>
    </w:p>
  </w:footnote>
  <w:footnote w:id="102">
    <w:p>
      <w:pPr>
        <w:pStyle w:val="FootnoteText"/>
        <w:spacing w:after="0"/>
        <w:ind w:left="284" w:hanging="284"/>
      </w:pPr>
      <w:r>
        <w:rPr>
          <w:rStyle w:val="FootnoteReference"/>
        </w:rPr>
        <w:footnoteRef/>
      </w:r>
      <w:r>
        <w:t xml:space="preserve"> </w:t>
      </w:r>
      <w:r>
        <w:tab/>
        <w:t>As of 6 February 2018, https://support.google.com/webmasters/answer/35769?hl=en</w:t>
      </w:r>
    </w:p>
  </w:footnote>
  <w:footnote w:id="103">
    <w:p>
      <w:pPr>
        <w:pStyle w:val="FootnoteText"/>
        <w:spacing w:after="0"/>
        <w:ind w:left="284" w:hanging="284"/>
      </w:pPr>
      <w:r>
        <w:rPr>
          <w:rStyle w:val="FootnoteReference"/>
        </w:rPr>
        <w:footnoteRef/>
      </w:r>
      <w:r>
        <w:t xml:space="preserve">  Manual Actions report,  https://support.google.com/webmasters/answer/2604824</w:t>
      </w:r>
    </w:p>
  </w:footnote>
  <w:footnote w:id="104">
    <w:p>
      <w:pPr>
        <w:pStyle w:val="PlainText"/>
        <w:ind w:left="284" w:hanging="284"/>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hyperlink r:id="rId32" w:history="1">
        <w:r>
          <w:rPr>
            <w:rStyle w:val="Hyperlink"/>
            <w:rFonts w:ascii="Times New Roman" w:hAnsi="Times New Roman" w:cs="Times New Roman"/>
            <w:sz w:val="20"/>
            <w:szCs w:val="20"/>
            <w:lang w:val="en-GB"/>
          </w:rPr>
          <w:t>https://help.yahoo.com/kb/SLN2245.htm, as of 8 February 2018.</w:t>
        </w:r>
      </w:hyperlink>
      <w:r>
        <w:rPr>
          <w:rFonts w:ascii="Times New Roman" w:hAnsi="Times New Roman" w:cs="Times New Roman"/>
          <w:sz w:val="20"/>
          <w:szCs w:val="20"/>
          <w:lang w:val="en-GB"/>
        </w:rPr>
        <w:t xml:space="preserve"> </w:t>
      </w:r>
    </w:p>
    <w:p>
      <w:pPr>
        <w:pStyle w:val="FootnoteText"/>
      </w:pPr>
    </w:p>
  </w:footnote>
  <w:footnote w:id="105">
    <w:p>
      <w:pPr>
        <w:autoSpaceDE w:val="0"/>
        <w:autoSpaceDN w:val="0"/>
        <w:adjustRightInd w:val="0"/>
        <w:spacing w:after="0"/>
        <w:ind w:left="284" w:hanging="284"/>
        <w:jc w:val="left"/>
        <w:rPr>
          <w:sz w:val="20"/>
        </w:rPr>
      </w:pPr>
      <w:r>
        <w:rPr>
          <w:rStyle w:val="FootnoteReference"/>
          <w:sz w:val="20"/>
        </w:rPr>
        <w:footnoteRef/>
      </w:r>
      <w:r>
        <w:rPr>
          <w:sz w:val="20"/>
        </w:rPr>
        <w:t xml:space="preserve"> </w:t>
      </w:r>
      <w:r>
        <w:rPr>
          <w:sz w:val="20"/>
        </w:rPr>
        <w:tab/>
        <w:t>See Staff Working Document on Online Platforms accompanying the document "Communication on Online Platforms and the Digital Single Market", 25 May 2016.</w:t>
      </w:r>
    </w:p>
  </w:footnote>
  <w:footnote w:id="106">
    <w:p>
      <w:pPr>
        <w:pStyle w:val="FootnoteText"/>
        <w:spacing w:after="0"/>
        <w:ind w:left="284" w:hanging="284"/>
      </w:pPr>
      <w:r>
        <w:rPr>
          <w:rStyle w:val="FootnoteReference"/>
        </w:rPr>
        <w:footnoteRef/>
      </w:r>
      <w:r>
        <w:t xml:space="preserve">  EDiMA and Copenhagen institute (2015), Online intermediaries – Impact on the EU economy. Retrieved from: http://www.europeandigitalmediaassociation.org/pdfs/EDiMA%20-%20Online%20intermediaries%20-%20EU%20Growth%20Engines.pdf</w:t>
      </w:r>
    </w:p>
  </w:footnote>
  <w:footnote w:id="107">
    <w:p>
      <w:pPr>
        <w:pStyle w:val="FootnoteText"/>
        <w:spacing w:after="0"/>
        <w:ind w:left="284" w:hanging="284"/>
      </w:pPr>
      <w:r>
        <w:rPr>
          <w:rStyle w:val="FootnoteReference"/>
        </w:rPr>
        <w:footnoteRef/>
      </w:r>
      <w:r>
        <w:t xml:space="preserve"> </w:t>
      </w:r>
      <w:r>
        <w:tab/>
      </w:r>
      <w:r>
        <w:rPr>
          <w:i/>
        </w:rPr>
        <w:t>Brynjolfsson and Oh</w:t>
      </w:r>
      <w:r>
        <w:t xml:space="preserve">, The attention economy: measuring the value of free digital services on the Internet, 2012, providing an estimate for the USA (over $ 100 billion/year), scaled to the European economy by </w:t>
      </w:r>
      <w:r>
        <w:rPr>
          <w:i/>
        </w:rPr>
        <w:t>Plum</w:t>
      </w:r>
      <w:r>
        <w:t xml:space="preserve"> (2015), The Internet – the new helping the old, as cited by </w:t>
      </w:r>
      <w:r>
        <w:rPr>
          <w:i/>
        </w:rPr>
        <w:t>Copenhagen Economics</w:t>
      </w:r>
      <w:r>
        <w:t>, Online Intermediaries. Impacts on the EU economy.</w:t>
      </w:r>
    </w:p>
  </w:footnote>
  <w:footnote w:id="108">
    <w:p>
      <w:pPr>
        <w:pStyle w:val="FootnoteText"/>
        <w:spacing w:after="0"/>
        <w:ind w:left="284" w:hanging="284"/>
      </w:pPr>
      <w:r>
        <w:rPr>
          <w:rStyle w:val="FootnoteReference"/>
        </w:rPr>
        <w:footnoteRef/>
      </w:r>
      <w:r>
        <w:t xml:space="preserve"> </w:t>
      </w:r>
      <w:r>
        <w:tab/>
      </w:r>
      <w:r>
        <w:rPr>
          <w:i/>
        </w:rPr>
        <w:t>McKinsey &amp; Company</w:t>
      </w:r>
      <w:r>
        <w:t>, A labour market that works, June 2015.</w:t>
      </w:r>
    </w:p>
  </w:footnote>
  <w:footnote w:id="109">
    <w:p>
      <w:pPr>
        <w:pStyle w:val="FootnoteText"/>
        <w:spacing w:after="0"/>
        <w:ind w:left="284" w:hanging="284"/>
      </w:pPr>
      <w:r>
        <w:rPr>
          <w:rStyle w:val="FootnoteReference"/>
        </w:rPr>
        <w:footnoteRef/>
      </w:r>
      <w:r>
        <w:t xml:space="preserve"> </w:t>
      </w:r>
      <w:r>
        <w:tab/>
        <w:t xml:space="preserve">Average per year from 2013 to 2017: Facebook: 904.84 million USD, Alphabet 2.721 billion USD, Amazon: 2.811 billion USD, and strongly increasing over the years. Retrieved from </w:t>
      </w:r>
      <w:hyperlink r:id="rId33" w:history="1">
        <w:r>
          <w:rPr>
            <w:rStyle w:val="Hyperlink"/>
          </w:rPr>
          <w:t>https://ycharts.com</w:t>
        </w:r>
      </w:hyperlink>
      <w:r>
        <w:t xml:space="preserve"> </w:t>
      </w:r>
    </w:p>
  </w:footnote>
  <w:footnote w:id="110">
    <w:p>
      <w:pPr>
        <w:pStyle w:val="FootnoteText"/>
        <w:spacing w:after="0"/>
        <w:ind w:left="284" w:hanging="284"/>
      </w:pPr>
      <w:r>
        <w:rPr>
          <w:rStyle w:val="FootnoteReference"/>
        </w:rPr>
        <w:footnoteRef/>
      </w:r>
      <w:r>
        <w:t xml:space="preserve"> </w:t>
      </w:r>
      <w:r>
        <w:tab/>
        <w:t>See Statistica webpage: https://www.statista.com/statistics/276623/number-of-apps-available-in-leading-app-stores/</w:t>
      </w:r>
    </w:p>
  </w:footnote>
  <w:footnote w:id="111">
    <w:p>
      <w:pPr>
        <w:pStyle w:val="FootnoteText"/>
        <w:spacing w:after="0"/>
        <w:ind w:left="284" w:hanging="284"/>
      </w:pPr>
      <w:r>
        <w:rPr>
          <w:rStyle w:val="FootnoteReference"/>
        </w:rPr>
        <w:footnoteRef/>
      </w:r>
      <w:r>
        <w:t xml:space="preserve"> </w:t>
      </w:r>
      <w:r>
        <w:tab/>
        <w:t>Gigacom Research 'Sizing the EU app economy', February 2014.</w:t>
      </w:r>
    </w:p>
  </w:footnote>
  <w:footnote w:id="112">
    <w:p>
      <w:pPr>
        <w:pStyle w:val="FootnoteText"/>
        <w:spacing w:after="0"/>
      </w:pPr>
      <w:r>
        <w:rPr>
          <w:rStyle w:val="FootnoteReference"/>
        </w:rPr>
        <w:footnoteRef/>
      </w:r>
      <w:r>
        <w:t xml:space="preserve"> </w:t>
      </w:r>
      <w:r>
        <w:tab/>
        <w:t>Regulation (EC) No 864/2007 of  11 July 2007 on the law applicable to non-contractual obligations (Rome II), JO L 299 of 31 July 2007, p. 40-49.</w:t>
      </w:r>
    </w:p>
  </w:footnote>
  <w:footnote w:id="113">
    <w:p>
      <w:pPr>
        <w:pStyle w:val="FootnoteText"/>
        <w:spacing w:after="0"/>
      </w:pPr>
      <w:r>
        <w:rPr>
          <w:rStyle w:val="FootnoteReference"/>
        </w:rPr>
        <w:footnoteRef/>
      </w:r>
      <w:r>
        <w:t xml:space="preserve"> </w:t>
      </w:r>
      <w:r>
        <w:tab/>
        <w:t xml:space="preserve">See section 8.4, </w:t>
      </w:r>
    </w:p>
  </w:footnote>
  <w:footnote w:id="114">
    <w:p>
      <w:pPr>
        <w:pStyle w:val="FootnoteText"/>
        <w:spacing w:after="0"/>
      </w:pPr>
      <w:r>
        <w:rPr>
          <w:rStyle w:val="FootnoteReference"/>
        </w:rPr>
        <w:footnoteRef/>
      </w:r>
      <w:r>
        <w:t xml:space="preserve"> </w:t>
      </w:r>
      <w:r>
        <w:tab/>
        <w:t xml:space="preserve">For example: Austria: § 104 (2) JN (Jurisdiktionsnorm); Belgium: under Article 11 procedural law there is a reasonableness test: The weaker party can claim Belgian jurisdiction if it would be unreasonable to launch proceedings in </w:t>
      </w:r>
      <w:r>
        <w:rPr>
          <w:lang w:val="en-US"/>
        </w:rPr>
        <w:t xml:space="preserve">a </w:t>
      </w:r>
      <w:r>
        <w:t>third country; France: The French Courts are competent by virtue of pursuit of public order Article 442-6 III Code du Commerce; Germany:  Article 14 II Unfair Commercial Practices Act (UWG) provides for exclusive competency which cannot be derogated from.</w:t>
      </w:r>
    </w:p>
  </w:footnote>
  <w:footnote w:id="115">
    <w:p>
      <w:pPr>
        <w:pStyle w:val="FootnoteText"/>
        <w:spacing w:after="0"/>
        <w:ind w:hanging="284"/>
      </w:pPr>
      <w:r>
        <w:rPr>
          <w:rStyle w:val="FootnoteReference"/>
        </w:rPr>
        <w:footnoteRef/>
      </w:r>
      <w:r>
        <w:t xml:space="preserve"> </w:t>
      </w:r>
      <w:r>
        <w:tab/>
        <w:t>Article 2(2  k) Hague Convention on Choice of Courts.</w:t>
      </w:r>
    </w:p>
  </w:footnote>
  <w:footnote w:id="116">
    <w:p>
      <w:pPr>
        <w:pStyle w:val="FootnoteText"/>
        <w:spacing w:after="0"/>
        <w:ind w:hanging="284"/>
      </w:pPr>
      <w:r>
        <w:rPr>
          <w:rStyle w:val="FootnoteReference"/>
        </w:rPr>
        <w:footnoteRef/>
      </w:r>
      <w:r>
        <w:t xml:space="preserve"> </w:t>
      </w:r>
      <w:r>
        <w:tab/>
        <w:t>For France see case Expedia (2017) cited; see also Cour d'appel de Paris 15 September 2015, no rep. 15/07435, Booking; for Spain see Case P-0082-2016, Mon Orxata S.L. v. Facebook Ireland Limited and Facebook Spain S.L. In June 2017 the first Instance Court of Montecada, Valencia decided affirmatively that it has jurisdiction, there was a choice of jurisdiction clause in the T&amp;C of Facebook for US.</w:t>
      </w:r>
    </w:p>
  </w:footnote>
  <w:footnote w:id="117">
    <w:p>
      <w:pPr>
        <w:pStyle w:val="FootnoteText"/>
        <w:spacing w:after="0"/>
        <w:ind w:hanging="284"/>
      </w:pPr>
      <w:r>
        <w:rPr>
          <w:rStyle w:val="FootnoteReference"/>
        </w:rPr>
        <w:footnoteRef/>
      </w:r>
      <w:r>
        <w:t xml:space="preserve"> </w:t>
      </w:r>
      <w:r>
        <w:tab/>
        <w:t>Under this provision the specific jurisdiction relating to tort, delict or quasi-delict, of the courts is applicable, i.e. the courts of the country of the place where the harmful event occurred or may occur must decide the case.</w:t>
      </w:r>
    </w:p>
  </w:footnote>
  <w:footnote w:id="118">
    <w:p>
      <w:pPr>
        <w:pStyle w:val="FootnoteText"/>
        <w:spacing w:after="0"/>
        <w:ind w:hanging="284"/>
      </w:pPr>
      <w:r>
        <w:rPr>
          <w:rStyle w:val="FootnoteReference"/>
        </w:rPr>
        <w:footnoteRef/>
      </w:r>
      <w:r>
        <w:t xml:space="preserve"> </w:t>
      </w:r>
      <w:r>
        <w:tab/>
        <w:t>Rauscher, Europäisches Zivilprozess- und Kollisionsrecht, 4h ed 2016, Article 25, no 62,footnote 317  refering inter alia to the German jurisprudence.of lower level courts.</w:t>
      </w:r>
    </w:p>
  </w:footnote>
  <w:footnote w:id="119">
    <w:p>
      <w:pPr>
        <w:pStyle w:val="FootnoteText"/>
        <w:spacing w:after="0"/>
        <w:ind w:hanging="284"/>
      </w:pPr>
      <w:r>
        <w:rPr>
          <w:rStyle w:val="FootnoteReference"/>
        </w:rPr>
        <w:footnoteRef/>
      </w:r>
      <w:r>
        <w:t xml:space="preserve"> </w:t>
      </w:r>
      <w:r>
        <w:tab/>
        <w:t>Although Article 25 of the Brussels Ibis Regulation determines that the validity of the choice of court agreement must be assessed under the legislation of the country chosen, it remains unclear whether this refers to the entire legislation of the country chosen or only to the rules determining whether the clause on choice of courts has been included in the contract and not to mandatory rules; in relation to the latter, doctrine has outlined that the question which law should govern the validity of choice of court agreements such as law governing the validity of terms and conditions, remains unresolved, see Helene Gaudement Tallon, Competence et execution des jugements en Europe, 2015, 165f.; Fentiman, International Commercial Litigation, 2</w:t>
      </w:r>
      <w:r>
        <w:rPr>
          <w:vertAlign w:val="superscript"/>
        </w:rPr>
        <w:t>nd</w:t>
      </w:r>
      <w:r>
        <w:t xml:space="preserve"> ed 2015, 2.111 indicating that uncertainty on the applicable law for mandatory rules under Article 25 BXL Ibis will prevail until the Court of Justice resolves the matter. See also  opinion of Rauscher, Europäisches Zivilprozess- und Kollisionsrecht, 4h ed 2016, Article 25, no 61-73 advocating that Article 25 BXLbis does not allow for revision of terms and conditions on choice of court under a law other than the chosen one of a given MS. The German Highest Civil Court (Bundesgerichtshof, BGH) advocated the possibility to disregard the choice of third country jurisdiction where the third country does not guarantee the respect of the European mandatory rules, BGH, judgment of 5.9.2012. VII ZR 25/12, implementing ECJ, judgment of 9.11.2000 - C-381/98, para 21).</w:t>
      </w:r>
    </w:p>
  </w:footnote>
  <w:footnote w:id="120">
    <w:p>
      <w:pPr>
        <w:pStyle w:val="FootnoteText"/>
        <w:spacing w:after="0"/>
      </w:pPr>
      <w:r>
        <w:rPr>
          <w:rStyle w:val="FootnoteReference"/>
        </w:rPr>
        <w:footnoteRef/>
      </w:r>
      <w:r>
        <w:t xml:space="preserve"> </w:t>
      </w:r>
      <w:r>
        <w:tab/>
        <w:t>As indicated by</w:t>
      </w:r>
      <w:sdt>
        <w:sdtPr>
          <w:id w:val="1638297114"/>
          <w:citation/>
        </w:sdtPr>
        <w:sdtContent>
          <w:r>
            <w:fldChar w:fldCharType="begin"/>
          </w:r>
          <w:r>
            <w:instrText xml:space="preserve"> CITATION ECOng \l 2060 </w:instrText>
          </w:r>
          <w:r>
            <w:fldChar w:fldCharType="separate"/>
          </w:r>
          <w:r>
            <w:t xml:space="preserve"> (ECORYS, 2017 - forthcoming)</w:t>
          </w:r>
          <w:r>
            <w:fldChar w:fldCharType="end"/>
          </w:r>
        </w:sdtContent>
      </w:sdt>
    </w:p>
  </w:footnote>
  <w:footnote w:id="121">
    <w:p>
      <w:pPr>
        <w:pStyle w:val="FootnoteText"/>
        <w:spacing w:after="0"/>
        <w:contextualSpacing/>
      </w:pPr>
      <w:r>
        <w:rPr>
          <w:rStyle w:val="FootnoteReference"/>
        </w:rPr>
        <w:footnoteRef/>
      </w:r>
      <w:r>
        <w:t xml:space="preserve"> </w:t>
      </w:r>
      <w:r>
        <w:tab/>
        <w:t xml:space="preserve">Regulation (EU) 2017/2394 of the European Parliament and of the Council of 12 December 2017 on cooperation between national authorities responsible for the enforcement of consumer protection laws and repealing Regulation (EC) No 2006/2004 (Text with EEA relevance). available here: http://ec.europa.eu/consumers/consumer_rights/unfair-trade/docs/cpc-revision-proposal_en.pdf  </w:t>
      </w:r>
    </w:p>
  </w:footnote>
  <w:footnote w:id="122">
    <w:p>
      <w:pPr>
        <w:pStyle w:val="FootnoteText"/>
        <w:contextualSpacing/>
      </w:pPr>
      <w:r>
        <w:rPr>
          <w:rStyle w:val="FootnoteReference"/>
        </w:rPr>
        <w:footnoteRef/>
      </w:r>
      <w:r>
        <w:t xml:space="preserve"> </w:t>
      </w:r>
      <w:hyperlink r:id="rId34" w:history="1">
        <w:r>
          <w:rPr>
            <w:rStyle w:val="Hyperlink"/>
          </w:rPr>
          <w:t>https://ec.europa.eu/digital-single-market/en/news/communication-tackling-illegal-content-online-towards-enhanced-responsibility-online-platforms</w:t>
        </w:r>
      </w:hyperlink>
      <w:r>
        <w:t xml:space="preserve"> </w:t>
      </w:r>
    </w:p>
  </w:footnote>
  <w:footnote w:id="123">
    <w:p>
      <w:pPr>
        <w:pStyle w:val="FootnoteText"/>
        <w:spacing w:after="0"/>
        <w:ind w:hanging="284"/>
        <w:contextualSpacing/>
      </w:pPr>
      <w:r>
        <w:rPr>
          <w:rStyle w:val="FootnoteReference"/>
        </w:rPr>
        <w:footnoteRef/>
      </w:r>
      <w:r>
        <w:t xml:space="preserve"> </w:t>
      </w:r>
      <w:r>
        <w:tab/>
        <w:t>Directive 2011/7/EU, recital 28.</w:t>
      </w:r>
    </w:p>
  </w:footnote>
  <w:footnote w:id="124">
    <w:p>
      <w:pPr>
        <w:pStyle w:val="FootnoteText"/>
        <w:spacing w:after="0"/>
        <w:ind w:left="284" w:hanging="284"/>
        <w:contextualSpacing/>
      </w:pPr>
      <w:r>
        <w:rPr>
          <w:rStyle w:val="FootnoteReference"/>
        </w:rPr>
        <w:footnoteRef/>
      </w:r>
      <w:r>
        <w:t xml:space="preserve"> </w:t>
      </w:r>
      <w:r>
        <w:tab/>
        <w:t xml:space="preserve">Directive 2016/943 of the European Parliament and of the Council of 8 June 2016 on the protection of undisclosed know-how and business information (trade secrets) against their unlawful acquisition, use and disclosure, OJ L 157, 15.6.2016, pp. 1–18. </w:t>
      </w:r>
    </w:p>
  </w:footnote>
  <w:footnote w:id="125">
    <w:p>
      <w:pPr>
        <w:pStyle w:val="FootnoteText"/>
        <w:spacing w:after="0"/>
        <w:ind w:left="284" w:hanging="284"/>
        <w:contextualSpacing/>
      </w:pPr>
      <w:r>
        <w:rPr>
          <w:rStyle w:val="FootnoteReference"/>
        </w:rPr>
        <w:footnoteRef/>
      </w:r>
      <w:r>
        <w:t xml:space="preserve"> </w:t>
      </w:r>
      <w:r>
        <w:tab/>
        <w:t>E.g. "honest commercial practices" and "under the circumstances" in Art. 4(2)(b) Trade Secrets Directive.</w:t>
      </w:r>
    </w:p>
  </w:footnote>
  <w:footnote w:id="126">
    <w:p>
      <w:pPr>
        <w:pStyle w:val="FootnoteText"/>
        <w:spacing w:after="0"/>
        <w:ind w:left="284" w:hanging="284"/>
      </w:pPr>
      <w:r>
        <w:rPr>
          <w:rStyle w:val="FootnoteReference"/>
        </w:rPr>
        <w:footnoteRef/>
      </w:r>
      <w:r>
        <w:t xml:space="preserve"> Directive 2008/52/EC of 21 May 2008 on certain aspects of mediation in civil and commercial matters, OJ L 136, 24.5.2008, p. 3- 8.</w:t>
      </w:r>
    </w:p>
  </w:footnote>
  <w:footnote w:id="127">
    <w:p>
      <w:pPr>
        <w:pStyle w:val="FootnoteText"/>
        <w:spacing w:after="0"/>
        <w:ind w:left="284" w:hanging="284"/>
      </w:pPr>
      <w:r>
        <w:rPr>
          <w:rStyle w:val="FootnoteReference"/>
        </w:rPr>
        <w:footnoteRef/>
      </w:r>
      <w:r>
        <w:t xml:space="preserve"> Directive 2013/11/EU of the European Parliament and of the Council of 21 May 2013 on alternative dispute resolution for consumer disputes and amending Regulation (EC) No 2006/2004 and Directive 2009/22/EC (Directive on consumer ADR), OJ L 165, 18.6.2013, p. 63–79.</w:t>
      </w:r>
    </w:p>
  </w:footnote>
  <w:footnote w:id="128">
    <w:p>
      <w:pPr>
        <w:pStyle w:val="FootnoteText"/>
        <w:spacing w:after="0"/>
        <w:ind w:left="284" w:hanging="284"/>
      </w:pPr>
      <w:r>
        <w:rPr>
          <w:rStyle w:val="FootnoteReference"/>
        </w:rPr>
        <w:footnoteRef/>
      </w:r>
      <w:r>
        <w:t xml:space="preserve"> Regulation 524/2013/EC of 21 May 2013 on online dispute resolution for consumer disputes and amending Regulation (EC) No 2006/2004 and Directive 2009/22/EC (Regulation on consumer ODR), OJ L 165, 18.6.2013, p. 1-12.</w:t>
      </w:r>
    </w:p>
  </w:footnote>
  <w:footnote w:id="129">
    <w:p>
      <w:pPr>
        <w:pStyle w:val="FootnoteText"/>
        <w:spacing w:after="0"/>
        <w:ind w:left="284" w:hanging="284"/>
      </w:pPr>
      <w:r>
        <w:rPr>
          <w:rStyle w:val="FootnoteReference"/>
        </w:rPr>
        <w:footnoteRef/>
      </w:r>
      <w:r>
        <w:t xml:space="preserve"> Directive 2009/22/EC of the European Parliament and of the Council of 23 april 2009 on injunctions for the protection of consumers' interests, OJ L 110 of 1.5.2009, p. 30-36.</w:t>
      </w:r>
    </w:p>
  </w:footnote>
  <w:footnote w:id="130">
    <w:p>
      <w:pPr>
        <w:pStyle w:val="FootnoteText"/>
        <w:spacing w:after="0"/>
        <w:ind w:left="284" w:hanging="284"/>
      </w:pPr>
      <w:r>
        <w:rPr>
          <w:rStyle w:val="FootnoteReference"/>
        </w:rPr>
        <w:footnoteRef/>
      </w:r>
      <w:r>
        <w:t xml:space="preserve"> As referred to in the Annex to Directive 2009/22/EC. The Annex covers inter alia the Directive on unfair terms in consumer contract, the E-Commerce Directive and the Unfair Commercial Practices Directive. </w:t>
      </w:r>
    </w:p>
  </w:footnote>
  <w:footnote w:id="131">
    <w:p>
      <w:pPr>
        <w:pStyle w:val="FootnoteText"/>
        <w:spacing w:after="0"/>
        <w:ind w:hanging="284"/>
      </w:pPr>
      <w:r>
        <w:rPr>
          <w:rStyle w:val="FootnoteReference"/>
        </w:rPr>
        <w:footnoteRef/>
      </w:r>
      <w:r>
        <w:t xml:space="preserve"> </w:t>
      </w:r>
      <w:r>
        <w:tab/>
        <w:t>Regulation (EC) No 80/2009 of the European Parliament and of the Council of 14 January 2009 on a Code of Conduct for computerised reservation systems and repealing Council Regulation (EEC) No 2299/89, OJ L 35, 4.2.2009, p. 47–55.</w:t>
      </w:r>
    </w:p>
  </w:footnote>
  <w:footnote w:id="132">
    <w:p>
      <w:pPr>
        <w:pStyle w:val="FootnoteText"/>
        <w:spacing w:after="0"/>
        <w:ind w:hanging="284"/>
      </w:pPr>
      <w:r>
        <w:rPr>
          <w:rStyle w:val="FootnoteReference"/>
        </w:rPr>
        <w:footnoteRef/>
      </w:r>
      <w:r>
        <w:t xml:space="preserve"> </w:t>
      </w:r>
      <w:r>
        <w:tab/>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 OJ L 149/22.</w:t>
      </w:r>
    </w:p>
  </w:footnote>
  <w:footnote w:id="133">
    <w:p>
      <w:pPr>
        <w:pStyle w:val="FootnoteText"/>
        <w:spacing w:after="0"/>
        <w:ind w:hanging="284"/>
      </w:pPr>
      <w:r>
        <w:rPr>
          <w:rStyle w:val="FootnoteReference"/>
        </w:rPr>
        <w:footnoteRef/>
      </w:r>
      <w:r>
        <w:t xml:space="preserve"> </w:t>
      </w:r>
      <w:r>
        <w:tab/>
        <w:t>Council Directive 93/13/EEC of 5 April 1993 on unfair terms in consumer contracts, OJ L 95/29.</w:t>
      </w:r>
    </w:p>
  </w:footnote>
  <w:footnote w:id="134">
    <w:p>
      <w:pPr>
        <w:pStyle w:val="FootnoteText"/>
        <w:spacing w:after="0"/>
        <w:ind w:hanging="284"/>
      </w:pPr>
      <w:r>
        <w:rPr>
          <w:rStyle w:val="FootnoteReference"/>
        </w:rPr>
        <w:footnoteRef/>
      </w:r>
      <w:r>
        <w:t xml:space="preserve"> </w:t>
      </w:r>
      <w:r>
        <w:tab/>
        <w:t>Directive 2006/114/EC of the European Parliament and of the Council of 12 December 2006 concerning misleading and comparative advertising, OJ L 376/21.</w:t>
      </w:r>
    </w:p>
  </w:footnote>
  <w:footnote w:id="135">
    <w:p>
      <w:pPr>
        <w:pStyle w:val="FootnoteText"/>
        <w:spacing w:after="0"/>
        <w:ind w:hanging="284"/>
      </w:pPr>
      <w:r>
        <w:rPr>
          <w:rStyle w:val="FootnoteReference"/>
        </w:rPr>
        <w:footnoteRef/>
      </w:r>
      <w:r>
        <w:t xml:space="preserve"> </w:t>
      </w:r>
      <w:r>
        <w:tab/>
        <w:t>Article 1 MCAD.</w:t>
      </w:r>
    </w:p>
  </w:footnote>
  <w:footnote w:id="136">
    <w:p>
      <w:pPr>
        <w:pStyle w:val="FootnoteText"/>
        <w:spacing w:after="0"/>
        <w:ind w:hanging="284"/>
        <w:rPr>
          <w:lang w:val="de-DE"/>
        </w:rPr>
      </w:pPr>
      <w:r>
        <w:rPr>
          <w:rStyle w:val="FootnoteReference"/>
        </w:rPr>
        <w:footnoteRef/>
      </w:r>
      <w:r>
        <w:t xml:space="preserve"> </w:t>
      </w:r>
      <w:r>
        <w:tab/>
        <w:t xml:space="preserve">Council Regulation (EC) 1/2003, recital 9. </w:t>
      </w:r>
      <w:r>
        <w:rPr>
          <w:lang w:val="de-DE"/>
        </w:rPr>
        <w:t>See also MCAD, Article 8(1).</w:t>
      </w:r>
    </w:p>
  </w:footnote>
  <w:footnote w:id="137">
    <w:p>
      <w:pPr>
        <w:pStyle w:val="FootnoteText"/>
        <w:spacing w:after="0"/>
        <w:ind w:hanging="284"/>
        <w:rPr>
          <w:lang w:val="de-DE"/>
        </w:rPr>
      </w:pPr>
      <w:r>
        <w:rPr>
          <w:rStyle w:val="FootnoteReference"/>
        </w:rPr>
        <w:footnoteRef/>
      </w:r>
      <w:r>
        <w:rPr>
          <w:lang w:val="de-DE"/>
        </w:rPr>
        <w:t xml:space="preserve"> </w:t>
      </w:r>
      <w:r>
        <w:rPr>
          <w:lang w:val="de-DE"/>
        </w:rPr>
        <w:tab/>
        <w:t>Bundesministerium für Wirtschaft und Energie, Weissbuch Digitale Plattformen of March 2017, p. 78.</w:t>
      </w:r>
    </w:p>
  </w:footnote>
  <w:footnote w:id="138">
    <w:p>
      <w:pPr>
        <w:pStyle w:val="FootnoteText"/>
        <w:spacing w:after="0"/>
        <w:ind w:hanging="284"/>
      </w:pPr>
      <w:r>
        <w:rPr>
          <w:rStyle w:val="FootnoteReference"/>
        </w:rPr>
        <w:footnoteRef/>
      </w:r>
      <w:r>
        <w:t xml:space="preserve"> </w:t>
      </w:r>
      <w:r>
        <w:tab/>
        <w:t xml:space="preserve">Study for the Fitness Check of EU consumer and marketing law, May 2017, page 191 (available at </w:t>
      </w:r>
      <w:hyperlink r:id="rId35" w:history="1">
        <w:r>
          <w:rPr>
            <w:rStyle w:val="Hyperlink"/>
          </w:rPr>
          <w:t>http://ec.europa.eu/newsroom/just/item-detail.cfm?item_id=59332</w:t>
        </w:r>
      </w:hyperlink>
      <w:r>
        <w:t xml:space="preserve">): </w:t>
      </w:r>
      <w:r>
        <w:rPr>
          <w:b/>
        </w:rPr>
        <w:t>Austria</w:t>
      </w:r>
      <w:r>
        <w:t xml:space="preserve"> and </w:t>
      </w:r>
      <w:r>
        <w:rPr>
          <w:b/>
        </w:rPr>
        <w:t>Sweden</w:t>
      </w:r>
      <w:r>
        <w:t xml:space="preserve"> have extended all UCPD provisions to B2B transactions. In </w:t>
      </w:r>
      <w:r>
        <w:rPr>
          <w:b/>
        </w:rPr>
        <w:t>Denmark</w:t>
      </w:r>
      <w:r>
        <w:t xml:space="preserve">, businesses are protected by provisions on both misleading and aggressive practices. </w:t>
      </w:r>
      <w:r>
        <w:rPr>
          <w:b/>
        </w:rPr>
        <w:t>France</w:t>
      </w:r>
      <w:r>
        <w:t xml:space="preserve"> only extends the general prohibition of misleading actions and the blacklisted misleading practices to B2B transactions. In </w:t>
      </w:r>
      <w:r>
        <w:rPr>
          <w:b/>
        </w:rPr>
        <w:t>Germany</w:t>
      </w:r>
      <w:r>
        <w:t xml:space="preserve">, parts of the Directive also apply to business-to-business commercial practices. In </w:t>
      </w:r>
      <w:r>
        <w:rPr>
          <w:b/>
        </w:rPr>
        <w:t>Italy</w:t>
      </w:r>
      <w:r>
        <w:t xml:space="preserve">, the provisions implementing the UCPD apply not only to B2C commercial practices but also to commercial practices between businesses and so-called “micro-enterprises” (defined as an enterprise which employs fewer than 10 persons and whose annual turnover and/or annual balance sheet total does not exceed EUR 2 million). In </w:t>
      </w:r>
      <w:r>
        <w:rPr>
          <w:b/>
        </w:rPr>
        <w:t>Belgium</w:t>
      </w:r>
      <w:r>
        <w:t xml:space="preserve">, certain practices on the blacklist are also blacklisted in B2B transactions; in addition, an outright prohibition of the practices of misleading directory companies was introduced. This example was partly followed in the </w:t>
      </w:r>
      <w:r>
        <w:rPr>
          <w:b/>
        </w:rPr>
        <w:t>Netherlands</w:t>
      </w:r>
      <w:r>
        <w:t xml:space="preserve">, where an important statutory extension of the UCPD regime to B2B situations was introduced in 2016. Likewise, in </w:t>
      </w:r>
      <w:r>
        <w:rPr>
          <w:b/>
        </w:rPr>
        <w:t>Portugal</w:t>
      </w:r>
      <w:r>
        <w:t xml:space="preserve">, the legislation implementing the UCPD was amended in 2015 so as to broaden its scope to cover some misleading actions in B2B relations. In the </w:t>
      </w:r>
      <w:r>
        <w:rPr>
          <w:b/>
        </w:rPr>
        <w:t>Czech Republic</w:t>
      </w:r>
      <w:r>
        <w:t xml:space="preserve">, the UCPD is also extended to B2B transactions. </w:t>
      </w:r>
    </w:p>
  </w:footnote>
  <w:footnote w:id="139">
    <w:p>
      <w:pPr>
        <w:pStyle w:val="FootnoteText"/>
        <w:spacing w:after="0"/>
      </w:pPr>
      <w:r>
        <w:rPr>
          <w:rStyle w:val="FootnoteReference"/>
        </w:rPr>
        <w:footnoteRef/>
      </w:r>
      <w:r>
        <w:t xml:space="preserve"> At the application level fragmentation results also from the different organisational enforcement frameworks in place leading to a different intensity of enforcement of B2B legislation in MS. For instance, in Germany, among the approximately 10500 cases handled by the Wettbewerbszentrale (institution in Germany entitled under the Unfair Commercial Practices Act to pursue violations of the UCP-Act) dealing with unfair commercial practices in 2017 59% of the cases involved online advertising on homepages, onlineshops, and platforms (including market places, comparison sites, booking platforms), Social Media, see Annual Report 2017(forthcoming). This proportion of UCP - online cases has increased if compared to 2016 (54%). In a number of other MS there is no institution entitled to handle neither individually nor collectively complaints relating to UCP B2B. This also translates into fragmentation at the application level of B2B UCP-law applicable in the P2B area.</w:t>
      </w:r>
    </w:p>
  </w:footnote>
  <w:footnote w:id="140">
    <w:p>
      <w:pPr>
        <w:pStyle w:val="FootnoteText"/>
        <w:spacing w:after="0"/>
        <w:ind w:hanging="284"/>
        <w:rPr>
          <w:lang w:val="it-IT"/>
        </w:rPr>
      </w:pPr>
      <w:r>
        <w:rPr>
          <w:rStyle w:val="FootnoteReference"/>
        </w:rPr>
        <w:footnoteRef/>
      </w:r>
      <w:r>
        <w:rPr>
          <w:lang w:val="it-IT"/>
        </w:rPr>
        <w:t xml:space="preserve"> </w:t>
      </w:r>
      <w:r>
        <w:rPr>
          <w:lang w:val="it-IT"/>
        </w:rPr>
        <w:tab/>
        <w:t>Belgium, Bulgaria, Ireland, Latvia, Malta, Romania and Slovakia.</w:t>
      </w:r>
    </w:p>
  </w:footnote>
  <w:footnote w:id="141">
    <w:p>
      <w:pPr>
        <w:pStyle w:val="FootnoteText"/>
        <w:spacing w:after="0"/>
        <w:ind w:hanging="284"/>
      </w:pPr>
      <w:r>
        <w:rPr>
          <w:rStyle w:val="FootnoteReference"/>
        </w:rPr>
        <w:footnoteRef/>
      </w:r>
      <w:r>
        <w:t xml:space="preserve"> </w:t>
      </w:r>
      <w:r>
        <w:tab/>
        <w:t>Study for the Fitness Check of EU consumer and marketing law, May 2017, page 200.</w:t>
      </w:r>
    </w:p>
  </w:footnote>
  <w:footnote w:id="142">
    <w:p>
      <w:pPr>
        <w:pStyle w:val="FootnoteText"/>
        <w:spacing w:after="0"/>
        <w:ind w:hanging="284"/>
      </w:pPr>
      <w:r>
        <w:rPr>
          <w:rStyle w:val="FootnoteReference"/>
        </w:rPr>
        <w:footnoteRef/>
      </w:r>
      <w:r>
        <w:t xml:space="preserve"> </w:t>
      </w:r>
      <w:r>
        <w:tab/>
        <w:t>Austria, Bulgaria, Cyprus, Finland, France, Germany, Ireland, Italy, Latvia, Lithuania, the Netherlands, Spain and the UK.</w:t>
      </w:r>
    </w:p>
  </w:footnote>
  <w:footnote w:id="143">
    <w:p>
      <w:pPr>
        <w:pStyle w:val="FootnoteText"/>
        <w:spacing w:after="0"/>
        <w:ind w:hanging="284"/>
      </w:pPr>
      <w:r>
        <w:rPr>
          <w:rStyle w:val="FootnoteReference"/>
        </w:rPr>
        <w:footnoteRef/>
      </w:r>
      <w:r>
        <w:t xml:space="preserve"> </w:t>
      </w:r>
      <w:r>
        <w:tab/>
        <w:t>Bulgaria, Cyprus, France, Greece and Spain.</w:t>
      </w:r>
    </w:p>
  </w:footnote>
  <w:footnote w:id="144">
    <w:p>
      <w:pPr>
        <w:pStyle w:val="FootnoteText"/>
        <w:spacing w:after="0"/>
        <w:ind w:hanging="284"/>
      </w:pPr>
      <w:r>
        <w:rPr>
          <w:rStyle w:val="FootnoteReference"/>
        </w:rPr>
        <w:footnoteRef/>
      </w:r>
      <w:r>
        <w:t xml:space="preserve"> </w:t>
      </w:r>
      <w:r>
        <w:tab/>
      </w:r>
      <w:hyperlink r:id="rId36" w:history="1">
        <w:r>
          <w:rPr>
            <w:rStyle w:val="Hyperlink"/>
          </w:rPr>
          <w:t>Austria recently blacklisted internal most-favourite-nation clauses included in online platforms' terms and conditions</w:t>
        </w:r>
      </w:hyperlink>
      <w:r>
        <w:t>.</w:t>
      </w:r>
    </w:p>
  </w:footnote>
  <w:footnote w:id="145">
    <w:p>
      <w:pPr>
        <w:pStyle w:val="FootnoteText"/>
        <w:spacing w:after="0"/>
        <w:ind w:hanging="284"/>
      </w:pPr>
      <w:r>
        <w:rPr>
          <w:rStyle w:val="FootnoteReference"/>
        </w:rPr>
        <w:footnoteRef/>
      </w:r>
      <w:r>
        <w:t xml:space="preserve"> For example, in Germany undertakings with superior market power in relation to small and medium-sized competitors may not abuse their market position to impede their competitors directly or indirectly in an unfair manner. </w:t>
      </w:r>
    </w:p>
  </w:footnote>
  <w:footnote w:id="146">
    <w:p>
      <w:pPr>
        <w:pStyle w:val="FootnoteText"/>
        <w:spacing w:after="0"/>
        <w:ind w:hanging="284"/>
      </w:pPr>
      <w:r>
        <w:rPr>
          <w:rStyle w:val="FootnoteReference"/>
        </w:rPr>
        <w:footnoteRef/>
      </w:r>
      <w:r>
        <w:t xml:space="preserve"> EY, platforms' terms and conditions, SMART/2017/0041, forthcoming.</w:t>
      </w:r>
    </w:p>
  </w:footnote>
  <w:footnote w:id="147">
    <w:p>
      <w:pPr>
        <w:pStyle w:val="FootnoteText"/>
        <w:spacing w:after="0"/>
        <w:ind w:hanging="284"/>
      </w:pPr>
      <w:r>
        <w:rPr>
          <w:rStyle w:val="FootnoteReference"/>
        </w:rPr>
        <w:footnoteRef/>
      </w:r>
      <w:r>
        <w:t xml:space="preserve"> </w:t>
      </w:r>
      <w:r>
        <w:tab/>
        <w:t>Dealroom, "Platforms and marketplaces", 31 July 2017, Report for the European Commission.</w:t>
      </w:r>
    </w:p>
  </w:footnote>
  <w:footnote w:id="148">
    <w:p>
      <w:pPr>
        <w:pStyle w:val="FootnoteText"/>
        <w:spacing w:after="0"/>
        <w:ind w:hanging="284"/>
        <w:rPr>
          <w:lang w:val="fr-BE"/>
        </w:rPr>
      </w:pPr>
      <w:r>
        <w:rPr>
          <w:rStyle w:val="FootnoteReference"/>
        </w:rPr>
        <w:footnoteRef/>
      </w:r>
      <w:r>
        <w:rPr>
          <w:lang w:val="fr-BE"/>
        </w:rPr>
        <w:t xml:space="preserve"> </w:t>
      </w:r>
      <w:r>
        <w:rPr>
          <w:lang w:val="fr-BE"/>
        </w:rPr>
        <w:tab/>
        <w:t>Loi pour une République numérique of 7 October 2016, Article 49, introduisant le nouveau Article 117 dans le code de la consommation:</w:t>
      </w:r>
      <w:r>
        <w:rPr>
          <w:lang w:val="fr-CH"/>
        </w:rPr>
        <w:t xml:space="preserve"> </w:t>
      </w:r>
      <w:r>
        <w:rPr>
          <w:lang w:val="fr-BE"/>
        </w:rPr>
        <w:t>Art. L. 111-7. - I. - Est qualifiée d'opérateur de plateforme en ligne toute personne physique ou morale proposant, à titre professionnel, de manière rémunérée ou non, un service de communication au public en ligne reposant sur :</w:t>
      </w:r>
    </w:p>
    <w:p>
      <w:pPr>
        <w:pStyle w:val="FootnoteText"/>
        <w:spacing w:after="0"/>
        <w:ind w:firstLine="0"/>
        <w:rPr>
          <w:lang w:val="fr-BE"/>
        </w:rPr>
      </w:pPr>
      <w:r>
        <w:rPr>
          <w:lang w:val="fr-BE"/>
        </w:rPr>
        <w:t>« 1° Le classement ou le référencement, au moyen d'algorithmes informatiques, de contenus, de biens ou de services proposés ou mis en ligne par des tiers ;</w:t>
      </w:r>
    </w:p>
    <w:p>
      <w:pPr>
        <w:pStyle w:val="FootnoteText"/>
        <w:spacing w:after="0"/>
        <w:ind w:firstLine="0"/>
        <w:rPr>
          <w:lang w:val="fr-BE"/>
        </w:rPr>
      </w:pPr>
      <w:r>
        <w:rPr>
          <w:lang w:val="fr-BE"/>
        </w:rPr>
        <w:t xml:space="preserve">« 2° Ou la mise en relation de plusieurs parties en vue de la vente d'un bien, de la fourniture d'un service ou de l'échange ou du partage d'un contenu, d'un bien ou d'un service…..; </w:t>
      </w:r>
    </w:p>
    <w:p>
      <w:pPr>
        <w:pStyle w:val="FootnoteText"/>
        <w:spacing w:after="0"/>
        <w:ind w:firstLine="0"/>
        <w:jc w:val="left"/>
      </w:pPr>
      <w:r>
        <w:t xml:space="preserve">For the fairness standard see Article 117-7 II at https://www.legifrance.gouv.fr/affichTexte.do?cidTexte=JORFTEXT000033202746&amp;categorieLien=id. </w:t>
      </w:r>
    </w:p>
    <w:p>
      <w:pPr>
        <w:pStyle w:val="FootnoteText"/>
        <w:spacing w:after="0"/>
        <w:ind w:firstLine="0"/>
        <w:rPr>
          <w:lang w:val="fr-CH"/>
        </w:rPr>
      </w:pPr>
      <w:r>
        <w:rPr>
          <w:lang w:val="fr-CH"/>
        </w:rPr>
        <w:t xml:space="preserve">and implementing decrees "Décret n° 2017-1436 du 29 septembre 2017 relatif aux obligations d'information relatives aux avis en ligne de consommateurs;  Décret n° 2017-1435 du 29 septembre 2017 relatif à la fixation d'un seuil de connexions à partir duquel les opérateurs de plateformes en ligne élaborent et diffusent des bonnes pratiques pour renforcer la loyauté, la clarté et la transparence des informations transmises aux consommateurs ; Décret n° 2017-1436 du 29 septembre 2017 relatif aux obligations d'information relatives aux avis en ligne de consommateurs., https://www.economie.gouv.fr/transparence-plateformes-numeriques-decrets-renforcent-legislation    </w:t>
      </w:r>
    </w:p>
    <w:p>
      <w:pPr>
        <w:pStyle w:val="FootnoteText"/>
        <w:spacing w:after="0"/>
        <w:ind w:hanging="284"/>
        <w:rPr>
          <w:lang w:val="fr-CH"/>
        </w:rPr>
      </w:pPr>
    </w:p>
  </w:footnote>
  <w:footnote w:id="149">
    <w:p>
      <w:pPr>
        <w:pStyle w:val="FootnoteText"/>
        <w:spacing w:after="0"/>
        <w:rPr>
          <w:lang w:val="it-IT"/>
        </w:rPr>
      </w:pPr>
      <w:r>
        <w:rPr>
          <w:rStyle w:val="FootnoteReference"/>
        </w:rPr>
        <w:footnoteRef/>
      </w:r>
      <w:r>
        <w:rPr>
          <w:lang w:val="it-IT"/>
        </w:rPr>
        <w:t xml:space="preserve"> Proposta di legge "Disposizioni in materia di fornitura dei servizi della rete internet per la tutela della concorrenza e della libertà di accesso degli utenti" (2520), status quo of the legislative process: http://www.camera.it/leg17/126?tab=1&amp;leg=17&amp;idDocumento=2520. </w:t>
      </w:r>
    </w:p>
  </w:footnote>
  <w:footnote w:id="150">
    <w:p>
      <w:pPr>
        <w:pStyle w:val="FootnoteText"/>
        <w:spacing w:after="0"/>
        <w:rPr>
          <w:lang w:val="it-IT"/>
        </w:rPr>
      </w:pPr>
      <w:r>
        <w:rPr>
          <w:rStyle w:val="FootnoteReference"/>
        </w:rPr>
        <w:footnoteRef/>
      </w:r>
      <w:r>
        <w:rPr>
          <w:lang w:val="it-IT"/>
        </w:rPr>
        <w:t xml:space="preserve"> </w:t>
      </w:r>
      <w:r>
        <w:rPr>
          <w:lang w:val="it-IT"/>
        </w:rPr>
        <w:tab/>
        <w:t xml:space="preserve">Proposta di legge "Disciplina delle piattaforme digitali per la condivisione di beni e servizi e disposizioni per la promozione dell'economia della condivisione" (3564), status quo of the legislative process: http://www.camera.it/leg17/126?tab=5&amp;leg=17&amp;idDocumento=3564. </w:t>
      </w:r>
    </w:p>
  </w:footnote>
  <w:footnote w:id="151">
    <w:p>
      <w:pPr>
        <w:pStyle w:val="FootnoteText"/>
        <w:spacing w:after="0"/>
      </w:pPr>
      <w:r>
        <w:rPr>
          <w:rStyle w:val="FootnoteReference"/>
        </w:rPr>
        <w:footnoteRef/>
      </w:r>
      <w:r>
        <w:t xml:space="preserve"> </w:t>
      </w:r>
      <w:r>
        <w:tab/>
        <w:t xml:space="preserve">The Proposal defines a trader's activity as beginning with a revenue of €10,000 per year. Annual income below this threshold would be subject to a 10% tax rate and when exceeding this level the annual income above would be counted towards other professional income and the respective tax rate. Linked to this is also the requirement for platforms to have a permanent establishment in Italy. </w:t>
      </w:r>
    </w:p>
  </w:footnote>
  <w:footnote w:id="152">
    <w:p>
      <w:pPr>
        <w:pStyle w:val="FootnoteText"/>
        <w:spacing w:after="0"/>
      </w:pPr>
      <w:r>
        <w:rPr>
          <w:rStyle w:val="FootnoteReference"/>
        </w:rPr>
        <w:footnoteRef/>
      </w:r>
      <w:r>
        <w:t xml:space="preserve"> See </w:t>
      </w:r>
      <w:hyperlink r:id="rId37" w:history="1">
        <w:r>
          <w:rPr>
            <w:rStyle w:val="Hyperlink"/>
          </w:rPr>
          <w:t>notification 2017/570/B under Directive 2015/1535/EU</w:t>
        </w:r>
      </w:hyperlink>
      <w:r>
        <w:t>.</w:t>
      </w:r>
    </w:p>
  </w:footnote>
  <w:footnote w:id="153">
    <w:p>
      <w:pPr>
        <w:pStyle w:val="FootnoteText"/>
        <w:spacing w:after="0"/>
        <w:rPr>
          <w:lang w:val="de-DE"/>
        </w:rPr>
      </w:pPr>
      <w:r>
        <w:rPr>
          <w:rStyle w:val="FootnoteReference"/>
        </w:rPr>
        <w:footnoteRef/>
      </w:r>
      <w:r>
        <w:rPr>
          <w:lang w:val="de-DE"/>
        </w:rPr>
        <w:t xml:space="preserve"> Gesetz zur Verbesserung der Rechtsdurchsetzung in sozialen Netzwerken (Netzwerkdurchsetzungsgesetz - NetzDG), BGBl. I 2017 S. 3352. </w:t>
      </w:r>
    </w:p>
  </w:footnote>
  <w:footnote w:id="154">
    <w:p>
      <w:pPr>
        <w:pStyle w:val="FootnoteText"/>
        <w:spacing w:after="0"/>
        <w:ind w:left="284" w:hanging="284"/>
        <w:rPr>
          <w:lang w:val="de-DE"/>
        </w:rPr>
      </w:pPr>
      <w:r>
        <w:rPr>
          <w:rStyle w:val="FootnoteReference"/>
        </w:rPr>
        <w:footnoteRef/>
      </w:r>
      <w:r>
        <w:rPr>
          <w:lang w:val="de-DE"/>
        </w:rPr>
        <w:t xml:space="preserve">BMWi, Weißbuch Digitale Plattformen, available here: </w:t>
      </w:r>
      <w:hyperlink r:id="rId38" w:history="1">
        <w:r>
          <w:rPr>
            <w:rStyle w:val="Hyperlink"/>
            <w:lang w:val="de-DE"/>
          </w:rPr>
          <w:t>https://www.bmwi.de/Redaktion/DE/Publikationen/Digitale-Welt/weissbuch-digitale-plattformen.html</w:t>
        </w:r>
      </w:hyperlink>
      <w:r>
        <w:rPr>
          <w:lang w:val="de-DE"/>
        </w:rPr>
        <w:t xml:space="preserve">. </w:t>
      </w:r>
    </w:p>
  </w:footnote>
  <w:footnote w:id="155">
    <w:p>
      <w:pPr>
        <w:pStyle w:val="FootnoteText"/>
      </w:pPr>
      <w:r>
        <w:rPr>
          <w:rStyle w:val="FootnoteReference"/>
        </w:rPr>
        <w:footnoteRef/>
      </w:r>
      <w:r>
        <w:t xml:space="preserve"> </w:t>
      </w:r>
      <w:r>
        <w:tab/>
      </w:r>
      <w:r>
        <w:rPr>
          <w:lang w:val="en-US"/>
        </w:rPr>
        <w:t xml:space="preserve">Extract based on Annex 7 of the Commission Staff Working Document – Accompanying document to the Proposal for a Directive of the European Parliament and of the Council on combating late payment in commercial transactions (recast) Impact Assessment (COM(2009) 126 final, SEC (2009 316), and </w:t>
      </w:r>
    </w:p>
  </w:footnote>
  <w:footnote w:id="156">
    <w:p>
      <w:pPr>
        <w:pStyle w:val="FootnoteText"/>
        <w:rPr>
          <w:lang w:val="en-US"/>
        </w:rPr>
      </w:pPr>
      <w:r>
        <w:rPr>
          <w:rStyle w:val="FootnoteReference"/>
        </w:rPr>
        <w:footnoteRef/>
      </w:r>
      <w:r>
        <w:t xml:space="preserve"> </w:t>
      </w:r>
      <w:r>
        <w:tab/>
        <w:t>Based on the analysis of the state of collective redress in the European Union in the context of the implementation of the Recommendation of the Commission on common principles for injunctive and compensatory collective redress mechanisms in the Member States concerning violations of rights granted under Union Law (request for services JUST/2016/JCOO/FW/CIVI/0099, Lot1/2016/06) prepared by the British Institute of International and Comparative Law (BIICL), in a research consortium  with Civic Consulting and Risk &amp; Policy Analysts (RPA), and supported by the Office for Economic Policy and Regional Development (EPRD), (forthcoming).</w:t>
      </w:r>
    </w:p>
  </w:footnote>
  <w:footnote w:id="157">
    <w:p>
      <w:pPr>
        <w:pStyle w:val="FootnoteText"/>
      </w:pPr>
      <w:r>
        <w:rPr>
          <w:rStyle w:val="FootnoteReference"/>
        </w:rPr>
        <w:footnoteRef/>
      </w:r>
      <w:r>
        <w:t xml:space="preserve"> </w:t>
      </w:r>
      <w:r>
        <w:tab/>
        <w:t xml:space="preserve">In June 2017, it was reported that no common position on the collective action mechanism proposed by the German Ministry of Justice could yet be found. </w:t>
      </w:r>
    </w:p>
  </w:footnote>
  <w:footnote w:id="158">
    <w:p>
      <w:pPr>
        <w:pStyle w:val="FootnoteText"/>
      </w:pPr>
      <w:r>
        <w:rPr>
          <w:rStyle w:val="FootnoteReference"/>
        </w:rPr>
        <w:footnoteRef/>
      </w:r>
      <w:r>
        <w:t xml:space="preserve"> </w:t>
      </w:r>
      <w:r>
        <w:tab/>
        <w:t xml:space="preserve">SMEs do not usually have the ability to understand the algorithms, and disclosing them would normally not allow using data (to comply with GDPR regulation), which makes the disclosure useless.  </w:t>
      </w:r>
    </w:p>
  </w:footnote>
  <w:footnote w:id="159">
    <w:p>
      <w:pPr>
        <w:pStyle w:val="FootnoteText"/>
        <w:spacing w:after="0"/>
      </w:pPr>
      <w:r>
        <w:rPr>
          <w:rStyle w:val="FootnoteReference"/>
        </w:rPr>
        <w:footnoteRef/>
      </w:r>
      <w:r>
        <w:t xml:space="preserve"> </w:t>
      </w:r>
      <w:r>
        <w:tab/>
        <w:t>Collective redress mechanisms for consumer matters for injunctive relief are in place in all the Member States, see Report from the Commission on the implementation of the Commission Recommendation of 11 June 2013 on common principles for injunctive and compensatory collective redress mechanisms in the Member States concerning violations of rights granted under Union Law (2013/396/EU), forthcoming (in ISC), p. 4 ff..</w:t>
      </w:r>
    </w:p>
  </w:footnote>
  <w:footnote w:id="160">
    <w:p>
      <w:pPr>
        <w:pStyle w:val="FootnoteText"/>
        <w:spacing w:after="0"/>
      </w:pPr>
      <w:r>
        <w:rPr>
          <w:rStyle w:val="FootnoteReference"/>
        </w:rPr>
        <w:footnoteRef/>
      </w:r>
      <w:r>
        <w:t xml:space="preserve"> </w:t>
      </w:r>
      <w:r>
        <w:tab/>
        <w:t xml:space="preserve">It is noted that the Commission is currently separately reflecting on possibilities to enlarge the scope of the existing Injunctions Directive including by enabling business representatives to bring action to defend the collective interest of consumers, see: </w:t>
      </w:r>
      <w:hyperlink r:id="rId39" w:history="1">
        <w:r>
          <w:rPr>
            <w:rStyle w:val="Hyperlink"/>
          </w:rPr>
          <w:t>Inception Impact Assessment, A New Deal for Consumers – revision of the Injunctions Directive, Ares(2017)5324969</w:t>
        </w:r>
      </w:hyperlink>
      <w:r>
        <w:t>. Such actions, if anything, improve the effectiveness of existing injunctions procedures but obviously serve to protect consumers rather than businesses.</w:t>
      </w:r>
    </w:p>
  </w:footnote>
  <w:footnote w:id="161">
    <w:p>
      <w:pPr>
        <w:pStyle w:val="FootnoteText"/>
        <w:spacing w:after="0"/>
      </w:pPr>
      <w:r>
        <w:rPr>
          <w:rStyle w:val="FootnoteReference"/>
        </w:rPr>
        <w:footnoteRef/>
      </w:r>
      <w:r>
        <w:t xml:space="preserve"> This freedom to contract is reflected inter alia in Article 3 of Regulation (EC) 593/2008 (the 'Rome 1 Regulation') and Article 14(1)(b) of Regulation (EC) 864/2007 (the 'Rome II Regulation') and in Article 3 of the Hague Convention on Choice of Court Agreements (the 'Hague Convention'. The EU deposited its instrument of acceptance to the Convention in June 2015. The Convention entered into force in respect of Mexico and the EU Member States (excluding Denmark) on 1 October 2015.</w:t>
      </w:r>
    </w:p>
  </w:footnote>
  <w:footnote w:id="162">
    <w:p>
      <w:pPr>
        <w:pStyle w:val="FootnoteText"/>
        <w:spacing w:after="0"/>
      </w:pPr>
      <w:r>
        <w:rPr>
          <w:rStyle w:val="FootnoteReference"/>
        </w:rPr>
        <w:footnoteRef/>
      </w:r>
      <w:r>
        <w:t xml:space="preserve"> </w:t>
      </w:r>
      <w:r>
        <w:tab/>
        <w:t>This option would be limited to providing standing in court for business representatives to enforce specific P2B legislation. It will complement any collective redress possibilities that the Commission is considering in the consumer protection area (cf. fn. 161), where business representatives could be given standing to enforce consumer protection legislation.</w:t>
      </w:r>
    </w:p>
  </w:footnote>
  <w:footnote w:id="163">
    <w:p>
      <w:pPr>
        <w:pStyle w:val="FootnoteText"/>
        <w:spacing w:after="0"/>
        <w:rPr>
          <w:lang w:val="nb-NO"/>
        </w:rPr>
      </w:pPr>
      <w:r>
        <w:rPr>
          <w:rStyle w:val="FootnoteReference"/>
        </w:rPr>
        <w:footnoteRef/>
      </w:r>
      <w:r>
        <w:rPr>
          <w:lang w:val="nb-NO"/>
        </w:rPr>
        <w:t xml:space="preserve"> </w:t>
      </w:r>
      <w:r>
        <w:rPr>
          <w:lang w:val="nb-NO"/>
        </w:rPr>
        <w:tab/>
        <w:t xml:space="preserve">Cf. case C-167/00 </w:t>
      </w:r>
      <w:r>
        <w:rPr>
          <w:i/>
          <w:lang w:val="nb-NO"/>
        </w:rPr>
        <w:t>Henkel</w:t>
      </w:r>
      <w:r>
        <w:rPr>
          <w:lang w:val="nb-NO"/>
        </w:rPr>
        <w:t xml:space="preserve"> 2002 I-08111.</w:t>
      </w:r>
    </w:p>
  </w:footnote>
  <w:footnote w:id="164">
    <w:p>
      <w:pPr>
        <w:pStyle w:val="FootnoteText"/>
      </w:pPr>
      <w:r>
        <w:rPr>
          <w:rStyle w:val="FootnoteReference"/>
        </w:rPr>
        <w:footnoteRef/>
      </w:r>
      <w:r>
        <w:t xml:space="preserve"> The term of platforms is not used here as a legal definition and is meant to broadly cover for instance e-commerce platforms, social media platforms, app stores and online general search engines.</w:t>
      </w:r>
    </w:p>
  </w:footnote>
  <w:footnote w:id="165">
    <w:p>
      <w:pPr>
        <w:pStyle w:val="FootnoteText"/>
      </w:pPr>
      <w:r>
        <w:rPr>
          <w:rStyle w:val="FootnoteReference"/>
        </w:rPr>
        <w:footnoteRef/>
      </w:r>
      <w:r>
        <w:t xml:space="preserve"> On the guarantee of the minimum essence of Article 16 Charter in contractual relationships See ECJ, Case C 426/11, 18 July 2013,  Mark Alemo-Herron and Others v Parkwood Leisure Ltd; Case C-283/11 Sky Österreich 22 January 2013.</w:t>
      </w:r>
    </w:p>
  </w:footnote>
  <w:footnote w:id="166">
    <w:p>
      <w:pPr>
        <w:pStyle w:val="FootnoteText"/>
      </w:pPr>
      <w:r>
        <w:rPr>
          <w:rStyle w:val="FootnoteReference"/>
        </w:rPr>
        <w:footnoteRef/>
      </w:r>
      <w:r>
        <w:t xml:space="preserve"> Given the specificities of ranking in online general search engines beyond contractual relationships and intermediation on the one hand see the more detailed problem description and estimation of costs in the IA under chapter 2.1.1.3 and 6.2.1.1. respectively. </w:t>
      </w:r>
    </w:p>
  </w:footnote>
  <w:footnote w:id="167">
    <w:p>
      <w:pPr>
        <w:pStyle w:val="FootnoteText"/>
      </w:pPr>
      <w:r>
        <w:rPr>
          <w:rStyle w:val="FootnoteReference"/>
        </w:rPr>
        <w:footnoteRef/>
      </w:r>
      <w:r>
        <w:t xml:space="preserve"> Regarding the importance for businesses in of ranking by online general search engines see explanations in the IA under chapter 6.2.2.</w:t>
      </w:r>
    </w:p>
  </w:footnote>
  <w:footnote w:id="168">
    <w:p>
      <w:pPr>
        <w:pStyle w:val="FootnoteText"/>
      </w:pPr>
      <w:r>
        <w:rPr>
          <w:rStyle w:val="FootnoteReference"/>
        </w:rPr>
        <w:footnoteRef/>
      </w:r>
      <w:r>
        <w:t xml:space="preserve"> Article 28 (7) in conjunctions with Article 93(2) GDPR.</w:t>
      </w:r>
    </w:p>
  </w:footnote>
  <w:footnote w:id="169">
    <w:p>
      <w:pPr>
        <w:pStyle w:val="FootnoteText"/>
      </w:pPr>
      <w:r>
        <w:rPr>
          <w:rStyle w:val="FootnoteReference"/>
        </w:rPr>
        <w:footnoteRef/>
      </w:r>
      <w:r>
        <w:t xml:space="preserve"> </w:t>
      </w:r>
      <w:r>
        <w:tab/>
        <w:t>This is based on an understanding of Article 16 Charter comprising three rights: on the one hand the individual fundamental the right to conduct a business and the freedom of contract. Those individual rigths are complemented by the right of free competition which has a programmatic character requiring the safeguarding of an economic and social program for the establishment of equality of opportunity which guarantees  existential dignity within the context of a market society.</w:t>
      </w:r>
    </w:p>
  </w:footnote>
  <w:footnote w:id="170">
    <w:p>
      <w:pPr>
        <w:pStyle w:val="FootnoteText"/>
      </w:pPr>
      <w:r>
        <w:rPr>
          <w:rStyle w:val="FootnoteReference"/>
        </w:rPr>
        <w:footnoteRef/>
      </w:r>
      <w:r>
        <w:t xml:space="preserve"> </w:t>
      </w:r>
      <w:r>
        <w:tab/>
        <w:t xml:space="preserve">Where online platforms and their business users did engage in mediation already, disputes were solved completely in without difficulties in 64% of cases, cf. ECORYS 2017. </w:t>
      </w:r>
    </w:p>
  </w:footnote>
  <w:footnote w:id="171">
    <w:p>
      <w:pPr>
        <w:pStyle w:val="FootnoteText"/>
      </w:pPr>
      <w:r>
        <w:rPr>
          <w:rStyle w:val="FootnoteReference"/>
        </w:rPr>
        <w:footnoteRef/>
      </w:r>
      <w:r>
        <w:t xml:space="preserve">  In </w:t>
      </w:r>
      <w:hyperlink r:id="rId40" w:history="1">
        <w:r>
          <w:rPr>
            <w:rStyle w:val="Hyperlink"/>
            <w:i/>
          </w:rPr>
          <w:t>Ingmar v Eaton</w:t>
        </w:r>
      </w:hyperlink>
      <w:r>
        <w:t xml:space="preserve"> (Case C-381/98 of 9 November 2000), in the context of the Commercial Agents Directive, which guarantees certain rights to commercial agents established in the Community after termination of their agency contract, the ECJ held that Community law is designed to protect commercial agents, in particular after termination of the contract and that the mandatory nature of the provisions in question obliges the Member States to put in place mechanisms for providing reparation. Where a commercial agent carries on his activity in the Community, he is therefore eligible, irrespective of the law by which the parties intended their contract to be governed, for the measures of reparation after termination of the contract which are provided for by Community law.</w:t>
      </w:r>
    </w:p>
  </w:footnote>
  <w:footnote w:id="172">
    <w:p>
      <w:pPr>
        <w:pStyle w:val="FootnoteText"/>
        <w:spacing w:after="0"/>
      </w:pPr>
      <w:r>
        <w:rPr>
          <w:rStyle w:val="FootnoteReference"/>
        </w:rPr>
        <w:footnoteRef/>
      </w:r>
      <w:r>
        <w:t xml:space="preserve">  Article 6(c) of the Hague Convention ("giving effect to the agreement would lead to a manifest injustice or would be manifestly contrary to the public policy of the State of the court seized").</w:t>
      </w:r>
    </w:p>
  </w:footnote>
  <w:footnote w:id="173">
    <w:p>
      <w:pPr>
        <w:pStyle w:val="FootnoteText"/>
        <w:spacing w:after="0"/>
      </w:pPr>
      <w:r>
        <w:rPr>
          <w:rStyle w:val="FootnoteReference"/>
        </w:rPr>
        <w:footnoteRef/>
      </w:r>
      <w:r>
        <w:t xml:space="preserve">  Article 9 of the Rome I Regulation ("Overriding mandatory provisions are provisions the respect for which is regarded as crucial by a country for safeguarding its public interests, such as its political, social or economic organisation, to such an extent that they are applicable to any situation falling within their scope, irrespective of the law otherwise applicable to the contract under this Regulation").</w:t>
      </w:r>
    </w:p>
  </w:footnote>
  <w:footnote w:id="174">
    <w:p>
      <w:pPr>
        <w:pStyle w:val="FootnoteText"/>
        <w:spacing w:after="0"/>
      </w:pPr>
      <w:r>
        <w:rPr>
          <w:rStyle w:val="FootnoteReference"/>
        </w:rPr>
        <w:footnoteRef/>
      </w:r>
      <w:r>
        <w:t xml:space="preserve">  Articles 6(1), 6(4) or 26 of the Rome II Regulation, on Article 6(1) see ECJ, judgment of 28 July 2016, Case C-191/15, Verein für Konsumenteninformation v Amazon EU Sàrl: the main law governing the injunction launched a consumer protection organisation against T&amp;C is governed by the law of the country where competitive relations or the collective interests of consumers are, or are likely to be, affected.</w:t>
      </w:r>
    </w:p>
  </w:footnote>
  <w:footnote w:id="175">
    <w:p>
      <w:pPr>
        <w:pStyle w:val="FootnoteText"/>
        <w:spacing w:after="0"/>
      </w:pPr>
      <w:r>
        <w:rPr>
          <w:rStyle w:val="FootnoteReference"/>
        </w:rPr>
        <w:footnoteRef/>
      </w:r>
      <w:r>
        <w:t xml:space="preserve">  </w:t>
      </w:r>
      <w:hyperlink r:id="rId41" w:history="1">
        <w:r>
          <w:rPr>
            <w:rStyle w:val="Hyperlink"/>
            <w:i/>
          </w:rPr>
          <w:t>Henkel</w:t>
        </w:r>
      </w:hyperlink>
      <w:r>
        <w:rPr>
          <w:i/>
        </w:rPr>
        <w:t xml:space="preserve"> </w:t>
      </w:r>
      <w:r>
        <w:t xml:space="preserve">(Case C-167/00 of 1 October 2002). </w:t>
      </w:r>
    </w:p>
  </w:footnote>
  <w:footnote w:id="176">
    <w:p>
      <w:pPr>
        <w:pStyle w:val="FootnoteText"/>
      </w:pPr>
      <w:r>
        <w:rPr>
          <w:rStyle w:val="FootnoteReference"/>
        </w:rPr>
        <w:footnoteRef/>
      </w:r>
      <w:r>
        <w:t xml:space="preserve"> SMEs do not usually have the ability to understand the algorithms, and disclosing them would normally not allow using data (to comply with GDPR regulation), which makes the disclosure useless.  </w:t>
      </w:r>
    </w:p>
  </w:footnote>
  <w:footnote w:id="177">
    <w:p>
      <w:pPr>
        <w:pStyle w:val="FootnoteText"/>
        <w:spacing w:after="0"/>
      </w:pPr>
      <w:r>
        <w:rPr>
          <w:rStyle w:val="FootnoteReference"/>
        </w:rPr>
        <w:footnoteRef/>
      </w:r>
      <w:r>
        <w:t xml:space="preserve"> </w:t>
      </w:r>
      <w:r>
        <w:tab/>
        <w:t>Collective redress mechanisms for consumer matters for injunctive relief are in place in all the Member States, see Report from the Commission on the implementation of the Commission Recommendation of 11 June 2013 on common principles for injunctive and compensatory collective redress mechanisms in the Member States concerning violations of rights granted under Union Law (2013/396/EU), forthcoming (in ISC), p. 4 ff. Also, see Annex 8.7.</w:t>
      </w:r>
    </w:p>
  </w:footnote>
  <w:footnote w:id="178">
    <w:p>
      <w:pPr>
        <w:pStyle w:val="FootnoteText"/>
        <w:spacing w:after="0"/>
      </w:pPr>
      <w:r>
        <w:rPr>
          <w:rStyle w:val="FootnoteReference"/>
        </w:rPr>
        <w:footnoteRef/>
      </w:r>
      <w:r>
        <w:t xml:space="preserve"> </w:t>
      </w:r>
      <w:r>
        <w:tab/>
        <w:t xml:space="preserve">It is noted that the Commission is currently separately reflecting on possibilities to enlarge the scope of the existing Injunctions Directive including by enabling business representatives to bring action to defend the collective interest of consumers, see: </w:t>
      </w:r>
      <w:hyperlink r:id="rId42" w:history="1">
        <w:r>
          <w:rPr>
            <w:rStyle w:val="Hyperlink"/>
          </w:rPr>
          <w:t>Inception Impact Assessment, A New Deal for Consumers – revision of the Injunctions Directive, Ares(2017)5324969</w:t>
        </w:r>
      </w:hyperlink>
      <w:r>
        <w:t>. Such actions, if anything, improve the effectiveness of existing injunctions procedures but obviously serve to protect consumers rather than businesses.</w:t>
      </w:r>
    </w:p>
  </w:footnote>
  <w:footnote w:id="179">
    <w:p>
      <w:pPr>
        <w:pStyle w:val="FootnoteText"/>
      </w:pPr>
      <w:r>
        <w:rPr>
          <w:rStyle w:val="FootnoteReference"/>
        </w:rPr>
        <w:footnoteRef/>
      </w:r>
      <w:r>
        <w:t xml:space="preserve"> </w:t>
      </w:r>
      <w:r>
        <w:tab/>
        <w:t>This freedom to contract is reflected inter alia in Article 3 of Regulation (EC) 593/2008 (the 'Rome 1 Regulation') and Article 14(1)(b) of Regulation (EC) 864/2007 (the 'Rome II Regulation'), Article 25 of Regulation (EC) 1215/2012 (the 'Brussels 1 Regulation') and in Article 3 of the Hague Convention on Choice of Court Agreements (the 'Hague Convention'. The EU deposited its instrument of acceptance to the Convention in June 2015. The Convention entered into force in respect of Mexico and the EU Member States (excluding Denmark) on 1 October 2015.</w:t>
      </w:r>
    </w:p>
  </w:footnote>
  <w:footnote w:id="180">
    <w:p>
      <w:pPr>
        <w:pStyle w:val="FootnoteText"/>
      </w:pPr>
      <w:r>
        <w:rPr>
          <w:rStyle w:val="FootnoteReference"/>
        </w:rPr>
        <w:footnoteRef/>
      </w:r>
      <w:r>
        <w:t xml:space="preserve"> </w:t>
      </w:r>
      <w:r>
        <w:tab/>
        <w:t>Annex 4.3.2 confirms online platforms' interest in engaging in self-regulation on the issues identified in this Impact Assessment report</w:t>
      </w:r>
      <w:r>
        <w:rPr>
          <w:lang w:eastAsia="en-GB"/>
        </w:rPr>
        <w:t>.</w:t>
      </w:r>
    </w:p>
  </w:footnote>
  <w:footnote w:id="181">
    <w:p>
      <w:pPr>
        <w:pStyle w:val="FootnoteText"/>
      </w:pPr>
      <w:r>
        <w:rPr>
          <w:rStyle w:val="FootnoteReference"/>
        </w:rPr>
        <w:footnoteRef/>
      </w:r>
      <w:r>
        <w:t xml:space="preserve"> </w:t>
      </w:r>
      <w:r>
        <w:tab/>
        <w:t>In its assessment of the impact on platforms of a data sharing obligation, an independent contractor also found that "the collection and analysis of data constitutes an important competitive advantage for platform operators. A limitation thereof could reduce the ability to achieve differentiation from other platforms and, as a result, a platforms willingness to undertake investment. On the other hand, there are no reasons to solely attribute the ownership of information with regard to the transaction between business users and customers to the intermediary, i.e., platform owners. Defining and implementing clear data policies may initially be associated with some costs", see: Ernst &amp; Young, Contractual Relationships between Online Platforms and Their Professional Users – SMART 2017/0041 (forthcoming).</w:t>
      </w:r>
    </w:p>
  </w:footnote>
  <w:footnote w:id="182">
    <w:p>
      <w:pPr>
        <w:pStyle w:val="FootnoteText"/>
        <w:spacing w:after="0"/>
      </w:pPr>
      <w:r>
        <w:rPr>
          <w:rStyle w:val="FootnoteReference"/>
        </w:rPr>
        <w:footnoteRef/>
      </w:r>
      <w:r>
        <w:t xml:space="preserve"> </w:t>
      </w:r>
      <w:r>
        <w:tab/>
        <w:t>This is a conservative estimate that assumes that a fair share of currently unsolved problems would be resolved, along with part of the problems that are currently only resolved with difficulties. Indeed the study on business users of online platforms showed that 30% of all problems in P2B relations remain unsolved and a further 29% can only be resolved with difficulties. A drop of 30% is therefore a safe assumption to cover the resolution of most (if not all) of the unsolved problems, along with a reduction of the cases resolved with difficulties, which also cause damages to businesses.</w:t>
      </w:r>
    </w:p>
  </w:footnote>
  <w:footnote w:id="183">
    <w:p>
      <w:pPr>
        <w:pStyle w:val="FootnoteText"/>
        <w:spacing w:after="0"/>
      </w:pPr>
      <w:r>
        <w:rPr>
          <w:rStyle w:val="FootnoteReference"/>
        </w:rPr>
        <w:footnoteRef/>
      </w:r>
      <w:r>
        <w:t xml:space="preserve"> </w:t>
      </w:r>
      <w:r>
        <w:tab/>
        <w:t>See footnote 106, LSE &amp; Partners – forthcoming.</w:t>
      </w:r>
    </w:p>
  </w:footnote>
  <w:footnote w:id="184">
    <w:p>
      <w:pPr>
        <w:pStyle w:val="FootnoteText"/>
      </w:pPr>
      <w:r>
        <w:rPr>
          <w:rStyle w:val="FootnoteReference"/>
        </w:rPr>
        <w:footnoteRef/>
      </w:r>
      <w:r>
        <w:t xml:space="preserve"> </w:t>
      </w:r>
      <w:r>
        <w:tab/>
        <w:t>It is noted that in France the Loi Lemaire addresses B2C transparency on discriminatory ranking practices, whereas several EU Member States have already introduced per se bans of MFN clauses. It is therefore unlikely that high-level transparency obligations on these issues will significantly alter the ability of online platforms to operate as opposed to the baseline scenario, while offering an important upside in that these obligations will help prevent further fragmentation.</w:t>
      </w:r>
    </w:p>
  </w:footnote>
  <w:footnote w:id="185">
    <w:p>
      <w:pPr>
        <w:pStyle w:val="FootnoteText"/>
        <w:spacing w:after="0"/>
      </w:pPr>
      <w:r>
        <w:rPr>
          <w:rStyle w:val="FootnoteReference"/>
        </w:rPr>
        <w:footnoteRef/>
      </w:r>
      <w:r>
        <w:t xml:space="preserve"> </w:t>
      </w:r>
      <w:r>
        <w:tab/>
        <w:t>Ernst &amp; Young, Contractual Relationships between Online Platforms and Their Professional Users – SMART 2017/0041 (forthcoming).</w:t>
      </w:r>
    </w:p>
  </w:footnote>
  <w:footnote w:id="186">
    <w:p>
      <w:pPr>
        <w:pStyle w:val="FootnoteText"/>
        <w:spacing w:after="0"/>
      </w:pPr>
      <w:r>
        <w:rPr>
          <w:rStyle w:val="FootnoteReference"/>
        </w:rPr>
        <w:footnoteRef/>
      </w:r>
      <w:r>
        <w:t xml:space="preserve"> </w:t>
      </w:r>
      <w:r>
        <w:tab/>
        <w:t>Ernst &amp; Young, Contractual Relationships between Online Platforms and Their Professional Users – SMART 2017/0041 (forthcoming).</w:t>
      </w:r>
    </w:p>
  </w:footnote>
  <w:footnote w:id="187">
    <w:p>
      <w:pPr>
        <w:pStyle w:val="FootnoteText"/>
        <w:spacing w:after="0"/>
      </w:pPr>
      <w:r>
        <w:rPr>
          <w:rStyle w:val="FootnoteReference"/>
        </w:rPr>
        <w:footnoteRef/>
      </w:r>
      <w:r>
        <w:t xml:space="preserve"> It has to be stressed though that some tools call on enterprises' leaders to be aware of search engine optimisation guidelines with a view to orienting the search strategy together with the webmaster.</w:t>
      </w:r>
    </w:p>
  </w:footnote>
  <w:footnote w:id="188">
    <w:p>
      <w:pPr>
        <w:pStyle w:val="FootnoteText"/>
        <w:spacing w:after="0"/>
      </w:pPr>
      <w:r>
        <w:rPr>
          <w:rStyle w:val="FootnoteReference"/>
        </w:rPr>
        <w:footnoteRef/>
      </w:r>
      <w:r>
        <w:t xml:space="preserve"> </w:t>
      </w:r>
      <w:r>
        <w:tab/>
        <w:t>In its assessment of the impact on platforms of a data sharing obligation, an independent contractor also found that "the collection and analysis of data constitutes an important competitive advantage for platform operators. A limitation thereof could reduce the ability to achieve differentiation from other platforms and, as a result, a platforms willingness to undertake investment. On the other hand, there are no reasons to solely attribute the ownership of information with regard to the transaction between business users and customers to the intermediary, i.e., platform owners. Defining and implementing clear data policies may initially be associated with some costs",see: Ernst &amp; Young, Contractual Relationships between Online Platforms and Their Professional Users – SMART 2017/0041 (forthcoming).</w:t>
      </w:r>
    </w:p>
  </w:footnote>
  <w:footnote w:id="189">
    <w:p>
      <w:pPr>
        <w:pStyle w:val="FootnoteText"/>
        <w:spacing w:after="0"/>
      </w:pPr>
      <w:r>
        <w:rPr>
          <w:rStyle w:val="FootnoteReference"/>
        </w:rPr>
        <w:footnoteRef/>
      </w:r>
      <w:r>
        <w:t xml:space="preserve"> </w:t>
      </w:r>
      <w:r>
        <w:tab/>
        <w:t>Assuming a cost of one additional FTE for small companies having between 50 and 250 employees.</w:t>
      </w:r>
    </w:p>
  </w:footnote>
  <w:footnote w:id="190">
    <w:p>
      <w:pPr>
        <w:pStyle w:val="FootnoteText"/>
        <w:spacing w:after="0"/>
      </w:pPr>
      <w:r>
        <w:rPr>
          <w:rStyle w:val="FootnoteReference"/>
        </w:rPr>
        <w:footnoteRef/>
      </w:r>
      <w:r>
        <w:t xml:space="preserve"> </w:t>
      </w:r>
      <w:r>
        <w:tab/>
        <w:t>Based on the actual example of a EUR 1.75 million one-off cost for a platform company achieving a EUR 6 billion annual turnover.</w:t>
      </w:r>
    </w:p>
  </w:footnote>
  <w:footnote w:id="191">
    <w:p>
      <w:pPr>
        <w:pStyle w:val="FootnoteText"/>
        <w:spacing w:after="0"/>
      </w:pPr>
      <w:r>
        <w:rPr>
          <w:rStyle w:val="FootnoteReference"/>
        </w:rPr>
        <w:footnoteRef/>
      </w:r>
      <w:r>
        <w:t xml:space="preserve"> </w:t>
      </w:r>
      <w:r>
        <w:tab/>
        <w:t>See Section 7.2.3 dealing with proportionality for more detail.</w:t>
      </w:r>
    </w:p>
  </w:footnote>
  <w:footnote w:id="192">
    <w:p>
      <w:pPr>
        <w:pStyle w:val="FootnoteText"/>
        <w:spacing w:after="0"/>
      </w:pPr>
      <w:r>
        <w:rPr>
          <w:rStyle w:val="FootnoteReference"/>
        </w:rPr>
        <w:footnoteRef/>
      </w:r>
      <w:r>
        <w:t xml:space="preserve"> Using the definitions of the European Union of Small and Medium Enterprises (Commission Recommendation of 6 May 2003 concerning the definition of micro, small and medium-sized enterprises C(2003) 1422) small platform businesses would be those with &lt; 50 employees, and a turnover or balance-sheet total of &lt; EUR10 million, while medium platform businesses are those with &lt; 250 staff headcount, and &lt; EUR 50 million annual turnover or &lt; EUR 43 million balance sheet total.</w:t>
      </w:r>
    </w:p>
  </w:footnote>
  <w:footnote w:id="193">
    <w:p>
      <w:pPr>
        <w:pStyle w:val="FootnoteText"/>
        <w:spacing w:after="0"/>
      </w:pPr>
      <w:r>
        <w:rPr>
          <w:rStyle w:val="FootnoteReference"/>
        </w:rPr>
        <w:footnoteRef/>
      </w:r>
      <w:r>
        <w:t xml:space="preserve"> </w:t>
      </w:r>
      <w:r>
        <w:tab/>
        <w:t xml:space="preserve">Based on 1.5 million apps listed in the App Store, it is estimated that in order to re-create the same creative richness, it would have required Apple itself 519 000 years' worth of work, see: </w:t>
      </w:r>
      <w:hyperlink r:id="rId43" w:history="1">
        <w:r>
          <w:rPr>
            <w:rStyle w:val="Hyperlink"/>
          </w:rPr>
          <w:t>https://www.slideshare.net/faberNovel/gafanomics-season-2-4-superpowers-to-outperform-in-the-network-economy/42-42The_more_apps_available_the</w:t>
        </w:r>
      </w:hyperlink>
      <w:r>
        <w:t xml:space="preserve">.   </w:t>
      </w:r>
    </w:p>
  </w:footnote>
  <w:footnote w:id="194">
    <w:p>
      <w:pPr>
        <w:pStyle w:val="FootnoteText"/>
      </w:pPr>
      <w:r>
        <w:rPr>
          <w:rStyle w:val="FootnoteReference"/>
        </w:rPr>
        <w:footnoteRef/>
      </w:r>
      <w:r>
        <w:t xml:space="preserve"> According to the </w:t>
      </w:r>
      <w:hyperlink r:id="rId44" w:history="1">
        <w:r>
          <w:rPr>
            <w:rStyle w:val="Hyperlink"/>
          </w:rPr>
          <w:t>Dealroom</w:t>
        </w:r>
      </w:hyperlink>
      <w:r>
        <w:t xml:space="preserve"> database there are 7,012 EU platform businesses and 19,526 global platform businesses.</w:t>
      </w:r>
    </w:p>
  </w:footnote>
  <w:footnote w:id="195">
    <w:p>
      <w:pPr>
        <w:pStyle w:val="FootnoteText"/>
      </w:pPr>
      <w:r>
        <w:rPr>
          <w:rStyle w:val="FootnoteReference"/>
        </w:rPr>
        <w:footnoteRef/>
      </w:r>
      <w:r>
        <w:t xml:space="preserve"> </w:t>
      </w:r>
      <w:r>
        <w:tab/>
        <w:t>An independent study contractor also found that small platform operators would not have a strategic interest in maintaining (overly) complex contractual terms in the first place, given their more modest scope of operations, and that costs would accordingly be limited, cf. Ernst &amp; Young, Contractual Relationships between Online Platforms and Their Professional Users – SMART 2017/0041 (forthcoming).</w:t>
      </w:r>
    </w:p>
  </w:footnote>
  <w:footnote w:id="196">
    <w:p>
      <w:pPr>
        <w:pStyle w:val="FootnoteText"/>
      </w:pPr>
      <w:r>
        <w:rPr>
          <w:rStyle w:val="FootnoteReference"/>
        </w:rPr>
        <w:footnoteRef/>
      </w:r>
      <w:r>
        <w:t xml:space="preserve"> </w:t>
      </w:r>
      <w:r>
        <w:tab/>
        <w:t>Micro-enterprises are defined as having fewer than 10 employees and an annual turnover (the amount of money taken in a particular period) or balance sheet (a statement of a company's assets and liabilities) below €2 million. Small enterprises are defined as having less than 50 employees and a turnover or balance sheet total of less than EUR 10 million.</w:t>
      </w:r>
    </w:p>
  </w:footnote>
  <w:footnote w:id="197">
    <w:p>
      <w:pPr>
        <w:pStyle w:val="FootnoteText"/>
        <w:spacing w:after="0"/>
      </w:pPr>
      <w:r>
        <w:rPr>
          <w:rStyle w:val="FootnoteReference"/>
        </w:rPr>
        <w:footnoteRef/>
      </w:r>
      <w:r>
        <w:t xml:space="preserve"> </w:t>
      </w:r>
      <w:r>
        <w:tab/>
        <w:t xml:space="preserve">Principle embodied in the Communication from the Commission to the Council, the European Parliament, the European Economic and Social Committee and the Committee of the Regions - “Think Small First” - A “Small Business Act” for Europe, COM(2008), 394 final. </w:t>
      </w:r>
    </w:p>
  </w:footnote>
  <w:footnote w:id="198">
    <w:p>
      <w:pPr>
        <w:pStyle w:val="FootnoteText"/>
        <w:spacing w:after="0"/>
      </w:pPr>
      <w:r>
        <w:rPr>
          <w:rStyle w:val="FootnoteReference"/>
        </w:rPr>
        <w:footnoteRef/>
      </w:r>
      <w:r>
        <w:t xml:space="preserve"> </w:t>
      </w:r>
      <w:r>
        <w:tab/>
      </w:r>
      <w:hyperlink r:id="rId45" w:history="1">
        <w:r>
          <w:rPr>
            <w:rStyle w:val="Hyperlink"/>
          </w:rPr>
          <w:t>Better Regulation Toolbox</w:t>
        </w:r>
      </w:hyperlink>
      <w:r>
        <w:t xml:space="preserve"> complementing the Better Regulation Guidelines presented in in SWD(2017), 350 final.</w:t>
      </w:r>
    </w:p>
  </w:footnote>
  <w:footnote w:id="199">
    <w:p>
      <w:pPr>
        <w:pStyle w:val="FootnoteText"/>
        <w:spacing w:after="0"/>
        <w:contextualSpacing/>
      </w:pPr>
      <w:r>
        <w:rPr>
          <w:rStyle w:val="FootnoteReference"/>
        </w:rPr>
        <w:footnoteRef/>
      </w:r>
      <w:r>
        <w:t xml:space="preserve"> 3298 platforms under options 2a and 2b.. This number would be 3380 platforms under options 2c and 2d extending the scope to online general search engines.</w:t>
      </w:r>
    </w:p>
  </w:footnote>
  <w:footnote w:id="200">
    <w:p>
      <w:pPr>
        <w:spacing w:after="0"/>
        <w:ind w:left="284" w:hanging="284"/>
        <w:contextualSpacing/>
        <w:rPr>
          <w:sz w:val="20"/>
        </w:rPr>
      </w:pPr>
      <w:r>
        <w:rPr>
          <w:rStyle w:val="FootnoteReference"/>
          <w:sz w:val="20"/>
        </w:rPr>
        <w:footnoteRef/>
      </w:r>
      <w:r>
        <w:rPr>
          <w:sz w:val="20"/>
        </w:rPr>
        <w:t xml:space="preserve"> </w:t>
      </w:r>
      <w:r>
        <w:rPr>
          <w:sz w:val="20"/>
        </w:rPr>
        <w:tab/>
        <w:t>This can be indirectly inferred from a recent DG JUST study on the collaborative economy study showed that only 20 out of 485 platforms were very large, with over 100 000 daily unique visitors, and the companies that will be in scope of the initiative will therefore account for a very large share of total intermediation.</w:t>
      </w:r>
    </w:p>
  </w:footnote>
  <w:footnote w:id="201">
    <w:p>
      <w:pPr>
        <w:spacing w:after="0"/>
        <w:ind w:left="284" w:hanging="284"/>
        <w:rPr>
          <w:sz w:val="20"/>
        </w:rPr>
      </w:pPr>
      <w:r>
        <w:rPr>
          <w:rStyle w:val="FootnoteReference"/>
          <w:sz w:val="20"/>
        </w:rPr>
        <w:footnoteRef/>
      </w:r>
      <w:r>
        <w:rPr>
          <w:sz w:val="20"/>
        </w:rPr>
        <w:t xml:space="preserve"> </w:t>
      </w:r>
      <w:r>
        <w:rPr>
          <w:sz w:val="20"/>
        </w:rPr>
        <w:tab/>
        <w:t>From the Dealroom.co database of November 2017, defining platforms as marketplaces and adjacent categories including classified listings, booking, lead generation, and performance-based business models, as well as search engines.</w:t>
      </w:r>
    </w:p>
  </w:footnote>
  <w:footnote w:id="202">
    <w:p>
      <w:pPr>
        <w:pStyle w:val="FootnoteText"/>
        <w:spacing w:after="0"/>
      </w:pPr>
      <w:r>
        <w:rPr>
          <w:rStyle w:val="FootnoteReference"/>
        </w:rPr>
        <w:footnoteRef/>
      </w:r>
      <w:r>
        <w:t xml:space="preserve"> </w:t>
      </w:r>
      <w:r>
        <w:tab/>
        <w:t xml:space="preserve">According to the </w:t>
      </w:r>
      <w:hyperlink r:id="rId46" w:history="1">
        <w:r>
          <w:rPr>
            <w:rStyle w:val="Hyperlink"/>
          </w:rPr>
          <w:t>Dealroom</w:t>
        </w:r>
      </w:hyperlink>
      <w:r>
        <w:t xml:space="preserve"> database.</w:t>
      </w:r>
    </w:p>
  </w:footnote>
  <w:footnote w:id="203">
    <w:p>
      <w:pPr>
        <w:pStyle w:val="FootnoteText"/>
        <w:spacing w:after="0"/>
      </w:pPr>
      <w:r>
        <w:rPr>
          <w:rStyle w:val="FootnoteReference"/>
        </w:rPr>
        <w:footnoteRef/>
      </w:r>
      <w:r>
        <w:t xml:space="preserve"> </w:t>
      </w:r>
      <w:r>
        <w:tab/>
        <w:t xml:space="preserve">See section </w:t>
      </w:r>
      <w:r>
        <w:fldChar w:fldCharType="begin"/>
      </w:r>
      <w:r>
        <w:instrText xml:space="preserve"> REF _Ref505338377 \r \h  \* MERGEFORMAT </w:instrText>
      </w:r>
      <w:r>
        <w:fldChar w:fldCharType="separate"/>
      </w:r>
      <w:r>
        <w:rPr>
          <w:b/>
          <w:bCs/>
          <w:lang w:val="en-US"/>
        </w:rPr>
        <w:t>Error! Reference source not found.</w:t>
      </w:r>
      <w:r>
        <w:fldChar w:fldCharType="end"/>
      </w:r>
    </w:p>
  </w:footnote>
  <w:footnote w:id="204">
    <w:p>
      <w:pPr>
        <w:pStyle w:val="FootnoteText"/>
      </w:pPr>
      <w:r>
        <w:rPr>
          <w:rStyle w:val="FootnoteReference"/>
        </w:rPr>
        <w:footnoteRef/>
      </w:r>
      <w:r>
        <w:t xml:space="preserve"> </w:t>
      </w:r>
      <w:r>
        <w:tab/>
        <w:t>Based on the actual example of a EUR 1.75 million one-off cost for a platform company achieving a EUR 6 billion annual turnover, with 45.500 active sellers.</w:t>
      </w:r>
    </w:p>
  </w:footnote>
  <w:footnote w:id="205">
    <w:p>
      <w:pPr>
        <w:pStyle w:val="FootnoteText"/>
      </w:pPr>
      <w:r>
        <w:rPr>
          <w:rStyle w:val="FootnoteReference"/>
        </w:rPr>
        <w:footnoteRef/>
      </w:r>
      <w:r>
        <w:t xml:space="preserve"> </w:t>
      </w:r>
      <w:r>
        <w:tab/>
        <w:t>The study  Ernst &amp; Young, "Contractual Relationships between Online Platforms and Their Professional Users – SMART 2017/0041" (forthcoming)], chapter 4.3.2.2 also concludes on a strongly positive effect of the transparency benchmark on business users due to reduction of their direct costs resulting from non-transparent T&amp;C; this beneficial effect being more pronounced for small firms.</w:t>
      </w:r>
    </w:p>
  </w:footnote>
  <w:footnote w:id="206">
    <w:p>
      <w:pPr>
        <w:pStyle w:val="FootnoteText"/>
      </w:pPr>
      <w:r>
        <w:rPr>
          <w:rStyle w:val="FootnoteReference"/>
        </w:rPr>
        <w:footnoteRef/>
      </w:r>
      <w:r>
        <w:t xml:space="preserve"> </w:t>
      </w:r>
      <w:r>
        <w:tab/>
      </w:r>
      <w:hyperlink r:id="rId47" w:history="1">
        <w:r>
          <w:t>Note of the European Parliament, Quantifying the cost of not using mediation – a data analysis</w:t>
        </w:r>
      </w:hyperlink>
      <w:r>
        <w:t>.</w:t>
      </w:r>
    </w:p>
  </w:footnote>
  <w:footnote w:id="207">
    <w:p>
      <w:pPr>
        <w:pStyle w:val="FootnoteText"/>
        <w:spacing w:after="0"/>
      </w:pPr>
      <w:r>
        <w:rPr>
          <w:rStyle w:val="FootnoteReference"/>
        </w:rPr>
        <w:footnoteRef/>
      </w:r>
      <w:r>
        <w:t xml:space="preserve"> </w:t>
      </w:r>
      <w:r>
        <w:tab/>
        <w:t>Based on a response to the questionnaire circulated through the Small Business Act Group on 11 August 2017 and discussions at the Small Business Act stakeholders meeting on 27 September 2017.</w:t>
      </w:r>
    </w:p>
  </w:footnote>
  <w:footnote w:id="208">
    <w:p>
      <w:pPr>
        <w:pStyle w:val="FootnoteText"/>
        <w:spacing w:after="0"/>
      </w:pPr>
      <w:r>
        <w:rPr>
          <w:rStyle w:val="FootnoteReference"/>
        </w:rPr>
        <w:footnoteRef/>
      </w:r>
      <w:r>
        <w:t xml:space="preserve"> </w:t>
      </w:r>
      <w:r>
        <w:tab/>
        <w:t xml:space="preserve">Eurostat, data set </w:t>
      </w:r>
      <w:r>
        <w:rPr>
          <w:rStyle w:val="rightside"/>
        </w:rPr>
        <w:t xml:space="preserve">sbs_sc_sca_r2. </w:t>
      </w:r>
    </w:p>
  </w:footnote>
  <w:footnote w:id="209">
    <w:p>
      <w:pPr>
        <w:pStyle w:val="FootnoteText"/>
        <w:spacing w:after="0"/>
      </w:pPr>
      <w:r>
        <w:rPr>
          <w:rStyle w:val="FootnoteReference"/>
        </w:rPr>
        <w:footnoteRef/>
      </w:r>
      <w:r>
        <w:t xml:space="preserve"> '</w:t>
      </w:r>
      <w:hyperlink r:id="rId48" w:history="1">
        <w:r>
          <w:rPr>
            <w:rStyle w:val="Hyperlink"/>
          </w:rPr>
          <w:t>Retail &amp; wholesale: Key sectors for the European economy. Understanding the role of retailing and wholesaling within the European Union</w:t>
        </w:r>
      </w:hyperlink>
      <w:r>
        <w:t>,' Oxford Institute of Retail Management (OXIRM), Saïd Business School, University of Oxford, 2014.</w:t>
      </w:r>
    </w:p>
  </w:footnote>
  <w:footnote w:id="210">
    <w:p>
      <w:pPr>
        <w:pStyle w:val="FootnoteText"/>
      </w:pPr>
      <w:r>
        <w:rPr>
          <w:rStyle w:val="FootnoteReference"/>
        </w:rPr>
        <w:footnoteRef/>
      </w:r>
      <w:r>
        <w:t xml:space="preserve"> See comment from the Finnish Competition and Consumer Authority in the Analysis of the state of collective redress in the European Union in the context of the implementation of the Recommendation of the Commission on common principles for injunctive and compensatory collective redress mechanisms in the Member States concerning violations of rights granted under Union Law (request for services JUST/2016/JCOO/FW/CIVI/0099, Lot1/2016/06) prepared by the British Institute of International and Comparative Law (BIICL), in a research consortium  with Civic Consulting and Risk &amp; Policy Analysts (RPA), and supported by the Office for Economic Policy and Regional Development (EPRD), (forthcoming).</w:t>
      </w:r>
    </w:p>
    <w:p>
      <w:pPr>
        <w:pStyle w:val="FootnoteText"/>
      </w:pPr>
    </w:p>
  </w:footnote>
  <w:footnote w:id="211">
    <w:p>
      <w:pPr>
        <w:pStyle w:val="FootnoteText"/>
        <w:spacing w:after="0"/>
        <w:ind w:left="0" w:firstLine="0"/>
      </w:pPr>
    </w:p>
  </w:footnote>
  <w:footnote w:id="212">
    <w:p>
      <w:pPr>
        <w:pStyle w:val="FootnoteText"/>
        <w:spacing w:after="0"/>
      </w:pPr>
      <w:r>
        <w:rPr>
          <w:rStyle w:val="FootnoteReference"/>
        </w:rPr>
        <w:footnoteRef/>
      </w:r>
      <w:r>
        <w:t xml:space="preserve"> </w:t>
      </w:r>
      <w:r>
        <w:rPr>
          <w:lang w:eastAsia="en-GB"/>
        </w:rPr>
        <w:t xml:space="preserve">Platforms are a magnet for innovation. For example, new apps are constantly being developed and made available in app stores. In March 2017, there were 2.8 million apps available in Google Play, 2.2 million in the Apple App Store, 669,000 in the Windows Store and 600,000 in the Amazon Appstore. </w:t>
      </w:r>
      <w:hyperlink r:id="rId49" w:history="1">
        <w:r>
          <w:rPr>
            <w:rStyle w:val="Hyperlink"/>
            <w:lang w:eastAsia="en-GB"/>
          </w:rPr>
          <w:t>Statis</w:t>
        </w:r>
        <w:r>
          <w:rPr>
            <w:rStyle w:val="Hyperlink"/>
          </w:rPr>
          <w:t>ta</w:t>
        </w:r>
        <w:r>
          <w:rPr>
            <w:rStyle w:val="Hyperlink"/>
            <w:lang w:eastAsia="en-GB"/>
          </w:rPr>
          <w:t>: Number of apps available in leading app stores as of March 2017.</w:t>
        </w:r>
      </w:hyperlink>
    </w:p>
  </w:footnote>
  <w:footnote w:id="213">
    <w:p>
      <w:pPr>
        <w:pStyle w:val="FootnoteText"/>
        <w:spacing w:after="0"/>
      </w:pPr>
      <w:r>
        <w:rPr>
          <w:rStyle w:val="FootnoteReference"/>
        </w:rPr>
        <w:footnoteRef/>
      </w:r>
      <w:r>
        <w:t xml:space="preserve"> </w:t>
      </w:r>
      <w:r>
        <w:tab/>
        <w:t xml:space="preserve">Based on 1.5 million apps listed in the App Store, it is estimated that in order to re-create the same creative richness, it would have required Apple itself 519 000 years' worth of work, see: </w:t>
      </w:r>
      <w:hyperlink r:id="rId50" w:history="1">
        <w:r>
          <w:rPr>
            <w:rStyle w:val="Hyperlink"/>
          </w:rPr>
          <w:t>https://www.slideshare.net/faberNovel/gafanomics-season-2-4-superpowers-to-outperform-in-the-network-economy/42-42The_more_apps_available_the</w:t>
        </w:r>
      </w:hyperlink>
      <w:r>
        <w:rPr>
          <w:rStyle w:val="Hyperlink"/>
        </w:rPr>
        <w:t xml:space="preserve">. </w:t>
      </w:r>
    </w:p>
  </w:footnote>
  <w:footnote w:id="214">
    <w:p>
      <w:pPr>
        <w:pStyle w:val="FootnoteText"/>
      </w:pPr>
      <w:r>
        <w:rPr>
          <w:rStyle w:val="FootnoteReference"/>
        </w:rPr>
        <w:footnoteRef/>
      </w:r>
      <w:r>
        <w:t xml:space="preserve"> </w:t>
      </w:r>
      <w:r>
        <w:tab/>
        <w:t xml:space="preserve">Jeremy Rose and Brent Furneaux, "Innovation Drivers and Outputs for Software Firms: Literature Review and Concept Development," </w:t>
      </w:r>
      <w:r>
        <w:rPr>
          <w:i/>
        </w:rPr>
        <w:t>Advances in Software Engineering</w:t>
      </w:r>
      <w:r>
        <w:t>, vol. 2016, Article ID 5126069.</w:t>
      </w:r>
    </w:p>
  </w:footnote>
  <w:footnote w:id="215">
    <w:p>
      <w:pPr>
        <w:pStyle w:val="FootnoteText"/>
      </w:pPr>
      <w:r>
        <w:rPr>
          <w:rStyle w:val="FootnoteReference"/>
        </w:rPr>
        <w:footnoteRef/>
      </w:r>
      <w:r>
        <w:t xml:space="preserve"> </w:t>
      </w:r>
      <w:r>
        <w:tab/>
        <w:t>Average per year from 2013 to 2017: Facebook: 904.84 million USD, Alphabet 2.721 billion USD, Amazon: 2.811 billion USD, and strongly increasing over the years. Retrieved from</w:t>
      </w:r>
      <w:r>
        <w:rPr>
          <w:rStyle w:val="Hyperlink"/>
        </w:rPr>
        <w:t xml:space="preserve"> </w:t>
      </w:r>
      <w:hyperlink r:id="rId51" w:history="1">
        <w:r>
          <w:rPr>
            <w:rStyle w:val="Hyperlink"/>
          </w:rPr>
          <w:t>Ycharts.com</w:t>
        </w:r>
      </w:hyperlink>
      <w:r>
        <w:rPr>
          <w:rStyle w:val="Hyperlink"/>
        </w:rPr>
        <w:t>.</w:t>
      </w:r>
      <w:r>
        <w:t xml:space="preserve"> </w:t>
      </w:r>
    </w:p>
  </w:footnote>
  <w:footnote w:id="216">
    <w:p>
      <w:pPr>
        <w:pStyle w:val="FootnoteText"/>
      </w:pPr>
      <w:r>
        <w:rPr>
          <w:rStyle w:val="FootnoteReference"/>
        </w:rPr>
        <w:footnoteRef/>
      </w:r>
      <w:r>
        <w:t xml:space="preserve"> </w:t>
      </w:r>
      <w:r>
        <w:tab/>
        <w:t>As mentioned in section 2.1.1.3, 19% of EU Internet users does not trust that the results presented to them are the most relevant to their query.</w:t>
      </w:r>
    </w:p>
  </w:footnote>
  <w:footnote w:id="217">
    <w:p>
      <w:pPr>
        <w:pStyle w:val="FootnoteText"/>
        <w:spacing w:after="0"/>
      </w:pPr>
      <w:r>
        <w:rPr>
          <w:rStyle w:val="FootnoteReference"/>
        </w:rPr>
        <w:footnoteRef/>
      </w:r>
      <w:r>
        <w:t xml:space="preserve"> </w:t>
      </w:r>
      <w:r>
        <w:tab/>
        <w:t>We consider an average number of employees of 4.7 irrespective of the economic sector concerned. This is a conservative assumption since this figure corresponds to the lowest one of the three sectors for which data is available: i.e. computer programming (i.e. app developers). The corresponding figures are 5.2 for retail and 8.4 for accommodation (source: Eurostat, datasets sbs_na_dt_r2 for retail and sbs_na_1a_se_r2 for accommodation).</w:t>
      </w:r>
    </w:p>
  </w:footnote>
  <w:footnote w:id="218">
    <w:p>
      <w:pPr>
        <w:pStyle w:val="FootnoteText"/>
        <w:spacing w:after="0"/>
      </w:pPr>
      <w:r>
        <w:rPr>
          <w:rStyle w:val="FootnoteReference"/>
        </w:rPr>
        <w:footnoteRef/>
      </w:r>
      <w:r>
        <w:t xml:space="preserve"> </w:t>
      </w:r>
      <w:r>
        <w:tab/>
        <w:t xml:space="preserve">COM </w:t>
      </w:r>
      <w:hyperlink r:id="rId52" w:history="1">
        <w:r>
          <w:rPr>
            <w:rStyle w:val="Hyperlink"/>
          </w:rPr>
          <w:t>SWD(2017), 154 final</w:t>
        </w:r>
      </w:hyperlink>
      <w:r>
        <w:t>, Commission Staff Working Document accompanying the Final report on the E-commerce Sector Inquiry (</w:t>
      </w:r>
      <w:hyperlink r:id="rId53" w:history="1">
        <w:r>
          <w:rPr>
            <w:rStyle w:val="Hyperlink"/>
          </w:rPr>
          <w:t>COM(2017), 229 final</w:t>
        </w:r>
      </w:hyperlink>
      <w:r>
        <w:t>), paragraph 449, 10 May 2017.</w:t>
      </w:r>
    </w:p>
  </w:footnote>
  <w:footnote w:id="219">
    <w:p>
      <w:pPr>
        <w:pStyle w:val="FootnoteText"/>
      </w:pPr>
      <w:r>
        <w:rPr>
          <w:rStyle w:val="FootnoteReference"/>
        </w:rPr>
        <w:footnoteRef/>
      </w:r>
      <w:r>
        <w:t xml:space="preserve"> A large number of platforms active in the collaborative economy are however "hybrids", in that they enable peer-to-peer as well as business-to-consumer transactions. </w:t>
      </w:r>
    </w:p>
  </w:footnote>
  <w:footnote w:id="220">
    <w:p>
      <w:pPr>
        <w:pStyle w:val="FootnoteText"/>
      </w:pPr>
      <w:r>
        <w:rPr>
          <w:rStyle w:val="FootnoteReference"/>
        </w:rPr>
        <w:footnoteRef/>
      </w:r>
      <w:r>
        <w:t xml:space="preserve"> Consumer Conditions Scoreboard – Consumers at Home in the Single Market. 2017 Edition.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j0115844"/>
      </v:shape>
    </w:pict>
  </w:numPicBullet>
  <w:abstractNum w:abstractNumId="0">
    <w:nsid w:val="FFFFFF7C"/>
    <w:multiLevelType w:val="singleLevel"/>
    <w:tmpl w:val="EA58E78E"/>
    <w:lvl w:ilvl="0">
      <w:start w:val="1"/>
      <w:numFmt w:val="decimal"/>
      <w:pStyle w:val="ListNumber5"/>
      <w:lvlText w:val="%1."/>
      <w:lvlJc w:val="left"/>
      <w:pPr>
        <w:tabs>
          <w:tab w:val="num" w:pos="1132"/>
        </w:tabs>
        <w:ind w:left="1132" w:hanging="360"/>
      </w:pPr>
    </w:lvl>
  </w:abstractNum>
  <w:abstractNum w:abstractNumId="1">
    <w:nsid w:val="FFFFFF7D"/>
    <w:multiLevelType w:val="singleLevel"/>
    <w:tmpl w:val="42B2164A"/>
    <w:lvl w:ilvl="0">
      <w:start w:val="1"/>
      <w:numFmt w:val="decimal"/>
      <w:lvlText w:val="%1."/>
      <w:lvlJc w:val="left"/>
      <w:pPr>
        <w:tabs>
          <w:tab w:val="num" w:pos="1209"/>
        </w:tabs>
        <w:ind w:left="1209" w:hanging="360"/>
      </w:pPr>
    </w:lvl>
  </w:abstractNum>
  <w:abstractNum w:abstractNumId="2">
    <w:nsid w:val="FFFFFF7F"/>
    <w:multiLevelType w:val="singleLevel"/>
    <w:tmpl w:val="CD6E8D7C"/>
    <w:lvl w:ilvl="0">
      <w:start w:val="1"/>
      <w:numFmt w:val="decimal"/>
      <w:lvlText w:val="%1."/>
      <w:lvlJc w:val="left"/>
      <w:pPr>
        <w:tabs>
          <w:tab w:val="num" w:pos="643"/>
        </w:tabs>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7B7E297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8DA1FE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0609F36"/>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5AA9056"/>
    <w:lvl w:ilvl="0">
      <w:start w:val="1"/>
      <w:numFmt w:val="decimal"/>
      <w:lvlText w:val="%1."/>
      <w:lvlJc w:val="left"/>
      <w:pPr>
        <w:tabs>
          <w:tab w:val="num" w:pos="360"/>
        </w:tabs>
        <w:ind w:left="360" w:hanging="360"/>
      </w:pPr>
    </w:lvl>
  </w:abstractNum>
  <w:abstractNum w:abstractNumId="8">
    <w:nsid w:val="FFFFFF89"/>
    <w:multiLevelType w:val="singleLevel"/>
    <w:tmpl w:val="C4E887F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377C97"/>
    <w:multiLevelType w:val="hybridMultilevel"/>
    <w:tmpl w:val="9392B64C"/>
    <w:lvl w:ilvl="0" w:tplc="0809000F">
      <w:start w:val="1"/>
      <w:numFmt w:val="decimal"/>
      <w:lvlText w:val="%1."/>
      <w:lvlJc w:val="left"/>
      <w:pPr>
        <w:ind w:left="1170" w:hanging="4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00527E25"/>
    <w:multiLevelType w:val="hybridMultilevel"/>
    <w:tmpl w:val="507069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008519C6"/>
    <w:multiLevelType w:val="hybridMultilevel"/>
    <w:tmpl w:val="DEC853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00A90C09"/>
    <w:multiLevelType w:val="hybridMultilevel"/>
    <w:tmpl w:val="CA78F426"/>
    <w:lvl w:ilvl="0" w:tplc="DFF699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5138DD"/>
    <w:multiLevelType w:val="hybridMultilevel"/>
    <w:tmpl w:val="5BBCAE1C"/>
    <w:lvl w:ilvl="0" w:tplc="E12CE32C">
      <w:start w:val="1"/>
      <w:numFmt w:val="bullet"/>
      <w:lvlText w:val="•"/>
      <w:lvlJc w:val="left"/>
      <w:pPr>
        <w:tabs>
          <w:tab w:val="num" w:pos="720"/>
        </w:tabs>
        <w:ind w:left="720" w:hanging="360"/>
      </w:pPr>
      <w:rPr>
        <w:rFonts w:ascii="Times New Roman" w:hAnsi="Times New Roman" w:hint="default"/>
      </w:rPr>
    </w:lvl>
    <w:lvl w:ilvl="1" w:tplc="A9745DC2" w:tentative="1">
      <w:start w:val="1"/>
      <w:numFmt w:val="bullet"/>
      <w:lvlText w:val="•"/>
      <w:lvlJc w:val="left"/>
      <w:pPr>
        <w:tabs>
          <w:tab w:val="num" w:pos="1440"/>
        </w:tabs>
        <w:ind w:left="1440" w:hanging="360"/>
      </w:pPr>
      <w:rPr>
        <w:rFonts w:ascii="Times New Roman" w:hAnsi="Times New Roman" w:hint="default"/>
      </w:rPr>
    </w:lvl>
    <w:lvl w:ilvl="2" w:tplc="3E1414CA" w:tentative="1">
      <w:start w:val="1"/>
      <w:numFmt w:val="bullet"/>
      <w:lvlText w:val="•"/>
      <w:lvlJc w:val="left"/>
      <w:pPr>
        <w:tabs>
          <w:tab w:val="num" w:pos="2160"/>
        </w:tabs>
        <w:ind w:left="2160" w:hanging="360"/>
      </w:pPr>
      <w:rPr>
        <w:rFonts w:ascii="Times New Roman" w:hAnsi="Times New Roman" w:hint="default"/>
      </w:rPr>
    </w:lvl>
    <w:lvl w:ilvl="3" w:tplc="E28817B2" w:tentative="1">
      <w:start w:val="1"/>
      <w:numFmt w:val="bullet"/>
      <w:lvlText w:val="•"/>
      <w:lvlJc w:val="left"/>
      <w:pPr>
        <w:tabs>
          <w:tab w:val="num" w:pos="2880"/>
        </w:tabs>
        <w:ind w:left="2880" w:hanging="360"/>
      </w:pPr>
      <w:rPr>
        <w:rFonts w:ascii="Times New Roman" w:hAnsi="Times New Roman" w:hint="default"/>
      </w:rPr>
    </w:lvl>
    <w:lvl w:ilvl="4" w:tplc="5A76DFC2" w:tentative="1">
      <w:start w:val="1"/>
      <w:numFmt w:val="bullet"/>
      <w:lvlText w:val="•"/>
      <w:lvlJc w:val="left"/>
      <w:pPr>
        <w:tabs>
          <w:tab w:val="num" w:pos="3600"/>
        </w:tabs>
        <w:ind w:left="3600" w:hanging="360"/>
      </w:pPr>
      <w:rPr>
        <w:rFonts w:ascii="Times New Roman" w:hAnsi="Times New Roman" w:hint="default"/>
      </w:rPr>
    </w:lvl>
    <w:lvl w:ilvl="5" w:tplc="9034A50C" w:tentative="1">
      <w:start w:val="1"/>
      <w:numFmt w:val="bullet"/>
      <w:lvlText w:val="•"/>
      <w:lvlJc w:val="left"/>
      <w:pPr>
        <w:tabs>
          <w:tab w:val="num" w:pos="4320"/>
        </w:tabs>
        <w:ind w:left="4320" w:hanging="360"/>
      </w:pPr>
      <w:rPr>
        <w:rFonts w:ascii="Times New Roman" w:hAnsi="Times New Roman" w:hint="default"/>
      </w:rPr>
    </w:lvl>
    <w:lvl w:ilvl="6" w:tplc="331651D0" w:tentative="1">
      <w:start w:val="1"/>
      <w:numFmt w:val="bullet"/>
      <w:lvlText w:val="•"/>
      <w:lvlJc w:val="left"/>
      <w:pPr>
        <w:tabs>
          <w:tab w:val="num" w:pos="5040"/>
        </w:tabs>
        <w:ind w:left="5040" w:hanging="360"/>
      </w:pPr>
      <w:rPr>
        <w:rFonts w:ascii="Times New Roman" w:hAnsi="Times New Roman" w:hint="default"/>
      </w:rPr>
    </w:lvl>
    <w:lvl w:ilvl="7" w:tplc="0F94DDA0" w:tentative="1">
      <w:start w:val="1"/>
      <w:numFmt w:val="bullet"/>
      <w:lvlText w:val="•"/>
      <w:lvlJc w:val="left"/>
      <w:pPr>
        <w:tabs>
          <w:tab w:val="num" w:pos="5760"/>
        </w:tabs>
        <w:ind w:left="5760" w:hanging="360"/>
      </w:pPr>
      <w:rPr>
        <w:rFonts w:ascii="Times New Roman" w:hAnsi="Times New Roman" w:hint="default"/>
      </w:rPr>
    </w:lvl>
    <w:lvl w:ilvl="8" w:tplc="DC3C9E7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1717FA8"/>
    <w:multiLevelType w:val="hybridMultilevel"/>
    <w:tmpl w:val="40C2CA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24C4138"/>
    <w:multiLevelType w:val="hybridMultilevel"/>
    <w:tmpl w:val="AB34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28609AA"/>
    <w:multiLevelType w:val="hybridMultilevel"/>
    <w:tmpl w:val="CD641F26"/>
    <w:lvl w:ilvl="0" w:tplc="04070001">
      <w:start w:val="1"/>
      <w:numFmt w:val="bullet"/>
      <w:lvlText w:val=""/>
      <w:lvlJc w:val="left"/>
      <w:pPr>
        <w:ind w:left="720" w:hanging="360"/>
      </w:pPr>
      <w:rPr>
        <w:rFonts w:ascii="Symbol" w:hAnsi="Symbol" w:hint="default"/>
      </w:rPr>
    </w:lvl>
    <w:lvl w:ilvl="1" w:tplc="6F78BE72">
      <w:numFmt w:val="bullet"/>
      <w:lvlText w:val="•"/>
      <w:lvlJc w:val="left"/>
      <w:pPr>
        <w:ind w:left="1440" w:hanging="360"/>
      </w:pPr>
      <w:rPr>
        <w:rFonts w:ascii="Verdana" w:eastAsia="Times New Roman" w:hAnsi="Verdana"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02F06743"/>
    <w:multiLevelType w:val="hybridMultilevel"/>
    <w:tmpl w:val="7EF03850"/>
    <w:lvl w:ilvl="0" w:tplc="63E812CC">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8">
    <w:nsid w:val="02F8013A"/>
    <w:multiLevelType w:val="hybridMultilevel"/>
    <w:tmpl w:val="88BE41F0"/>
    <w:lvl w:ilvl="0" w:tplc="E1063146">
      <w:start w:val="1"/>
      <w:numFmt w:val="decimal"/>
      <w:pStyle w:val="Drivers"/>
      <w:lvlText w:val="D.%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31F75A4"/>
    <w:multiLevelType w:val="hybridMultilevel"/>
    <w:tmpl w:val="AA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3992EBC"/>
    <w:multiLevelType w:val="multilevel"/>
    <w:tmpl w:val="9392B64C"/>
    <w:lvl w:ilvl="0">
      <w:start w:val="1"/>
      <w:numFmt w:val="decimal"/>
      <w:lvlText w:val="%1."/>
      <w:lvlJc w:val="left"/>
      <w:pPr>
        <w:ind w:left="1170" w:hanging="45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03CC6A2B"/>
    <w:multiLevelType w:val="multilevel"/>
    <w:tmpl w:val="9320DE02"/>
    <w:lvl w:ilvl="0">
      <w:start w:val="1"/>
      <w:numFmt w:val="decimal"/>
      <w:lvlText w:val="%1."/>
      <w:lvlJc w:val="left"/>
      <w:pPr>
        <w:tabs>
          <w:tab w:val="num" w:pos="480"/>
        </w:tabs>
        <w:ind w:left="480" w:hanging="480"/>
      </w:pPr>
      <w:rPr>
        <w:rFonts w:hint="default"/>
        <w:sz w:val="24"/>
      </w:rPr>
    </w:lvl>
    <w:lvl w:ilvl="1">
      <w:start w:val="1"/>
      <w:numFmt w:val="decimal"/>
      <w:lvlText w:val="4.%2"/>
      <w:lvlJc w:val="left"/>
      <w:pPr>
        <w:tabs>
          <w:tab w:val="num" w:pos="5965"/>
        </w:tabs>
        <w:ind w:left="5965" w:hanging="720"/>
      </w:pPr>
      <w:rPr>
        <w:rFonts w:hint="default"/>
      </w:rPr>
    </w:lvl>
    <w:lvl w:ilvl="2">
      <w:start w:val="1"/>
      <w:numFmt w:val="decimal"/>
      <w:lvlText w:val="2.%3"/>
      <w:lvlJc w:val="left"/>
      <w:pPr>
        <w:tabs>
          <w:tab w:val="num" w:pos="1997"/>
        </w:tabs>
        <w:ind w:left="1997"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705"/>
        </w:tabs>
        <w:ind w:left="2705"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3DD56F8"/>
    <w:multiLevelType w:val="hybridMultilevel"/>
    <w:tmpl w:val="86D4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3F03A4E"/>
    <w:multiLevelType w:val="hybridMultilevel"/>
    <w:tmpl w:val="F462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4642DFA"/>
    <w:multiLevelType w:val="hybridMultilevel"/>
    <w:tmpl w:val="8850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47E728E"/>
    <w:multiLevelType w:val="hybridMultilevel"/>
    <w:tmpl w:val="5EBCABD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4986921"/>
    <w:multiLevelType w:val="hybridMultilevel"/>
    <w:tmpl w:val="6068CC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04AD1E67"/>
    <w:multiLevelType w:val="hybridMultilevel"/>
    <w:tmpl w:val="F76C9E2C"/>
    <w:lvl w:ilvl="0" w:tplc="9320BBC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5013555"/>
    <w:multiLevelType w:val="hybridMultilevel"/>
    <w:tmpl w:val="31922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054B3A4A"/>
    <w:multiLevelType w:val="hybridMultilevel"/>
    <w:tmpl w:val="884EBDE0"/>
    <w:lvl w:ilvl="0" w:tplc="7E0C2E14">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6F22129"/>
    <w:multiLevelType w:val="hybridMultilevel"/>
    <w:tmpl w:val="96ACAFDE"/>
    <w:lvl w:ilvl="0" w:tplc="B43E65D4">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nsid w:val="06F80350"/>
    <w:multiLevelType w:val="hybridMultilevel"/>
    <w:tmpl w:val="76AC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07D403D9"/>
    <w:multiLevelType w:val="hybridMultilevel"/>
    <w:tmpl w:val="AC2A66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07E753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08AF45C9"/>
    <w:multiLevelType w:val="hybridMultilevel"/>
    <w:tmpl w:val="EF1A5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090B1571"/>
    <w:multiLevelType w:val="hybridMultilevel"/>
    <w:tmpl w:val="7A6A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93B4743"/>
    <w:multiLevelType w:val="hybridMultilevel"/>
    <w:tmpl w:val="2DFA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9AA64BB"/>
    <w:multiLevelType w:val="hybridMultilevel"/>
    <w:tmpl w:val="C66A82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09EC4534"/>
    <w:multiLevelType w:val="hybridMultilevel"/>
    <w:tmpl w:val="5EEE5C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0A5D523E"/>
    <w:multiLevelType w:val="hybridMultilevel"/>
    <w:tmpl w:val="AE4C0F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0A8B24F2"/>
    <w:multiLevelType w:val="hybridMultilevel"/>
    <w:tmpl w:val="42866A26"/>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0BB13735"/>
    <w:multiLevelType w:val="hybridMultilevel"/>
    <w:tmpl w:val="E87E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0C9F5FA8"/>
    <w:multiLevelType w:val="hybridMultilevel"/>
    <w:tmpl w:val="A9E4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0D7A255B"/>
    <w:multiLevelType w:val="hybridMultilevel"/>
    <w:tmpl w:val="8DA8061C"/>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0E410483"/>
    <w:multiLevelType w:val="hybridMultilevel"/>
    <w:tmpl w:val="668C9F0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nsid w:val="0ED37665"/>
    <w:multiLevelType w:val="multilevel"/>
    <w:tmpl w:val="8D50B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0EFD247B"/>
    <w:multiLevelType w:val="hybridMultilevel"/>
    <w:tmpl w:val="8334D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0F16034B"/>
    <w:multiLevelType w:val="hybridMultilevel"/>
    <w:tmpl w:val="5B6478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0F2D51DC"/>
    <w:multiLevelType w:val="hybridMultilevel"/>
    <w:tmpl w:val="78EA190E"/>
    <w:lvl w:ilvl="0" w:tplc="7C9CF7A0">
      <w:start w:val="1"/>
      <w:numFmt w:val="decimal"/>
      <w:pStyle w:val="ProblemsLevel2"/>
      <w:lvlText w:val="P.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0F7C487B"/>
    <w:multiLevelType w:val="hybridMultilevel"/>
    <w:tmpl w:val="A7BC7ADE"/>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10BD5959"/>
    <w:multiLevelType w:val="hybridMultilevel"/>
    <w:tmpl w:val="F28EE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11341890"/>
    <w:multiLevelType w:val="hybridMultilevel"/>
    <w:tmpl w:val="AA287020"/>
    <w:lvl w:ilvl="0" w:tplc="13B8C948">
      <w:start w:val="1"/>
      <w:numFmt w:val="decimal"/>
      <w:pStyle w:val="UTP"/>
      <w:lvlText w:val="UTP.%1."/>
      <w:lvlJc w:val="left"/>
      <w:pPr>
        <w:ind w:left="936"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UTP"/>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11452881"/>
    <w:multiLevelType w:val="multilevel"/>
    <w:tmpl w:val="45D67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11EE7A77"/>
    <w:multiLevelType w:val="hybridMultilevel"/>
    <w:tmpl w:val="F460910E"/>
    <w:lvl w:ilvl="0" w:tplc="71506BA4">
      <w:start w:val="1"/>
      <w:numFmt w:val="bullet"/>
      <w:lvlText w:val=""/>
      <w:lvlJc w:val="left"/>
      <w:pPr>
        <w:tabs>
          <w:tab w:val="num" w:pos="720"/>
        </w:tabs>
        <w:ind w:left="720" w:hanging="360"/>
      </w:pPr>
      <w:rPr>
        <w:rFonts w:ascii="Wingdings" w:hAnsi="Wingdings" w:hint="default"/>
      </w:rPr>
    </w:lvl>
    <w:lvl w:ilvl="1" w:tplc="E33611FC" w:tentative="1">
      <w:start w:val="1"/>
      <w:numFmt w:val="bullet"/>
      <w:lvlText w:val=""/>
      <w:lvlJc w:val="left"/>
      <w:pPr>
        <w:tabs>
          <w:tab w:val="num" w:pos="1440"/>
        </w:tabs>
        <w:ind w:left="1440" w:hanging="360"/>
      </w:pPr>
      <w:rPr>
        <w:rFonts w:ascii="Wingdings" w:hAnsi="Wingdings" w:hint="default"/>
      </w:rPr>
    </w:lvl>
    <w:lvl w:ilvl="2" w:tplc="5DB68AAE" w:tentative="1">
      <w:start w:val="1"/>
      <w:numFmt w:val="bullet"/>
      <w:lvlText w:val=""/>
      <w:lvlJc w:val="left"/>
      <w:pPr>
        <w:tabs>
          <w:tab w:val="num" w:pos="2160"/>
        </w:tabs>
        <w:ind w:left="2160" w:hanging="360"/>
      </w:pPr>
      <w:rPr>
        <w:rFonts w:ascii="Wingdings" w:hAnsi="Wingdings" w:hint="default"/>
      </w:rPr>
    </w:lvl>
    <w:lvl w:ilvl="3" w:tplc="B6E4EF2E" w:tentative="1">
      <w:start w:val="1"/>
      <w:numFmt w:val="bullet"/>
      <w:lvlText w:val=""/>
      <w:lvlJc w:val="left"/>
      <w:pPr>
        <w:tabs>
          <w:tab w:val="num" w:pos="2880"/>
        </w:tabs>
        <w:ind w:left="2880" w:hanging="360"/>
      </w:pPr>
      <w:rPr>
        <w:rFonts w:ascii="Wingdings" w:hAnsi="Wingdings" w:hint="default"/>
      </w:rPr>
    </w:lvl>
    <w:lvl w:ilvl="4" w:tplc="523C1AE8" w:tentative="1">
      <w:start w:val="1"/>
      <w:numFmt w:val="bullet"/>
      <w:lvlText w:val=""/>
      <w:lvlJc w:val="left"/>
      <w:pPr>
        <w:tabs>
          <w:tab w:val="num" w:pos="3600"/>
        </w:tabs>
        <w:ind w:left="3600" w:hanging="360"/>
      </w:pPr>
      <w:rPr>
        <w:rFonts w:ascii="Wingdings" w:hAnsi="Wingdings" w:hint="default"/>
      </w:rPr>
    </w:lvl>
    <w:lvl w:ilvl="5" w:tplc="80D876E8" w:tentative="1">
      <w:start w:val="1"/>
      <w:numFmt w:val="bullet"/>
      <w:lvlText w:val=""/>
      <w:lvlJc w:val="left"/>
      <w:pPr>
        <w:tabs>
          <w:tab w:val="num" w:pos="4320"/>
        </w:tabs>
        <w:ind w:left="4320" w:hanging="360"/>
      </w:pPr>
      <w:rPr>
        <w:rFonts w:ascii="Wingdings" w:hAnsi="Wingdings" w:hint="default"/>
      </w:rPr>
    </w:lvl>
    <w:lvl w:ilvl="6" w:tplc="4352053E" w:tentative="1">
      <w:start w:val="1"/>
      <w:numFmt w:val="bullet"/>
      <w:lvlText w:val=""/>
      <w:lvlJc w:val="left"/>
      <w:pPr>
        <w:tabs>
          <w:tab w:val="num" w:pos="5040"/>
        </w:tabs>
        <w:ind w:left="5040" w:hanging="360"/>
      </w:pPr>
      <w:rPr>
        <w:rFonts w:ascii="Wingdings" w:hAnsi="Wingdings" w:hint="default"/>
      </w:rPr>
    </w:lvl>
    <w:lvl w:ilvl="7" w:tplc="666E11BC" w:tentative="1">
      <w:start w:val="1"/>
      <w:numFmt w:val="bullet"/>
      <w:lvlText w:val=""/>
      <w:lvlJc w:val="left"/>
      <w:pPr>
        <w:tabs>
          <w:tab w:val="num" w:pos="5760"/>
        </w:tabs>
        <w:ind w:left="5760" w:hanging="360"/>
      </w:pPr>
      <w:rPr>
        <w:rFonts w:ascii="Wingdings" w:hAnsi="Wingdings" w:hint="default"/>
      </w:rPr>
    </w:lvl>
    <w:lvl w:ilvl="8" w:tplc="A8544E5A" w:tentative="1">
      <w:start w:val="1"/>
      <w:numFmt w:val="bullet"/>
      <w:lvlText w:val=""/>
      <w:lvlJc w:val="left"/>
      <w:pPr>
        <w:tabs>
          <w:tab w:val="num" w:pos="6480"/>
        </w:tabs>
        <w:ind w:left="6480" w:hanging="360"/>
      </w:pPr>
      <w:rPr>
        <w:rFonts w:ascii="Wingdings" w:hAnsi="Wingdings" w:hint="default"/>
      </w:rPr>
    </w:lvl>
  </w:abstractNum>
  <w:abstractNum w:abstractNumId="55">
    <w:nsid w:val="12685D96"/>
    <w:multiLevelType w:val="hybridMultilevel"/>
    <w:tmpl w:val="27E007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12AC01C2"/>
    <w:multiLevelType w:val="hybridMultilevel"/>
    <w:tmpl w:val="5E2293A4"/>
    <w:lvl w:ilvl="0" w:tplc="790E8B98">
      <w:start w:val="2753"/>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1334735A"/>
    <w:multiLevelType w:val="hybridMultilevel"/>
    <w:tmpl w:val="410CF146"/>
    <w:lvl w:ilvl="0" w:tplc="9320BBC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13931C47"/>
    <w:multiLevelType w:val="hybridMultilevel"/>
    <w:tmpl w:val="ED4AE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9">
    <w:nsid w:val="148A249C"/>
    <w:multiLevelType w:val="hybridMultilevel"/>
    <w:tmpl w:val="B582D9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150174D8"/>
    <w:multiLevelType w:val="multilevel"/>
    <w:tmpl w:val="9B548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1517576D"/>
    <w:multiLevelType w:val="hybridMultilevel"/>
    <w:tmpl w:val="64E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153558F7"/>
    <w:multiLevelType w:val="multilevel"/>
    <w:tmpl w:val="76FAF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54B08F6"/>
    <w:multiLevelType w:val="multilevel"/>
    <w:tmpl w:val="025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55464A1"/>
    <w:multiLevelType w:val="hybridMultilevel"/>
    <w:tmpl w:val="1D9A1350"/>
    <w:lvl w:ilvl="0" w:tplc="2F0EAB24">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5">
    <w:nsid w:val="16284402"/>
    <w:multiLevelType w:val="hybridMultilevel"/>
    <w:tmpl w:val="741610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nsid w:val="165F6BDE"/>
    <w:multiLevelType w:val="hybridMultilevel"/>
    <w:tmpl w:val="C1ECF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16AA292B"/>
    <w:multiLevelType w:val="hybridMultilevel"/>
    <w:tmpl w:val="EE3C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16B437A3"/>
    <w:multiLevelType w:val="hybridMultilevel"/>
    <w:tmpl w:val="56CAFCFC"/>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17606E80"/>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18041472"/>
    <w:multiLevelType w:val="hybridMultilevel"/>
    <w:tmpl w:val="304073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nsid w:val="18952EDD"/>
    <w:multiLevelType w:val="hybridMultilevel"/>
    <w:tmpl w:val="395267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19D1162C"/>
    <w:multiLevelType w:val="multilevel"/>
    <w:tmpl w:val="7D9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1A9340E1"/>
    <w:multiLevelType w:val="hybridMultilevel"/>
    <w:tmpl w:val="556CA96E"/>
    <w:lvl w:ilvl="0" w:tplc="790E8B98">
      <w:start w:val="2753"/>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1A990ABE"/>
    <w:multiLevelType w:val="hybridMultilevel"/>
    <w:tmpl w:val="B1B01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1AAB42BC"/>
    <w:multiLevelType w:val="hybridMultilevel"/>
    <w:tmpl w:val="B380D6AC"/>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1B02550B"/>
    <w:multiLevelType w:val="hybridMultilevel"/>
    <w:tmpl w:val="5F4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1B4971EA"/>
    <w:multiLevelType w:val="hybridMultilevel"/>
    <w:tmpl w:val="FD00A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1BB76A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1C187506"/>
    <w:multiLevelType w:val="multilevel"/>
    <w:tmpl w:val="514E74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1C6A35D0"/>
    <w:multiLevelType w:val="hybridMultilevel"/>
    <w:tmpl w:val="4CEC4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1D730AB1"/>
    <w:multiLevelType w:val="hybridMultilevel"/>
    <w:tmpl w:val="C1FC5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1D807BC9"/>
    <w:multiLevelType w:val="hybridMultilevel"/>
    <w:tmpl w:val="38765640"/>
    <w:lvl w:ilvl="0" w:tplc="2CA06918">
      <w:start w:val="1"/>
      <w:numFmt w:val="bullet"/>
      <w:lvlText w:val=""/>
      <w:lvlJc w:val="left"/>
      <w:pPr>
        <w:tabs>
          <w:tab w:val="num" w:pos="720"/>
        </w:tabs>
        <w:ind w:left="720" w:hanging="360"/>
      </w:pPr>
      <w:rPr>
        <w:rFonts w:ascii="Wingdings" w:hAnsi="Wingdings" w:hint="default"/>
      </w:rPr>
    </w:lvl>
    <w:lvl w:ilvl="1" w:tplc="488ECA4A" w:tentative="1">
      <w:start w:val="1"/>
      <w:numFmt w:val="bullet"/>
      <w:lvlText w:val=""/>
      <w:lvlJc w:val="left"/>
      <w:pPr>
        <w:tabs>
          <w:tab w:val="num" w:pos="1440"/>
        </w:tabs>
        <w:ind w:left="1440" w:hanging="360"/>
      </w:pPr>
      <w:rPr>
        <w:rFonts w:ascii="Wingdings" w:hAnsi="Wingdings" w:hint="default"/>
      </w:rPr>
    </w:lvl>
    <w:lvl w:ilvl="2" w:tplc="105AC6A4" w:tentative="1">
      <w:start w:val="1"/>
      <w:numFmt w:val="bullet"/>
      <w:lvlText w:val=""/>
      <w:lvlJc w:val="left"/>
      <w:pPr>
        <w:tabs>
          <w:tab w:val="num" w:pos="2160"/>
        </w:tabs>
        <w:ind w:left="2160" w:hanging="360"/>
      </w:pPr>
      <w:rPr>
        <w:rFonts w:ascii="Wingdings" w:hAnsi="Wingdings" w:hint="default"/>
      </w:rPr>
    </w:lvl>
    <w:lvl w:ilvl="3" w:tplc="21B43AA4">
      <w:start w:val="1"/>
      <w:numFmt w:val="bullet"/>
      <w:lvlText w:val=""/>
      <w:lvlJc w:val="left"/>
      <w:pPr>
        <w:tabs>
          <w:tab w:val="num" w:pos="2880"/>
        </w:tabs>
        <w:ind w:left="2880" w:hanging="360"/>
      </w:pPr>
      <w:rPr>
        <w:rFonts w:ascii="Wingdings" w:hAnsi="Wingdings" w:hint="default"/>
      </w:rPr>
    </w:lvl>
    <w:lvl w:ilvl="4" w:tplc="2392F20C" w:tentative="1">
      <w:start w:val="1"/>
      <w:numFmt w:val="bullet"/>
      <w:lvlText w:val=""/>
      <w:lvlJc w:val="left"/>
      <w:pPr>
        <w:tabs>
          <w:tab w:val="num" w:pos="3600"/>
        </w:tabs>
        <w:ind w:left="3600" w:hanging="360"/>
      </w:pPr>
      <w:rPr>
        <w:rFonts w:ascii="Wingdings" w:hAnsi="Wingdings" w:hint="default"/>
      </w:rPr>
    </w:lvl>
    <w:lvl w:ilvl="5" w:tplc="3EA25690" w:tentative="1">
      <w:start w:val="1"/>
      <w:numFmt w:val="bullet"/>
      <w:lvlText w:val=""/>
      <w:lvlJc w:val="left"/>
      <w:pPr>
        <w:tabs>
          <w:tab w:val="num" w:pos="4320"/>
        </w:tabs>
        <w:ind w:left="4320" w:hanging="360"/>
      </w:pPr>
      <w:rPr>
        <w:rFonts w:ascii="Wingdings" w:hAnsi="Wingdings" w:hint="default"/>
      </w:rPr>
    </w:lvl>
    <w:lvl w:ilvl="6" w:tplc="225EB3D6" w:tentative="1">
      <w:start w:val="1"/>
      <w:numFmt w:val="bullet"/>
      <w:lvlText w:val=""/>
      <w:lvlJc w:val="left"/>
      <w:pPr>
        <w:tabs>
          <w:tab w:val="num" w:pos="5040"/>
        </w:tabs>
        <w:ind w:left="5040" w:hanging="360"/>
      </w:pPr>
      <w:rPr>
        <w:rFonts w:ascii="Wingdings" w:hAnsi="Wingdings" w:hint="default"/>
      </w:rPr>
    </w:lvl>
    <w:lvl w:ilvl="7" w:tplc="95DC9C76" w:tentative="1">
      <w:start w:val="1"/>
      <w:numFmt w:val="bullet"/>
      <w:lvlText w:val=""/>
      <w:lvlJc w:val="left"/>
      <w:pPr>
        <w:tabs>
          <w:tab w:val="num" w:pos="5760"/>
        </w:tabs>
        <w:ind w:left="5760" w:hanging="360"/>
      </w:pPr>
      <w:rPr>
        <w:rFonts w:ascii="Wingdings" w:hAnsi="Wingdings" w:hint="default"/>
      </w:rPr>
    </w:lvl>
    <w:lvl w:ilvl="8" w:tplc="C68A4C60" w:tentative="1">
      <w:start w:val="1"/>
      <w:numFmt w:val="bullet"/>
      <w:lvlText w:val=""/>
      <w:lvlJc w:val="left"/>
      <w:pPr>
        <w:tabs>
          <w:tab w:val="num" w:pos="6480"/>
        </w:tabs>
        <w:ind w:left="6480" w:hanging="360"/>
      </w:pPr>
      <w:rPr>
        <w:rFonts w:ascii="Wingdings" w:hAnsi="Wingdings" w:hint="default"/>
      </w:rPr>
    </w:lvl>
  </w:abstractNum>
  <w:abstractNum w:abstractNumId="84">
    <w:nsid w:val="1EE7368B"/>
    <w:multiLevelType w:val="hybridMultilevel"/>
    <w:tmpl w:val="57C8E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1F5E17D9"/>
    <w:multiLevelType w:val="hybridMultilevel"/>
    <w:tmpl w:val="FA0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1F734306"/>
    <w:multiLevelType w:val="multilevel"/>
    <w:tmpl w:val="0C1A9200"/>
    <w:lvl w:ilvl="0">
      <w:start w:val="1"/>
      <w:numFmt w:val="decimal"/>
      <w:lvlText w:val="%1"/>
      <w:lvlJc w:val="left"/>
      <w:pPr>
        <w:ind w:left="432" w:hanging="432"/>
      </w:pPr>
      <w:rPr>
        <w:rFonts w:hint="default"/>
        <w:sz w:val="24"/>
      </w:rPr>
    </w:lvl>
    <w:lvl w:ilvl="1">
      <w:start w:val="1"/>
      <w:numFmt w:val="decimal"/>
      <w:lvlText w:val="7.%2"/>
      <w:lvlJc w:val="left"/>
      <w:pPr>
        <w:ind w:left="576" w:hanging="576"/>
      </w:pPr>
      <w:rPr>
        <w:rFonts w:hint="default"/>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7">
    <w:nsid w:val="1F9021AF"/>
    <w:multiLevelType w:val="multilevel"/>
    <w:tmpl w:val="3A74E080"/>
    <w:lvl w:ilvl="0">
      <w:start w:val="1"/>
      <w:numFmt w:val="decimal"/>
      <w:lvlText w:val="%1."/>
      <w:lvlJc w:val="left"/>
      <w:pPr>
        <w:ind w:left="360" w:hanging="360"/>
      </w:pPr>
      <w:rPr>
        <w:rFonts w:hint="default"/>
        <w:sz w:val="24"/>
      </w:rPr>
    </w:lvl>
    <w:lvl w:ilvl="1">
      <w:start w:val="1"/>
      <w:numFmt w:val="decimal"/>
      <w:pStyle w:val="Heading2"/>
      <w:lvlText w:val="%1.%2."/>
      <w:lvlJc w:val="left"/>
      <w:pPr>
        <w:ind w:left="2842" w:hanging="432"/>
      </w:pPr>
      <w:rPr>
        <w:rFonts w:hint="default"/>
        <w:lang w:val="en-GB"/>
      </w:rPr>
    </w:lvl>
    <w:lvl w:ilvl="2">
      <w:start w:val="1"/>
      <w:numFmt w:val="decimal"/>
      <w:pStyle w:val="Heading3"/>
      <w:lvlText w:val="%1.%2.%3."/>
      <w:lvlJc w:val="left"/>
      <w:pPr>
        <w:ind w:left="3765" w:hanging="50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1FA06267"/>
    <w:multiLevelType w:val="hybridMultilevel"/>
    <w:tmpl w:val="C7220C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nsid w:val="1FD02CD3"/>
    <w:multiLevelType w:val="hybridMultilevel"/>
    <w:tmpl w:val="B394B700"/>
    <w:lvl w:ilvl="0" w:tplc="1CECD216">
      <w:start w:val="1"/>
      <w:numFmt w:val="bullet"/>
      <w:lvlText w:val="•"/>
      <w:lvlJc w:val="left"/>
      <w:pPr>
        <w:tabs>
          <w:tab w:val="num" w:pos="720"/>
        </w:tabs>
        <w:ind w:left="720" w:hanging="360"/>
      </w:pPr>
      <w:rPr>
        <w:rFonts w:ascii="Times New Roman" w:hAnsi="Times New Roman" w:hint="default"/>
      </w:rPr>
    </w:lvl>
    <w:lvl w:ilvl="1" w:tplc="51A49B10">
      <w:start w:val="1"/>
      <w:numFmt w:val="bullet"/>
      <w:lvlText w:val="•"/>
      <w:lvlJc w:val="left"/>
      <w:pPr>
        <w:tabs>
          <w:tab w:val="num" w:pos="1440"/>
        </w:tabs>
        <w:ind w:left="1440" w:hanging="360"/>
      </w:pPr>
      <w:rPr>
        <w:rFonts w:ascii="Times New Roman" w:hAnsi="Times New Roman" w:hint="default"/>
      </w:rPr>
    </w:lvl>
    <w:lvl w:ilvl="2" w:tplc="33140CF8" w:tentative="1">
      <w:start w:val="1"/>
      <w:numFmt w:val="bullet"/>
      <w:lvlText w:val="•"/>
      <w:lvlJc w:val="left"/>
      <w:pPr>
        <w:tabs>
          <w:tab w:val="num" w:pos="2160"/>
        </w:tabs>
        <w:ind w:left="2160" w:hanging="360"/>
      </w:pPr>
      <w:rPr>
        <w:rFonts w:ascii="Times New Roman" w:hAnsi="Times New Roman" w:hint="default"/>
      </w:rPr>
    </w:lvl>
    <w:lvl w:ilvl="3" w:tplc="D1BEF510" w:tentative="1">
      <w:start w:val="1"/>
      <w:numFmt w:val="bullet"/>
      <w:lvlText w:val="•"/>
      <w:lvlJc w:val="left"/>
      <w:pPr>
        <w:tabs>
          <w:tab w:val="num" w:pos="2880"/>
        </w:tabs>
        <w:ind w:left="2880" w:hanging="360"/>
      </w:pPr>
      <w:rPr>
        <w:rFonts w:ascii="Times New Roman" w:hAnsi="Times New Roman" w:hint="default"/>
      </w:rPr>
    </w:lvl>
    <w:lvl w:ilvl="4" w:tplc="1520F37E" w:tentative="1">
      <w:start w:val="1"/>
      <w:numFmt w:val="bullet"/>
      <w:lvlText w:val="•"/>
      <w:lvlJc w:val="left"/>
      <w:pPr>
        <w:tabs>
          <w:tab w:val="num" w:pos="3600"/>
        </w:tabs>
        <w:ind w:left="3600" w:hanging="360"/>
      </w:pPr>
      <w:rPr>
        <w:rFonts w:ascii="Times New Roman" w:hAnsi="Times New Roman" w:hint="default"/>
      </w:rPr>
    </w:lvl>
    <w:lvl w:ilvl="5" w:tplc="F11C6716" w:tentative="1">
      <w:start w:val="1"/>
      <w:numFmt w:val="bullet"/>
      <w:lvlText w:val="•"/>
      <w:lvlJc w:val="left"/>
      <w:pPr>
        <w:tabs>
          <w:tab w:val="num" w:pos="4320"/>
        </w:tabs>
        <w:ind w:left="4320" w:hanging="360"/>
      </w:pPr>
      <w:rPr>
        <w:rFonts w:ascii="Times New Roman" w:hAnsi="Times New Roman" w:hint="default"/>
      </w:rPr>
    </w:lvl>
    <w:lvl w:ilvl="6" w:tplc="3998F2F2" w:tentative="1">
      <w:start w:val="1"/>
      <w:numFmt w:val="bullet"/>
      <w:lvlText w:val="•"/>
      <w:lvlJc w:val="left"/>
      <w:pPr>
        <w:tabs>
          <w:tab w:val="num" w:pos="5040"/>
        </w:tabs>
        <w:ind w:left="5040" w:hanging="360"/>
      </w:pPr>
      <w:rPr>
        <w:rFonts w:ascii="Times New Roman" w:hAnsi="Times New Roman" w:hint="default"/>
      </w:rPr>
    </w:lvl>
    <w:lvl w:ilvl="7" w:tplc="ADE231B4" w:tentative="1">
      <w:start w:val="1"/>
      <w:numFmt w:val="bullet"/>
      <w:lvlText w:val="•"/>
      <w:lvlJc w:val="left"/>
      <w:pPr>
        <w:tabs>
          <w:tab w:val="num" w:pos="5760"/>
        </w:tabs>
        <w:ind w:left="5760" w:hanging="360"/>
      </w:pPr>
      <w:rPr>
        <w:rFonts w:ascii="Times New Roman" w:hAnsi="Times New Roman" w:hint="default"/>
      </w:rPr>
    </w:lvl>
    <w:lvl w:ilvl="8" w:tplc="1278E912" w:tentative="1">
      <w:start w:val="1"/>
      <w:numFmt w:val="bullet"/>
      <w:lvlText w:val="•"/>
      <w:lvlJc w:val="left"/>
      <w:pPr>
        <w:tabs>
          <w:tab w:val="num" w:pos="6480"/>
        </w:tabs>
        <w:ind w:left="6480" w:hanging="360"/>
      </w:pPr>
      <w:rPr>
        <w:rFonts w:ascii="Times New Roman" w:hAnsi="Times New Roman" w:hint="default"/>
      </w:rPr>
    </w:lvl>
  </w:abstractNum>
  <w:abstractNum w:abstractNumId="90">
    <w:nsid w:val="1FE4265A"/>
    <w:multiLevelType w:val="hybridMultilevel"/>
    <w:tmpl w:val="0F826D10"/>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1FFB21E7"/>
    <w:multiLevelType w:val="hybridMultilevel"/>
    <w:tmpl w:val="AF86149E"/>
    <w:lvl w:ilvl="0" w:tplc="790E8B98">
      <w:start w:val="2753"/>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1FFE1B00"/>
    <w:multiLevelType w:val="hybridMultilevel"/>
    <w:tmpl w:val="FEAE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20F46F7F"/>
    <w:multiLevelType w:val="hybridMultilevel"/>
    <w:tmpl w:val="751058BC"/>
    <w:lvl w:ilvl="0" w:tplc="08090017">
      <w:start w:val="1"/>
      <w:numFmt w:val="lowerLetter"/>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94">
    <w:nsid w:val="20F47BC3"/>
    <w:multiLevelType w:val="hybridMultilevel"/>
    <w:tmpl w:val="56A429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5">
    <w:nsid w:val="21724D1E"/>
    <w:multiLevelType w:val="hybridMultilevel"/>
    <w:tmpl w:val="6E22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21782C06"/>
    <w:multiLevelType w:val="multilevel"/>
    <w:tmpl w:val="5F9AEBCA"/>
    <w:lvl w:ilvl="0">
      <w:start w:val="1"/>
      <w:numFmt w:val="decimal"/>
      <w:lvlText w:val="Annex %1"/>
      <w:lvlJc w:val="left"/>
      <w:pPr>
        <w:tabs>
          <w:tab w:val="num" w:pos="480"/>
        </w:tabs>
        <w:ind w:left="480" w:hanging="480"/>
      </w:pPr>
      <w:rPr>
        <w:rFonts w:hint="default"/>
        <w:sz w:val="24"/>
      </w:rPr>
    </w:lvl>
    <w:lvl w:ilvl="1">
      <w:start w:val="1"/>
      <w:numFmt w:val="decimal"/>
      <w:lvlText w:val="%1.%2."/>
      <w:lvlJc w:val="left"/>
      <w:pPr>
        <w:tabs>
          <w:tab w:val="num" w:pos="5965"/>
        </w:tabs>
        <w:ind w:left="5965" w:hanging="720"/>
      </w:pPr>
    </w:lvl>
    <w:lvl w:ilvl="2">
      <w:start w:val="1"/>
      <w:numFmt w:val="decimal"/>
      <w:lvlText w:val="%1.%2.%3."/>
      <w:lvlJc w:val="left"/>
      <w:pPr>
        <w:tabs>
          <w:tab w:val="num" w:pos="1997"/>
        </w:tabs>
        <w:ind w:left="1997"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705"/>
        </w:tabs>
        <w:ind w:left="2705"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nsid w:val="219E5E5A"/>
    <w:multiLevelType w:val="hybridMultilevel"/>
    <w:tmpl w:val="E064F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nsid w:val="21D06E36"/>
    <w:multiLevelType w:val="hybridMultilevel"/>
    <w:tmpl w:val="C84CC4B8"/>
    <w:lvl w:ilvl="0" w:tplc="9320BBC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22001355"/>
    <w:multiLevelType w:val="multilevel"/>
    <w:tmpl w:val="A748E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20F4DC5"/>
    <w:multiLevelType w:val="hybridMultilevel"/>
    <w:tmpl w:val="9260038E"/>
    <w:lvl w:ilvl="0" w:tplc="B43E65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nsid w:val="22595BBB"/>
    <w:multiLevelType w:val="hybridMultilevel"/>
    <w:tmpl w:val="CFD24F30"/>
    <w:lvl w:ilvl="0" w:tplc="BAF628C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nsid w:val="22E725ED"/>
    <w:multiLevelType w:val="hybridMultilevel"/>
    <w:tmpl w:val="43AA4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2450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25805321"/>
    <w:multiLevelType w:val="hybridMultilevel"/>
    <w:tmpl w:val="61E4C54C"/>
    <w:lvl w:ilvl="0" w:tplc="0809000F">
      <w:start w:val="1"/>
      <w:numFmt w:val="decimal"/>
      <w:lvlText w:val="%1."/>
      <w:lvlJc w:val="left"/>
      <w:pPr>
        <w:ind w:left="1170" w:hanging="450"/>
      </w:pPr>
      <w:rPr>
        <w:rFonts w:hint="default"/>
      </w:rPr>
    </w:lvl>
    <w:lvl w:ilvl="1" w:tplc="BAF628CC">
      <w:start w:val="1"/>
      <w:numFmt w:val="decimal"/>
      <w:lvlText w:val="2.%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nsid w:val="25AB3997"/>
    <w:multiLevelType w:val="multilevel"/>
    <w:tmpl w:val="5F9AEBCA"/>
    <w:lvl w:ilvl="0">
      <w:start w:val="1"/>
      <w:numFmt w:val="decimal"/>
      <w:lvlText w:val="Annex %1"/>
      <w:lvlJc w:val="left"/>
      <w:pPr>
        <w:tabs>
          <w:tab w:val="num" w:pos="480"/>
        </w:tabs>
        <w:ind w:left="480" w:hanging="480"/>
      </w:pPr>
      <w:rPr>
        <w:rFonts w:hint="default"/>
        <w:sz w:val="24"/>
      </w:rPr>
    </w:lvl>
    <w:lvl w:ilvl="1">
      <w:start w:val="1"/>
      <w:numFmt w:val="decimal"/>
      <w:lvlText w:val="%1.%2."/>
      <w:lvlJc w:val="left"/>
      <w:pPr>
        <w:tabs>
          <w:tab w:val="num" w:pos="5965"/>
        </w:tabs>
        <w:ind w:left="5965" w:hanging="720"/>
      </w:pPr>
    </w:lvl>
    <w:lvl w:ilvl="2">
      <w:start w:val="1"/>
      <w:numFmt w:val="decimal"/>
      <w:lvlText w:val="%1.%2.%3."/>
      <w:lvlJc w:val="left"/>
      <w:pPr>
        <w:tabs>
          <w:tab w:val="num" w:pos="1997"/>
        </w:tabs>
        <w:ind w:left="1997"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705"/>
        </w:tabs>
        <w:ind w:left="2705"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nsid w:val="25DC2CFA"/>
    <w:multiLevelType w:val="hybridMultilevel"/>
    <w:tmpl w:val="90D4A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25DD40D1"/>
    <w:multiLevelType w:val="hybridMultilevel"/>
    <w:tmpl w:val="C6100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25E2196B"/>
    <w:multiLevelType w:val="hybridMultilevel"/>
    <w:tmpl w:val="877E891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0">
    <w:nsid w:val="262227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264C7A1E"/>
    <w:multiLevelType w:val="hybridMultilevel"/>
    <w:tmpl w:val="A6F8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26886F35"/>
    <w:multiLevelType w:val="hybridMultilevel"/>
    <w:tmpl w:val="024C8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nsid w:val="26AE16EB"/>
    <w:multiLevelType w:val="hybridMultilevel"/>
    <w:tmpl w:val="C1EAA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nsid w:val="272C073B"/>
    <w:multiLevelType w:val="hybridMultilevel"/>
    <w:tmpl w:val="2360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276E5089"/>
    <w:multiLevelType w:val="hybridMultilevel"/>
    <w:tmpl w:val="BA90A1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2796552D"/>
    <w:multiLevelType w:val="multilevel"/>
    <w:tmpl w:val="CBE4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290E4807"/>
    <w:multiLevelType w:val="hybridMultilevel"/>
    <w:tmpl w:val="FC165EAA"/>
    <w:lvl w:ilvl="0" w:tplc="0809000B">
      <w:start w:val="1"/>
      <w:numFmt w:val="bullet"/>
      <w:lvlText w:val=""/>
      <w:lvlJc w:val="left"/>
      <w:pPr>
        <w:ind w:left="3054" w:hanging="360"/>
      </w:pPr>
      <w:rPr>
        <w:rFonts w:ascii="Wingdings" w:hAnsi="Wingdings" w:hint="default"/>
      </w:rPr>
    </w:lvl>
    <w:lvl w:ilvl="1" w:tplc="08090003">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118">
    <w:nsid w:val="29641383"/>
    <w:multiLevelType w:val="hybridMultilevel"/>
    <w:tmpl w:val="69F0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2B1C7B55"/>
    <w:multiLevelType w:val="hybridMultilevel"/>
    <w:tmpl w:val="86BA0FEC"/>
    <w:lvl w:ilvl="0" w:tplc="760AD4CA">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2">
    <w:nsid w:val="2CB838FE"/>
    <w:multiLevelType w:val="hybridMultilevel"/>
    <w:tmpl w:val="47BE998C"/>
    <w:lvl w:ilvl="0" w:tplc="879C004C">
      <w:start w:val="1"/>
      <w:numFmt w:val="decimal"/>
      <w:lvlText w:val="P.%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3">
    <w:nsid w:val="2CCF4AF1"/>
    <w:multiLevelType w:val="hybridMultilevel"/>
    <w:tmpl w:val="BB7E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2D2D45AF"/>
    <w:multiLevelType w:val="hybridMultilevel"/>
    <w:tmpl w:val="DF6602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nsid w:val="2DD46BC6"/>
    <w:multiLevelType w:val="hybridMultilevel"/>
    <w:tmpl w:val="B27A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2E4F42AC"/>
    <w:multiLevelType w:val="multilevel"/>
    <w:tmpl w:val="5E0C5696"/>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Symbol" w:hAnsi="Symbol"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8">
    <w:nsid w:val="2F1150DA"/>
    <w:multiLevelType w:val="multilevel"/>
    <w:tmpl w:val="316EDA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nsid w:val="2F422E6A"/>
    <w:multiLevelType w:val="multilevel"/>
    <w:tmpl w:val="8BD8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2F5468C9"/>
    <w:multiLevelType w:val="multilevel"/>
    <w:tmpl w:val="067C2B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2FA61DAA"/>
    <w:multiLevelType w:val="hybridMultilevel"/>
    <w:tmpl w:val="880CDB10"/>
    <w:lvl w:ilvl="0" w:tplc="081EB43C">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30492E83"/>
    <w:multiLevelType w:val="hybridMultilevel"/>
    <w:tmpl w:val="2D0A387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3">
    <w:nsid w:val="307356F9"/>
    <w:multiLevelType w:val="multilevel"/>
    <w:tmpl w:val="957A00C2"/>
    <w:lvl w:ilvl="0">
      <w:start w:val="1"/>
      <w:numFmt w:val="decimal"/>
      <w:lvlText w:val="%1"/>
      <w:lvlJc w:val="left"/>
      <w:pPr>
        <w:ind w:left="432" w:hanging="432"/>
      </w:pPr>
      <w:rPr>
        <w:rFonts w:hint="default"/>
      </w:rPr>
    </w:lvl>
    <w:lvl w:ilvl="1">
      <w:start w:val="1"/>
      <w:numFmt w:val="decimal"/>
      <w:lvlText w:val="%1.%2"/>
      <w:lvlJc w:val="left"/>
      <w:pPr>
        <w:ind w:left="6105"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24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4">
    <w:nsid w:val="30DF0687"/>
    <w:multiLevelType w:val="hybridMultilevel"/>
    <w:tmpl w:val="C55278A4"/>
    <w:lvl w:ilvl="0" w:tplc="0809001B">
      <w:start w:val="1"/>
      <w:numFmt w:val="lowerRoman"/>
      <w:lvlText w:val="%1."/>
      <w:lvlJc w:val="right"/>
      <w:pPr>
        <w:ind w:left="720" w:hanging="360"/>
      </w:pPr>
    </w:lvl>
    <w:lvl w:ilvl="1" w:tplc="88AE08FA">
      <w:numFmt w:val="bullet"/>
      <w:lvlText w:val="•"/>
      <w:lvlJc w:val="left"/>
      <w:pPr>
        <w:ind w:left="2175" w:hanging="109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3153670A"/>
    <w:multiLevelType w:val="hybridMultilevel"/>
    <w:tmpl w:val="EB5CA78E"/>
    <w:lvl w:ilvl="0" w:tplc="08090001">
      <w:start w:val="1"/>
      <w:numFmt w:val="bullet"/>
      <w:lvlText w:val=""/>
      <w:lvlJc w:val="left"/>
      <w:pPr>
        <w:ind w:left="2344" w:hanging="360"/>
      </w:pPr>
      <w:rPr>
        <w:rFonts w:ascii="Symbol" w:hAnsi="Symbol" w:hint="default"/>
      </w:rPr>
    </w:lvl>
    <w:lvl w:ilvl="1" w:tplc="08090003" w:tentative="1">
      <w:start w:val="1"/>
      <w:numFmt w:val="bullet"/>
      <w:lvlText w:val="o"/>
      <w:lvlJc w:val="left"/>
      <w:pPr>
        <w:ind w:left="3064" w:hanging="360"/>
      </w:pPr>
      <w:rPr>
        <w:rFonts w:ascii="Courier New" w:hAnsi="Courier New" w:cs="Courier New" w:hint="default"/>
      </w:rPr>
    </w:lvl>
    <w:lvl w:ilvl="2" w:tplc="08090005" w:tentative="1">
      <w:start w:val="1"/>
      <w:numFmt w:val="bullet"/>
      <w:lvlText w:val=""/>
      <w:lvlJc w:val="left"/>
      <w:pPr>
        <w:ind w:left="3784" w:hanging="360"/>
      </w:pPr>
      <w:rPr>
        <w:rFonts w:ascii="Wingdings" w:hAnsi="Wingdings" w:hint="default"/>
      </w:rPr>
    </w:lvl>
    <w:lvl w:ilvl="3" w:tplc="08090001" w:tentative="1">
      <w:start w:val="1"/>
      <w:numFmt w:val="bullet"/>
      <w:lvlText w:val=""/>
      <w:lvlJc w:val="left"/>
      <w:pPr>
        <w:ind w:left="4504" w:hanging="360"/>
      </w:pPr>
      <w:rPr>
        <w:rFonts w:ascii="Symbol" w:hAnsi="Symbol" w:hint="default"/>
      </w:rPr>
    </w:lvl>
    <w:lvl w:ilvl="4" w:tplc="08090003" w:tentative="1">
      <w:start w:val="1"/>
      <w:numFmt w:val="bullet"/>
      <w:lvlText w:val="o"/>
      <w:lvlJc w:val="left"/>
      <w:pPr>
        <w:ind w:left="5224" w:hanging="360"/>
      </w:pPr>
      <w:rPr>
        <w:rFonts w:ascii="Courier New" w:hAnsi="Courier New" w:cs="Courier New" w:hint="default"/>
      </w:rPr>
    </w:lvl>
    <w:lvl w:ilvl="5" w:tplc="08090005" w:tentative="1">
      <w:start w:val="1"/>
      <w:numFmt w:val="bullet"/>
      <w:lvlText w:val=""/>
      <w:lvlJc w:val="left"/>
      <w:pPr>
        <w:ind w:left="5944" w:hanging="360"/>
      </w:pPr>
      <w:rPr>
        <w:rFonts w:ascii="Wingdings" w:hAnsi="Wingdings" w:hint="default"/>
      </w:rPr>
    </w:lvl>
    <w:lvl w:ilvl="6" w:tplc="08090001" w:tentative="1">
      <w:start w:val="1"/>
      <w:numFmt w:val="bullet"/>
      <w:lvlText w:val=""/>
      <w:lvlJc w:val="left"/>
      <w:pPr>
        <w:ind w:left="6664" w:hanging="360"/>
      </w:pPr>
      <w:rPr>
        <w:rFonts w:ascii="Symbol" w:hAnsi="Symbol" w:hint="default"/>
      </w:rPr>
    </w:lvl>
    <w:lvl w:ilvl="7" w:tplc="08090003" w:tentative="1">
      <w:start w:val="1"/>
      <w:numFmt w:val="bullet"/>
      <w:lvlText w:val="o"/>
      <w:lvlJc w:val="left"/>
      <w:pPr>
        <w:ind w:left="7384" w:hanging="360"/>
      </w:pPr>
      <w:rPr>
        <w:rFonts w:ascii="Courier New" w:hAnsi="Courier New" w:cs="Courier New" w:hint="default"/>
      </w:rPr>
    </w:lvl>
    <w:lvl w:ilvl="8" w:tplc="08090005" w:tentative="1">
      <w:start w:val="1"/>
      <w:numFmt w:val="bullet"/>
      <w:lvlText w:val=""/>
      <w:lvlJc w:val="left"/>
      <w:pPr>
        <w:ind w:left="8104" w:hanging="360"/>
      </w:pPr>
      <w:rPr>
        <w:rFonts w:ascii="Wingdings" w:hAnsi="Wingdings" w:hint="default"/>
      </w:rPr>
    </w:lvl>
  </w:abstractNum>
  <w:abstractNum w:abstractNumId="136">
    <w:nsid w:val="31DB4A6D"/>
    <w:multiLevelType w:val="hybridMultilevel"/>
    <w:tmpl w:val="03369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7">
    <w:nsid w:val="32411F68"/>
    <w:multiLevelType w:val="multilevel"/>
    <w:tmpl w:val="E5E647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8">
    <w:nsid w:val="33C370A6"/>
    <w:multiLevelType w:val="multilevel"/>
    <w:tmpl w:val="AE769A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9">
    <w:nsid w:val="33F20F30"/>
    <w:multiLevelType w:val="hybridMultilevel"/>
    <w:tmpl w:val="8A72DAEC"/>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1">
    <w:nsid w:val="348D3F73"/>
    <w:multiLevelType w:val="hybridMultilevel"/>
    <w:tmpl w:val="CBC841EE"/>
    <w:lvl w:ilvl="0" w:tplc="0809000F">
      <w:start w:val="1"/>
      <w:numFmt w:val="decimal"/>
      <w:lvlText w:val="%1."/>
      <w:lvlJc w:val="left"/>
      <w:pPr>
        <w:ind w:left="720" w:hanging="360"/>
      </w:pPr>
    </w:lvl>
    <w:lvl w:ilvl="1" w:tplc="08090019">
      <w:start w:val="1"/>
      <w:numFmt w:val="lowerLetter"/>
      <w:lvlText w:val="%2."/>
      <w:lvlJc w:val="left"/>
      <w:pPr>
        <w:ind w:left="1637" w:hanging="360"/>
      </w:pPr>
    </w:lvl>
    <w:lvl w:ilvl="2" w:tplc="0809001B">
      <w:start w:val="1"/>
      <w:numFmt w:val="lowerRoman"/>
      <w:lvlText w:val="%3."/>
      <w:lvlJc w:val="right"/>
      <w:pPr>
        <w:ind w:left="202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34A66F78"/>
    <w:multiLevelType w:val="multilevel"/>
    <w:tmpl w:val="4B185F4C"/>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143">
    <w:nsid w:val="34B54673"/>
    <w:multiLevelType w:val="hybridMultilevel"/>
    <w:tmpl w:val="858236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nsid w:val="34E5690D"/>
    <w:multiLevelType w:val="hybridMultilevel"/>
    <w:tmpl w:val="E3E0AF9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45">
    <w:nsid w:val="34F26562"/>
    <w:multiLevelType w:val="hybridMultilevel"/>
    <w:tmpl w:val="3E941A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nsid w:val="35397E66"/>
    <w:multiLevelType w:val="hybridMultilevel"/>
    <w:tmpl w:val="A8100D9E"/>
    <w:lvl w:ilvl="0" w:tplc="C57EEB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nsid w:val="364536B3"/>
    <w:multiLevelType w:val="hybridMultilevel"/>
    <w:tmpl w:val="621415E2"/>
    <w:lvl w:ilvl="0" w:tplc="472858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3682540F"/>
    <w:multiLevelType w:val="hybridMultilevel"/>
    <w:tmpl w:val="FCC6C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nsid w:val="36976A68"/>
    <w:multiLevelType w:val="multilevel"/>
    <w:tmpl w:val="CCB4BA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nsid w:val="373A5D37"/>
    <w:multiLevelType w:val="hybridMultilevel"/>
    <w:tmpl w:val="02A48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373C34AA"/>
    <w:multiLevelType w:val="hybridMultilevel"/>
    <w:tmpl w:val="1BA8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37A16067"/>
    <w:multiLevelType w:val="hybridMultilevel"/>
    <w:tmpl w:val="1C589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nsid w:val="37EB6895"/>
    <w:multiLevelType w:val="hybridMultilevel"/>
    <w:tmpl w:val="E66A0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37F87278"/>
    <w:multiLevelType w:val="hybridMultilevel"/>
    <w:tmpl w:val="497ECC1E"/>
    <w:lvl w:ilvl="0" w:tplc="B43E65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6">
    <w:nsid w:val="381D7127"/>
    <w:multiLevelType w:val="hybridMultilevel"/>
    <w:tmpl w:val="DD6037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7">
    <w:nsid w:val="385D14E5"/>
    <w:multiLevelType w:val="hybridMultilevel"/>
    <w:tmpl w:val="801AE052"/>
    <w:lvl w:ilvl="0" w:tplc="0809001B">
      <w:start w:val="1"/>
      <w:numFmt w:val="lowerRoman"/>
      <w:lvlText w:val="%1."/>
      <w:lvlJc w:val="righ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8">
    <w:nsid w:val="38A723A5"/>
    <w:multiLevelType w:val="hybridMultilevel"/>
    <w:tmpl w:val="404AE1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9">
    <w:nsid w:val="390A69FC"/>
    <w:multiLevelType w:val="multilevel"/>
    <w:tmpl w:val="DA28B26A"/>
    <w:lvl w:ilvl="0">
      <w:start w:val="1"/>
      <w:numFmt w:val="decimal"/>
      <w:lvlText w:val="%1"/>
      <w:lvlJc w:val="left"/>
      <w:pPr>
        <w:ind w:left="432" w:hanging="432"/>
      </w:pPr>
      <w:rPr>
        <w:rFonts w:hint="default"/>
      </w:rPr>
    </w:lvl>
    <w:lvl w:ilvl="1">
      <w:start w:val="1"/>
      <w:numFmt w:val="decimal"/>
      <w:lvlText w:val="7.%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nsid w:val="39704EB8"/>
    <w:multiLevelType w:val="hybridMultilevel"/>
    <w:tmpl w:val="32E001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1">
    <w:nsid w:val="3A481C0D"/>
    <w:multiLevelType w:val="hybridMultilevel"/>
    <w:tmpl w:val="C760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3">
    <w:nsid w:val="3B7F268E"/>
    <w:multiLevelType w:val="hybridMultilevel"/>
    <w:tmpl w:val="97FAFE42"/>
    <w:lvl w:ilvl="0" w:tplc="0809000F">
      <w:start w:val="1"/>
      <w:numFmt w:val="decimal"/>
      <w:lvlText w:val="%1."/>
      <w:lvlJc w:val="left"/>
      <w:pPr>
        <w:ind w:left="2061" w:hanging="360"/>
      </w:pPr>
      <w:rPr>
        <w:rFonts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4">
    <w:nsid w:val="3BA151F8"/>
    <w:multiLevelType w:val="hybridMultilevel"/>
    <w:tmpl w:val="A3CEAADA"/>
    <w:lvl w:ilvl="0" w:tplc="82DC999E">
      <w:start w:val="1"/>
      <w:numFmt w:val="decimal"/>
      <w:lvlText w:val="D.%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5">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66">
    <w:nsid w:val="3D73241F"/>
    <w:multiLevelType w:val="hybridMultilevel"/>
    <w:tmpl w:val="E11A6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nsid w:val="3DB80DBC"/>
    <w:multiLevelType w:val="hybridMultilevel"/>
    <w:tmpl w:val="403A4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8">
    <w:nsid w:val="3DBE5F97"/>
    <w:multiLevelType w:val="hybridMultilevel"/>
    <w:tmpl w:val="1496473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69">
    <w:nsid w:val="3EBB59DB"/>
    <w:multiLevelType w:val="hybridMultilevel"/>
    <w:tmpl w:val="D6D2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3F236A31"/>
    <w:multiLevelType w:val="hybridMultilevel"/>
    <w:tmpl w:val="2CBC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40E8440F"/>
    <w:multiLevelType w:val="hybridMultilevel"/>
    <w:tmpl w:val="7A72E762"/>
    <w:lvl w:ilvl="0" w:tplc="AD460A2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413830D2"/>
    <w:multiLevelType w:val="hybridMultilevel"/>
    <w:tmpl w:val="517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42DC22AC"/>
    <w:multiLevelType w:val="hybridMultilevel"/>
    <w:tmpl w:val="E28E2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4">
    <w:nsid w:val="42DC2F10"/>
    <w:multiLevelType w:val="hybridMultilevel"/>
    <w:tmpl w:val="7A28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43FE197E"/>
    <w:multiLevelType w:val="multilevel"/>
    <w:tmpl w:val="36A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4106128"/>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nsid w:val="447D28EC"/>
    <w:multiLevelType w:val="hybridMultilevel"/>
    <w:tmpl w:val="CF36FC0C"/>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8">
    <w:nsid w:val="448C0240"/>
    <w:multiLevelType w:val="hybridMultilevel"/>
    <w:tmpl w:val="17EC2150"/>
    <w:lvl w:ilvl="0" w:tplc="82DC999E">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nsid w:val="45FB73EC"/>
    <w:multiLevelType w:val="multilevel"/>
    <w:tmpl w:val="915AA7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1">
    <w:nsid w:val="46660229"/>
    <w:multiLevelType w:val="hybridMultilevel"/>
    <w:tmpl w:val="312231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2">
    <w:nsid w:val="467E1B84"/>
    <w:multiLevelType w:val="multilevel"/>
    <w:tmpl w:val="98BC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nsid w:val="46F7484B"/>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nsid w:val="482A346D"/>
    <w:multiLevelType w:val="hybridMultilevel"/>
    <w:tmpl w:val="D5E662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nsid w:val="484D68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nsid w:val="488605A0"/>
    <w:multiLevelType w:val="hybridMultilevel"/>
    <w:tmpl w:val="A918AAC6"/>
    <w:lvl w:ilvl="0" w:tplc="0809000B">
      <w:start w:val="1"/>
      <w:numFmt w:val="bullet"/>
      <w:lvlText w:val=""/>
      <w:lvlJc w:val="left"/>
      <w:pPr>
        <w:ind w:left="786"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7">
    <w:nsid w:val="48897BC7"/>
    <w:multiLevelType w:val="hybridMultilevel"/>
    <w:tmpl w:val="29180158"/>
    <w:lvl w:ilvl="0" w:tplc="7EA62A1E">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8">
    <w:nsid w:val="48E95F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nsid w:val="49120188"/>
    <w:multiLevelType w:val="hybridMultilevel"/>
    <w:tmpl w:val="C6343D1A"/>
    <w:lvl w:ilvl="0" w:tplc="08090005">
      <w:start w:val="1"/>
      <w:numFmt w:val="bullet"/>
      <w:lvlText w:val=""/>
      <w:lvlJc w:val="left"/>
      <w:pPr>
        <w:ind w:left="1922" w:hanging="360"/>
      </w:pPr>
      <w:rPr>
        <w:rFonts w:ascii="Wingdings" w:hAnsi="Wingdings"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90">
    <w:nsid w:val="49700352"/>
    <w:multiLevelType w:val="hybridMultilevel"/>
    <w:tmpl w:val="0AE8D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nsid w:val="49E94229"/>
    <w:multiLevelType w:val="hybridMultilevel"/>
    <w:tmpl w:val="D0D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nsid w:val="49FC171E"/>
    <w:multiLevelType w:val="hybridMultilevel"/>
    <w:tmpl w:val="D0F02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nsid w:val="4A527143"/>
    <w:multiLevelType w:val="hybridMultilevel"/>
    <w:tmpl w:val="AAD65E70"/>
    <w:lvl w:ilvl="0" w:tplc="82DC999E">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nsid w:val="4A7655F3"/>
    <w:multiLevelType w:val="hybridMultilevel"/>
    <w:tmpl w:val="3C0E61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nsid w:val="4A95711F"/>
    <w:multiLevelType w:val="hybridMultilevel"/>
    <w:tmpl w:val="7A96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nsid w:val="4B3A3EC7"/>
    <w:multiLevelType w:val="multilevel"/>
    <w:tmpl w:val="372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nsid w:val="4C03564C"/>
    <w:multiLevelType w:val="multilevel"/>
    <w:tmpl w:val="E48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C121EA0"/>
    <w:multiLevelType w:val="hybridMultilevel"/>
    <w:tmpl w:val="439E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4C3F4023"/>
    <w:multiLevelType w:val="hybridMultilevel"/>
    <w:tmpl w:val="22267D56"/>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nsid w:val="4C440AB8"/>
    <w:multiLevelType w:val="hybridMultilevel"/>
    <w:tmpl w:val="2C3A08CC"/>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01">
    <w:nsid w:val="4CA812D8"/>
    <w:multiLevelType w:val="hybridMultilevel"/>
    <w:tmpl w:val="2676E17E"/>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2">
    <w:nsid w:val="4D853A70"/>
    <w:multiLevelType w:val="multilevel"/>
    <w:tmpl w:val="4E3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nsid w:val="4DAC1206"/>
    <w:multiLevelType w:val="hybridMultilevel"/>
    <w:tmpl w:val="B1B01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nsid w:val="4E752A15"/>
    <w:multiLevelType w:val="hybridMultilevel"/>
    <w:tmpl w:val="F1588116"/>
    <w:lvl w:ilvl="0" w:tplc="0CAA5862">
      <w:start w:val="1"/>
      <w:numFmt w:val="upp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nsid w:val="4F7D4671"/>
    <w:multiLevelType w:val="hybridMultilevel"/>
    <w:tmpl w:val="44446DF4"/>
    <w:lvl w:ilvl="0" w:tplc="9320BBC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nsid w:val="507155CE"/>
    <w:multiLevelType w:val="hybridMultilevel"/>
    <w:tmpl w:val="2F540734"/>
    <w:lvl w:ilvl="0" w:tplc="A5C865E8">
      <w:start w:val="1"/>
      <w:numFmt w:val="bullet"/>
      <w:lvlText w:val=""/>
      <w:lvlJc w:val="left"/>
      <w:pPr>
        <w:tabs>
          <w:tab w:val="num" w:pos="720"/>
        </w:tabs>
        <w:ind w:left="720" w:hanging="360"/>
      </w:pPr>
      <w:rPr>
        <w:rFonts w:ascii="Wingdings" w:hAnsi="Wingdings" w:hint="default"/>
      </w:rPr>
    </w:lvl>
    <w:lvl w:ilvl="1" w:tplc="DD30FF96">
      <w:start w:val="1"/>
      <w:numFmt w:val="bullet"/>
      <w:lvlText w:val=""/>
      <w:lvlJc w:val="left"/>
      <w:pPr>
        <w:tabs>
          <w:tab w:val="num" w:pos="1440"/>
        </w:tabs>
        <w:ind w:left="1440" w:hanging="360"/>
      </w:pPr>
      <w:rPr>
        <w:rFonts w:ascii="Wingdings" w:hAnsi="Wingdings" w:hint="default"/>
      </w:rPr>
    </w:lvl>
    <w:lvl w:ilvl="2" w:tplc="C5DADF66">
      <w:start w:val="1"/>
      <w:numFmt w:val="bullet"/>
      <w:lvlText w:val=""/>
      <w:lvlJc w:val="left"/>
      <w:pPr>
        <w:tabs>
          <w:tab w:val="num" w:pos="2160"/>
        </w:tabs>
        <w:ind w:left="2160" w:hanging="360"/>
      </w:pPr>
      <w:rPr>
        <w:rFonts w:ascii="Wingdings" w:hAnsi="Wingdings" w:hint="default"/>
      </w:rPr>
    </w:lvl>
    <w:lvl w:ilvl="3" w:tplc="CD20E642">
      <w:start w:val="1"/>
      <w:numFmt w:val="bullet"/>
      <w:lvlText w:val=""/>
      <w:lvlJc w:val="left"/>
      <w:pPr>
        <w:tabs>
          <w:tab w:val="num" w:pos="2880"/>
        </w:tabs>
        <w:ind w:left="2880" w:hanging="360"/>
      </w:pPr>
      <w:rPr>
        <w:rFonts w:ascii="Wingdings" w:hAnsi="Wingdings" w:hint="default"/>
      </w:rPr>
    </w:lvl>
    <w:lvl w:ilvl="4" w:tplc="01B6FF56">
      <w:start w:val="1"/>
      <w:numFmt w:val="bullet"/>
      <w:lvlText w:val=""/>
      <w:lvlJc w:val="left"/>
      <w:pPr>
        <w:tabs>
          <w:tab w:val="num" w:pos="3600"/>
        </w:tabs>
        <w:ind w:left="3600" w:hanging="360"/>
      </w:pPr>
      <w:rPr>
        <w:rFonts w:ascii="Wingdings" w:hAnsi="Wingdings" w:hint="default"/>
      </w:rPr>
    </w:lvl>
    <w:lvl w:ilvl="5" w:tplc="323A50D4">
      <w:start w:val="1"/>
      <w:numFmt w:val="bullet"/>
      <w:lvlText w:val=""/>
      <w:lvlJc w:val="left"/>
      <w:pPr>
        <w:tabs>
          <w:tab w:val="num" w:pos="4320"/>
        </w:tabs>
        <w:ind w:left="4320" w:hanging="360"/>
      </w:pPr>
      <w:rPr>
        <w:rFonts w:ascii="Wingdings" w:hAnsi="Wingdings" w:hint="default"/>
      </w:rPr>
    </w:lvl>
    <w:lvl w:ilvl="6" w:tplc="6F6E2750">
      <w:start w:val="1"/>
      <w:numFmt w:val="bullet"/>
      <w:lvlText w:val=""/>
      <w:lvlJc w:val="left"/>
      <w:pPr>
        <w:tabs>
          <w:tab w:val="num" w:pos="5040"/>
        </w:tabs>
        <w:ind w:left="5040" w:hanging="360"/>
      </w:pPr>
      <w:rPr>
        <w:rFonts w:ascii="Wingdings" w:hAnsi="Wingdings" w:hint="default"/>
      </w:rPr>
    </w:lvl>
    <w:lvl w:ilvl="7" w:tplc="6C8CA878">
      <w:start w:val="1"/>
      <w:numFmt w:val="bullet"/>
      <w:lvlText w:val=""/>
      <w:lvlJc w:val="left"/>
      <w:pPr>
        <w:tabs>
          <w:tab w:val="num" w:pos="5760"/>
        </w:tabs>
        <w:ind w:left="5760" w:hanging="360"/>
      </w:pPr>
      <w:rPr>
        <w:rFonts w:ascii="Wingdings" w:hAnsi="Wingdings" w:hint="default"/>
      </w:rPr>
    </w:lvl>
    <w:lvl w:ilvl="8" w:tplc="B3CE658C">
      <w:start w:val="1"/>
      <w:numFmt w:val="bullet"/>
      <w:lvlText w:val=""/>
      <w:lvlJc w:val="left"/>
      <w:pPr>
        <w:tabs>
          <w:tab w:val="num" w:pos="6480"/>
        </w:tabs>
        <w:ind w:left="6480" w:hanging="360"/>
      </w:pPr>
      <w:rPr>
        <w:rFonts w:ascii="Wingdings" w:hAnsi="Wingdings" w:hint="default"/>
      </w:rPr>
    </w:lvl>
  </w:abstractNum>
  <w:abstractNum w:abstractNumId="207">
    <w:nsid w:val="51602089"/>
    <w:multiLevelType w:val="hybridMultilevel"/>
    <w:tmpl w:val="A7AA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nsid w:val="519B70D4"/>
    <w:multiLevelType w:val="multilevel"/>
    <w:tmpl w:val="A1EC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52346878"/>
    <w:multiLevelType w:val="hybridMultilevel"/>
    <w:tmpl w:val="162A9802"/>
    <w:lvl w:ilvl="0" w:tplc="40AE9D1C">
      <w:start w:val="1"/>
      <w:numFmt w:val="decimal"/>
      <w:lvlText w:val="%1 "/>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0">
    <w:nsid w:val="52542BC2"/>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nsid w:val="532F074B"/>
    <w:multiLevelType w:val="hybridMultilevel"/>
    <w:tmpl w:val="2C6E004A"/>
    <w:lvl w:ilvl="0" w:tplc="472858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nsid w:val="534011D0"/>
    <w:multiLevelType w:val="hybridMultilevel"/>
    <w:tmpl w:val="FBC0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nsid w:val="53D3086C"/>
    <w:multiLevelType w:val="multilevel"/>
    <w:tmpl w:val="936AD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4">
    <w:nsid w:val="54307412"/>
    <w:multiLevelType w:val="hybridMultilevel"/>
    <w:tmpl w:val="F888FD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nsid w:val="5443647E"/>
    <w:multiLevelType w:val="hybridMultilevel"/>
    <w:tmpl w:val="020E23E8"/>
    <w:lvl w:ilvl="0" w:tplc="D414A6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6">
    <w:nsid w:val="54760983"/>
    <w:multiLevelType w:val="hybridMultilevel"/>
    <w:tmpl w:val="532AC2BE"/>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7">
    <w:nsid w:val="54AF11F7"/>
    <w:multiLevelType w:val="hybridMultilevel"/>
    <w:tmpl w:val="C0BED2F0"/>
    <w:lvl w:ilvl="0" w:tplc="C57EEB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nsid w:val="54B747EF"/>
    <w:multiLevelType w:val="hybridMultilevel"/>
    <w:tmpl w:val="BC7C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0">
    <w:nsid w:val="54ED62A3"/>
    <w:multiLevelType w:val="hybridMultilevel"/>
    <w:tmpl w:val="87DEBCE6"/>
    <w:lvl w:ilvl="0" w:tplc="08090001">
      <w:start w:val="1"/>
      <w:numFmt w:val="bullet"/>
      <w:lvlText w:val=""/>
      <w:lvlJc w:val="left"/>
      <w:pPr>
        <w:tabs>
          <w:tab w:val="num" w:pos="720"/>
        </w:tabs>
        <w:ind w:left="720" w:hanging="360"/>
      </w:pPr>
      <w:rPr>
        <w:rFonts w:ascii="Symbol" w:hAnsi="Symbol" w:hint="default"/>
      </w:rPr>
    </w:lvl>
    <w:lvl w:ilvl="1" w:tplc="D718444C" w:tentative="1">
      <w:start w:val="1"/>
      <w:numFmt w:val="bullet"/>
      <w:lvlText w:val=""/>
      <w:lvlJc w:val="left"/>
      <w:pPr>
        <w:tabs>
          <w:tab w:val="num" w:pos="1440"/>
        </w:tabs>
        <w:ind w:left="1440" w:hanging="360"/>
      </w:pPr>
      <w:rPr>
        <w:rFonts w:ascii="Wingdings" w:hAnsi="Wingdings" w:hint="default"/>
      </w:rPr>
    </w:lvl>
    <w:lvl w:ilvl="2" w:tplc="77126B0E" w:tentative="1">
      <w:start w:val="1"/>
      <w:numFmt w:val="bullet"/>
      <w:lvlText w:val=""/>
      <w:lvlJc w:val="left"/>
      <w:pPr>
        <w:tabs>
          <w:tab w:val="num" w:pos="2160"/>
        </w:tabs>
        <w:ind w:left="2160" w:hanging="360"/>
      </w:pPr>
      <w:rPr>
        <w:rFonts w:ascii="Wingdings" w:hAnsi="Wingdings" w:hint="default"/>
      </w:rPr>
    </w:lvl>
    <w:lvl w:ilvl="3" w:tplc="8196B6E8" w:tentative="1">
      <w:start w:val="1"/>
      <w:numFmt w:val="bullet"/>
      <w:lvlText w:val=""/>
      <w:lvlJc w:val="left"/>
      <w:pPr>
        <w:tabs>
          <w:tab w:val="num" w:pos="2880"/>
        </w:tabs>
        <w:ind w:left="2880" w:hanging="360"/>
      </w:pPr>
      <w:rPr>
        <w:rFonts w:ascii="Wingdings" w:hAnsi="Wingdings" w:hint="default"/>
      </w:rPr>
    </w:lvl>
    <w:lvl w:ilvl="4" w:tplc="5FFE07CC" w:tentative="1">
      <w:start w:val="1"/>
      <w:numFmt w:val="bullet"/>
      <w:lvlText w:val=""/>
      <w:lvlJc w:val="left"/>
      <w:pPr>
        <w:tabs>
          <w:tab w:val="num" w:pos="3600"/>
        </w:tabs>
        <w:ind w:left="3600" w:hanging="360"/>
      </w:pPr>
      <w:rPr>
        <w:rFonts w:ascii="Wingdings" w:hAnsi="Wingdings" w:hint="default"/>
      </w:rPr>
    </w:lvl>
    <w:lvl w:ilvl="5" w:tplc="8BA25D12" w:tentative="1">
      <w:start w:val="1"/>
      <w:numFmt w:val="bullet"/>
      <w:lvlText w:val=""/>
      <w:lvlJc w:val="left"/>
      <w:pPr>
        <w:tabs>
          <w:tab w:val="num" w:pos="4320"/>
        </w:tabs>
        <w:ind w:left="4320" w:hanging="360"/>
      </w:pPr>
      <w:rPr>
        <w:rFonts w:ascii="Wingdings" w:hAnsi="Wingdings" w:hint="default"/>
      </w:rPr>
    </w:lvl>
    <w:lvl w:ilvl="6" w:tplc="016CDCD2" w:tentative="1">
      <w:start w:val="1"/>
      <w:numFmt w:val="bullet"/>
      <w:lvlText w:val=""/>
      <w:lvlJc w:val="left"/>
      <w:pPr>
        <w:tabs>
          <w:tab w:val="num" w:pos="5040"/>
        </w:tabs>
        <w:ind w:left="5040" w:hanging="360"/>
      </w:pPr>
      <w:rPr>
        <w:rFonts w:ascii="Wingdings" w:hAnsi="Wingdings" w:hint="default"/>
      </w:rPr>
    </w:lvl>
    <w:lvl w:ilvl="7" w:tplc="1930B6F0" w:tentative="1">
      <w:start w:val="1"/>
      <w:numFmt w:val="bullet"/>
      <w:lvlText w:val=""/>
      <w:lvlJc w:val="left"/>
      <w:pPr>
        <w:tabs>
          <w:tab w:val="num" w:pos="5760"/>
        </w:tabs>
        <w:ind w:left="5760" w:hanging="360"/>
      </w:pPr>
      <w:rPr>
        <w:rFonts w:ascii="Wingdings" w:hAnsi="Wingdings" w:hint="default"/>
      </w:rPr>
    </w:lvl>
    <w:lvl w:ilvl="8" w:tplc="CCEC2D02" w:tentative="1">
      <w:start w:val="1"/>
      <w:numFmt w:val="bullet"/>
      <w:lvlText w:val=""/>
      <w:lvlJc w:val="left"/>
      <w:pPr>
        <w:tabs>
          <w:tab w:val="num" w:pos="6480"/>
        </w:tabs>
        <w:ind w:left="6480" w:hanging="360"/>
      </w:pPr>
      <w:rPr>
        <w:rFonts w:ascii="Wingdings" w:hAnsi="Wingdings" w:hint="default"/>
      </w:rPr>
    </w:lvl>
  </w:abstractNum>
  <w:abstractNum w:abstractNumId="221">
    <w:nsid w:val="56233870"/>
    <w:multiLevelType w:val="hybridMultilevel"/>
    <w:tmpl w:val="AC12B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nsid w:val="56287A44"/>
    <w:multiLevelType w:val="hybridMultilevel"/>
    <w:tmpl w:val="B8E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nsid w:val="56AE0A0C"/>
    <w:multiLevelType w:val="hybridMultilevel"/>
    <w:tmpl w:val="57C2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nsid w:val="58433F88"/>
    <w:multiLevelType w:val="hybridMultilevel"/>
    <w:tmpl w:val="469C4992"/>
    <w:lvl w:ilvl="0" w:tplc="60BC9B44">
      <w:start w:val="1"/>
      <w:numFmt w:val="decimal"/>
      <w:pStyle w:val="Problemslevel22"/>
      <w:lvlText w:val="P.2.%1"/>
      <w:lvlJc w:val="left"/>
      <w:pPr>
        <w:ind w:left="12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nsid w:val="586E414F"/>
    <w:multiLevelType w:val="hybridMultilevel"/>
    <w:tmpl w:val="B6489A1E"/>
    <w:lvl w:ilvl="0" w:tplc="05ACDB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nsid w:val="58B3229A"/>
    <w:multiLevelType w:val="hybridMultilevel"/>
    <w:tmpl w:val="BF26A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nsid w:val="58D63FCF"/>
    <w:multiLevelType w:val="hybridMultilevel"/>
    <w:tmpl w:val="5C464B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8">
    <w:nsid w:val="592D5FD6"/>
    <w:multiLevelType w:val="hybridMultilevel"/>
    <w:tmpl w:val="E2F6B0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nsid w:val="593518A2"/>
    <w:multiLevelType w:val="hybridMultilevel"/>
    <w:tmpl w:val="7F94AF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nsid w:val="595846AD"/>
    <w:multiLevelType w:val="hybridMultilevel"/>
    <w:tmpl w:val="4BAC88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1">
    <w:nsid w:val="5A6528CC"/>
    <w:multiLevelType w:val="hybridMultilevel"/>
    <w:tmpl w:val="BCAE11C8"/>
    <w:lvl w:ilvl="0" w:tplc="B43E65D4">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2">
    <w:nsid w:val="5B034921"/>
    <w:multiLevelType w:val="hybridMultilevel"/>
    <w:tmpl w:val="843C75E0"/>
    <w:lvl w:ilvl="0" w:tplc="08090001">
      <w:start w:val="1"/>
      <w:numFmt w:val="bullet"/>
      <w:lvlText w:val=""/>
      <w:lvlJc w:val="left"/>
      <w:pPr>
        <w:ind w:left="1170" w:hanging="45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3">
    <w:nsid w:val="5B2C7C93"/>
    <w:multiLevelType w:val="multilevel"/>
    <w:tmpl w:val="E1E81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4">
    <w:nsid w:val="5B563535"/>
    <w:multiLevelType w:val="hybridMultilevel"/>
    <w:tmpl w:val="E8B6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nsid w:val="5B94795C"/>
    <w:multiLevelType w:val="hybridMultilevel"/>
    <w:tmpl w:val="40A2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nsid w:val="5BF2238E"/>
    <w:multiLevelType w:val="multilevel"/>
    <w:tmpl w:val="558C5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7">
    <w:nsid w:val="5C3119C7"/>
    <w:multiLevelType w:val="hybridMultilevel"/>
    <w:tmpl w:val="26F6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nsid w:val="5C894E02"/>
    <w:multiLevelType w:val="hybridMultilevel"/>
    <w:tmpl w:val="AC665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nsid w:val="5CB67A40"/>
    <w:multiLevelType w:val="hybridMultilevel"/>
    <w:tmpl w:val="59B61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nsid w:val="5CDC3235"/>
    <w:multiLevelType w:val="multilevel"/>
    <w:tmpl w:val="49385B1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1">
    <w:nsid w:val="5DB243B4"/>
    <w:multiLevelType w:val="multilevel"/>
    <w:tmpl w:val="2052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2">
    <w:nsid w:val="5E0240E5"/>
    <w:multiLevelType w:val="hybridMultilevel"/>
    <w:tmpl w:val="B856312A"/>
    <w:lvl w:ilvl="0" w:tplc="C57EEBC0">
      <w:start w:val="1"/>
      <w:numFmt w:val="decimal"/>
      <w:lvlText w:val="1.%1"/>
      <w:lvlJc w:val="left"/>
      <w:pPr>
        <w:ind w:left="12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4">
    <w:nsid w:val="5E5E0A39"/>
    <w:multiLevelType w:val="hybridMultilevel"/>
    <w:tmpl w:val="D87ED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5">
    <w:nsid w:val="5E646AF3"/>
    <w:multiLevelType w:val="hybridMultilevel"/>
    <w:tmpl w:val="8BC8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nsid w:val="5EAB04A5"/>
    <w:multiLevelType w:val="hybridMultilevel"/>
    <w:tmpl w:val="9990C370"/>
    <w:lvl w:ilvl="0" w:tplc="4CA60B56">
      <w:start w:val="1"/>
      <w:numFmt w:val="decimal"/>
      <w:lvlText w:val="P.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nsid w:val="5ED602B3"/>
    <w:multiLevelType w:val="hybridMultilevel"/>
    <w:tmpl w:val="93B2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nsid w:val="5F075738"/>
    <w:multiLevelType w:val="hybridMultilevel"/>
    <w:tmpl w:val="7116D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nsid w:val="5F1D283F"/>
    <w:multiLevelType w:val="hybridMultilevel"/>
    <w:tmpl w:val="114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nsid w:val="5F2A0C5F"/>
    <w:multiLevelType w:val="hybridMultilevel"/>
    <w:tmpl w:val="A74C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nsid w:val="5F620631"/>
    <w:multiLevelType w:val="hybridMultilevel"/>
    <w:tmpl w:val="68EC9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nsid w:val="5FB26FD6"/>
    <w:multiLevelType w:val="hybridMultilevel"/>
    <w:tmpl w:val="6D9C9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nsid w:val="5FBF612F"/>
    <w:multiLevelType w:val="hybridMultilevel"/>
    <w:tmpl w:val="3EFE0ACA"/>
    <w:lvl w:ilvl="0" w:tplc="0CAA5862">
      <w:start w:val="1"/>
      <w:numFmt w:val="upperLetter"/>
      <w:lvlText w:val="(%1.)"/>
      <w:lvlJc w:val="left"/>
      <w:pPr>
        <w:ind w:left="1170" w:hanging="4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4">
    <w:nsid w:val="5FC66AF3"/>
    <w:multiLevelType w:val="multilevel"/>
    <w:tmpl w:val="E49CF24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nsid w:val="60073D7E"/>
    <w:multiLevelType w:val="hybridMultilevel"/>
    <w:tmpl w:val="910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nsid w:val="60101FBE"/>
    <w:multiLevelType w:val="multilevel"/>
    <w:tmpl w:val="43FEB7BC"/>
    <w:lvl w:ilvl="0">
      <w:start w:val="1"/>
      <w:numFmt w:val="bullet"/>
      <w:lvlText w:val=""/>
      <w:lvlPicBulletId w:val="0"/>
      <w:lvlJc w:val="left"/>
      <w:pPr>
        <w:ind w:left="644" w:hanging="360"/>
      </w:pPr>
      <w:rPr>
        <w:rFonts w:ascii="Symbol" w:hAnsi="Symbol" w:hint="default"/>
        <w:color w:val="auto"/>
      </w:rPr>
    </w:lvl>
    <w:lvl w:ilvl="1">
      <w:start w:val="1"/>
      <w:numFmt w:val="bullet"/>
      <w:lvlText w:val="o"/>
      <w:lvlJc w:val="left"/>
      <w:pPr>
        <w:ind w:left="1134" w:hanging="41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7">
    <w:nsid w:val="601F430E"/>
    <w:multiLevelType w:val="hybridMultilevel"/>
    <w:tmpl w:val="5914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9">
    <w:nsid w:val="60671A9E"/>
    <w:multiLevelType w:val="hybridMultilevel"/>
    <w:tmpl w:val="B5AC301C"/>
    <w:lvl w:ilvl="0" w:tplc="4134FB7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0">
    <w:nsid w:val="60EC7971"/>
    <w:multiLevelType w:val="multilevel"/>
    <w:tmpl w:val="4F76E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1">
    <w:nsid w:val="613B63D4"/>
    <w:multiLevelType w:val="hybridMultilevel"/>
    <w:tmpl w:val="13E8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3">
    <w:nsid w:val="62227F6F"/>
    <w:multiLevelType w:val="multilevel"/>
    <w:tmpl w:val="867602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4">
    <w:nsid w:val="62262915"/>
    <w:multiLevelType w:val="hybridMultilevel"/>
    <w:tmpl w:val="94D09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5">
    <w:nsid w:val="622F65DF"/>
    <w:multiLevelType w:val="multilevel"/>
    <w:tmpl w:val="155A6D2C"/>
    <w:lvl w:ilvl="0">
      <w:start w:val="1"/>
      <w:numFmt w:val="decimal"/>
      <w:lvlText w:val="Annex %1"/>
      <w:lvlJc w:val="left"/>
      <w:pPr>
        <w:tabs>
          <w:tab w:val="num" w:pos="480"/>
        </w:tabs>
        <w:ind w:left="480" w:hanging="480"/>
      </w:pPr>
      <w:rPr>
        <w:rFonts w:hint="default"/>
        <w:sz w:val="24"/>
      </w:rPr>
    </w:lvl>
    <w:lvl w:ilvl="1">
      <w:start w:val="1"/>
      <w:numFmt w:val="decimal"/>
      <w:lvlText w:val="%1.%2."/>
      <w:lvlJc w:val="left"/>
      <w:pPr>
        <w:tabs>
          <w:tab w:val="num" w:pos="5965"/>
        </w:tabs>
        <w:ind w:left="5965" w:hanging="720"/>
      </w:pPr>
    </w:lvl>
    <w:lvl w:ilvl="2">
      <w:start w:val="1"/>
      <w:numFmt w:val="decimal"/>
      <w:lvlText w:val="%1.%2.%3."/>
      <w:lvlJc w:val="left"/>
      <w:pPr>
        <w:tabs>
          <w:tab w:val="num" w:pos="1997"/>
        </w:tabs>
        <w:ind w:left="1997"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705"/>
        </w:tabs>
        <w:ind w:left="2705"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6">
    <w:nsid w:val="63230BD2"/>
    <w:multiLevelType w:val="hybridMultilevel"/>
    <w:tmpl w:val="77208C32"/>
    <w:lvl w:ilvl="0" w:tplc="879C004C">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nsid w:val="634B1191"/>
    <w:multiLevelType w:val="hybridMultilevel"/>
    <w:tmpl w:val="5A329BA8"/>
    <w:lvl w:ilvl="0" w:tplc="E530F95E">
      <w:start w:val="1"/>
      <w:numFmt w:val="bullet"/>
      <w:lvlText w:val=""/>
      <w:lvlJc w:val="left"/>
      <w:pPr>
        <w:tabs>
          <w:tab w:val="num" w:pos="360"/>
        </w:tabs>
        <w:ind w:left="360" w:hanging="360"/>
      </w:pPr>
      <w:rPr>
        <w:rFonts w:ascii="Wingdings" w:hAnsi="Wingdings" w:hint="default"/>
      </w:rPr>
    </w:lvl>
    <w:lvl w:ilvl="1" w:tplc="5552C454">
      <w:start w:val="1"/>
      <w:numFmt w:val="bullet"/>
      <w:lvlText w:val=""/>
      <w:lvlJc w:val="left"/>
      <w:pPr>
        <w:tabs>
          <w:tab w:val="num" w:pos="1080"/>
        </w:tabs>
        <w:ind w:left="1080" w:hanging="360"/>
      </w:pPr>
      <w:rPr>
        <w:rFonts w:ascii="Wingdings" w:hAnsi="Wingdings" w:hint="default"/>
      </w:rPr>
    </w:lvl>
    <w:lvl w:ilvl="2" w:tplc="54001B6E">
      <w:start w:val="1"/>
      <w:numFmt w:val="bullet"/>
      <w:lvlText w:val=""/>
      <w:lvlJc w:val="left"/>
      <w:pPr>
        <w:tabs>
          <w:tab w:val="num" w:pos="1800"/>
        </w:tabs>
        <w:ind w:left="1800" w:hanging="360"/>
      </w:pPr>
      <w:rPr>
        <w:rFonts w:ascii="Wingdings" w:hAnsi="Wingdings" w:hint="default"/>
      </w:rPr>
    </w:lvl>
    <w:lvl w:ilvl="3" w:tplc="A772470C" w:tentative="1">
      <w:start w:val="1"/>
      <w:numFmt w:val="bullet"/>
      <w:lvlText w:val=""/>
      <w:lvlJc w:val="left"/>
      <w:pPr>
        <w:tabs>
          <w:tab w:val="num" w:pos="2520"/>
        </w:tabs>
        <w:ind w:left="2520" w:hanging="360"/>
      </w:pPr>
      <w:rPr>
        <w:rFonts w:ascii="Wingdings" w:hAnsi="Wingdings" w:hint="default"/>
      </w:rPr>
    </w:lvl>
    <w:lvl w:ilvl="4" w:tplc="E92CBA68" w:tentative="1">
      <w:start w:val="1"/>
      <w:numFmt w:val="bullet"/>
      <w:lvlText w:val=""/>
      <w:lvlJc w:val="left"/>
      <w:pPr>
        <w:tabs>
          <w:tab w:val="num" w:pos="3240"/>
        </w:tabs>
        <w:ind w:left="3240" w:hanging="360"/>
      </w:pPr>
      <w:rPr>
        <w:rFonts w:ascii="Wingdings" w:hAnsi="Wingdings" w:hint="default"/>
      </w:rPr>
    </w:lvl>
    <w:lvl w:ilvl="5" w:tplc="ACBE9C80" w:tentative="1">
      <w:start w:val="1"/>
      <w:numFmt w:val="bullet"/>
      <w:lvlText w:val=""/>
      <w:lvlJc w:val="left"/>
      <w:pPr>
        <w:tabs>
          <w:tab w:val="num" w:pos="3960"/>
        </w:tabs>
        <w:ind w:left="3960" w:hanging="360"/>
      </w:pPr>
      <w:rPr>
        <w:rFonts w:ascii="Wingdings" w:hAnsi="Wingdings" w:hint="default"/>
      </w:rPr>
    </w:lvl>
    <w:lvl w:ilvl="6" w:tplc="3FD6406C" w:tentative="1">
      <w:start w:val="1"/>
      <w:numFmt w:val="bullet"/>
      <w:lvlText w:val=""/>
      <w:lvlJc w:val="left"/>
      <w:pPr>
        <w:tabs>
          <w:tab w:val="num" w:pos="4680"/>
        </w:tabs>
        <w:ind w:left="4680" w:hanging="360"/>
      </w:pPr>
      <w:rPr>
        <w:rFonts w:ascii="Wingdings" w:hAnsi="Wingdings" w:hint="default"/>
      </w:rPr>
    </w:lvl>
    <w:lvl w:ilvl="7" w:tplc="B942A2BE" w:tentative="1">
      <w:start w:val="1"/>
      <w:numFmt w:val="bullet"/>
      <w:lvlText w:val=""/>
      <w:lvlJc w:val="left"/>
      <w:pPr>
        <w:tabs>
          <w:tab w:val="num" w:pos="5400"/>
        </w:tabs>
        <w:ind w:left="5400" w:hanging="360"/>
      </w:pPr>
      <w:rPr>
        <w:rFonts w:ascii="Wingdings" w:hAnsi="Wingdings" w:hint="default"/>
      </w:rPr>
    </w:lvl>
    <w:lvl w:ilvl="8" w:tplc="BE429B7C" w:tentative="1">
      <w:start w:val="1"/>
      <w:numFmt w:val="bullet"/>
      <w:lvlText w:val=""/>
      <w:lvlJc w:val="left"/>
      <w:pPr>
        <w:tabs>
          <w:tab w:val="num" w:pos="6120"/>
        </w:tabs>
        <w:ind w:left="6120" w:hanging="360"/>
      </w:pPr>
      <w:rPr>
        <w:rFonts w:ascii="Wingdings" w:hAnsi="Wingdings" w:hint="default"/>
      </w:rPr>
    </w:lvl>
  </w:abstractNum>
  <w:abstractNum w:abstractNumId="268">
    <w:nsid w:val="63962CA4"/>
    <w:multiLevelType w:val="hybridMultilevel"/>
    <w:tmpl w:val="90266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9">
    <w:nsid w:val="63B601B7"/>
    <w:multiLevelType w:val="hybridMultilevel"/>
    <w:tmpl w:val="159A045A"/>
    <w:lvl w:ilvl="0" w:tplc="760AD4CA">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0">
    <w:nsid w:val="644C79AF"/>
    <w:multiLevelType w:val="multilevel"/>
    <w:tmpl w:val="9392B64C"/>
    <w:lvl w:ilvl="0">
      <w:start w:val="1"/>
      <w:numFmt w:val="decimal"/>
      <w:lvlText w:val="%1."/>
      <w:lvlJc w:val="left"/>
      <w:pPr>
        <w:ind w:left="1170" w:hanging="45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1">
    <w:nsid w:val="64834F6A"/>
    <w:multiLevelType w:val="hybridMultilevel"/>
    <w:tmpl w:val="CEE602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2">
    <w:nsid w:val="64F1377B"/>
    <w:multiLevelType w:val="hybridMultilevel"/>
    <w:tmpl w:val="66CE83C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73">
    <w:nsid w:val="651070F5"/>
    <w:multiLevelType w:val="hybridMultilevel"/>
    <w:tmpl w:val="66F42A1E"/>
    <w:lvl w:ilvl="0" w:tplc="9320BBC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nsid w:val="651A7170"/>
    <w:multiLevelType w:val="hybridMultilevel"/>
    <w:tmpl w:val="5E240D36"/>
    <w:lvl w:ilvl="0" w:tplc="760AD4CA">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nsid w:val="65860450"/>
    <w:multiLevelType w:val="hybridMultilevel"/>
    <w:tmpl w:val="3FE2277C"/>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nsid w:val="65971F4E"/>
    <w:multiLevelType w:val="hybridMultilevel"/>
    <w:tmpl w:val="55004B60"/>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77">
    <w:nsid w:val="664A03C9"/>
    <w:multiLevelType w:val="hybridMultilevel"/>
    <w:tmpl w:val="B484BB1A"/>
    <w:lvl w:ilvl="0" w:tplc="08090003">
      <w:start w:val="1"/>
      <w:numFmt w:val="bullet"/>
      <w:lvlText w:val="o"/>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68793BC7"/>
    <w:multiLevelType w:val="multilevel"/>
    <w:tmpl w:val="57FA9898"/>
    <w:lvl w:ilvl="0">
      <w:start w:val="1"/>
      <w:numFmt w:val="decimal"/>
      <w:lvlText w:val="P.%1"/>
      <w:lvlJc w:val="left"/>
      <w:pPr>
        <w:ind w:left="0" w:firstLine="0"/>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P.1.%5."/>
      <w:lvlJc w:val="left"/>
      <w:pPr>
        <w:ind w:left="1008" w:hanging="432"/>
      </w:pPr>
      <w:rPr>
        <w:rFonts w:hint="default"/>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9">
    <w:nsid w:val="68E27610"/>
    <w:multiLevelType w:val="hybridMultilevel"/>
    <w:tmpl w:val="17BAB262"/>
    <w:lvl w:ilvl="0" w:tplc="879C004C">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nsid w:val="6966455A"/>
    <w:multiLevelType w:val="multilevel"/>
    <w:tmpl w:val="AE3830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1">
    <w:nsid w:val="69C86DE2"/>
    <w:multiLevelType w:val="multilevel"/>
    <w:tmpl w:val="83CEEA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2">
    <w:nsid w:val="69D26BBE"/>
    <w:multiLevelType w:val="hybridMultilevel"/>
    <w:tmpl w:val="A9E65D12"/>
    <w:lvl w:ilvl="0" w:tplc="472858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nsid w:val="69DD0905"/>
    <w:multiLevelType w:val="hybridMultilevel"/>
    <w:tmpl w:val="56A69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nsid w:val="6A86526A"/>
    <w:multiLevelType w:val="multilevel"/>
    <w:tmpl w:val="7F86AC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5">
    <w:nsid w:val="6B1272D6"/>
    <w:multiLevelType w:val="multilevel"/>
    <w:tmpl w:val="8D86DE50"/>
    <w:lvl w:ilvl="0">
      <w:start w:val="1"/>
      <w:numFmt w:val="decimal"/>
      <w:lvlText w:val="%1."/>
      <w:lvlJc w:val="left"/>
      <w:pPr>
        <w:ind w:left="720" w:hanging="360"/>
      </w:p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6">
    <w:nsid w:val="6C247EA8"/>
    <w:multiLevelType w:val="multilevel"/>
    <w:tmpl w:val="AEFC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6C2E65BD"/>
    <w:multiLevelType w:val="hybridMultilevel"/>
    <w:tmpl w:val="AD3E8FB4"/>
    <w:lvl w:ilvl="0" w:tplc="08090001">
      <w:start w:val="1"/>
      <w:numFmt w:val="bullet"/>
      <w:lvlText w:val=""/>
      <w:lvlJc w:val="left"/>
      <w:pPr>
        <w:ind w:left="2282" w:hanging="360"/>
      </w:pPr>
      <w:rPr>
        <w:rFonts w:ascii="Symbol" w:hAnsi="Symbol" w:hint="default"/>
      </w:rPr>
    </w:lvl>
    <w:lvl w:ilvl="1" w:tplc="08090003">
      <w:start w:val="1"/>
      <w:numFmt w:val="bullet"/>
      <w:lvlText w:val="o"/>
      <w:lvlJc w:val="left"/>
      <w:pPr>
        <w:ind w:left="3002" w:hanging="360"/>
      </w:pPr>
      <w:rPr>
        <w:rFonts w:ascii="Courier New" w:hAnsi="Courier New" w:cs="Courier New" w:hint="default"/>
      </w:rPr>
    </w:lvl>
    <w:lvl w:ilvl="2" w:tplc="08090005">
      <w:start w:val="1"/>
      <w:numFmt w:val="bullet"/>
      <w:lvlText w:val=""/>
      <w:lvlJc w:val="left"/>
      <w:pPr>
        <w:ind w:left="3722" w:hanging="360"/>
      </w:pPr>
      <w:rPr>
        <w:rFonts w:ascii="Wingdings" w:hAnsi="Wingdings" w:hint="default"/>
      </w:rPr>
    </w:lvl>
    <w:lvl w:ilvl="3" w:tplc="08090001" w:tentative="1">
      <w:start w:val="1"/>
      <w:numFmt w:val="bullet"/>
      <w:lvlText w:val=""/>
      <w:lvlJc w:val="left"/>
      <w:pPr>
        <w:ind w:left="4442" w:hanging="360"/>
      </w:pPr>
      <w:rPr>
        <w:rFonts w:ascii="Symbol" w:hAnsi="Symbol" w:hint="default"/>
      </w:rPr>
    </w:lvl>
    <w:lvl w:ilvl="4" w:tplc="08090003" w:tentative="1">
      <w:start w:val="1"/>
      <w:numFmt w:val="bullet"/>
      <w:lvlText w:val="o"/>
      <w:lvlJc w:val="left"/>
      <w:pPr>
        <w:ind w:left="5162" w:hanging="360"/>
      </w:pPr>
      <w:rPr>
        <w:rFonts w:ascii="Courier New" w:hAnsi="Courier New" w:cs="Courier New" w:hint="default"/>
      </w:rPr>
    </w:lvl>
    <w:lvl w:ilvl="5" w:tplc="08090005" w:tentative="1">
      <w:start w:val="1"/>
      <w:numFmt w:val="bullet"/>
      <w:lvlText w:val=""/>
      <w:lvlJc w:val="left"/>
      <w:pPr>
        <w:ind w:left="5882" w:hanging="360"/>
      </w:pPr>
      <w:rPr>
        <w:rFonts w:ascii="Wingdings" w:hAnsi="Wingdings" w:hint="default"/>
      </w:rPr>
    </w:lvl>
    <w:lvl w:ilvl="6" w:tplc="08090001" w:tentative="1">
      <w:start w:val="1"/>
      <w:numFmt w:val="bullet"/>
      <w:lvlText w:val=""/>
      <w:lvlJc w:val="left"/>
      <w:pPr>
        <w:ind w:left="6602" w:hanging="360"/>
      </w:pPr>
      <w:rPr>
        <w:rFonts w:ascii="Symbol" w:hAnsi="Symbol" w:hint="default"/>
      </w:rPr>
    </w:lvl>
    <w:lvl w:ilvl="7" w:tplc="08090003" w:tentative="1">
      <w:start w:val="1"/>
      <w:numFmt w:val="bullet"/>
      <w:lvlText w:val="o"/>
      <w:lvlJc w:val="left"/>
      <w:pPr>
        <w:ind w:left="7322" w:hanging="360"/>
      </w:pPr>
      <w:rPr>
        <w:rFonts w:ascii="Courier New" w:hAnsi="Courier New" w:cs="Courier New" w:hint="default"/>
      </w:rPr>
    </w:lvl>
    <w:lvl w:ilvl="8" w:tplc="08090005" w:tentative="1">
      <w:start w:val="1"/>
      <w:numFmt w:val="bullet"/>
      <w:lvlText w:val=""/>
      <w:lvlJc w:val="left"/>
      <w:pPr>
        <w:ind w:left="8042" w:hanging="360"/>
      </w:pPr>
      <w:rPr>
        <w:rFonts w:ascii="Wingdings" w:hAnsi="Wingdings" w:hint="default"/>
      </w:rPr>
    </w:lvl>
  </w:abstractNum>
  <w:abstractNum w:abstractNumId="288">
    <w:nsid w:val="6C456A3B"/>
    <w:multiLevelType w:val="hybridMultilevel"/>
    <w:tmpl w:val="433C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nsid w:val="6C7768F9"/>
    <w:multiLevelType w:val="hybridMultilevel"/>
    <w:tmpl w:val="1A70BE36"/>
    <w:lvl w:ilvl="0" w:tplc="64BAA012">
      <w:start w:val="1"/>
      <w:numFmt w:val="decimal"/>
      <w:pStyle w:val="Problems"/>
      <w:lvlText w:val="P.%1"/>
      <w:lvlJc w:val="left"/>
      <w:pPr>
        <w:ind w:left="2094" w:hanging="360"/>
      </w:pPr>
      <w:rPr>
        <w:rFonts w:hint="default"/>
      </w:rPr>
    </w:lvl>
    <w:lvl w:ilvl="1" w:tplc="08090019" w:tentative="1">
      <w:start w:val="1"/>
      <w:numFmt w:val="lowerLetter"/>
      <w:lvlText w:val="%2."/>
      <w:lvlJc w:val="left"/>
      <w:pPr>
        <w:ind w:left="2814" w:hanging="360"/>
      </w:pPr>
    </w:lvl>
    <w:lvl w:ilvl="2" w:tplc="0809001B" w:tentative="1">
      <w:start w:val="1"/>
      <w:numFmt w:val="lowerRoman"/>
      <w:pStyle w:val="Problems"/>
      <w:lvlText w:val="%3."/>
      <w:lvlJc w:val="right"/>
      <w:pPr>
        <w:ind w:left="3534" w:hanging="180"/>
      </w:pPr>
    </w:lvl>
    <w:lvl w:ilvl="3" w:tplc="0809000F" w:tentative="1">
      <w:start w:val="1"/>
      <w:numFmt w:val="decimal"/>
      <w:lvlText w:val="%4."/>
      <w:lvlJc w:val="left"/>
      <w:pPr>
        <w:ind w:left="4254" w:hanging="360"/>
      </w:pPr>
    </w:lvl>
    <w:lvl w:ilvl="4" w:tplc="08090019" w:tentative="1">
      <w:start w:val="1"/>
      <w:numFmt w:val="lowerLetter"/>
      <w:lvlText w:val="%5."/>
      <w:lvlJc w:val="left"/>
      <w:pPr>
        <w:ind w:left="4974" w:hanging="360"/>
      </w:pPr>
    </w:lvl>
    <w:lvl w:ilvl="5" w:tplc="0809001B" w:tentative="1">
      <w:start w:val="1"/>
      <w:numFmt w:val="lowerRoman"/>
      <w:lvlText w:val="%6."/>
      <w:lvlJc w:val="right"/>
      <w:pPr>
        <w:ind w:left="5694" w:hanging="180"/>
      </w:pPr>
    </w:lvl>
    <w:lvl w:ilvl="6" w:tplc="0809000F" w:tentative="1">
      <w:start w:val="1"/>
      <w:numFmt w:val="decimal"/>
      <w:lvlText w:val="%7."/>
      <w:lvlJc w:val="left"/>
      <w:pPr>
        <w:ind w:left="6414" w:hanging="360"/>
      </w:pPr>
    </w:lvl>
    <w:lvl w:ilvl="7" w:tplc="08090019" w:tentative="1">
      <w:start w:val="1"/>
      <w:numFmt w:val="lowerLetter"/>
      <w:lvlText w:val="%8."/>
      <w:lvlJc w:val="left"/>
      <w:pPr>
        <w:ind w:left="7134" w:hanging="360"/>
      </w:pPr>
    </w:lvl>
    <w:lvl w:ilvl="8" w:tplc="0809001B" w:tentative="1">
      <w:start w:val="1"/>
      <w:numFmt w:val="lowerRoman"/>
      <w:lvlText w:val="%9."/>
      <w:lvlJc w:val="right"/>
      <w:pPr>
        <w:ind w:left="7854" w:hanging="180"/>
      </w:pPr>
    </w:lvl>
  </w:abstractNum>
  <w:abstractNum w:abstractNumId="290">
    <w:nsid w:val="6D674D41"/>
    <w:multiLevelType w:val="hybridMultilevel"/>
    <w:tmpl w:val="EBD4A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2">
    <w:nsid w:val="6DF175E5"/>
    <w:multiLevelType w:val="hybridMultilevel"/>
    <w:tmpl w:val="524812D0"/>
    <w:lvl w:ilvl="0" w:tplc="041E7544">
      <w:start w:val="1"/>
      <w:numFmt w:val="bullet"/>
      <w:lvlText w:val=""/>
      <w:lvlJc w:val="left"/>
      <w:pPr>
        <w:tabs>
          <w:tab w:val="num" w:pos="720"/>
        </w:tabs>
        <w:ind w:left="720" w:hanging="360"/>
      </w:pPr>
      <w:rPr>
        <w:rFonts w:ascii="Wingdings" w:hAnsi="Wingdings" w:hint="default"/>
      </w:rPr>
    </w:lvl>
    <w:lvl w:ilvl="1" w:tplc="53BA8AD4" w:tentative="1">
      <w:start w:val="1"/>
      <w:numFmt w:val="bullet"/>
      <w:lvlText w:val=""/>
      <w:lvlJc w:val="left"/>
      <w:pPr>
        <w:tabs>
          <w:tab w:val="num" w:pos="1440"/>
        </w:tabs>
        <w:ind w:left="1440" w:hanging="360"/>
      </w:pPr>
      <w:rPr>
        <w:rFonts w:ascii="Wingdings" w:hAnsi="Wingdings" w:hint="default"/>
      </w:rPr>
    </w:lvl>
    <w:lvl w:ilvl="2" w:tplc="5088F23A" w:tentative="1">
      <w:start w:val="1"/>
      <w:numFmt w:val="bullet"/>
      <w:lvlText w:val=""/>
      <w:lvlJc w:val="left"/>
      <w:pPr>
        <w:tabs>
          <w:tab w:val="num" w:pos="2160"/>
        </w:tabs>
        <w:ind w:left="2160" w:hanging="360"/>
      </w:pPr>
      <w:rPr>
        <w:rFonts w:ascii="Wingdings" w:hAnsi="Wingdings" w:hint="default"/>
      </w:rPr>
    </w:lvl>
    <w:lvl w:ilvl="3" w:tplc="5046E6C4" w:tentative="1">
      <w:start w:val="1"/>
      <w:numFmt w:val="bullet"/>
      <w:lvlText w:val=""/>
      <w:lvlJc w:val="left"/>
      <w:pPr>
        <w:tabs>
          <w:tab w:val="num" w:pos="2880"/>
        </w:tabs>
        <w:ind w:left="2880" w:hanging="360"/>
      </w:pPr>
      <w:rPr>
        <w:rFonts w:ascii="Wingdings" w:hAnsi="Wingdings" w:hint="default"/>
      </w:rPr>
    </w:lvl>
    <w:lvl w:ilvl="4" w:tplc="B16E4628" w:tentative="1">
      <w:start w:val="1"/>
      <w:numFmt w:val="bullet"/>
      <w:lvlText w:val=""/>
      <w:lvlJc w:val="left"/>
      <w:pPr>
        <w:tabs>
          <w:tab w:val="num" w:pos="3600"/>
        </w:tabs>
        <w:ind w:left="3600" w:hanging="360"/>
      </w:pPr>
      <w:rPr>
        <w:rFonts w:ascii="Wingdings" w:hAnsi="Wingdings" w:hint="default"/>
      </w:rPr>
    </w:lvl>
    <w:lvl w:ilvl="5" w:tplc="F59C1954" w:tentative="1">
      <w:start w:val="1"/>
      <w:numFmt w:val="bullet"/>
      <w:lvlText w:val=""/>
      <w:lvlJc w:val="left"/>
      <w:pPr>
        <w:tabs>
          <w:tab w:val="num" w:pos="4320"/>
        </w:tabs>
        <w:ind w:left="4320" w:hanging="360"/>
      </w:pPr>
      <w:rPr>
        <w:rFonts w:ascii="Wingdings" w:hAnsi="Wingdings" w:hint="default"/>
      </w:rPr>
    </w:lvl>
    <w:lvl w:ilvl="6" w:tplc="306ACE6E" w:tentative="1">
      <w:start w:val="1"/>
      <w:numFmt w:val="bullet"/>
      <w:lvlText w:val=""/>
      <w:lvlJc w:val="left"/>
      <w:pPr>
        <w:tabs>
          <w:tab w:val="num" w:pos="5040"/>
        </w:tabs>
        <w:ind w:left="5040" w:hanging="360"/>
      </w:pPr>
      <w:rPr>
        <w:rFonts w:ascii="Wingdings" w:hAnsi="Wingdings" w:hint="default"/>
      </w:rPr>
    </w:lvl>
    <w:lvl w:ilvl="7" w:tplc="F3B87732" w:tentative="1">
      <w:start w:val="1"/>
      <w:numFmt w:val="bullet"/>
      <w:lvlText w:val=""/>
      <w:lvlJc w:val="left"/>
      <w:pPr>
        <w:tabs>
          <w:tab w:val="num" w:pos="5760"/>
        </w:tabs>
        <w:ind w:left="5760" w:hanging="360"/>
      </w:pPr>
      <w:rPr>
        <w:rFonts w:ascii="Wingdings" w:hAnsi="Wingdings" w:hint="default"/>
      </w:rPr>
    </w:lvl>
    <w:lvl w:ilvl="8" w:tplc="1B5ACDE4" w:tentative="1">
      <w:start w:val="1"/>
      <w:numFmt w:val="bullet"/>
      <w:lvlText w:val=""/>
      <w:lvlJc w:val="left"/>
      <w:pPr>
        <w:tabs>
          <w:tab w:val="num" w:pos="6480"/>
        </w:tabs>
        <w:ind w:left="6480" w:hanging="360"/>
      </w:pPr>
      <w:rPr>
        <w:rFonts w:ascii="Wingdings" w:hAnsi="Wingdings" w:hint="default"/>
      </w:rPr>
    </w:lvl>
  </w:abstractNum>
  <w:abstractNum w:abstractNumId="293">
    <w:nsid w:val="6E993FAA"/>
    <w:multiLevelType w:val="hybridMultilevel"/>
    <w:tmpl w:val="1DCA1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4">
    <w:nsid w:val="6EA158BA"/>
    <w:multiLevelType w:val="hybridMultilevel"/>
    <w:tmpl w:val="02F26F04"/>
    <w:lvl w:ilvl="0" w:tplc="6DE8F91C">
      <w:start w:val="1"/>
      <w:numFmt w:val="decimal"/>
      <w:lvlText w:val="P.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nsid w:val="6F1B259B"/>
    <w:multiLevelType w:val="hybridMultilevel"/>
    <w:tmpl w:val="B4A0E44C"/>
    <w:lvl w:ilvl="0" w:tplc="1734AE8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6">
    <w:nsid w:val="6F1B29D8"/>
    <w:multiLevelType w:val="hybridMultilevel"/>
    <w:tmpl w:val="153A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70605774"/>
    <w:multiLevelType w:val="hybridMultilevel"/>
    <w:tmpl w:val="9F680682"/>
    <w:lvl w:ilvl="0" w:tplc="1CE25FE0">
      <w:start w:val="1"/>
      <w:numFmt w:val="bullet"/>
      <w:lvlText w:val=""/>
      <w:lvlJc w:val="left"/>
      <w:pPr>
        <w:tabs>
          <w:tab w:val="num" w:pos="720"/>
        </w:tabs>
        <w:ind w:left="720" w:hanging="360"/>
      </w:pPr>
      <w:rPr>
        <w:rFonts w:ascii="Wingdings" w:hAnsi="Wingdings" w:hint="default"/>
      </w:rPr>
    </w:lvl>
    <w:lvl w:ilvl="1" w:tplc="7362F74C" w:tentative="1">
      <w:start w:val="1"/>
      <w:numFmt w:val="bullet"/>
      <w:lvlText w:val=""/>
      <w:lvlJc w:val="left"/>
      <w:pPr>
        <w:tabs>
          <w:tab w:val="num" w:pos="1440"/>
        </w:tabs>
        <w:ind w:left="1440" w:hanging="360"/>
      </w:pPr>
      <w:rPr>
        <w:rFonts w:ascii="Wingdings" w:hAnsi="Wingdings" w:hint="default"/>
      </w:rPr>
    </w:lvl>
    <w:lvl w:ilvl="2" w:tplc="DAD47D18">
      <w:start w:val="1"/>
      <w:numFmt w:val="bullet"/>
      <w:lvlText w:val=""/>
      <w:lvlJc w:val="left"/>
      <w:pPr>
        <w:tabs>
          <w:tab w:val="num" w:pos="2160"/>
        </w:tabs>
        <w:ind w:left="2160" w:hanging="360"/>
      </w:pPr>
      <w:rPr>
        <w:rFonts w:ascii="Wingdings" w:hAnsi="Wingdings" w:hint="default"/>
      </w:rPr>
    </w:lvl>
    <w:lvl w:ilvl="3" w:tplc="60422EF6" w:tentative="1">
      <w:start w:val="1"/>
      <w:numFmt w:val="bullet"/>
      <w:lvlText w:val=""/>
      <w:lvlJc w:val="left"/>
      <w:pPr>
        <w:tabs>
          <w:tab w:val="num" w:pos="2880"/>
        </w:tabs>
        <w:ind w:left="2880" w:hanging="360"/>
      </w:pPr>
      <w:rPr>
        <w:rFonts w:ascii="Wingdings" w:hAnsi="Wingdings" w:hint="default"/>
      </w:rPr>
    </w:lvl>
    <w:lvl w:ilvl="4" w:tplc="2356F32A" w:tentative="1">
      <w:start w:val="1"/>
      <w:numFmt w:val="bullet"/>
      <w:lvlText w:val=""/>
      <w:lvlJc w:val="left"/>
      <w:pPr>
        <w:tabs>
          <w:tab w:val="num" w:pos="3600"/>
        </w:tabs>
        <w:ind w:left="3600" w:hanging="360"/>
      </w:pPr>
      <w:rPr>
        <w:rFonts w:ascii="Wingdings" w:hAnsi="Wingdings" w:hint="default"/>
      </w:rPr>
    </w:lvl>
    <w:lvl w:ilvl="5" w:tplc="11A8961A" w:tentative="1">
      <w:start w:val="1"/>
      <w:numFmt w:val="bullet"/>
      <w:lvlText w:val=""/>
      <w:lvlJc w:val="left"/>
      <w:pPr>
        <w:tabs>
          <w:tab w:val="num" w:pos="4320"/>
        </w:tabs>
        <w:ind w:left="4320" w:hanging="360"/>
      </w:pPr>
      <w:rPr>
        <w:rFonts w:ascii="Wingdings" w:hAnsi="Wingdings" w:hint="default"/>
      </w:rPr>
    </w:lvl>
    <w:lvl w:ilvl="6" w:tplc="F4E47024" w:tentative="1">
      <w:start w:val="1"/>
      <w:numFmt w:val="bullet"/>
      <w:lvlText w:val=""/>
      <w:lvlJc w:val="left"/>
      <w:pPr>
        <w:tabs>
          <w:tab w:val="num" w:pos="5040"/>
        </w:tabs>
        <w:ind w:left="5040" w:hanging="360"/>
      </w:pPr>
      <w:rPr>
        <w:rFonts w:ascii="Wingdings" w:hAnsi="Wingdings" w:hint="default"/>
      </w:rPr>
    </w:lvl>
    <w:lvl w:ilvl="7" w:tplc="9708A980" w:tentative="1">
      <w:start w:val="1"/>
      <w:numFmt w:val="bullet"/>
      <w:lvlText w:val=""/>
      <w:lvlJc w:val="left"/>
      <w:pPr>
        <w:tabs>
          <w:tab w:val="num" w:pos="5760"/>
        </w:tabs>
        <w:ind w:left="5760" w:hanging="360"/>
      </w:pPr>
      <w:rPr>
        <w:rFonts w:ascii="Wingdings" w:hAnsi="Wingdings" w:hint="default"/>
      </w:rPr>
    </w:lvl>
    <w:lvl w:ilvl="8" w:tplc="3452BE90" w:tentative="1">
      <w:start w:val="1"/>
      <w:numFmt w:val="bullet"/>
      <w:lvlText w:val=""/>
      <w:lvlJc w:val="left"/>
      <w:pPr>
        <w:tabs>
          <w:tab w:val="num" w:pos="6480"/>
        </w:tabs>
        <w:ind w:left="6480" w:hanging="360"/>
      </w:pPr>
      <w:rPr>
        <w:rFonts w:ascii="Wingdings" w:hAnsi="Wingdings" w:hint="default"/>
      </w:rPr>
    </w:lvl>
  </w:abstractNum>
  <w:abstractNum w:abstractNumId="298">
    <w:nsid w:val="70966B12"/>
    <w:multiLevelType w:val="hybridMultilevel"/>
    <w:tmpl w:val="D6C02EEC"/>
    <w:lvl w:ilvl="0" w:tplc="2B7A4B38">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9">
    <w:nsid w:val="70C50118"/>
    <w:multiLevelType w:val="hybridMultilevel"/>
    <w:tmpl w:val="4260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nsid w:val="710928FA"/>
    <w:multiLevelType w:val="multilevel"/>
    <w:tmpl w:val="79BA3D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1">
    <w:nsid w:val="71B33559"/>
    <w:multiLevelType w:val="hybridMultilevel"/>
    <w:tmpl w:val="B1B01FF0"/>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0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3">
    <w:nsid w:val="72806D97"/>
    <w:multiLevelType w:val="hybridMultilevel"/>
    <w:tmpl w:val="00426352"/>
    <w:lvl w:ilvl="0" w:tplc="82DC999E">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4">
    <w:nsid w:val="72904DA2"/>
    <w:multiLevelType w:val="hybridMultilevel"/>
    <w:tmpl w:val="CF32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nsid w:val="72DB0B83"/>
    <w:multiLevelType w:val="hybridMultilevel"/>
    <w:tmpl w:val="96BE5D1C"/>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6">
    <w:nsid w:val="72E03A6C"/>
    <w:multiLevelType w:val="hybridMultilevel"/>
    <w:tmpl w:val="223C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nsid w:val="73403D79"/>
    <w:multiLevelType w:val="multilevel"/>
    <w:tmpl w:val="A378AE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8">
    <w:nsid w:val="7341676B"/>
    <w:multiLevelType w:val="hybridMultilevel"/>
    <w:tmpl w:val="4E52F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9">
    <w:nsid w:val="73654398"/>
    <w:multiLevelType w:val="hybridMultilevel"/>
    <w:tmpl w:val="DC82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nsid w:val="73A84C70"/>
    <w:multiLevelType w:val="multilevel"/>
    <w:tmpl w:val="DA28B26A"/>
    <w:lvl w:ilvl="0">
      <w:start w:val="1"/>
      <w:numFmt w:val="decimal"/>
      <w:lvlText w:val="%1"/>
      <w:lvlJc w:val="left"/>
      <w:pPr>
        <w:ind w:left="432" w:hanging="432"/>
      </w:pPr>
      <w:rPr>
        <w:rFonts w:hint="default"/>
      </w:rPr>
    </w:lvl>
    <w:lvl w:ilvl="1">
      <w:start w:val="1"/>
      <w:numFmt w:val="decimal"/>
      <w:lvlText w:val="7.%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1">
    <w:nsid w:val="74330DA2"/>
    <w:multiLevelType w:val="hybridMultilevel"/>
    <w:tmpl w:val="FD4603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2">
    <w:nsid w:val="74466E6B"/>
    <w:multiLevelType w:val="hybridMultilevel"/>
    <w:tmpl w:val="18E6AB3C"/>
    <w:lvl w:ilvl="0" w:tplc="0CAA5862">
      <w:start w:val="1"/>
      <w:numFmt w:val="upp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nsid w:val="74BB686E"/>
    <w:multiLevelType w:val="multilevel"/>
    <w:tmpl w:val="39B0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nsid w:val="75A1614F"/>
    <w:multiLevelType w:val="hybridMultilevel"/>
    <w:tmpl w:val="B9A0A8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5">
    <w:nsid w:val="75B0202D"/>
    <w:multiLevelType w:val="hybridMultilevel"/>
    <w:tmpl w:val="29F4C4D8"/>
    <w:lvl w:ilvl="0" w:tplc="DFF6994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nsid w:val="763A7094"/>
    <w:multiLevelType w:val="hybridMultilevel"/>
    <w:tmpl w:val="7B0027DC"/>
    <w:lvl w:ilvl="0" w:tplc="BAF628C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nsid w:val="76A14346"/>
    <w:multiLevelType w:val="hybridMultilevel"/>
    <w:tmpl w:val="2CE4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nsid w:val="783715CA"/>
    <w:multiLevelType w:val="hybridMultilevel"/>
    <w:tmpl w:val="F3522312"/>
    <w:lvl w:ilvl="0" w:tplc="879C004C">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9">
    <w:nsid w:val="78726F78"/>
    <w:multiLevelType w:val="multilevel"/>
    <w:tmpl w:val="7F86AC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nsid w:val="78AA64CF"/>
    <w:multiLevelType w:val="hybridMultilevel"/>
    <w:tmpl w:val="554CD494"/>
    <w:lvl w:ilvl="0" w:tplc="C57EEBC0">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1">
    <w:nsid w:val="78CA2982"/>
    <w:multiLevelType w:val="hybridMultilevel"/>
    <w:tmpl w:val="A2D6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78CD3008"/>
    <w:multiLevelType w:val="hybridMultilevel"/>
    <w:tmpl w:val="CB54F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79D23093"/>
    <w:multiLevelType w:val="hybridMultilevel"/>
    <w:tmpl w:val="6246AB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nsid w:val="7A0F5C99"/>
    <w:multiLevelType w:val="hybridMultilevel"/>
    <w:tmpl w:val="4AD40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5">
    <w:nsid w:val="7A8C16AC"/>
    <w:multiLevelType w:val="multilevel"/>
    <w:tmpl w:val="9392B64C"/>
    <w:lvl w:ilvl="0">
      <w:start w:val="1"/>
      <w:numFmt w:val="decimal"/>
      <w:lvlText w:val="%1."/>
      <w:lvlJc w:val="left"/>
      <w:pPr>
        <w:ind w:left="1170" w:hanging="45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6">
    <w:nsid w:val="7B117BDD"/>
    <w:multiLevelType w:val="hybridMultilevel"/>
    <w:tmpl w:val="640EFFD0"/>
    <w:lvl w:ilvl="0" w:tplc="760AD4CA">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7">
    <w:nsid w:val="7B1E0401"/>
    <w:multiLevelType w:val="hybridMultilevel"/>
    <w:tmpl w:val="39E6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nsid w:val="7B6A758D"/>
    <w:multiLevelType w:val="hybridMultilevel"/>
    <w:tmpl w:val="EECE1E8A"/>
    <w:lvl w:ilvl="0" w:tplc="04440728">
      <w:start w:val="1"/>
      <w:numFmt w:val="bullet"/>
      <w:lvlText w:val="•"/>
      <w:lvlJc w:val="left"/>
      <w:pPr>
        <w:tabs>
          <w:tab w:val="num" w:pos="720"/>
        </w:tabs>
        <w:ind w:left="720" w:hanging="360"/>
      </w:pPr>
      <w:rPr>
        <w:rFonts w:ascii="Times New Roman" w:hAnsi="Times New Roman" w:hint="default"/>
      </w:rPr>
    </w:lvl>
    <w:lvl w:ilvl="1" w:tplc="065C3AAC" w:tentative="1">
      <w:start w:val="1"/>
      <w:numFmt w:val="bullet"/>
      <w:lvlText w:val="•"/>
      <w:lvlJc w:val="left"/>
      <w:pPr>
        <w:tabs>
          <w:tab w:val="num" w:pos="1440"/>
        </w:tabs>
        <w:ind w:left="1440" w:hanging="360"/>
      </w:pPr>
      <w:rPr>
        <w:rFonts w:ascii="Times New Roman" w:hAnsi="Times New Roman" w:hint="default"/>
      </w:rPr>
    </w:lvl>
    <w:lvl w:ilvl="2" w:tplc="45ECBEC8" w:tentative="1">
      <w:start w:val="1"/>
      <w:numFmt w:val="bullet"/>
      <w:lvlText w:val="•"/>
      <w:lvlJc w:val="left"/>
      <w:pPr>
        <w:tabs>
          <w:tab w:val="num" w:pos="2160"/>
        </w:tabs>
        <w:ind w:left="2160" w:hanging="360"/>
      </w:pPr>
      <w:rPr>
        <w:rFonts w:ascii="Times New Roman" w:hAnsi="Times New Roman" w:hint="default"/>
      </w:rPr>
    </w:lvl>
    <w:lvl w:ilvl="3" w:tplc="72C42F40" w:tentative="1">
      <w:start w:val="1"/>
      <w:numFmt w:val="bullet"/>
      <w:lvlText w:val="•"/>
      <w:lvlJc w:val="left"/>
      <w:pPr>
        <w:tabs>
          <w:tab w:val="num" w:pos="2880"/>
        </w:tabs>
        <w:ind w:left="2880" w:hanging="360"/>
      </w:pPr>
      <w:rPr>
        <w:rFonts w:ascii="Times New Roman" w:hAnsi="Times New Roman" w:hint="default"/>
      </w:rPr>
    </w:lvl>
    <w:lvl w:ilvl="4" w:tplc="10141716" w:tentative="1">
      <w:start w:val="1"/>
      <w:numFmt w:val="bullet"/>
      <w:lvlText w:val="•"/>
      <w:lvlJc w:val="left"/>
      <w:pPr>
        <w:tabs>
          <w:tab w:val="num" w:pos="3600"/>
        </w:tabs>
        <w:ind w:left="3600" w:hanging="360"/>
      </w:pPr>
      <w:rPr>
        <w:rFonts w:ascii="Times New Roman" w:hAnsi="Times New Roman" w:hint="default"/>
      </w:rPr>
    </w:lvl>
    <w:lvl w:ilvl="5" w:tplc="F89E6018" w:tentative="1">
      <w:start w:val="1"/>
      <w:numFmt w:val="bullet"/>
      <w:lvlText w:val="•"/>
      <w:lvlJc w:val="left"/>
      <w:pPr>
        <w:tabs>
          <w:tab w:val="num" w:pos="4320"/>
        </w:tabs>
        <w:ind w:left="4320" w:hanging="360"/>
      </w:pPr>
      <w:rPr>
        <w:rFonts w:ascii="Times New Roman" w:hAnsi="Times New Roman" w:hint="default"/>
      </w:rPr>
    </w:lvl>
    <w:lvl w:ilvl="6" w:tplc="E218427A" w:tentative="1">
      <w:start w:val="1"/>
      <w:numFmt w:val="bullet"/>
      <w:lvlText w:val="•"/>
      <w:lvlJc w:val="left"/>
      <w:pPr>
        <w:tabs>
          <w:tab w:val="num" w:pos="5040"/>
        </w:tabs>
        <w:ind w:left="5040" w:hanging="360"/>
      </w:pPr>
      <w:rPr>
        <w:rFonts w:ascii="Times New Roman" w:hAnsi="Times New Roman" w:hint="default"/>
      </w:rPr>
    </w:lvl>
    <w:lvl w:ilvl="7" w:tplc="A96AE634" w:tentative="1">
      <w:start w:val="1"/>
      <w:numFmt w:val="bullet"/>
      <w:lvlText w:val="•"/>
      <w:lvlJc w:val="left"/>
      <w:pPr>
        <w:tabs>
          <w:tab w:val="num" w:pos="5760"/>
        </w:tabs>
        <w:ind w:left="5760" w:hanging="360"/>
      </w:pPr>
      <w:rPr>
        <w:rFonts w:ascii="Times New Roman" w:hAnsi="Times New Roman" w:hint="default"/>
      </w:rPr>
    </w:lvl>
    <w:lvl w:ilvl="8" w:tplc="DF0683F0" w:tentative="1">
      <w:start w:val="1"/>
      <w:numFmt w:val="bullet"/>
      <w:lvlText w:val="•"/>
      <w:lvlJc w:val="left"/>
      <w:pPr>
        <w:tabs>
          <w:tab w:val="num" w:pos="6480"/>
        </w:tabs>
        <w:ind w:left="6480" w:hanging="360"/>
      </w:pPr>
      <w:rPr>
        <w:rFonts w:ascii="Times New Roman" w:hAnsi="Times New Roman" w:hint="default"/>
      </w:rPr>
    </w:lvl>
  </w:abstractNum>
  <w:abstractNum w:abstractNumId="329">
    <w:nsid w:val="7B802887"/>
    <w:multiLevelType w:val="hybridMultilevel"/>
    <w:tmpl w:val="B18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nsid w:val="7B9600DB"/>
    <w:multiLevelType w:val="hybridMultilevel"/>
    <w:tmpl w:val="0C16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nsid w:val="7D737897"/>
    <w:multiLevelType w:val="hybridMultilevel"/>
    <w:tmpl w:val="57049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nsid w:val="7DCD6AF1"/>
    <w:multiLevelType w:val="hybridMultilevel"/>
    <w:tmpl w:val="E9CE2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nsid w:val="7E1C47EA"/>
    <w:multiLevelType w:val="hybridMultilevel"/>
    <w:tmpl w:val="57109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4">
    <w:nsid w:val="7ECD5B13"/>
    <w:multiLevelType w:val="multilevel"/>
    <w:tmpl w:val="61E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7EDA3291"/>
    <w:multiLevelType w:val="hybridMultilevel"/>
    <w:tmpl w:val="3A3A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6">
    <w:nsid w:val="7FAC2E82"/>
    <w:multiLevelType w:val="multilevel"/>
    <w:tmpl w:val="F9DE7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7">
    <w:nsid w:val="7FC87A70"/>
    <w:multiLevelType w:val="hybridMultilevel"/>
    <w:tmpl w:val="C40A6D20"/>
    <w:lvl w:ilvl="0" w:tplc="BAF628C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6"/>
  </w:num>
  <w:num w:numId="2">
    <w:abstractNumId w:val="99"/>
  </w:num>
  <w:num w:numId="3">
    <w:abstractNumId w:val="24"/>
  </w:num>
  <w:num w:numId="4">
    <w:abstractNumId w:val="327"/>
  </w:num>
  <w:num w:numId="5">
    <w:abstractNumId w:val="86"/>
  </w:num>
  <w:num w:numId="6">
    <w:abstractNumId w:val="3"/>
  </w:num>
  <w:num w:numId="7">
    <w:abstractNumId w:val="86"/>
  </w:num>
  <w:num w:numId="8">
    <w:abstractNumId w:val="86"/>
  </w:num>
  <w:num w:numId="9">
    <w:abstractNumId w:val="326"/>
  </w:num>
  <w:num w:numId="10">
    <w:abstractNumId w:val="96"/>
  </w:num>
  <w:num w:numId="11">
    <w:abstractNumId w:val="265"/>
  </w:num>
  <w:num w:numId="12">
    <w:abstractNumId w:val="87"/>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4"/>
  </w:num>
  <w:num w:numId="15">
    <w:abstractNumId w:val="119"/>
  </w:num>
  <w:num w:numId="16">
    <w:abstractNumId w:val="320"/>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9"/>
  </w:num>
  <w:num w:numId="21">
    <w:abstractNumId w:val="86"/>
  </w:num>
  <w:num w:numId="22">
    <w:abstractNumId w:val="201"/>
  </w:num>
  <w:num w:numId="23">
    <w:abstractNumId w:val="70"/>
  </w:num>
  <w:num w:numId="24">
    <w:abstractNumId w:val="271"/>
  </w:num>
  <w:num w:numId="25">
    <w:abstractNumId w:val="48"/>
  </w:num>
  <w:num w:numId="26">
    <w:abstractNumId w:val="295"/>
  </w:num>
  <w:num w:numId="27">
    <w:abstractNumId w:val="38"/>
  </w:num>
  <w:num w:numId="28">
    <w:abstractNumId w:val="186"/>
  </w:num>
  <w:num w:numId="29">
    <w:abstractNumId w:val="230"/>
  </w:num>
  <w:num w:numId="30">
    <w:abstractNumId w:val="153"/>
  </w:num>
  <w:num w:numId="31">
    <w:abstractNumId w:val="158"/>
  </w:num>
  <w:num w:numId="32">
    <w:abstractNumId w:val="181"/>
  </w:num>
  <w:num w:numId="33">
    <w:abstractNumId w:val="55"/>
  </w:num>
  <w:num w:numId="34">
    <w:abstractNumId w:val="202"/>
  </w:num>
  <w:num w:numId="35">
    <w:abstractNumId w:val="208"/>
  </w:num>
  <w:num w:numId="36">
    <w:abstractNumId w:val="129"/>
  </w:num>
  <w:num w:numId="37">
    <w:abstractNumId w:val="313"/>
  </w:num>
  <w:num w:numId="38">
    <w:abstractNumId w:val="189"/>
  </w:num>
  <w:num w:numId="39">
    <w:abstractNumId w:val="196"/>
  </w:num>
  <w:num w:numId="40">
    <w:abstractNumId w:val="116"/>
  </w:num>
  <w:num w:numId="41">
    <w:abstractNumId w:val="86"/>
  </w:num>
  <w:num w:numId="42">
    <w:abstractNumId w:val="217"/>
  </w:num>
  <w:num w:numId="43">
    <w:abstractNumId w:val="60"/>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0"/>
  </w:num>
  <w:num w:numId="47">
    <w:abstractNumId w:val="33"/>
  </w:num>
  <w:num w:numId="48">
    <w:abstractNumId w:val="125"/>
  </w:num>
  <w:num w:numId="49">
    <w:abstractNumId w:val="110"/>
  </w:num>
  <w:num w:numId="50">
    <w:abstractNumId w:val="86"/>
  </w:num>
  <w:num w:numId="51">
    <w:abstractNumId w:val="86"/>
  </w:num>
  <w:num w:numId="52">
    <w:abstractNumId w:val="86"/>
  </w:num>
  <w:num w:numId="53">
    <w:abstractNumId w:val="190"/>
  </w:num>
  <w:num w:numId="54">
    <w:abstractNumId w:val="161"/>
  </w:num>
  <w:num w:numId="55">
    <w:abstractNumId w:val="86"/>
  </w:num>
  <w:num w:numId="56">
    <w:abstractNumId w:val="86"/>
  </w:num>
  <w:num w:numId="57">
    <w:abstractNumId w:val="76"/>
  </w:num>
  <w:num w:numId="58">
    <w:abstractNumId w:val="321"/>
  </w:num>
  <w:num w:numId="59">
    <w:abstractNumId w:val="261"/>
  </w:num>
  <w:num w:numId="60">
    <w:abstractNumId w:val="223"/>
  </w:num>
  <w:num w:numId="61">
    <w:abstractNumId w:val="166"/>
  </w:num>
  <w:num w:numId="62">
    <w:abstractNumId w:val="8"/>
  </w:num>
  <w:num w:numId="63">
    <w:abstractNumId w:val="95"/>
  </w:num>
  <w:num w:numId="64">
    <w:abstractNumId w:val="36"/>
  </w:num>
  <w:num w:numId="65">
    <w:abstractNumId w:val="58"/>
  </w:num>
  <w:num w:numId="66">
    <w:abstractNumId w:val="329"/>
  </w:num>
  <w:num w:numId="67">
    <w:abstractNumId w:val="255"/>
  </w:num>
  <w:num w:numId="68">
    <w:abstractNumId w:val="226"/>
  </w:num>
  <w:num w:numId="69">
    <w:abstractNumId w:val="309"/>
  </w:num>
  <w:num w:numId="70">
    <w:abstractNumId w:val="312"/>
  </w:num>
  <w:num w:numId="71">
    <w:abstractNumId w:val="253"/>
  </w:num>
  <w:num w:numId="72">
    <w:abstractNumId w:val="9"/>
  </w:num>
  <w:num w:numId="73">
    <w:abstractNumId w:val="204"/>
  </w:num>
  <w:num w:numId="74">
    <w:abstractNumId w:val="105"/>
  </w:num>
  <w:num w:numId="75">
    <w:abstractNumId w:val="232"/>
  </w:num>
  <w:num w:numId="76">
    <w:abstractNumId w:val="262"/>
  </w:num>
  <w:num w:numId="77">
    <w:abstractNumId w:val="319"/>
  </w:num>
  <w:num w:numId="78">
    <w:abstractNumId w:val="284"/>
  </w:num>
  <w:num w:numId="79">
    <w:abstractNumId w:val="20"/>
  </w:num>
  <w:num w:numId="80">
    <w:abstractNumId w:val="325"/>
  </w:num>
  <w:num w:numId="81">
    <w:abstractNumId w:val="270"/>
  </w:num>
  <w:num w:numId="82">
    <w:abstractNumId w:val="156"/>
  </w:num>
  <w:num w:numId="83">
    <w:abstractNumId w:val="333"/>
  </w:num>
  <w:num w:numId="84">
    <w:abstractNumId w:val="32"/>
  </w:num>
  <w:num w:numId="85">
    <w:abstractNumId w:val="11"/>
  </w:num>
  <w:num w:numId="86">
    <w:abstractNumId w:val="109"/>
  </w:num>
  <w:num w:numId="87">
    <w:abstractNumId w:val="86"/>
  </w:num>
  <w:num w:numId="88">
    <w:abstractNumId w:val="86"/>
  </w:num>
  <w:num w:numId="89">
    <w:abstractNumId w:val="86"/>
  </w:num>
  <w:num w:numId="90">
    <w:abstractNumId w:val="86"/>
  </w:num>
  <w:num w:numId="91">
    <w:abstractNumId w:val="86"/>
  </w:num>
  <w:num w:numId="92">
    <w:abstractNumId w:val="111"/>
  </w:num>
  <w:num w:numId="93">
    <w:abstractNumId w:val="8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8"/>
  </w:num>
  <w:num w:numId="97">
    <w:abstractNumId w:val="40"/>
  </w:num>
  <w:num w:numId="98">
    <w:abstractNumId w:val="308"/>
  </w:num>
  <w:num w:numId="99">
    <w:abstractNumId w:val="152"/>
  </w:num>
  <w:num w:numId="100">
    <w:abstractNumId w:val="159"/>
  </w:num>
  <w:num w:numId="101">
    <w:abstractNumId w:val="21"/>
  </w:num>
  <w:num w:numId="10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5"/>
  </w:num>
  <w:num w:numId="106">
    <w:abstractNumId w:val="106"/>
  </w:num>
  <w:num w:numId="107">
    <w:abstractNumId w:val="27"/>
  </w:num>
  <w:num w:numId="108">
    <w:abstractNumId w:val="98"/>
  </w:num>
  <w:num w:numId="109">
    <w:abstractNumId w:val="57"/>
  </w:num>
  <w:num w:numId="11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num>
  <w:num w:numId="112">
    <w:abstractNumId w:val="159"/>
  </w:num>
  <w:num w:numId="113">
    <w:abstractNumId w:val="273"/>
  </w:num>
  <w:num w:numId="114">
    <w:abstractNumId w:val="210"/>
  </w:num>
  <w:num w:numId="115">
    <w:abstractNumId w:val="176"/>
  </w:num>
  <w:num w:numId="116">
    <w:abstractNumId w:val="183"/>
  </w:num>
  <w:num w:numId="117">
    <w:abstractNumId w:val="69"/>
  </w:num>
  <w:num w:numId="11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9"/>
  </w:num>
  <w:num w:numId="120">
    <w:abstractNumId w:val="131"/>
  </w:num>
  <w:num w:numId="121">
    <w:abstractNumId w:val="263"/>
  </w:num>
  <w:num w:numId="122">
    <w:abstractNumId w:val="188"/>
  </w:num>
  <w:num w:numId="123">
    <w:abstractNumId w:val="240"/>
  </w:num>
  <w:num w:numId="124">
    <w:abstractNumId w:val="254"/>
  </w:num>
  <w:num w:numId="125">
    <w:abstractNumId w:val="310"/>
  </w:num>
  <w:num w:numId="1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44"/>
  </w:num>
  <w:num w:numId="128">
    <w:abstractNumId w:val="130"/>
  </w:num>
  <w:num w:numId="129">
    <w:abstractNumId w:val="168"/>
  </w:num>
  <w:num w:numId="130">
    <w:abstractNumId w:val="84"/>
  </w:num>
  <w:num w:numId="131">
    <w:abstractNumId w:val="238"/>
  </w:num>
  <w:num w:numId="132">
    <w:abstractNumId w:val="51"/>
  </w:num>
  <w:num w:numId="133">
    <w:abstractNumId w:val="100"/>
  </w:num>
  <w:num w:numId="134">
    <w:abstractNumId w:val="16"/>
  </w:num>
  <w:num w:numId="135">
    <w:abstractNumId w:val="290"/>
  </w:num>
  <w:num w:numId="1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0"/>
  </w:num>
  <w:num w:numId="1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6"/>
  </w:num>
  <w:num w:numId="141">
    <w:abstractNumId w:val="139"/>
  </w:num>
  <w:num w:numId="142">
    <w:abstractNumId w:val="94"/>
  </w:num>
  <w:num w:numId="143">
    <w:abstractNumId w:val="87"/>
  </w:num>
  <w:num w:numId="144">
    <w:abstractNumId w:val="71"/>
  </w:num>
  <w:num w:numId="145">
    <w:abstractNumId w:val="87"/>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7"/>
  </w:num>
  <w:num w:numId="1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8"/>
  </w:num>
  <w:num w:numId="149">
    <w:abstractNumId w:val="301"/>
  </w:num>
  <w:num w:numId="150">
    <w:abstractNumId w:val="87"/>
  </w:num>
  <w:num w:numId="151">
    <w:abstractNumId w:val="87"/>
  </w:num>
  <w:num w:numId="152">
    <w:abstractNumId w:val="87"/>
  </w:num>
  <w:num w:numId="153">
    <w:abstractNumId w:val="22"/>
  </w:num>
  <w:num w:numId="154">
    <w:abstractNumId w:val="87"/>
  </w:num>
  <w:num w:numId="155">
    <w:abstractNumId w:val="87"/>
  </w:num>
  <w:num w:numId="156">
    <w:abstractNumId w:val="87"/>
  </w:num>
  <w:num w:numId="1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num>
  <w:num w:numId="159">
    <w:abstractNumId w:val="165"/>
  </w:num>
  <w:num w:numId="160">
    <w:abstractNumId w:val="162"/>
  </w:num>
  <w:num w:numId="161">
    <w:abstractNumId w:val="291"/>
  </w:num>
  <w:num w:numId="162">
    <w:abstractNumId w:val="140"/>
  </w:num>
  <w:num w:numId="163">
    <w:abstractNumId w:val="258"/>
  </w:num>
  <w:num w:numId="164">
    <w:abstractNumId w:val="243"/>
  </w:num>
  <w:num w:numId="165">
    <w:abstractNumId w:val="180"/>
  </w:num>
  <w:num w:numId="166">
    <w:abstractNumId w:val="219"/>
  </w:num>
  <w:num w:numId="167">
    <w:abstractNumId w:val="102"/>
  </w:num>
  <w:num w:numId="168">
    <w:abstractNumId w:val="147"/>
  </w:num>
  <w:num w:numId="169">
    <w:abstractNumId w:val="77"/>
  </w:num>
  <w:num w:numId="170">
    <w:abstractNumId w:val="121"/>
  </w:num>
  <w:num w:numId="171">
    <w:abstractNumId w:val="302"/>
  </w:num>
  <w:num w:numId="172">
    <w:abstractNumId w:val="124"/>
  </w:num>
  <w:num w:numId="173">
    <w:abstractNumId w:val="191"/>
  </w:num>
  <w:num w:numId="174">
    <w:abstractNumId w:val="149"/>
  </w:num>
  <w:num w:numId="175">
    <w:abstractNumId w:val="175"/>
  </w:num>
  <w:num w:numId="176">
    <w:abstractNumId w:val="334"/>
  </w:num>
  <w:num w:numId="177">
    <w:abstractNumId w:val="197"/>
  </w:num>
  <w:num w:numId="178">
    <w:abstractNumId w:val="63"/>
  </w:num>
  <w:num w:numId="179">
    <w:abstractNumId w:val="35"/>
  </w:num>
  <w:num w:numId="180">
    <w:abstractNumId w:val="200"/>
  </w:num>
  <w:num w:numId="181">
    <w:abstractNumId w:val="317"/>
  </w:num>
  <w:num w:numId="182">
    <w:abstractNumId w:val="276"/>
  </w:num>
  <w:num w:numId="183">
    <w:abstractNumId w:val="287"/>
  </w:num>
  <w:num w:numId="184">
    <w:abstractNumId w:val="192"/>
  </w:num>
  <w:num w:numId="185">
    <w:abstractNumId w:val="283"/>
  </w:num>
  <w:num w:numId="186">
    <w:abstractNumId w:val="142"/>
  </w:num>
  <w:num w:numId="187">
    <w:abstractNumId w:val="286"/>
  </w:num>
  <w:num w:numId="188">
    <w:abstractNumId w:val="127"/>
  </w:num>
  <w:num w:numId="189">
    <w:abstractNumId w:val="117"/>
  </w:num>
  <w:num w:numId="190">
    <w:abstractNumId w:val="328"/>
  </w:num>
  <w:num w:numId="191">
    <w:abstractNumId w:val="293"/>
  </w:num>
  <w:num w:numId="192">
    <w:abstractNumId w:val="14"/>
  </w:num>
  <w:num w:numId="193">
    <w:abstractNumId w:val="323"/>
  </w:num>
  <w:num w:numId="194">
    <w:abstractNumId w:val="184"/>
  </w:num>
  <w:num w:numId="195">
    <w:abstractNumId w:val="169"/>
  </w:num>
  <w:num w:numId="196">
    <w:abstractNumId w:val="78"/>
  </w:num>
  <w:num w:numId="197">
    <w:abstractNumId w:val="252"/>
  </w:num>
  <w:num w:numId="198">
    <w:abstractNumId w:val="145"/>
  </w:num>
  <w:num w:numId="199">
    <w:abstractNumId w:val="107"/>
  </w:num>
  <w:num w:numId="200">
    <w:abstractNumId w:val="134"/>
  </w:num>
  <w:num w:numId="201">
    <w:abstractNumId w:val="39"/>
  </w:num>
  <w:num w:numId="202">
    <w:abstractNumId w:val="264"/>
  </w:num>
  <w:num w:numId="203">
    <w:abstractNumId w:val="335"/>
  </w:num>
  <w:num w:numId="204">
    <w:abstractNumId w:val="298"/>
  </w:num>
  <w:num w:numId="205">
    <w:abstractNumId w:val="114"/>
  </w:num>
  <w:num w:numId="206">
    <w:abstractNumId w:val="222"/>
  </w:num>
  <w:num w:numId="207">
    <w:abstractNumId w:val="34"/>
  </w:num>
  <w:num w:numId="208">
    <w:abstractNumId w:val="250"/>
  </w:num>
  <w:num w:numId="209">
    <w:abstractNumId w:val="10"/>
  </w:num>
  <w:num w:numId="210">
    <w:abstractNumId w:val="15"/>
  </w:num>
  <w:num w:numId="211">
    <w:abstractNumId w:val="132"/>
  </w:num>
  <w:num w:numId="212">
    <w:abstractNumId w:val="199"/>
  </w:num>
  <w:num w:numId="213">
    <w:abstractNumId w:val="93"/>
  </w:num>
  <w:num w:numId="214">
    <w:abstractNumId w:val="150"/>
  </w:num>
  <w:num w:numId="215">
    <w:abstractNumId w:val="43"/>
  </w:num>
  <w:num w:numId="216">
    <w:abstractNumId w:val="304"/>
  </w:num>
  <w:num w:numId="217">
    <w:abstractNumId w:val="195"/>
  </w:num>
  <w:num w:numId="218">
    <w:abstractNumId w:val="259"/>
  </w:num>
  <w:num w:numId="219">
    <w:abstractNumId w:val="13"/>
  </w:num>
  <w:num w:numId="220">
    <w:abstractNumId w:val="173"/>
  </w:num>
  <w:num w:numId="221">
    <w:abstractNumId w:val="17"/>
  </w:num>
  <w:num w:numId="222">
    <w:abstractNumId w:val="67"/>
  </w:num>
  <w:num w:numId="223">
    <w:abstractNumId w:val="234"/>
  </w:num>
  <w:num w:numId="224">
    <w:abstractNumId w:val="45"/>
  </w:num>
  <w:num w:numId="225">
    <w:abstractNumId w:val="47"/>
  </w:num>
  <w:num w:numId="226">
    <w:abstractNumId w:val="54"/>
  </w:num>
  <w:num w:numId="227">
    <w:abstractNumId w:val="30"/>
  </w:num>
  <w:num w:numId="228">
    <w:abstractNumId w:val="292"/>
  </w:num>
  <w:num w:numId="229">
    <w:abstractNumId w:val="163"/>
  </w:num>
  <w:num w:numId="230">
    <w:abstractNumId w:val="231"/>
  </w:num>
  <w:num w:numId="231">
    <w:abstractNumId w:val="79"/>
  </w:num>
  <w:num w:numId="232">
    <w:abstractNumId w:val="285"/>
  </w:num>
  <w:num w:numId="233">
    <w:abstractNumId w:val="307"/>
  </w:num>
  <w:num w:numId="234">
    <w:abstractNumId w:val="185"/>
  </w:num>
  <w:num w:numId="235">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24"/>
  </w:num>
  <w:num w:numId="237">
    <w:abstractNumId w:val="126"/>
  </w:num>
  <w:num w:numId="238">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2"/>
  </w:num>
  <w:num w:numId="242">
    <w:abstractNumId w:val="236"/>
  </w:num>
  <w:num w:numId="24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36"/>
  </w:num>
  <w:num w:numId="245">
    <w:abstractNumId w:val="268"/>
  </w:num>
  <w:num w:numId="246">
    <w:abstractNumId w:val="187"/>
  </w:num>
  <w:num w:numId="247">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80"/>
  </w:num>
  <w:num w:numId="249">
    <w:abstractNumId w:val="138"/>
  </w:num>
  <w:num w:numId="250">
    <w:abstractNumId w:val="300"/>
  </w:num>
  <w:num w:numId="251">
    <w:abstractNumId w:val="25"/>
  </w:num>
  <w:num w:numId="252">
    <w:abstractNumId w:val="336"/>
  </w:num>
  <w:num w:numId="253">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72"/>
  </w:num>
  <w:num w:numId="256">
    <w:abstractNumId w:val="133"/>
  </w:num>
  <w:num w:numId="257">
    <w:abstractNumId w:val="322"/>
  </w:num>
  <w:num w:numId="258">
    <w:abstractNumId w:val="90"/>
  </w:num>
  <w:num w:numId="259">
    <w:abstractNumId w:val="75"/>
  </w:num>
  <w:num w:numId="260">
    <w:abstractNumId w:val="42"/>
  </w:num>
  <w:num w:numId="261">
    <w:abstractNumId w:val="115"/>
  </w:num>
  <w:num w:numId="262">
    <w:abstractNumId w:val="118"/>
  </w:num>
  <w:num w:numId="263">
    <w:abstractNumId w:val="194"/>
  </w:num>
  <w:num w:numId="264">
    <w:abstractNumId w:val="311"/>
  </w:num>
  <w:num w:numId="265">
    <w:abstractNumId w:val="59"/>
  </w:num>
  <w:num w:numId="266">
    <w:abstractNumId w:val="218"/>
  </w:num>
  <w:num w:numId="267">
    <w:abstractNumId w:val="235"/>
  </w:num>
  <w:num w:numId="268">
    <w:abstractNumId w:val="275"/>
  </w:num>
  <w:num w:numId="269">
    <w:abstractNumId w:val="330"/>
  </w:num>
  <w:num w:numId="270">
    <w:abstractNumId w:val="221"/>
  </w:num>
  <w:num w:numId="271">
    <w:abstractNumId w:val="144"/>
  </w:num>
  <w:num w:numId="272">
    <w:abstractNumId w:val="245"/>
  </w:num>
  <w:num w:numId="273">
    <w:abstractNumId w:val="306"/>
  </w:num>
  <w:num w:numId="274">
    <w:abstractNumId w:val="167"/>
  </w:num>
  <w:num w:numId="275">
    <w:abstractNumId w:val="85"/>
  </w:num>
  <w:num w:numId="276">
    <w:abstractNumId w:val="61"/>
  </w:num>
  <w:num w:numId="2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6"/>
  </w:num>
  <w:num w:numId="279">
    <w:abstractNumId w:val="46"/>
  </w:num>
  <w:num w:numId="280">
    <w:abstractNumId w:val="233"/>
  </w:num>
  <w:num w:numId="281">
    <w:abstractNumId w:val="272"/>
  </w:num>
  <w:num w:numId="282">
    <w:abstractNumId w:val="277"/>
  </w:num>
  <w:num w:numId="283">
    <w:abstractNumId w:val="214"/>
  </w:num>
  <w:num w:numId="284">
    <w:abstractNumId w:val="66"/>
  </w:num>
  <w:num w:numId="285">
    <w:abstractNumId w:val="249"/>
  </w:num>
  <w:num w:numId="286">
    <w:abstractNumId w:val="143"/>
  </w:num>
  <w:num w:numId="287">
    <w:abstractNumId w:val="198"/>
  </w:num>
  <w:num w:numId="288">
    <w:abstractNumId w:val="257"/>
  </w:num>
  <w:num w:numId="289">
    <w:abstractNumId w:val="174"/>
  </w:num>
  <w:num w:numId="290">
    <w:abstractNumId w:val="74"/>
  </w:num>
  <w:num w:numId="291">
    <w:abstractNumId w:val="203"/>
  </w:num>
  <w:num w:numId="292">
    <w:abstractNumId w:val="151"/>
  </w:num>
  <w:num w:numId="293">
    <w:abstractNumId w:val="141"/>
  </w:num>
  <w:num w:numId="294">
    <w:abstractNumId w:val="157"/>
  </w:num>
  <w:num w:numId="295">
    <w:abstractNumId w:val="314"/>
  </w:num>
  <w:num w:numId="296">
    <w:abstractNumId w:val="62"/>
  </w:num>
  <w:num w:numId="297">
    <w:abstractNumId w:val="260"/>
  </w:num>
  <w:num w:numId="298">
    <w:abstractNumId w:val="31"/>
  </w:num>
  <w:num w:numId="299">
    <w:abstractNumId w:val="299"/>
  </w:num>
  <w:num w:numId="300">
    <w:abstractNumId w:val="113"/>
  </w:num>
  <w:num w:numId="301">
    <w:abstractNumId w:val="81"/>
  </w:num>
  <w:num w:numId="302">
    <w:abstractNumId w:val="251"/>
  </w:num>
  <w:num w:numId="303">
    <w:abstractNumId w:val="97"/>
  </w:num>
  <w:num w:numId="304">
    <w:abstractNumId w:val="82"/>
  </w:num>
  <w:num w:numId="305">
    <w:abstractNumId w:val="248"/>
  </w:num>
  <w:num w:numId="306">
    <w:abstractNumId w:val="72"/>
  </w:num>
  <w:num w:numId="307">
    <w:abstractNumId w:val="160"/>
  </w:num>
  <w:num w:numId="308">
    <w:abstractNumId w:val="247"/>
  </w:num>
  <w:num w:numId="309">
    <w:abstractNumId w:val="211"/>
  </w:num>
  <w:num w:numId="310">
    <w:abstractNumId w:val="282"/>
  </w:num>
  <w:num w:numId="311">
    <w:abstractNumId w:val="148"/>
  </w:num>
  <w:num w:numId="312">
    <w:abstractNumId w:val="212"/>
  </w:num>
  <w:num w:numId="313">
    <w:abstractNumId w:val="288"/>
  </w:num>
  <w:num w:numId="31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8"/>
  </w:num>
  <w:num w:numId="316">
    <w:abstractNumId w:val="337"/>
  </w:num>
  <w:num w:numId="317">
    <w:abstractNumId w:val="178"/>
  </w:num>
  <w:num w:numId="318">
    <w:abstractNumId w:val="303"/>
  </w:num>
  <w:num w:numId="319">
    <w:abstractNumId w:val="37"/>
  </w:num>
  <w:num w:numId="320">
    <w:abstractNumId w:val="164"/>
  </w:num>
  <w:num w:numId="321">
    <w:abstractNumId w:val="193"/>
  </w:num>
  <w:num w:numId="322">
    <w:abstractNumId w:val="216"/>
  </w:num>
  <w:num w:numId="323">
    <w:abstractNumId w:val="101"/>
  </w:num>
  <w:num w:numId="324">
    <w:abstractNumId w:val="316"/>
  </w:num>
  <w:num w:numId="325">
    <w:abstractNumId w:val="278"/>
  </w:num>
  <w:num w:numId="326">
    <w:abstractNumId w:val="52"/>
  </w:num>
  <w:num w:numId="327">
    <w:abstractNumId w:val="294"/>
  </w:num>
  <w:num w:numId="328">
    <w:abstractNumId w:val="279"/>
  </w:num>
  <w:num w:numId="329">
    <w:abstractNumId w:val="318"/>
  </w:num>
  <w:num w:numId="330">
    <w:abstractNumId w:val="289"/>
  </w:num>
  <w:num w:numId="331">
    <w:abstractNumId w:val="266"/>
  </w:num>
  <w:num w:numId="332">
    <w:abstractNumId w:val="122"/>
  </w:num>
  <w:num w:numId="333">
    <w:abstractNumId w:val="246"/>
  </w:num>
  <w:num w:numId="334">
    <w:abstractNumId w:val="49"/>
  </w:num>
  <w:num w:numId="335">
    <w:abstractNumId w:val="224"/>
  </w:num>
  <w:num w:numId="336">
    <w:abstractNumId w:val="146"/>
  </w:num>
  <w:num w:numId="337">
    <w:abstractNumId w:val="242"/>
  </w:num>
  <w:num w:numId="338">
    <w:abstractNumId w:val="237"/>
  </w:num>
  <w:num w:numId="33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64"/>
  </w:num>
  <w:num w:numId="341">
    <w:abstractNumId w:val="229"/>
  </w:num>
  <w:num w:numId="34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6"/>
  </w:num>
  <w:num w:numId="344">
    <w:abstractNumId w:val="225"/>
  </w:num>
  <w:num w:numId="345">
    <w:abstractNumId w:val="239"/>
  </w:num>
  <w:num w:numId="346">
    <w:abstractNumId w:val="332"/>
  </w:num>
  <w:num w:numId="347">
    <w:abstractNumId w:val="305"/>
  </w:num>
  <w:num w:numId="348">
    <w:abstractNumId w:val="331"/>
  </w:num>
  <w:num w:numId="349">
    <w:abstractNumId w:val="68"/>
  </w:num>
  <w:num w:numId="350">
    <w:abstractNumId w:val="88"/>
  </w:num>
  <w:num w:numId="351">
    <w:abstractNumId w:val="28"/>
  </w:num>
  <w:num w:numId="352">
    <w:abstractNumId w:val="177"/>
  </w:num>
  <w:num w:numId="353">
    <w:abstractNumId w:val="103"/>
  </w:num>
  <w:num w:numId="354">
    <w:abstractNumId w:val="73"/>
  </w:num>
  <w:num w:numId="355">
    <w:abstractNumId w:val="315"/>
  </w:num>
  <w:num w:numId="356">
    <w:abstractNumId w:val="12"/>
  </w:num>
  <w:num w:numId="357">
    <w:abstractNumId w:val="89"/>
  </w:num>
  <w:num w:numId="358">
    <w:abstractNumId w:val="267"/>
  </w:num>
  <w:num w:numId="359">
    <w:abstractNumId w:val="83"/>
  </w:num>
  <w:num w:numId="360">
    <w:abstractNumId w:val="297"/>
  </w:num>
  <w:num w:numId="361">
    <w:abstractNumId w:val="56"/>
  </w:num>
  <w:num w:numId="362">
    <w:abstractNumId w:val="206"/>
  </w:num>
  <w:num w:numId="363">
    <w:abstractNumId w:val="91"/>
  </w:num>
  <w:num w:numId="364">
    <w:abstractNumId w:val="41"/>
  </w:num>
  <w:num w:numId="365">
    <w:abstractNumId w:val="227"/>
  </w:num>
  <w:num w:numId="366">
    <w:abstractNumId w:val="44"/>
  </w:num>
  <w:num w:numId="367">
    <w:abstractNumId w:val="182"/>
  </w:num>
  <w:num w:numId="368">
    <w:abstractNumId w:val="241"/>
  </w:num>
  <w:num w:numId="36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23"/>
  </w:num>
  <w:num w:numId="371">
    <w:abstractNumId w:val="170"/>
  </w:num>
  <w:num w:numId="372">
    <w:abstractNumId w:val="280"/>
  </w:num>
  <w:num w:numId="373">
    <w:abstractNumId w:val="213"/>
  </w:num>
  <w:num w:numId="374">
    <w:abstractNumId w:val="207"/>
  </w:num>
  <w:num w:numId="375">
    <w:abstractNumId w:val="228"/>
  </w:num>
  <w:num w:numId="376">
    <w:abstractNumId w:val="23"/>
  </w:num>
  <w:num w:numId="377">
    <w:abstractNumId w:val="92"/>
  </w:num>
  <w:num w:numId="378">
    <w:abstractNumId w:val="220"/>
  </w:num>
  <w:num w:numId="379">
    <w:abstractNumId w:val="137"/>
  </w:num>
  <w:num w:numId="380">
    <w:abstractNumId w:val="5"/>
  </w:num>
  <w:num w:numId="381">
    <w:abstractNumId w:val="4"/>
  </w:num>
  <w:num w:numId="382">
    <w:abstractNumId w:val="7"/>
  </w:num>
  <w:num w:numId="383">
    <w:abstractNumId w:val="2"/>
  </w:num>
  <w:num w:numId="384">
    <w:abstractNumId w:val="215"/>
  </w:num>
  <w:num w:numId="385">
    <w:abstractNumId w:val="1"/>
  </w:num>
  <w:num w:numId="386">
    <w:abstractNumId w:val="154"/>
  </w:num>
  <w:num w:numId="387">
    <w:abstractNumId w:val="209"/>
  </w:num>
  <w:num w:numId="388">
    <w:abstractNumId w:val="29"/>
  </w:num>
  <w:num w:numId="389">
    <w:abstractNumId w:val="19"/>
  </w:num>
  <w:num w:numId="390">
    <w:abstractNumId w:val="29"/>
    <w:lvlOverride w:ilvl="0"/>
    <w:lvlOverride w:ilvl="1">
      <w:startOverride w:val="1"/>
    </w:lvlOverride>
    <w:lvlOverride w:ilvl="2"/>
    <w:lvlOverride w:ilvl="3"/>
    <w:lvlOverride w:ilvl="4"/>
    <w:lvlOverride w:ilvl="5"/>
    <w:lvlOverride w:ilvl="6"/>
    <w:lvlOverride w:ilvl="7"/>
    <w:lvlOverride w:ilvl="8"/>
  </w:num>
  <w:num w:numId="391">
    <w:abstractNumId w:val="53"/>
  </w:num>
  <w:num w:numId="392">
    <w:abstractNumId w:val="155"/>
  </w:num>
  <w:num w:numId="393">
    <w:abstractNumId w:val="179"/>
  </w:num>
  <w:num w:numId="394">
    <w:abstractNumId w:val="281"/>
  </w:num>
  <w:num w:numId="395">
    <w:abstractNumId w:val="87"/>
  </w:num>
  <w:num w:numId="396">
    <w:abstractNumId w:val="87"/>
  </w:num>
  <w:num w:numId="397">
    <w:abstractNumId w:val="87"/>
  </w:num>
  <w:num w:numId="398">
    <w:abstractNumId w:val="87"/>
  </w:num>
  <w:num w:numId="399">
    <w:abstractNumId w:val="87"/>
  </w:num>
  <w:num w:numId="400">
    <w:abstractNumId w:val="87"/>
  </w:num>
  <w:num w:numId="4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35"/>
  </w:num>
  <w:num w:numId="403">
    <w:abstractNumId w:val="296"/>
  </w:num>
  <w:num w:numId="404">
    <w:abstractNumId w:val="171"/>
  </w:num>
  <w:numIdMacAtCleanup w:val="3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A5DA2DD-F3A7-431C-A1ED-0ABE8351C4B3"/>
    <w:docVar w:name="LW_COVERPAGE_TYPE" w:val="1"/>
    <w:docVar w:name="LW_CROSSREFERENCE" w:val="{COM(2018) 238 final}_x000b_{SEC(2018) 209 final}_x000b_{SWD(2018) 139 final}"/>
    <w:docVar w:name="LW_DocType" w:val="NORMAL"/>
    <w:docVar w:name="LW_EMISSION" w:val="26.4.2018"/>
    <w:docVar w:name="LW_EMISSION_ISODATE" w:val="2018-04-26"/>
    <w:docVar w:name="LW_EMISSION_LOCATION" w:val="BRX"/>
    <w:docVar w:name="LW_EMISSION_PREFIX" w:val="Brussels, "/>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on promoting fairness and transparency for business users of online intermediation services "/>
    <w:docVar w:name="LW_PART_NBR" w:val="2"/>
    <w:docVar w:name="LW_PART_NBR_TOTAL" w:val="2"/>
    <w:docVar w:name="LW_REF.INST.NEW" w:val="SWD"/>
    <w:docVar w:name="LW_REF.INST.NEW_ADOPTED" w:val="final"/>
    <w:docVar w:name="LW_REF.INST.NEW_TEXT" w:val="(2018)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NEXES"/>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spacing w:before="240"/>
      <w:outlineLvl w:val="0"/>
    </w:pPr>
    <w:rPr>
      <w:b/>
      <w:smallCaps/>
      <w:lang w:eastAsia="en-GB"/>
    </w:rPr>
  </w:style>
  <w:style w:type="paragraph" w:styleId="Heading2">
    <w:name w:val="heading 2"/>
    <w:basedOn w:val="Normal"/>
    <w:next w:val="Text2"/>
    <w:link w:val="Heading2Char"/>
    <w:qFormat/>
    <w:pPr>
      <w:keepNext/>
      <w:numPr>
        <w:ilvl w:val="1"/>
        <w:numId w:val="12"/>
      </w:numPr>
      <w:tabs>
        <w:tab w:val="left" w:pos="1200"/>
      </w:tabs>
      <w:ind w:left="1200" w:hanging="1200"/>
      <w:outlineLvl w:val="1"/>
    </w:pPr>
    <w:rPr>
      <w:rFonts w:eastAsiaTheme="minorHAnsi"/>
      <w:b/>
      <w:lang w:val="en"/>
    </w:rPr>
  </w:style>
  <w:style w:type="paragraph" w:styleId="Heading3">
    <w:name w:val="heading 3"/>
    <w:basedOn w:val="Normal"/>
    <w:next w:val="Text3"/>
    <w:link w:val="Heading3Char"/>
    <w:qFormat/>
    <w:pPr>
      <w:keepNext/>
      <w:numPr>
        <w:ilvl w:val="2"/>
        <w:numId w:val="12"/>
      </w:numPr>
      <w:tabs>
        <w:tab w:val="left" w:pos="1418"/>
      </w:tabs>
      <w:ind w:left="1418" w:hanging="851"/>
      <w:outlineLvl w:val="2"/>
    </w:pPr>
    <w:rPr>
      <w:rFonts w:eastAsiaTheme="minorHAnsi"/>
      <w:b/>
      <w:szCs w:val="24"/>
      <w:lang w:eastAsia="en-GB"/>
    </w:rPr>
  </w:style>
  <w:style w:type="paragraph" w:styleId="Heading4">
    <w:name w:val="heading 4"/>
    <w:basedOn w:val="Normal"/>
    <w:next w:val="Normal"/>
    <w:link w:val="Heading4Char"/>
    <w:qFormat/>
    <w:pPr>
      <w:keepNext/>
      <w:outlineLvl w:val="3"/>
    </w:p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hAnsi="Times New Roman" w:cs="Times New Roman"/>
      <w:b/>
      <w:sz w:val="24"/>
      <w:szCs w:val="20"/>
      <w:lang w:val="en"/>
    </w:rPr>
  </w:style>
  <w:style w:type="character" w:customStyle="1" w:styleId="Heading3Char">
    <w:name w:val="Heading 3 Char"/>
    <w:basedOn w:val="DefaultParagraphFont"/>
    <w:link w:val="Heading3"/>
    <w:rPr>
      <w:rFonts w:ascii="Times New Roman" w:hAnsi="Times New Roman" w:cs="Times New Roman"/>
      <w:b/>
      <w:sz w:val="24"/>
      <w:szCs w:val="24"/>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2">
    <w:name w:val="Text 2"/>
    <w:basedOn w:val="Normal"/>
    <w:link w:val="Text2Char"/>
    <w:pPr>
      <w:tabs>
        <w:tab w:val="left" w:pos="2302"/>
      </w:tabs>
      <w:ind w:left="482"/>
    </w:pPr>
    <w:rPr>
      <w:lang w:eastAsia="en-GB"/>
    </w:rPr>
  </w:style>
  <w:style w:type="paragraph" w:customStyle="1" w:styleId="Text3">
    <w:name w:val="Text 3"/>
    <w:basedOn w:val="Normal"/>
    <w:pPr>
      <w:tabs>
        <w:tab w:val="left" w:pos="2302"/>
      </w:tabs>
      <w:ind w:left="1202"/>
    </w:p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aliases w:val="Note de bas de page Car,Footnote Text Char Char Char,Footnote Text Char Char Char Char Char Char Char,Footnote Text Char Char Char Char Char Char Char Char Char,Footnote Text Char Char Char Char Char,Footnote Text2 Char Char,Car Car,fn"/>
    <w:basedOn w:val="Normal"/>
    <w:link w:val="FootnoteTextChar"/>
    <w:uiPriority w:val="99"/>
    <w:qFormat/>
    <w:pPr>
      <w:ind w:left="357" w:hanging="357"/>
    </w:pPr>
    <w:rPr>
      <w:sz w:val="20"/>
    </w:rPr>
  </w:style>
  <w:style w:type="character" w:customStyle="1" w:styleId="FootnoteTextChar">
    <w:name w:val="Footnote Text Char"/>
    <w:aliases w:val="Note de bas de page Car Char,Footnote Text Char Char Char Char,Footnote Text Char Char Char Char Char Char Char Char,Footnote Text Char Char Char Char Char Char Char Char Char Char,Footnote Text Char Char Char Char Char Char,fn Char"/>
    <w:basedOn w:val="DefaultParagraphFont"/>
    <w:link w:val="FootnoteText"/>
    <w:uiPriority w:val="99"/>
    <w:qFormat/>
    <w:rPr>
      <w:rFonts w:ascii="Times New Roman" w:eastAsia="Times New Roman" w:hAnsi="Times New Roman" w:cs="Times New Roman"/>
      <w:sz w:val="20"/>
      <w:szCs w:val="20"/>
    </w:rPr>
  </w:style>
  <w:style w:type="paragraph" w:styleId="ListBullet5">
    <w:name w:val="List Bullet 5"/>
    <w:basedOn w:val="Normal"/>
    <w:autoRedefine/>
    <w:pPr>
      <w:numPr>
        <w:numId w:val="6"/>
      </w:numPr>
    </w:p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BVI fnr, BVI fn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uggested-citation">
    <w:name w:val="suggested-citation"/>
    <w:basedOn w:val="Normal"/>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qFormat/>
    <w:pPr>
      <w:tabs>
        <w:tab w:val="left" w:pos="480"/>
        <w:tab w:val="right" w:leader="dot" w:pos="9062"/>
      </w:tabs>
      <w:spacing w:after="100"/>
      <w:jc w:val="center"/>
    </w:pPr>
  </w:style>
  <w:style w:type="paragraph" w:styleId="TOC2">
    <w:name w:val="toc 2"/>
    <w:basedOn w:val="Normal"/>
    <w:next w:val="Normal"/>
    <w:autoRedefine/>
    <w:uiPriority w:val="39"/>
    <w:unhideWhenUsed/>
    <w:qFormat/>
    <w:pPr>
      <w:tabs>
        <w:tab w:val="right" w:leader="dot" w:pos="9062"/>
      </w:tabs>
      <w:spacing w:after="100"/>
      <w:ind w:left="720" w:hanging="480"/>
      <w:jc w:val="left"/>
    </w:pPr>
  </w:style>
  <w:style w:type="paragraph" w:styleId="TOC3">
    <w:name w:val="toc 3"/>
    <w:basedOn w:val="Normal"/>
    <w:next w:val="Normal"/>
    <w:autoRedefine/>
    <w:uiPriority w:val="39"/>
    <w:unhideWhenUsed/>
    <w:qFormat/>
    <w:pPr>
      <w:tabs>
        <w:tab w:val="left" w:pos="1800"/>
        <w:tab w:val="right" w:leader="dot" w:pos="9062"/>
      </w:tabs>
      <w:spacing w:after="100"/>
      <w:ind w:left="1800" w:hanging="84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s1">
    <w:name w:val="s1"/>
    <w:basedOn w:val="DefaultParagraphFont"/>
    <w:rPr>
      <w:color w:val="E4AF0A"/>
      <w:u w:val="single"/>
      <w:rtl w:val="0"/>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Subtitle">
    <w:name w:val="Subtitle"/>
    <w:basedOn w:val="Normal"/>
    <w:next w:val="Normal"/>
    <w:link w:val="SubtitleChar"/>
    <w:qFormat/>
    <w:pPr>
      <w:numPr>
        <w:ilvl w:val="1"/>
      </w:numPr>
      <w:spacing w:after="200" w:line="276" w:lineRule="auto"/>
      <w:jc w:val="left"/>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p1">
    <w:name w:val="p1"/>
    <w:basedOn w:val="Normal"/>
    <w:pPr>
      <w:spacing w:after="0"/>
      <w:jc w:val="left"/>
    </w:pPr>
    <w:rPr>
      <w:rFonts w:ascii="Helvetica Neue" w:eastAsiaTheme="minorHAnsi" w:hAnsi="Helvetica Neue"/>
      <w:color w:val="454545"/>
      <w:sz w:val="18"/>
      <w:szCs w:val="18"/>
      <w:lang w:eastAsia="en-GB"/>
    </w:rPr>
  </w:style>
  <w:style w:type="paragraph" w:customStyle="1" w:styleId="p2">
    <w:name w:val="p2"/>
    <w:basedOn w:val="Normal"/>
    <w:pPr>
      <w:spacing w:after="0"/>
      <w:jc w:val="left"/>
    </w:pPr>
    <w:rPr>
      <w:rFonts w:ascii="Helvetica Neue" w:eastAsiaTheme="minorHAnsi" w:hAnsi="Helvetica Neue"/>
      <w:color w:val="454545"/>
      <w:sz w:val="18"/>
      <w:szCs w:val="18"/>
      <w:lang w:eastAsia="en-GB"/>
    </w:rPr>
  </w:style>
  <w:style w:type="paragraph" w:customStyle="1" w:styleId="ListBullet1">
    <w:name w:val="List Bullet 1"/>
    <w:basedOn w:val="Normal"/>
    <w:pPr>
      <w:numPr>
        <w:numId w:val="46"/>
      </w:numPr>
    </w:pPr>
  </w:style>
  <w:style w:type="character" w:styleId="Strong">
    <w:name w:val="Strong"/>
    <w:basedOn w:val="DefaultParagraphFont"/>
    <w:uiPriority w:val="22"/>
    <w:qFormat/>
    <w:rPr>
      <w:b/>
      <w:bCs/>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table" w:customStyle="1" w:styleId="TableGrid2">
    <w:name w:val="Table Grid2"/>
    <w:basedOn w:val="TableNormal"/>
    <w:next w:val="TableGrid"/>
    <w:uiPriority w:val="59"/>
    <w:pPr>
      <w:spacing w:after="0" w:line="240" w:lineRule="auto"/>
    </w:pPr>
    <w:rPr>
      <w:rFonts w:ascii="Calibri" w:eastAsia="Calibri" w:hAnsi="Calibri" w:cs="Times New Roman"/>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nhideWhenUsed/>
    <w:pPr>
      <w:numPr>
        <w:numId w:val="62"/>
      </w:numPr>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styleId="ListBullet3">
    <w:name w:val="List Bullet 3"/>
    <w:basedOn w:val="Text3"/>
    <w:pPr>
      <w:numPr>
        <w:numId w:val="76"/>
      </w:numPr>
      <w:tabs>
        <w:tab w:val="clear" w:pos="2302"/>
      </w:tabs>
    </w:pPr>
  </w:style>
  <w:style w:type="character" w:customStyle="1" w:styleId="Text2Char">
    <w:name w:val="Text 2 Char"/>
    <w:basedOn w:val="DefaultParagraphFont"/>
    <w:link w:val="Text2"/>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0"/>
    </w:rPr>
  </w:style>
  <w:style w:type="paragraph" w:customStyle="1" w:styleId="Text1">
    <w:name w:val="Text 1"/>
    <w:basedOn w:val="Normal"/>
    <w:link w:val="Text1Char"/>
    <w:pPr>
      <w:ind w:left="482"/>
    </w:pPr>
  </w:style>
  <w:style w:type="character" w:customStyle="1" w:styleId="Text1Char">
    <w:name w:val="Text 1 Char"/>
    <w:link w:val="Text1"/>
    <w:rPr>
      <w:rFonts w:ascii="Times New Roman" w:eastAsia="Times New Roman" w:hAnsi="Times New Roman" w:cs="Times New Roman"/>
      <w:sz w:val="24"/>
      <w:szCs w:val="20"/>
    </w:rPr>
  </w:style>
  <w:style w:type="character" w:customStyle="1" w:styleId="CaptionChar">
    <w:name w:val="Caption Char"/>
    <w:link w:val="Caption"/>
    <w:locked/>
    <w:rPr>
      <w:rFonts w:ascii="Times New Roman" w:eastAsia="Times New Roman" w:hAnsi="Times New Roman" w:cs="Times New Roman"/>
      <w:b/>
      <w:bCs/>
      <w:color w:val="4F81BD" w:themeColor="accent1"/>
      <w:sz w:val="18"/>
      <w:szCs w:val="18"/>
    </w:rPr>
  </w:style>
  <w:style w:type="table" w:styleId="MediumGrid3-Accent5">
    <w:name w:val="Medium Grid 3 Accent 5"/>
    <w:basedOn w:val="TableNormal"/>
    <w:uiPriority w:val="69"/>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2-Accent1">
    <w:name w:val="Medium Shading 2 Accent 1"/>
    <w:basedOn w:val="TableNormal"/>
    <w:uiPriority w:val="64"/>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ext4">
    <w:name w:val="Text 4"/>
    <w:basedOn w:val="Normal"/>
    <w:pPr>
      <w:tabs>
        <w:tab w:val="left" w:pos="2302"/>
      </w:tabs>
      <w:ind w:left="1202"/>
    </w:pPr>
  </w:style>
  <w:style w:type="paragraph" w:styleId="PlainText">
    <w:name w:val="Plain Text"/>
    <w:basedOn w:val="Normal"/>
    <w:link w:val="PlainTextChar"/>
    <w:uiPriority w:val="99"/>
    <w:unhideWhenUsed/>
    <w:pPr>
      <w:spacing w:after="0"/>
      <w:jc w:val="left"/>
    </w:pPr>
    <w:rPr>
      <w:rFonts w:ascii="Calibri" w:eastAsiaTheme="minorHAnsi" w:hAnsi="Calibri" w:cs="Consolas"/>
      <w:sz w:val="22"/>
      <w:szCs w:val="21"/>
      <w:lang w:val="fr-CH"/>
    </w:rPr>
  </w:style>
  <w:style w:type="character" w:customStyle="1" w:styleId="PlainTextChar">
    <w:name w:val="Plain Text Char"/>
    <w:basedOn w:val="DefaultParagraphFont"/>
    <w:link w:val="PlainText"/>
    <w:uiPriority w:val="99"/>
    <w:rPr>
      <w:rFonts w:ascii="Calibri" w:hAnsi="Calibri" w:cs="Consolas"/>
      <w:szCs w:val="21"/>
      <w:lang w:val="fr-CH"/>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Text2"/>
    <w:pPr>
      <w:numPr>
        <w:numId w:val="160"/>
      </w:numPr>
      <w:tabs>
        <w:tab w:val="clear" w:pos="2302"/>
      </w:tabs>
    </w:pPr>
  </w:style>
  <w:style w:type="paragraph" w:styleId="ListBullet4">
    <w:name w:val="List Bullet 4"/>
    <w:basedOn w:val="Text4"/>
    <w:pPr>
      <w:numPr>
        <w:numId w:val="161"/>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67"/>
      </w:numPr>
    </w:pPr>
  </w:style>
  <w:style w:type="paragraph" w:styleId="ListNumber2">
    <w:name w:val="List Number 2"/>
    <w:basedOn w:val="Text2"/>
    <w:pPr>
      <w:numPr>
        <w:numId w:val="169"/>
      </w:numPr>
      <w:tabs>
        <w:tab w:val="clear" w:pos="2302"/>
      </w:tabs>
    </w:pPr>
  </w:style>
  <w:style w:type="paragraph" w:styleId="ListNumber3">
    <w:name w:val="List Number 3"/>
    <w:basedOn w:val="Text3"/>
    <w:pPr>
      <w:numPr>
        <w:numId w:val="170"/>
      </w:numPr>
      <w:tabs>
        <w:tab w:val="clear" w:pos="2302"/>
      </w:tabs>
    </w:pPr>
  </w:style>
  <w:style w:type="paragraph" w:styleId="ListNumber4">
    <w:name w:val="List Number 4"/>
    <w:basedOn w:val="Text4"/>
    <w:pPr>
      <w:numPr>
        <w:numId w:val="171"/>
      </w:numPr>
      <w:tabs>
        <w:tab w:val="clear" w:pos="2302"/>
      </w:tabs>
    </w:pPr>
  </w:style>
  <w:style w:type="paragraph" w:styleId="ListNumber5">
    <w:name w:val="List Number 5"/>
    <w:basedOn w:val="Normal"/>
    <w:pPr>
      <w:numPr>
        <w:numId w:val="15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32" w:hanging="432"/>
      <w:outlineLvl w:val="9"/>
    </w:pPr>
    <w:rPr>
      <w:rFonts w:eastAsiaTheme="minorHAnsi"/>
      <w:b w:val="0"/>
      <w:smallCaps w:val="0"/>
      <w:lang w:eastAsia="en-US"/>
    </w:rPr>
  </w:style>
  <w:style w:type="paragraph" w:customStyle="1" w:styleId="NumPar2">
    <w:name w:val="NumPar 2"/>
    <w:basedOn w:val="Heading2"/>
    <w:next w:val="Text2"/>
    <w:pPr>
      <w:keepNext w:val="0"/>
      <w:numPr>
        <w:numId w:val="0"/>
      </w:numPr>
      <w:ind w:left="576" w:hanging="576"/>
      <w:outlineLvl w:val="9"/>
    </w:pPr>
    <w:rPr>
      <w:b w:val="0"/>
      <w:szCs w:val="24"/>
      <w:lang w:val="en-GB" w:eastAsia="en-GB"/>
    </w:rPr>
  </w:style>
  <w:style w:type="paragraph" w:customStyle="1" w:styleId="NumPar3">
    <w:name w:val="NumPar 3"/>
    <w:basedOn w:val="Heading3"/>
    <w:next w:val="Text3"/>
    <w:pPr>
      <w:keepNext w:val="0"/>
      <w:numPr>
        <w:numId w:val="0"/>
      </w:numPr>
      <w:ind w:left="720" w:hanging="720"/>
      <w:outlineLvl w:val="9"/>
    </w:pPr>
    <w:rPr>
      <w:b w:val="0"/>
      <w:i/>
    </w:rPr>
  </w:style>
  <w:style w:type="paragraph" w:customStyle="1" w:styleId="NumPar4">
    <w:name w:val="NumPar 4"/>
    <w:basedOn w:val="Heading4"/>
    <w:next w:val="Text4"/>
    <w:pPr>
      <w:keepNext w:val="0"/>
      <w:numPr>
        <w:ilvl w:val="3"/>
      </w:numPr>
      <w:ind w:left="864" w:hanging="864"/>
      <w:outlineLvl w:val="9"/>
    </w:pPr>
    <w:rPr>
      <w:b/>
      <w:i/>
    </w:rPr>
  </w:style>
  <w:style w:type="paragraph" w:customStyle="1" w:styleId="PartTitle">
    <w:name w:val="PartTitle"/>
    <w:basedOn w:val="Normal"/>
    <w:next w:val="ChapterTitle"/>
    <w:pPr>
      <w:keepNext/>
      <w:pageBreakBefore/>
      <w:spacing w:after="480"/>
      <w:jc w:val="center"/>
    </w:pPr>
    <w:rPr>
      <w:b/>
      <w:sz w:val="36"/>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Dash">
    <w:name w:val="List Dash"/>
    <w:basedOn w:val="Normal"/>
    <w:pPr>
      <w:numPr>
        <w:numId w:val="162"/>
      </w:numPr>
    </w:pPr>
  </w:style>
  <w:style w:type="paragraph" w:customStyle="1" w:styleId="ListDash1">
    <w:name w:val="List Dash 1"/>
    <w:basedOn w:val="Text1"/>
    <w:pPr>
      <w:numPr>
        <w:numId w:val="163"/>
      </w:numPr>
    </w:pPr>
  </w:style>
  <w:style w:type="paragraph" w:customStyle="1" w:styleId="ListDash2">
    <w:name w:val="List Dash 2"/>
    <w:basedOn w:val="Text2"/>
    <w:pPr>
      <w:numPr>
        <w:numId w:val="164"/>
      </w:numPr>
      <w:tabs>
        <w:tab w:val="clear" w:pos="2302"/>
      </w:tabs>
    </w:pPr>
  </w:style>
  <w:style w:type="paragraph" w:customStyle="1" w:styleId="ListDash3">
    <w:name w:val="List Dash 3"/>
    <w:basedOn w:val="Text3"/>
    <w:pPr>
      <w:numPr>
        <w:numId w:val="165"/>
      </w:numPr>
      <w:tabs>
        <w:tab w:val="clear" w:pos="2302"/>
      </w:tabs>
    </w:pPr>
  </w:style>
  <w:style w:type="paragraph" w:customStyle="1" w:styleId="ListDash4">
    <w:name w:val="List Dash 4"/>
    <w:basedOn w:val="Text4"/>
    <w:pPr>
      <w:numPr>
        <w:numId w:val="166"/>
      </w:numPr>
      <w:tabs>
        <w:tab w:val="clear" w:pos="2302"/>
      </w:tabs>
    </w:pPr>
  </w:style>
  <w:style w:type="paragraph" w:customStyle="1" w:styleId="ListNumberLevel2">
    <w:name w:val="List Number (Level 2)"/>
    <w:basedOn w:val="Normal"/>
    <w:pPr>
      <w:numPr>
        <w:ilvl w:val="1"/>
        <w:numId w:val="167"/>
      </w:numPr>
    </w:pPr>
  </w:style>
  <w:style w:type="paragraph" w:customStyle="1" w:styleId="ListNumberLevel3">
    <w:name w:val="List Number (Level 3)"/>
    <w:basedOn w:val="Normal"/>
    <w:pPr>
      <w:numPr>
        <w:ilvl w:val="2"/>
        <w:numId w:val="167"/>
      </w:numPr>
    </w:pPr>
  </w:style>
  <w:style w:type="paragraph" w:customStyle="1" w:styleId="ListNumberLevel4">
    <w:name w:val="List Number (Level 4)"/>
    <w:basedOn w:val="Normal"/>
    <w:pPr>
      <w:numPr>
        <w:ilvl w:val="3"/>
        <w:numId w:val="167"/>
      </w:numPr>
    </w:pPr>
  </w:style>
  <w:style w:type="paragraph" w:customStyle="1" w:styleId="ListNumber1">
    <w:name w:val="List Number 1"/>
    <w:basedOn w:val="Text1"/>
    <w:pPr>
      <w:numPr>
        <w:numId w:val="168"/>
      </w:numPr>
    </w:pPr>
  </w:style>
  <w:style w:type="paragraph" w:customStyle="1" w:styleId="ListNumber1Level2">
    <w:name w:val="List Number 1 (Level 2)"/>
    <w:basedOn w:val="Text1"/>
    <w:pPr>
      <w:numPr>
        <w:ilvl w:val="1"/>
        <w:numId w:val="168"/>
      </w:numPr>
    </w:pPr>
  </w:style>
  <w:style w:type="paragraph" w:customStyle="1" w:styleId="ListNumber1Level3">
    <w:name w:val="List Number 1 (Level 3)"/>
    <w:basedOn w:val="Text1"/>
    <w:pPr>
      <w:numPr>
        <w:ilvl w:val="2"/>
        <w:numId w:val="168"/>
      </w:numPr>
    </w:pPr>
  </w:style>
  <w:style w:type="paragraph" w:customStyle="1" w:styleId="ListNumber1Level4">
    <w:name w:val="List Number 1 (Level 4)"/>
    <w:basedOn w:val="Text1"/>
    <w:pPr>
      <w:numPr>
        <w:ilvl w:val="3"/>
        <w:numId w:val="168"/>
      </w:numPr>
    </w:pPr>
  </w:style>
  <w:style w:type="paragraph" w:customStyle="1" w:styleId="ListNumber2Level2">
    <w:name w:val="List Number 2 (Level 2)"/>
    <w:basedOn w:val="Text2"/>
    <w:pPr>
      <w:numPr>
        <w:ilvl w:val="1"/>
        <w:numId w:val="169"/>
      </w:numPr>
      <w:tabs>
        <w:tab w:val="clear" w:pos="2302"/>
      </w:tabs>
    </w:pPr>
  </w:style>
  <w:style w:type="paragraph" w:customStyle="1" w:styleId="ListNumber2Level3">
    <w:name w:val="List Number 2 (Level 3)"/>
    <w:basedOn w:val="Text2"/>
    <w:pPr>
      <w:numPr>
        <w:ilvl w:val="2"/>
        <w:numId w:val="169"/>
      </w:numPr>
      <w:tabs>
        <w:tab w:val="clear" w:pos="2302"/>
      </w:tabs>
    </w:pPr>
  </w:style>
  <w:style w:type="paragraph" w:customStyle="1" w:styleId="ListNumber2Level4">
    <w:name w:val="List Number 2 (Level 4)"/>
    <w:basedOn w:val="Text2"/>
    <w:pPr>
      <w:numPr>
        <w:ilvl w:val="3"/>
        <w:numId w:val="169"/>
      </w:numPr>
      <w:tabs>
        <w:tab w:val="clear" w:pos="2302"/>
      </w:tabs>
    </w:pPr>
  </w:style>
  <w:style w:type="paragraph" w:customStyle="1" w:styleId="ListNumber3Level2">
    <w:name w:val="List Number 3 (Level 2)"/>
    <w:basedOn w:val="Text3"/>
    <w:pPr>
      <w:numPr>
        <w:ilvl w:val="1"/>
        <w:numId w:val="170"/>
      </w:numPr>
      <w:tabs>
        <w:tab w:val="clear" w:pos="2302"/>
      </w:tabs>
    </w:pPr>
  </w:style>
  <w:style w:type="paragraph" w:customStyle="1" w:styleId="ListNumber3Level3">
    <w:name w:val="List Number 3 (Level 3)"/>
    <w:basedOn w:val="Text3"/>
    <w:pPr>
      <w:numPr>
        <w:ilvl w:val="2"/>
        <w:numId w:val="170"/>
      </w:numPr>
      <w:tabs>
        <w:tab w:val="clear" w:pos="2302"/>
      </w:tabs>
    </w:pPr>
  </w:style>
  <w:style w:type="paragraph" w:customStyle="1" w:styleId="ListNumber3Level4">
    <w:name w:val="List Number 3 (Level 4)"/>
    <w:basedOn w:val="Text3"/>
    <w:pPr>
      <w:numPr>
        <w:ilvl w:val="3"/>
        <w:numId w:val="170"/>
      </w:numPr>
      <w:tabs>
        <w:tab w:val="clear" w:pos="2302"/>
      </w:tabs>
    </w:pPr>
  </w:style>
  <w:style w:type="paragraph" w:customStyle="1" w:styleId="ListNumber4Level2">
    <w:name w:val="List Number 4 (Level 2)"/>
    <w:basedOn w:val="Text4"/>
    <w:pPr>
      <w:numPr>
        <w:ilvl w:val="1"/>
        <w:numId w:val="171"/>
      </w:numPr>
      <w:tabs>
        <w:tab w:val="clear" w:pos="2302"/>
      </w:tabs>
    </w:pPr>
  </w:style>
  <w:style w:type="paragraph" w:customStyle="1" w:styleId="ListNumber4Level3">
    <w:name w:val="List Number 4 (Level 3)"/>
    <w:basedOn w:val="Text4"/>
    <w:pPr>
      <w:numPr>
        <w:ilvl w:val="2"/>
        <w:numId w:val="171"/>
      </w:numPr>
      <w:tabs>
        <w:tab w:val="clear" w:pos="2302"/>
      </w:tabs>
    </w:pPr>
  </w:style>
  <w:style w:type="paragraph" w:customStyle="1" w:styleId="ListNumber4Level4">
    <w:name w:val="List Number 4 (Level 4)"/>
    <w:basedOn w:val="Text4"/>
    <w:pPr>
      <w:numPr>
        <w:ilvl w:val="3"/>
        <w:numId w:val="171"/>
      </w:numPr>
      <w:tabs>
        <w:tab w:val="clear" w:pos="2302"/>
      </w:tabs>
    </w:pPr>
  </w:style>
  <w:style w:type="paragraph" w:customStyle="1" w:styleId="Contact">
    <w:name w:val="Contact"/>
    <w:basedOn w:val="Normal"/>
    <w:next w:val="Normal"/>
    <w:link w:val="ContactChar"/>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72"/>
      </w:numPr>
      <w:spacing w:line="360" w:lineRule="auto"/>
      <w:jc w:val="left"/>
    </w:pPr>
    <w:rPr>
      <w:rFonts w:eastAsiaTheme="minorHAnsi"/>
      <w:szCs w:val="22"/>
    </w:rPr>
  </w:style>
  <w:style w:type="paragraph" w:customStyle="1" w:styleId="LegalNumPar2">
    <w:name w:val="LegalNumPar2"/>
    <w:basedOn w:val="Normal"/>
    <w:pPr>
      <w:numPr>
        <w:ilvl w:val="1"/>
        <w:numId w:val="172"/>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72"/>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table" w:customStyle="1" w:styleId="TableGrid5">
    <w:name w:val="Table Grid5"/>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estionparent2">
    <w:name w:val="questionparent2"/>
    <w:basedOn w:val="DefaultParagraphFont"/>
    <w:rPr>
      <w:i/>
      <w:iCs/>
      <w:vanish w:val="0"/>
      <w:webHidden w:val="0"/>
      <w:sz w:val="21"/>
      <w:szCs w:val="21"/>
      <w:specVanish w:val="0"/>
    </w:rPr>
  </w:style>
  <w:style w:type="paragraph" w:customStyle="1" w:styleId="Source">
    <w:name w:val="Source"/>
    <w:basedOn w:val="Normal"/>
    <w:next w:val="Normal"/>
    <w:link w:val="SourceChar"/>
    <w:autoRedefine/>
    <w:qFormat/>
    <w:pPr>
      <w:ind w:left="1276"/>
      <w:jc w:val="left"/>
    </w:pPr>
    <w:rPr>
      <w:rFonts w:ascii="Arial" w:hAnsi="Arial"/>
      <w:i/>
      <w:color w:val="808080"/>
      <w:sz w:val="16"/>
      <w:szCs w:val="24"/>
      <w:lang w:val="en-US" w:eastAsia="x-none"/>
    </w:rPr>
  </w:style>
  <w:style w:type="character" w:customStyle="1" w:styleId="SourceChar">
    <w:name w:val="Source Char"/>
    <w:link w:val="Source"/>
    <w:rPr>
      <w:rFonts w:ascii="Arial" w:eastAsia="Times New Roman" w:hAnsi="Arial" w:cs="Times New Roman"/>
      <w:i/>
      <w:color w:val="808080"/>
      <w:sz w:val="16"/>
      <w:szCs w:val="24"/>
      <w:lang w:val="en-US" w:eastAsia="x-none"/>
    </w:rPr>
  </w:style>
  <w:style w:type="table" w:styleId="ColorfulList">
    <w:name w:val="Colorful List"/>
    <w:basedOn w:val="TableNormal"/>
    <w:uiPriority w:val="72"/>
    <w:pPr>
      <w:spacing w:after="0" w:line="240" w:lineRule="auto"/>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at2">
    <w:name w:val="a__t2"/>
    <w:basedOn w:val="DefaultParagraphFont"/>
  </w:style>
  <w:style w:type="character" w:styleId="HTMLCite">
    <w:name w:val="HTML Cite"/>
    <w:basedOn w:val="DefaultParagraphFont"/>
    <w:uiPriority w:val="99"/>
    <w:semiHidden/>
    <w:unhideWhenUsed/>
    <w:rPr>
      <w:i/>
      <w:iCs/>
    </w:rPr>
  </w:style>
  <w:style w:type="character" w:styleId="IntenseEmphasis">
    <w:name w:val="Intense Emphasis"/>
    <w:basedOn w:val="DefaultParagraphFont"/>
    <w:uiPriority w:val="21"/>
    <w:qFormat/>
    <w:rPr>
      <w:b/>
      <w:bCs/>
      <w:i/>
      <w:iCs/>
      <w:color w:val="4F81BD" w:themeColor="accent1"/>
    </w:rPr>
  </w:style>
  <w:style w:type="table" w:customStyle="1" w:styleId="MediumGrid3-Accent51">
    <w:name w:val="Medium Grid 3 - Accent 51"/>
    <w:basedOn w:val="TableNormal"/>
    <w:next w:val="MediumGrid3-Accent5"/>
    <w:uiPriority w:val="69"/>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11">
    <w:name w:val="Table Grid1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pPr>
      <w:spacing w:after="0" w:line="240" w:lineRule="auto"/>
    </w:pPr>
    <w:rPr>
      <w:rFonts w:ascii="Calibri" w:eastAsia="Calibri" w:hAnsi="Calibri" w:cs="Times New Roman"/>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af">
    <w:name w:val="leaf"/>
    <w:basedOn w:val="DefaultParagraphFont"/>
  </w:style>
  <w:style w:type="table" w:styleId="MediumGrid3-Accent1">
    <w:name w:val="Medium Grid 3 Accent 1"/>
    <w:basedOn w:val="TableNormal"/>
    <w:uiPriority w:val="69"/>
    <w:pPr>
      <w:spacing w:after="0" w:line="240" w:lineRule="auto"/>
    </w:pPr>
    <w:rPr>
      <w:lang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2-Accent11">
    <w:name w:val="Medium Shading 2 - Accent 11"/>
    <w:basedOn w:val="TableNormal"/>
    <w:next w:val="MediumShading2-Accent1"/>
    <w:uiPriority w:val="64"/>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rivers">
    <w:name w:val="Drivers"/>
    <w:basedOn w:val="Heading2"/>
    <w:link w:val="DriversChar"/>
    <w:qFormat/>
    <w:pPr>
      <w:numPr>
        <w:ilvl w:val="0"/>
        <w:numId w:val="315"/>
      </w:numPr>
      <w:ind w:left="993" w:hanging="633"/>
    </w:pPr>
    <w:rPr>
      <w:szCs w:val="24"/>
      <w:lang w:eastAsia="en-GB"/>
    </w:rPr>
  </w:style>
  <w:style w:type="character" w:customStyle="1" w:styleId="DriversChar">
    <w:name w:val="Drivers Char"/>
    <w:basedOn w:val="Heading2Char"/>
    <w:link w:val="Drivers"/>
    <w:rPr>
      <w:rFonts w:ascii="Times New Roman" w:hAnsi="Times New Roman" w:cs="Times New Roman"/>
      <w:b/>
      <w:sz w:val="24"/>
      <w:szCs w:val="24"/>
      <w:lang w:val="en" w:eastAsia="en-GB"/>
    </w:rPr>
  </w:style>
  <w:style w:type="paragraph" w:customStyle="1" w:styleId="Problems">
    <w:name w:val="Problems"/>
    <w:basedOn w:val="Heading3"/>
    <w:link w:val="ProblemsChar"/>
    <w:qFormat/>
    <w:pPr>
      <w:numPr>
        <w:numId w:val="330"/>
      </w:numPr>
    </w:pPr>
    <w:rPr>
      <w:b w:val="0"/>
    </w:rPr>
  </w:style>
  <w:style w:type="paragraph" w:customStyle="1" w:styleId="UTP">
    <w:name w:val="UTP"/>
    <w:basedOn w:val="Problems"/>
    <w:link w:val="UTPChar"/>
    <w:qFormat/>
    <w:pPr>
      <w:numPr>
        <w:numId w:val="326"/>
      </w:numPr>
      <w:tabs>
        <w:tab w:val="left" w:pos="851"/>
      </w:tabs>
    </w:pPr>
  </w:style>
  <w:style w:type="character" w:customStyle="1" w:styleId="ProblemsChar">
    <w:name w:val="Problems Char"/>
    <w:basedOn w:val="Heading3Char"/>
    <w:link w:val="Problems"/>
    <w:rPr>
      <w:rFonts w:ascii="Times New Roman" w:hAnsi="Times New Roman" w:cs="Times New Roman"/>
      <w:b w:val="0"/>
      <w:sz w:val="24"/>
      <w:szCs w:val="24"/>
      <w:lang w:eastAsia="en-GB"/>
    </w:rPr>
  </w:style>
  <w:style w:type="paragraph" w:customStyle="1" w:styleId="ProblemsLevel2">
    <w:name w:val="Problems Level2"/>
    <w:basedOn w:val="ListParagraph"/>
    <w:link w:val="ProblemsLevel2Char"/>
    <w:qFormat/>
    <w:pPr>
      <w:numPr>
        <w:numId w:val="334"/>
      </w:numPr>
    </w:pPr>
    <w:rPr>
      <w:b/>
    </w:rPr>
  </w:style>
  <w:style w:type="character" w:customStyle="1" w:styleId="UTPChar">
    <w:name w:val="UTP Char"/>
    <w:basedOn w:val="ProblemsChar"/>
    <w:link w:val="UTP"/>
    <w:rPr>
      <w:rFonts w:ascii="Times New Roman" w:hAnsi="Times New Roman" w:cs="Times New Roman"/>
      <w:b w:val="0"/>
      <w:sz w:val="24"/>
      <w:szCs w:val="24"/>
      <w:lang w:eastAsia="en-GB"/>
    </w:rPr>
  </w:style>
  <w:style w:type="paragraph" w:customStyle="1" w:styleId="Problemslevel22">
    <w:name w:val="Problems level 2 2"/>
    <w:basedOn w:val="Text2"/>
    <w:link w:val="Problemslevel22Char"/>
    <w:qFormat/>
    <w:pPr>
      <w:numPr>
        <w:numId w:val="335"/>
      </w:numPr>
      <w:tabs>
        <w:tab w:val="clear" w:pos="2302"/>
        <w:tab w:val="left" w:pos="851"/>
      </w:tabs>
    </w:pPr>
    <w:rPr>
      <w:b/>
    </w:rPr>
  </w:style>
  <w:style w:type="character" w:customStyle="1" w:styleId="ProblemsLevel2Char">
    <w:name w:val="Problems Level2 Char"/>
    <w:basedOn w:val="ListParagraphChar"/>
    <w:link w:val="ProblemsLevel2"/>
    <w:rPr>
      <w:rFonts w:ascii="Times New Roman" w:eastAsia="Times New Roman" w:hAnsi="Times New Roman" w:cs="Times New Roman"/>
      <w:b/>
      <w:sz w:val="24"/>
      <w:szCs w:val="20"/>
    </w:rPr>
  </w:style>
  <w:style w:type="character" w:customStyle="1" w:styleId="Problemslevel22Char">
    <w:name w:val="Problems level 2 2 Char"/>
    <w:basedOn w:val="Text2Char"/>
    <w:link w:val="Problemslevel22"/>
    <w:rPr>
      <w:rFonts w:ascii="Times New Roman" w:eastAsia="Times New Roman" w:hAnsi="Times New Roman" w:cs="Times New Roman"/>
      <w:b/>
      <w:sz w:val="24"/>
      <w:szCs w:val="20"/>
      <w:lang w:eastAsia="en-GB"/>
    </w:rPr>
  </w:style>
  <w:style w:type="character" w:customStyle="1" w:styleId="rightside">
    <w:name w:val="right_sid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ontactChar">
    <w:name w:val="Contact Char"/>
    <w:basedOn w:val="DefaultParagraphFont"/>
    <w:link w:val="Contact"/>
    <w:uiPriority w:val="99"/>
    <w:rPr>
      <w:rFonts w:ascii="Times New Roman" w:eastAsia="Times New Roman" w:hAnsi="Times New Roman" w:cs="Times New Roman"/>
      <w:sz w:val="24"/>
      <w:szCs w:val="20"/>
    </w:rPr>
  </w:style>
  <w:style w:type="character" w:customStyle="1" w:styleId="FooterCoverPageChar">
    <w:name w:val="Footer Cover Page Char"/>
    <w:basedOn w:val="Contact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ontactChar"/>
    <w:link w:val="HeaderCoverPage"/>
    <w:rPr>
      <w:rFonts w:ascii="Times New Roman" w:eastAsia="Times New Roman" w:hAnsi="Times New Roman" w:cs="Times New Roman"/>
      <w:sz w:val="24"/>
      <w:szCs w:val="20"/>
    </w:rPr>
  </w:style>
  <w:style w:type="character" w:customStyle="1" w:styleId="Headerorfooter">
    <w:name w:val="Header or footer_"/>
    <w:basedOn w:val="DefaultParagraphFont"/>
    <w:link w:val="Headerorfooter0"/>
    <w:rPr>
      <w:b/>
      <w:bCs/>
      <w:shd w:val="clear" w:color="auto" w:fill="FFFFFF"/>
    </w:rPr>
  </w:style>
  <w:style w:type="character" w:customStyle="1" w:styleId="HeaderorfooterArial">
    <w:name w:val="Header or footer + Arial"/>
    <w:aliases w:val="7.5 pt,Not Bold"/>
    <w:basedOn w:val="Headerorfooter"/>
    <w:rPr>
      <w:rFonts w:ascii="Arial" w:eastAsia="Arial" w:hAnsi="Arial" w:cs="Arial"/>
      <w:b/>
      <w:bCs/>
      <w:color w:val="000000"/>
      <w:spacing w:val="0"/>
      <w:w w:val="100"/>
      <w:position w:val="0"/>
      <w:sz w:val="15"/>
      <w:szCs w:val="15"/>
      <w:shd w:val="clear" w:color="auto" w:fill="FFFFFF"/>
      <w:lang w:val="en-US" w:eastAsia="en-US" w:bidi="en-US"/>
    </w:rPr>
  </w:style>
  <w:style w:type="character" w:customStyle="1" w:styleId="Bodytext5">
    <w:name w:val="Body text (5)_"/>
    <w:basedOn w:val="DefaultParagraphFont"/>
    <w:link w:val="Bodytext50"/>
    <w:rPr>
      <w:b/>
      <w:bCs/>
      <w:i/>
      <w:iCs/>
      <w:shd w:val="clear" w:color="auto" w:fill="FFFFFF"/>
    </w:rPr>
  </w:style>
  <w:style w:type="paragraph" w:customStyle="1" w:styleId="Headerorfooter0">
    <w:name w:val="Header or footer"/>
    <w:basedOn w:val="Normal"/>
    <w:link w:val="Headerorfooter"/>
    <w:pPr>
      <w:widowControl w:val="0"/>
      <w:shd w:val="clear" w:color="auto" w:fill="FFFFFF"/>
      <w:spacing w:after="0" w:line="244" w:lineRule="exact"/>
      <w:jc w:val="left"/>
    </w:pPr>
    <w:rPr>
      <w:rFonts w:asciiTheme="minorHAnsi" w:eastAsiaTheme="minorHAnsi" w:hAnsiTheme="minorHAnsi" w:cstheme="minorBidi"/>
      <w:b/>
      <w:bCs/>
      <w:sz w:val="22"/>
      <w:szCs w:val="22"/>
    </w:rPr>
  </w:style>
  <w:style w:type="paragraph" w:customStyle="1" w:styleId="Bodytext50">
    <w:name w:val="Body text (5)"/>
    <w:basedOn w:val="Normal"/>
    <w:link w:val="Bodytext5"/>
    <w:pPr>
      <w:widowControl w:val="0"/>
      <w:shd w:val="clear" w:color="auto" w:fill="FFFFFF"/>
      <w:spacing w:before="360" w:after="140" w:line="244" w:lineRule="exact"/>
      <w:ind w:hanging="260"/>
    </w:pPr>
    <w:rPr>
      <w:rFonts w:asciiTheme="minorHAnsi" w:eastAsiaTheme="minorHAnsi" w:hAnsiTheme="minorHAnsi" w:cstheme="minorBidi"/>
      <w:b/>
      <w:bCs/>
      <w:i/>
      <w:iCs/>
      <w:sz w:val="22"/>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UPERSChar">
    <w:name w:val="SUPERS Char"/>
    <w:aliases w:val="EN Footnote Reference Char"/>
    <w:basedOn w:val="Normal"/>
    <w:uiPriority w:val="99"/>
    <w:pPr>
      <w:widowControl w:val="0"/>
      <w:adjustRightInd w:val="0"/>
      <w:spacing w:after="160" w:line="240" w:lineRule="exact"/>
    </w:pPr>
    <w:rPr>
      <w:rFonts w:asciiTheme="minorHAnsi" w:eastAsiaTheme="minorHAnsi" w:hAnsiTheme="minorHAnsi" w:cstheme="minorBidi"/>
      <w:sz w:val="22"/>
      <w:szCs w:val="22"/>
      <w:vertAlign w:val="superscript"/>
    </w:rPr>
  </w:style>
  <w:style w:type="character" w:styleId="EndnoteReference">
    <w:name w:val="endnote reference"/>
    <w:basedOn w:val="DefaultParagraphFont"/>
    <w:uiPriority w:val="99"/>
    <w:semiHidden/>
    <w:unhideWhenUsed/>
    <w:rPr>
      <w:vertAlign w:val="superscript"/>
    </w:rPr>
  </w:style>
  <w:style w:type="table" w:customStyle="1" w:styleId="LightList-Accent11">
    <w:name w:val="Light List - Accent 11"/>
    <w:basedOn w:val="TableNormal"/>
    <w:next w:val="LightList-Accent1"/>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31">
    <w:name w:val="Table Grid3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spacing w:before="240"/>
      <w:outlineLvl w:val="0"/>
    </w:pPr>
    <w:rPr>
      <w:b/>
      <w:smallCaps/>
      <w:lang w:eastAsia="en-GB"/>
    </w:rPr>
  </w:style>
  <w:style w:type="paragraph" w:styleId="Heading2">
    <w:name w:val="heading 2"/>
    <w:basedOn w:val="Normal"/>
    <w:next w:val="Text2"/>
    <w:link w:val="Heading2Char"/>
    <w:qFormat/>
    <w:pPr>
      <w:keepNext/>
      <w:numPr>
        <w:ilvl w:val="1"/>
        <w:numId w:val="12"/>
      </w:numPr>
      <w:tabs>
        <w:tab w:val="left" w:pos="1200"/>
      </w:tabs>
      <w:ind w:left="1200" w:hanging="1200"/>
      <w:outlineLvl w:val="1"/>
    </w:pPr>
    <w:rPr>
      <w:rFonts w:eastAsiaTheme="minorHAnsi"/>
      <w:b/>
      <w:lang w:val="en"/>
    </w:rPr>
  </w:style>
  <w:style w:type="paragraph" w:styleId="Heading3">
    <w:name w:val="heading 3"/>
    <w:basedOn w:val="Normal"/>
    <w:next w:val="Text3"/>
    <w:link w:val="Heading3Char"/>
    <w:qFormat/>
    <w:pPr>
      <w:keepNext/>
      <w:numPr>
        <w:ilvl w:val="2"/>
        <w:numId w:val="12"/>
      </w:numPr>
      <w:tabs>
        <w:tab w:val="left" w:pos="1418"/>
      </w:tabs>
      <w:ind w:left="1418" w:hanging="851"/>
      <w:outlineLvl w:val="2"/>
    </w:pPr>
    <w:rPr>
      <w:rFonts w:eastAsiaTheme="minorHAnsi"/>
      <w:b/>
      <w:szCs w:val="24"/>
      <w:lang w:eastAsia="en-GB"/>
    </w:rPr>
  </w:style>
  <w:style w:type="paragraph" w:styleId="Heading4">
    <w:name w:val="heading 4"/>
    <w:basedOn w:val="Normal"/>
    <w:next w:val="Normal"/>
    <w:link w:val="Heading4Char"/>
    <w:qFormat/>
    <w:pPr>
      <w:keepNext/>
      <w:outlineLvl w:val="3"/>
    </w:p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hAnsi="Times New Roman" w:cs="Times New Roman"/>
      <w:b/>
      <w:sz w:val="24"/>
      <w:szCs w:val="20"/>
      <w:lang w:val="en"/>
    </w:rPr>
  </w:style>
  <w:style w:type="character" w:customStyle="1" w:styleId="Heading3Char">
    <w:name w:val="Heading 3 Char"/>
    <w:basedOn w:val="DefaultParagraphFont"/>
    <w:link w:val="Heading3"/>
    <w:rPr>
      <w:rFonts w:ascii="Times New Roman" w:hAnsi="Times New Roman" w:cs="Times New Roman"/>
      <w:b/>
      <w:sz w:val="24"/>
      <w:szCs w:val="24"/>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2">
    <w:name w:val="Text 2"/>
    <w:basedOn w:val="Normal"/>
    <w:link w:val="Text2Char"/>
    <w:pPr>
      <w:tabs>
        <w:tab w:val="left" w:pos="2302"/>
      </w:tabs>
      <w:ind w:left="482"/>
    </w:pPr>
    <w:rPr>
      <w:lang w:eastAsia="en-GB"/>
    </w:rPr>
  </w:style>
  <w:style w:type="paragraph" w:customStyle="1" w:styleId="Text3">
    <w:name w:val="Text 3"/>
    <w:basedOn w:val="Normal"/>
    <w:pPr>
      <w:tabs>
        <w:tab w:val="left" w:pos="2302"/>
      </w:tabs>
      <w:ind w:left="1202"/>
    </w:p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aliases w:val="Note de bas de page Car,Footnote Text Char Char Char,Footnote Text Char Char Char Char Char Char Char,Footnote Text Char Char Char Char Char Char Char Char Char,Footnote Text Char Char Char Char Char,Footnote Text2 Char Char,Car Car,fn"/>
    <w:basedOn w:val="Normal"/>
    <w:link w:val="FootnoteTextChar"/>
    <w:uiPriority w:val="99"/>
    <w:qFormat/>
    <w:pPr>
      <w:ind w:left="357" w:hanging="357"/>
    </w:pPr>
    <w:rPr>
      <w:sz w:val="20"/>
    </w:rPr>
  </w:style>
  <w:style w:type="character" w:customStyle="1" w:styleId="FootnoteTextChar">
    <w:name w:val="Footnote Text Char"/>
    <w:aliases w:val="Note de bas de page Car Char,Footnote Text Char Char Char Char,Footnote Text Char Char Char Char Char Char Char Char,Footnote Text Char Char Char Char Char Char Char Char Char Char,Footnote Text Char Char Char Char Char Char,fn Char"/>
    <w:basedOn w:val="DefaultParagraphFont"/>
    <w:link w:val="FootnoteText"/>
    <w:uiPriority w:val="99"/>
    <w:qFormat/>
    <w:rPr>
      <w:rFonts w:ascii="Times New Roman" w:eastAsia="Times New Roman" w:hAnsi="Times New Roman" w:cs="Times New Roman"/>
      <w:sz w:val="20"/>
      <w:szCs w:val="20"/>
    </w:rPr>
  </w:style>
  <w:style w:type="paragraph" w:styleId="ListBullet5">
    <w:name w:val="List Bullet 5"/>
    <w:basedOn w:val="Normal"/>
    <w:autoRedefine/>
    <w:pPr>
      <w:numPr>
        <w:numId w:val="6"/>
      </w:numPr>
    </w:p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BVI fnr, BVI fn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uggested-citation">
    <w:name w:val="suggested-citation"/>
    <w:basedOn w:val="Normal"/>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qFormat/>
    <w:pPr>
      <w:tabs>
        <w:tab w:val="left" w:pos="480"/>
        <w:tab w:val="right" w:leader="dot" w:pos="9062"/>
      </w:tabs>
      <w:spacing w:after="100"/>
      <w:jc w:val="center"/>
    </w:pPr>
  </w:style>
  <w:style w:type="paragraph" w:styleId="TOC2">
    <w:name w:val="toc 2"/>
    <w:basedOn w:val="Normal"/>
    <w:next w:val="Normal"/>
    <w:autoRedefine/>
    <w:uiPriority w:val="39"/>
    <w:unhideWhenUsed/>
    <w:qFormat/>
    <w:pPr>
      <w:tabs>
        <w:tab w:val="right" w:leader="dot" w:pos="9062"/>
      </w:tabs>
      <w:spacing w:after="100"/>
      <w:ind w:left="720" w:hanging="480"/>
      <w:jc w:val="left"/>
    </w:pPr>
  </w:style>
  <w:style w:type="paragraph" w:styleId="TOC3">
    <w:name w:val="toc 3"/>
    <w:basedOn w:val="Normal"/>
    <w:next w:val="Normal"/>
    <w:autoRedefine/>
    <w:uiPriority w:val="39"/>
    <w:unhideWhenUsed/>
    <w:qFormat/>
    <w:pPr>
      <w:tabs>
        <w:tab w:val="left" w:pos="1800"/>
        <w:tab w:val="right" w:leader="dot" w:pos="9062"/>
      </w:tabs>
      <w:spacing w:after="100"/>
      <w:ind w:left="1800" w:hanging="84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s1">
    <w:name w:val="s1"/>
    <w:basedOn w:val="DefaultParagraphFont"/>
    <w:rPr>
      <w:color w:val="E4AF0A"/>
      <w:u w:val="single"/>
      <w:rtl w:val="0"/>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Subtitle">
    <w:name w:val="Subtitle"/>
    <w:basedOn w:val="Normal"/>
    <w:next w:val="Normal"/>
    <w:link w:val="SubtitleChar"/>
    <w:qFormat/>
    <w:pPr>
      <w:numPr>
        <w:ilvl w:val="1"/>
      </w:numPr>
      <w:spacing w:after="200" w:line="276" w:lineRule="auto"/>
      <w:jc w:val="left"/>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p1">
    <w:name w:val="p1"/>
    <w:basedOn w:val="Normal"/>
    <w:pPr>
      <w:spacing w:after="0"/>
      <w:jc w:val="left"/>
    </w:pPr>
    <w:rPr>
      <w:rFonts w:ascii="Helvetica Neue" w:eastAsiaTheme="minorHAnsi" w:hAnsi="Helvetica Neue"/>
      <w:color w:val="454545"/>
      <w:sz w:val="18"/>
      <w:szCs w:val="18"/>
      <w:lang w:eastAsia="en-GB"/>
    </w:rPr>
  </w:style>
  <w:style w:type="paragraph" w:customStyle="1" w:styleId="p2">
    <w:name w:val="p2"/>
    <w:basedOn w:val="Normal"/>
    <w:pPr>
      <w:spacing w:after="0"/>
      <w:jc w:val="left"/>
    </w:pPr>
    <w:rPr>
      <w:rFonts w:ascii="Helvetica Neue" w:eastAsiaTheme="minorHAnsi" w:hAnsi="Helvetica Neue"/>
      <w:color w:val="454545"/>
      <w:sz w:val="18"/>
      <w:szCs w:val="18"/>
      <w:lang w:eastAsia="en-GB"/>
    </w:rPr>
  </w:style>
  <w:style w:type="paragraph" w:customStyle="1" w:styleId="ListBullet1">
    <w:name w:val="List Bullet 1"/>
    <w:basedOn w:val="Normal"/>
    <w:pPr>
      <w:numPr>
        <w:numId w:val="46"/>
      </w:numPr>
    </w:pPr>
  </w:style>
  <w:style w:type="character" w:styleId="Strong">
    <w:name w:val="Strong"/>
    <w:basedOn w:val="DefaultParagraphFont"/>
    <w:uiPriority w:val="22"/>
    <w:qFormat/>
    <w:rPr>
      <w:b/>
      <w:bCs/>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table" w:customStyle="1" w:styleId="TableGrid2">
    <w:name w:val="Table Grid2"/>
    <w:basedOn w:val="TableNormal"/>
    <w:next w:val="TableGrid"/>
    <w:uiPriority w:val="59"/>
    <w:pPr>
      <w:spacing w:after="0" w:line="240" w:lineRule="auto"/>
    </w:pPr>
    <w:rPr>
      <w:rFonts w:ascii="Calibri" w:eastAsia="Calibri" w:hAnsi="Calibri" w:cs="Times New Roman"/>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nhideWhenUsed/>
    <w:pPr>
      <w:numPr>
        <w:numId w:val="62"/>
      </w:numPr>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styleId="ListBullet3">
    <w:name w:val="List Bullet 3"/>
    <w:basedOn w:val="Text3"/>
    <w:pPr>
      <w:numPr>
        <w:numId w:val="76"/>
      </w:numPr>
      <w:tabs>
        <w:tab w:val="clear" w:pos="2302"/>
      </w:tabs>
    </w:pPr>
  </w:style>
  <w:style w:type="character" w:customStyle="1" w:styleId="Text2Char">
    <w:name w:val="Text 2 Char"/>
    <w:basedOn w:val="DefaultParagraphFont"/>
    <w:link w:val="Text2"/>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0"/>
    </w:rPr>
  </w:style>
  <w:style w:type="paragraph" w:customStyle="1" w:styleId="Text1">
    <w:name w:val="Text 1"/>
    <w:basedOn w:val="Normal"/>
    <w:link w:val="Text1Char"/>
    <w:pPr>
      <w:ind w:left="482"/>
    </w:pPr>
  </w:style>
  <w:style w:type="character" w:customStyle="1" w:styleId="Text1Char">
    <w:name w:val="Text 1 Char"/>
    <w:link w:val="Text1"/>
    <w:rPr>
      <w:rFonts w:ascii="Times New Roman" w:eastAsia="Times New Roman" w:hAnsi="Times New Roman" w:cs="Times New Roman"/>
      <w:sz w:val="24"/>
      <w:szCs w:val="20"/>
    </w:rPr>
  </w:style>
  <w:style w:type="character" w:customStyle="1" w:styleId="CaptionChar">
    <w:name w:val="Caption Char"/>
    <w:link w:val="Caption"/>
    <w:locked/>
    <w:rPr>
      <w:rFonts w:ascii="Times New Roman" w:eastAsia="Times New Roman" w:hAnsi="Times New Roman" w:cs="Times New Roman"/>
      <w:b/>
      <w:bCs/>
      <w:color w:val="4F81BD" w:themeColor="accent1"/>
      <w:sz w:val="18"/>
      <w:szCs w:val="18"/>
    </w:rPr>
  </w:style>
  <w:style w:type="table" w:styleId="MediumGrid3-Accent5">
    <w:name w:val="Medium Grid 3 Accent 5"/>
    <w:basedOn w:val="TableNormal"/>
    <w:uiPriority w:val="69"/>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2-Accent1">
    <w:name w:val="Medium Shading 2 Accent 1"/>
    <w:basedOn w:val="TableNormal"/>
    <w:uiPriority w:val="64"/>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ext4">
    <w:name w:val="Text 4"/>
    <w:basedOn w:val="Normal"/>
    <w:pPr>
      <w:tabs>
        <w:tab w:val="left" w:pos="2302"/>
      </w:tabs>
      <w:ind w:left="1202"/>
    </w:pPr>
  </w:style>
  <w:style w:type="paragraph" w:styleId="PlainText">
    <w:name w:val="Plain Text"/>
    <w:basedOn w:val="Normal"/>
    <w:link w:val="PlainTextChar"/>
    <w:uiPriority w:val="99"/>
    <w:unhideWhenUsed/>
    <w:pPr>
      <w:spacing w:after="0"/>
      <w:jc w:val="left"/>
    </w:pPr>
    <w:rPr>
      <w:rFonts w:ascii="Calibri" w:eastAsiaTheme="minorHAnsi" w:hAnsi="Calibri" w:cs="Consolas"/>
      <w:sz w:val="22"/>
      <w:szCs w:val="21"/>
      <w:lang w:val="fr-CH"/>
    </w:rPr>
  </w:style>
  <w:style w:type="character" w:customStyle="1" w:styleId="PlainTextChar">
    <w:name w:val="Plain Text Char"/>
    <w:basedOn w:val="DefaultParagraphFont"/>
    <w:link w:val="PlainText"/>
    <w:uiPriority w:val="99"/>
    <w:rPr>
      <w:rFonts w:ascii="Calibri" w:hAnsi="Calibri" w:cs="Consolas"/>
      <w:szCs w:val="21"/>
      <w:lang w:val="fr-CH"/>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Text2"/>
    <w:pPr>
      <w:numPr>
        <w:numId w:val="160"/>
      </w:numPr>
      <w:tabs>
        <w:tab w:val="clear" w:pos="2302"/>
      </w:tabs>
    </w:pPr>
  </w:style>
  <w:style w:type="paragraph" w:styleId="ListBullet4">
    <w:name w:val="List Bullet 4"/>
    <w:basedOn w:val="Text4"/>
    <w:pPr>
      <w:numPr>
        <w:numId w:val="161"/>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67"/>
      </w:numPr>
    </w:pPr>
  </w:style>
  <w:style w:type="paragraph" w:styleId="ListNumber2">
    <w:name w:val="List Number 2"/>
    <w:basedOn w:val="Text2"/>
    <w:pPr>
      <w:numPr>
        <w:numId w:val="169"/>
      </w:numPr>
      <w:tabs>
        <w:tab w:val="clear" w:pos="2302"/>
      </w:tabs>
    </w:pPr>
  </w:style>
  <w:style w:type="paragraph" w:styleId="ListNumber3">
    <w:name w:val="List Number 3"/>
    <w:basedOn w:val="Text3"/>
    <w:pPr>
      <w:numPr>
        <w:numId w:val="170"/>
      </w:numPr>
      <w:tabs>
        <w:tab w:val="clear" w:pos="2302"/>
      </w:tabs>
    </w:pPr>
  </w:style>
  <w:style w:type="paragraph" w:styleId="ListNumber4">
    <w:name w:val="List Number 4"/>
    <w:basedOn w:val="Text4"/>
    <w:pPr>
      <w:numPr>
        <w:numId w:val="171"/>
      </w:numPr>
      <w:tabs>
        <w:tab w:val="clear" w:pos="2302"/>
      </w:tabs>
    </w:pPr>
  </w:style>
  <w:style w:type="paragraph" w:styleId="ListNumber5">
    <w:name w:val="List Number 5"/>
    <w:basedOn w:val="Normal"/>
    <w:pPr>
      <w:numPr>
        <w:numId w:val="15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32" w:hanging="432"/>
      <w:outlineLvl w:val="9"/>
    </w:pPr>
    <w:rPr>
      <w:rFonts w:eastAsiaTheme="minorHAnsi"/>
      <w:b w:val="0"/>
      <w:smallCaps w:val="0"/>
      <w:lang w:eastAsia="en-US"/>
    </w:rPr>
  </w:style>
  <w:style w:type="paragraph" w:customStyle="1" w:styleId="NumPar2">
    <w:name w:val="NumPar 2"/>
    <w:basedOn w:val="Heading2"/>
    <w:next w:val="Text2"/>
    <w:pPr>
      <w:keepNext w:val="0"/>
      <w:numPr>
        <w:numId w:val="0"/>
      </w:numPr>
      <w:ind w:left="576" w:hanging="576"/>
      <w:outlineLvl w:val="9"/>
    </w:pPr>
    <w:rPr>
      <w:b w:val="0"/>
      <w:szCs w:val="24"/>
      <w:lang w:val="en-GB" w:eastAsia="en-GB"/>
    </w:rPr>
  </w:style>
  <w:style w:type="paragraph" w:customStyle="1" w:styleId="NumPar3">
    <w:name w:val="NumPar 3"/>
    <w:basedOn w:val="Heading3"/>
    <w:next w:val="Text3"/>
    <w:pPr>
      <w:keepNext w:val="0"/>
      <w:numPr>
        <w:numId w:val="0"/>
      </w:numPr>
      <w:ind w:left="720" w:hanging="720"/>
      <w:outlineLvl w:val="9"/>
    </w:pPr>
    <w:rPr>
      <w:b w:val="0"/>
      <w:i/>
    </w:rPr>
  </w:style>
  <w:style w:type="paragraph" w:customStyle="1" w:styleId="NumPar4">
    <w:name w:val="NumPar 4"/>
    <w:basedOn w:val="Heading4"/>
    <w:next w:val="Text4"/>
    <w:pPr>
      <w:keepNext w:val="0"/>
      <w:numPr>
        <w:ilvl w:val="3"/>
      </w:numPr>
      <w:ind w:left="864" w:hanging="864"/>
      <w:outlineLvl w:val="9"/>
    </w:pPr>
    <w:rPr>
      <w:b/>
      <w:i/>
    </w:rPr>
  </w:style>
  <w:style w:type="paragraph" w:customStyle="1" w:styleId="PartTitle">
    <w:name w:val="PartTitle"/>
    <w:basedOn w:val="Normal"/>
    <w:next w:val="ChapterTitle"/>
    <w:pPr>
      <w:keepNext/>
      <w:pageBreakBefore/>
      <w:spacing w:after="480"/>
      <w:jc w:val="center"/>
    </w:pPr>
    <w:rPr>
      <w:b/>
      <w:sz w:val="36"/>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Dash">
    <w:name w:val="List Dash"/>
    <w:basedOn w:val="Normal"/>
    <w:pPr>
      <w:numPr>
        <w:numId w:val="162"/>
      </w:numPr>
    </w:pPr>
  </w:style>
  <w:style w:type="paragraph" w:customStyle="1" w:styleId="ListDash1">
    <w:name w:val="List Dash 1"/>
    <w:basedOn w:val="Text1"/>
    <w:pPr>
      <w:numPr>
        <w:numId w:val="163"/>
      </w:numPr>
    </w:pPr>
  </w:style>
  <w:style w:type="paragraph" w:customStyle="1" w:styleId="ListDash2">
    <w:name w:val="List Dash 2"/>
    <w:basedOn w:val="Text2"/>
    <w:pPr>
      <w:numPr>
        <w:numId w:val="164"/>
      </w:numPr>
      <w:tabs>
        <w:tab w:val="clear" w:pos="2302"/>
      </w:tabs>
    </w:pPr>
  </w:style>
  <w:style w:type="paragraph" w:customStyle="1" w:styleId="ListDash3">
    <w:name w:val="List Dash 3"/>
    <w:basedOn w:val="Text3"/>
    <w:pPr>
      <w:numPr>
        <w:numId w:val="165"/>
      </w:numPr>
      <w:tabs>
        <w:tab w:val="clear" w:pos="2302"/>
      </w:tabs>
    </w:pPr>
  </w:style>
  <w:style w:type="paragraph" w:customStyle="1" w:styleId="ListDash4">
    <w:name w:val="List Dash 4"/>
    <w:basedOn w:val="Text4"/>
    <w:pPr>
      <w:numPr>
        <w:numId w:val="166"/>
      </w:numPr>
      <w:tabs>
        <w:tab w:val="clear" w:pos="2302"/>
      </w:tabs>
    </w:pPr>
  </w:style>
  <w:style w:type="paragraph" w:customStyle="1" w:styleId="ListNumberLevel2">
    <w:name w:val="List Number (Level 2)"/>
    <w:basedOn w:val="Normal"/>
    <w:pPr>
      <w:numPr>
        <w:ilvl w:val="1"/>
        <w:numId w:val="167"/>
      </w:numPr>
    </w:pPr>
  </w:style>
  <w:style w:type="paragraph" w:customStyle="1" w:styleId="ListNumberLevel3">
    <w:name w:val="List Number (Level 3)"/>
    <w:basedOn w:val="Normal"/>
    <w:pPr>
      <w:numPr>
        <w:ilvl w:val="2"/>
        <w:numId w:val="167"/>
      </w:numPr>
    </w:pPr>
  </w:style>
  <w:style w:type="paragraph" w:customStyle="1" w:styleId="ListNumberLevel4">
    <w:name w:val="List Number (Level 4)"/>
    <w:basedOn w:val="Normal"/>
    <w:pPr>
      <w:numPr>
        <w:ilvl w:val="3"/>
        <w:numId w:val="167"/>
      </w:numPr>
    </w:pPr>
  </w:style>
  <w:style w:type="paragraph" w:customStyle="1" w:styleId="ListNumber1">
    <w:name w:val="List Number 1"/>
    <w:basedOn w:val="Text1"/>
    <w:pPr>
      <w:numPr>
        <w:numId w:val="168"/>
      </w:numPr>
    </w:pPr>
  </w:style>
  <w:style w:type="paragraph" w:customStyle="1" w:styleId="ListNumber1Level2">
    <w:name w:val="List Number 1 (Level 2)"/>
    <w:basedOn w:val="Text1"/>
    <w:pPr>
      <w:numPr>
        <w:ilvl w:val="1"/>
        <w:numId w:val="168"/>
      </w:numPr>
    </w:pPr>
  </w:style>
  <w:style w:type="paragraph" w:customStyle="1" w:styleId="ListNumber1Level3">
    <w:name w:val="List Number 1 (Level 3)"/>
    <w:basedOn w:val="Text1"/>
    <w:pPr>
      <w:numPr>
        <w:ilvl w:val="2"/>
        <w:numId w:val="168"/>
      </w:numPr>
    </w:pPr>
  </w:style>
  <w:style w:type="paragraph" w:customStyle="1" w:styleId="ListNumber1Level4">
    <w:name w:val="List Number 1 (Level 4)"/>
    <w:basedOn w:val="Text1"/>
    <w:pPr>
      <w:numPr>
        <w:ilvl w:val="3"/>
        <w:numId w:val="168"/>
      </w:numPr>
    </w:pPr>
  </w:style>
  <w:style w:type="paragraph" w:customStyle="1" w:styleId="ListNumber2Level2">
    <w:name w:val="List Number 2 (Level 2)"/>
    <w:basedOn w:val="Text2"/>
    <w:pPr>
      <w:numPr>
        <w:ilvl w:val="1"/>
        <w:numId w:val="169"/>
      </w:numPr>
      <w:tabs>
        <w:tab w:val="clear" w:pos="2302"/>
      </w:tabs>
    </w:pPr>
  </w:style>
  <w:style w:type="paragraph" w:customStyle="1" w:styleId="ListNumber2Level3">
    <w:name w:val="List Number 2 (Level 3)"/>
    <w:basedOn w:val="Text2"/>
    <w:pPr>
      <w:numPr>
        <w:ilvl w:val="2"/>
        <w:numId w:val="169"/>
      </w:numPr>
      <w:tabs>
        <w:tab w:val="clear" w:pos="2302"/>
      </w:tabs>
    </w:pPr>
  </w:style>
  <w:style w:type="paragraph" w:customStyle="1" w:styleId="ListNumber2Level4">
    <w:name w:val="List Number 2 (Level 4)"/>
    <w:basedOn w:val="Text2"/>
    <w:pPr>
      <w:numPr>
        <w:ilvl w:val="3"/>
        <w:numId w:val="169"/>
      </w:numPr>
      <w:tabs>
        <w:tab w:val="clear" w:pos="2302"/>
      </w:tabs>
    </w:pPr>
  </w:style>
  <w:style w:type="paragraph" w:customStyle="1" w:styleId="ListNumber3Level2">
    <w:name w:val="List Number 3 (Level 2)"/>
    <w:basedOn w:val="Text3"/>
    <w:pPr>
      <w:numPr>
        <w:ilvl w:val="1"/>
        <w:numId w:val="170"/>
      </w:numPr>
      <w:tabs>
        <w:tab w:val="clear" w:pos="2302"/>
      </w:tabs>
    </w:pPr>
  </w:style>
  <w:style w:type="paragraph" w:customStyle="1" w:styleId="ListNumber3Level3">
    <w:name w:val="List Number 3 (Level 3)"/>
    <w:basedOn w:val="Text3"/>
    <w:pPr>
      <w:numPr>
        <w:ilvl w:val="2"/>
        <w:numId w:val="170"/>
      </w:numPr>
      <w:tabs>
        <w:tab w:val="clear" w:pos="2302"/>
      </w:tabs>
    </w:pPr>
  </w:style>
  <w:style w:type="paragraph" w:customStyle="1" w:styleId="ListNumber3Level4">
    <w:name w:val="List Number 3 (Level 4)"/>
    <w:basedOn w:val="Text3"/>
    <w:pPr>
      <w:numPr>
        <w:ilvl w:val="3"/>
        <w:numId w:val="170"/>
      </w:numPr>
      <w:tabs>
        <w:tab w:val="clear" w:pos="2302"/>
      </w:tabs>
    </w:pPr>
  </w:style>
  <w:style w:type="paragraph" w:customStyle="1" w:styleId="ListNumber4Level2">
    <w:name w:val="List Number 4 (Level 2)"/>
    <w:basedOn w:val="Text4"/>
    <w:pPr>
      <w:numPr>
        <w:ilvl w:val="1"/>
        <w:numId w:val="171"/>
      </w:numPr>
      <w:tabs>
        <w:tab w:val="clear" w:pos="2302"/>
      </w:tabs>
    </w:pPr>
  </w:style>
  <w:style w:type="paragraph" w:customStyle="1" w:styleId="ListNumber4Level3">
    <w:name w:val="List Number 4 (Level 3)"/>
    <w:basedOn w:val="Text4"/>
    <w:pPr>
      <w:numPr>
        <w:ilvl w:val="2"/>
        <w:numId w:val="171"/>
      </w:numPr>
      <w:tabs>
        <w:tab w:val="clear" w:pos="2302"/>
      </w:tabs>
    </w:pPr>
  </w:style>
  <w:style w:type="paragraph" w:customStyle="1" w:styleId="ListNumber4Level4">
    <w:name w:val="List Number 4 (Level 4)"/>
    <w:basedOn w:val="Text4"/>
    <w:pPr>
      <w:numPr>
        <w:ilvl w:val="3"/>
        <w:numId w:val="171"/>
      </w:numPr>
      <w:tabs>
        <w:tab w:val="clear" w:pos="2302"/>
      </w:tabs>
    </w:pPr>
  </w:style>
  <w:style w:type="paragraph" w:customStyle="1" w:styleId="Contact">
    <w:name w:val="Contact"/>
    <w:basedOn w:val="Normal"/>
    <w:next w:val="Normal"/>
    <w:link w:val="ContactChar"/>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72"/>
      </w:numPr>
      <w:spacing w:line="360" w:lineRule="auto"/>
      <w:jc w:val="left"/>
    </w:pPr>
    <w:rPr>
      <w:rFonts w:eastAsiaTheme="minorHAnsi"/>
      <w:szCs w:val="22"/>
    </w:rPr>
  </w:style>
  <w:style w:type="paragraph" w:customStyle="1" w:styleId="LegalNumPar2">
    <w:name w:val="LegalNumPar2"/>
    <w:basedOn w:val="Normal"/>
    <w:pPr>
      <w:numPr>
        <w:ilvl w:val="1"/>
        <w:numId w:val="172"/>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72"/>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table" w:customStyle="1" w:styleId="TableGrid5">
    <w:name w:val="Table Grid5"/>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estionparent2">
    <w:name w:val="questionparent2"/>
    <w:basedOn w:val="DefaultParagraphFont"/>
    <w:rPr>
      <w:i/>
      <w:iCs/>
      <w:vanish w:val="0"/>
      <w:webHidden w:val="0"/>
      <w:sz w:val="21"/>
      <w:szCs w:val="21"/>
      <w:specVanish w:val="0"/>
    </w:rPr>
  </w:style>
  <w:style w:type="paragraph" w:customStyle="1" w:styleId="Source">
    <w:name w:val="Source"/>
    <w:basedOn w:val="Normal"/>
    <w:next w:val="Normal"/>
    <w:link w:val="SourceChar"/>
    <w:autoRedefine/>
    <w:qFormat/>
    <w:pPr>
      <w:ind w:left="1276"/>
      <w:jc w:val="left"/>
    </w:pPr>
    <w:rPr>
      <w:rFonts w:ascii="Arial" w:hAnsi="Arial"/>
      <w:i/>
      <w:color w:val="808080"/>
      <w:sz w:val="16"/>
      <w:szCs w:val="24"/>
      <w:lang w:val="en-US" w:eastAsia="x-none"/>
    </w:rPr>
  </w:style>
  <w:style w:type="character" w:customStyle="1" w:styleId="SourceChar">
    <w:name w:val="Source Char"/>
    <w:link w:val="Source"/>
    <w:rPr>
      <w:rFonts w:ascii="Arial" w:eastAsia="Times New Roman" w:hAnsi="Arial" w:cs="Times New Roman"/>
      <w:i/>
      <w:color w:val="808080"/>
      <w:sz w:val="16"/>
      <w:szCs w:val="24"/>
      <w:lang w:val="en-US" w:eastAsia="x-none"/>
    </w:rPr>
  </w:style>
  <w:style w:type="table" w:styleId="ColorfulList">
    <w:name w:val="Colorful List"/>
    <w:basedOn w:val="TableNormal"/>
    <w:uiPriority w:val="72"/>
    <w:pPr>
      <w:spacing w:after="0" w:line="240" w:lineRule="auto"/>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at2">
    <w:name w:val="a__t2"/>
    <w:basedOn w:val="DefaultParagraphFont"/>
  </w:style>
  <w:style w:type="character" w:styleId="HTMLCite">
    <w:name w:val="HTML Cite"/>
    <w:basedOn w:val="DefaultParagraphFont"/>
    <w:uiPriority w:val="99"/>
    <w:semiHidden/>
    <w:unhideWhenUsed/>
    <w:rPr>
      <w:i/>
      <w:iCs/>
    </w:rPr>
  </w:style>
  <w:style w:type="character" w:styleId="IntenseEmphasis">
    <w:name w:val="Intense Emphasis"/>
    <w:basedOn w:val="DefaultParagraphFont"/>
    <w:uiPriority w:val="21"/>
    <w:qFormat/>
    <w:rPr>
      <w:b/>
      <w:bCs/>
      <w:i/>
      <w:iCs/>
      <w:color w:val="4F81BD" w:themeColor="accent1"/>
    </w:rPr>
  </w:style>
  <w:style w:type="table" w:customStyle="1" w:styleId="MediumGrid3-Accent51">
    <w:name w:val="Medium Grid 3 - Accent 51"/>
    <w:basedOn w:val="TableNormal"/>
    <w:next w:val="MediumGrid3-Accent5"/>
    <w:uiPriority w:val="69"/>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11">
    <w:name w:val="Table Grid1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pPr>
      <w:spacing w:after="0" w:line="240" w:lineRule="auto"/>
    </w:pPr>
    <w:rPr>
      <w:rFonts w:ascii="Calibri" w:eastAsia="Calibri" w:hAnsi="Calibri" w:cs="Times New Roman"/>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af">
    <w:name w:val="leaf"/>
    <w:basedOn w:val="DefaultParagraphFont"/>
  </w:style>
  <w:style w:type="table" w:styleId="MediumGrid3-Accent1">
    <w:name w:val="Medium Grid 3 Accent 1"/>
    <w:basedOn w:val="TableNormal"/>
    <w:uiPriority w:val="69"/>
    <w:pPr>
      <w:spacing w:after="0" w:line="240" w:lineRule="auto"/>
    </w:pPr>
    <w:rPr>
      <w:lang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2-Accent11">
    <w:name w:val="Medium Shading 2 - Accent 11"/>
    <w:basedOn w:val="TableNormal"/>
    <w:next w:val="MediumShading2-Accent1"/>
    <w:uiPriority w:val="64"/>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rivers">
    <w:name w:val="Drivers"/>
    <w:basedOn w:val="Heading2"/>
    <w:link w:val="DriversChar"/>
    <w:qFormat/>
    <w:pPr>
      <w:numPr>
        <w:ilvl w:val="0"/>
        <w:numId w:val="315"/>
      </w:numPr>
      <w:ind w:left="993" w:hanging="633"/>
    </w:pPr>
    <w:rPr>
      <w:szCs w:val="24"/>
      <w:lang w:eastAsia="en-GB"/>
    </w:rPr>
  </w:style>
  <w:style w:type="character" w:customStyle="1" w:styleId="DriversChar">
    <w:name w:val="Drivers Char"/>
    <w:basedOn w:val="Heading2Char"/>
    <w:link w:val="Drivers"/>
    <w:rPr>
      <w:rFonts w:ascii="Times New Roman" w:hAnsi="Times New Roman" w:cs="Times New Roman"/>
      <w:b/>
      <w:sz w:val="24"/>
      <w:szCs w:val="24"/>
      <w:lang w:val="en" w:eastAsia="en-GB"/>
    </w:rPr>
  </w:style>
  <w:style w:type="paragraph" w:customStyle="1" w:styleId="Problems">
    <w:name w:val="Problems"/>
    <w:basedOn w:val="Heading3"/>
    <w:link w:val="ProblemsChar"/>
    <w:qFormat/>
    <w:pPr>
      <w:numPr>
        <w:numId w:val="330"/>
      </w:numPr>
    </w:pPr>
    <w:rPr>
      <w:b w:val="0"/>
    </w:rPr>
  </w:style>
  <w:style w:type="paragraph" w:customStyle="1" w:styleId="UTP">
    <w:name w:val="UTP"/>
    <w:basedOn w:val="Problems"/>
    <w:link w:val="UTPChar"/>
    <w:qFormat/>
    <w:pPr>
      <w:numPr>
        <w:numId w:val="326"/>
      </w:numPr>
      <w:tabs>
        <w:tab w:val="left" w:pos="851"/>
      </w:tabs>
    </w:pPr>
  </w:style>
  <w:style w:type="character" w:customStyle="1" w:styleId="ProblemsChar">
    <w:name w:val="Problems Char"/>
    <w:basedOn w:val="Heading3Char"/>
    <w:link w:val="Problems"/>
    <w:rPr>
      <w:rFonts w:ascii="Times New Roman" w:hAnsi="Times New Roman" w:cs="Times New Roman"/>
      <w:b w:val="0"/>
      <w:sz w:val="24"/>
      <w:szCs w:val="24"/>
      <w:lang w:eastAsia="en-GB"/>
    </w:rPr>
  </w:style>
  <w:style w:type="paragraph" w:customStyle="1" w:styleId="ProblemsLevel2">
    <w:name w:val="Problems Level2"/>
    <w:basedOn w:val="ListParagraph"/>
    <w:link w:val="ProblemsLevel2Char"/>
    <w:qFormat/>
    <w:pPr>
      <w:numPr>
        <w:numId w:val="334"/>
      </w:numPr>
    </w:pPr>
    <w:rPr>
      <w:b/>
    </w:rPr>
  </w:style>
  <w:style w:type="character" w:customStyle="1" w:styleId="UTPChar">
    <w:name w:val="UTP Char"/>
    <w:basedOn w:val="ProblemsChar"/>
    <w:link w:val="UTP"/>
    <w:rPr>
      <w:rFonts w:ascii="Times New Roman" w:hAnsi="Times New Roman" w:cs="Times New Roman"/>
      <w:b w:val="0"/>
      <w:sz w:val="24"/>
      <w:szCs w:val="24"/>
      <w:lang w:eastAsia="en-GB"/>
    </w:rPr>
  </w:style>
  <w:style w:type="paragraph" w:customStyle="1" w:styleId="Problemslevel22">
    <w:name w:val="Problems level 2 2"/>
    <w:basedOn w:val="Text2"/>
    <w:link w:val="Problemslevel22Char"/>
    <w:qFormat/>
    <w:pPr>
      <w:numPr>
        <w:numId w:val="335"/>
      </w:numPr>
      <w:tabs>
        <w:tab w:val="clear" w:pos="2302"/>
        <w:tab w:val="left" w:pos="851"/>
      </w:tabs>
    </w:pPr>
    <w:rPr>
      <w:b/>
    </w:rPr>
  </w:style>
  <w:style w:type="character" w:customStyle="1" w:styleId="ProblemsLevel2Char">
    <w:name w:val="Problems Level2 Char"/>
    <w:basedOn w:val="ListParagraphChar"/>
    <w:link w:val="ProblemsLevel2"/>
    <w:rPr>
      <w:rFonts w:ascii="Times New Roman" w:eastAsia="Times New Roman" w:hAnsi="Times New Roman" w:cs="Times New Roman"/>
      <w:b/>
      <w:sz w:val="24"/>
      <w:szCs w:val="20"/>
    </w:rPr>
  </w:style>
  <w:style w:type="character" w:customStyle="1" w:styleId="Problemslevel22Char">
    <w:name w:val="Problems level 2 2 Char"/>
    <w:basedOn w:val="Text2Char"/>
    <w:link w:val="Problemslevel22"/>
    <w:rPr>
      <w:rFonts w:ascii="Times New Roman" w:eastAsia="Times New Roman" w:hAnsi="Times New Roman" w:cs="Times New Roman"/>
      <w:b/>
      <w:sz w:val="24"/>
      <w:szCs w:val="20"/>
      <w:lang w:eastAsia="en-GB"/>
    </w:rPr>
  </w:style>
  <w:style w:type="character" w:customStyle="1" w:styleId="rightside">
    <w:name w:val="right_sid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ontactChar">
    <w:name w:val="Contact Char"/>
    <w:basedOn w:val="DefaultParagraphFont"/>
    <w:link w:val="Contact"/>
    <w:uiPriority w:val="99"/>
    <w:rPr>
      <w:rFonts w:ascii="Times New Roman" w:eastAsia="Times New Roman" w:hAnsi="Times New Roman" w:cs="Times New Roman"/>
      <w:sz w:val="24"/>
      <w:szCs w:val="20"/>
    </w:rPr>
  </w:style>
  <w:style w:type="character" w:customStyle="1" w:styleId="FooterCoverPageChar">
    <w:name w:val="Footer Cover Page Char"/>
    <w:basedOn w:val="Contact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ontactChar"/>
    <w:link w:val="HeaderCoverPage"/>
    <w:rPr>
      <w:rFonts w:ascii="Times New Roman" w:eastAsia="Times New Roman" w:hAnsi="Times New Roman" w:cs="Times New Roman"/>
      <w:sz w:val="24"/>
      <w:szCs w:val="20"/>
    </w:rPr>
  </w:style>
  <w:style w:type="character" w:customStyle="1" w:styleId="Headerorfooter">
    <w:name w:val="Header or footer_"/>
    <w:basedOn w:val="DefaultParagraphFont"/>
    <w:link w:val="Headerorfooter0"/>
    <w:rPr>
      <w:b/>
      <w:bCs/>
      <w:shd w:val="clear" w:color="auto" w:fill="FFFFFF"/>
    </w:rPr>
  </w:style>
  <w:style w:type="character" w:customStyle="1" w:styleId="HeaderorfooterArial">
    <w:name w:val="Header or footer + Arial"/>
    <w:aliases w:val="7.5 pt,Not Bold"/>
    <w:basedOn w:val="Headerorfooter"/>
    <w:rPr>
      <w:rFonts w:ascii="Arial" w:eastAsia="Arial" w:hAnsi="Arial" w:cs="Arial"/>
      <w:b/>
      <w:bCs/>
      <w:color w:val="000000"/>
      <w:spacing w:val="0"/>
      <w:w w:val="100"/>
      <w:position w:val="0"/>
      <w:sz w:val="15"/>
      <w:szCs w:val="15"/>
      <w:shd w:val="clear" w:color="auto" w:fill="FFFFFF"/>
      <w:lang w:val="en-US" w:eastAsia="en-US" w:bidi="en-US"/>
    </w:rPr>
  </w:style>
  <w:style w:type="character" w:customStyle="1" w:styleId="Bodytext5">
    <w:name w:val="Body text (5)_"/>
    <w:basedOn w:val="DefaultParagraphFont"/>
    <w:link w:val="Bodytext50"/>
    <w:rPr>
      <w:b/>
      <w:bCs/>
      <w:i/>
      <w:iCs/>
      <w:shd w:val="clear" w:color="auto" w:fill="FFFFFF"/>
    </w:rPr>
  </w:style>
  <w:style w:type="paragraph" w:customStyle="1" w:styleId="Headerorfooter0">
    <w:name w:val="Header or footer"/>
    <w:basedOn w:val="Normal"/>
    <w:link w:val="Headerorfooter"/>
    <w:pPr>
      <w:widowControl w:val="0"/>
      <w:shd w:val="clear" w:color="auto" w:fill="FFFFFF"/>
      <w:spacing w:after="0" w:line="244" w:lineRule="exact"/>
      <w:jc w:val="left"/>
    </w:pPr>
    <w:rPr>
      <w:rFonts w:asciiTheme="minorHAnsi" w:eastAsiaTheme="minorHAnsi" w:hAnsiTheme="minorHAnsi" w:cstheme="minorBidi"/>
      <w:b/>
      <w:bCs/>
      <w:sz w:val="22"/>
      <w:szCs w:val="22"/>
    </w:rPr>
  </w:style>
  <w:style w:type="paragraph" w:customStyle="1" w:styleId="Bodytext50">
    <w:name w:val="Body text (5)"/>
    <w:basedOn w:val="Normal"/>
    <w:link w:val="Bodytext5"/>
    <w:pPr>
      <w:widowControl w:val="0"/>
      <w:shd w:val="clear" w:color="auto" w:fill="FFFFFF"/>
      <w:spacing w:before="360" w:after="140" w:line="244" w:lineRule="exact"/>
      <w:ind w:hanging="260"/>
    </w:pPr>
    <w:rPr>
      <w:rFonts w:asciiTheme="minorHAnsi" w:eastAsiaTheme="minorHAnsi" w:hAnsiTheme="minorHAnsi" w:cstheme="minorBidi"/>
      <w:b/>
      <w:bCs/>
      <w:i/>
      <w:iCs/>
      <w:sz w:val="22"/>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UPERSChar">
    <w:name w:val="SUPERS Char"/>
    <w:aliases w:val="EN Footnote Reference Char"/>
    <w:basedOn w:val="Normal"/>
    <w:uiPriority w:val="99"/>
    <w:pPr>
      <w:widowControl w:val="0"/>
      <w:adjustRightInd w:val="0"/>
      <w:spacing w:after="160" w:line="240" w:lineRule="exact"/>
    </w:pPr>
    <w:rPr>
      <w:rFonts w:asciiTheme="minorHAnsi" w:eastAsiaTheme="minorHAnsi" w:hAnsiTheme="minorHAnsi" w:cstheme="minorBidi"/>
      <w:sz w:val="22"/>
      <w:szCs w:val="22"/>
      <w:vertAlign w:val="superscript"/>
    </w:rPr>
  </w:style>
  <w:style w:type="character" w:styleId="EndnoteReference">
    <w:name w:val="endnote reference"/>
    <w:basedOn w:val="DefaultParagraphFont"/>
    <w:uiPriority w:val="99"/>
    <w:semiHidden/>
    <w:unhideWhenUsed/>
    <w:rPr>
      <w:vertAlign w:val="superscript"/>
    </w:rPr>
  </w:style>
  <w:style w:type="table" w:customStyle="1" w:styleId="LightList-Accent11">
    <w:name w:val="Light List - Accent 11"/>
    <w:basedOn w:val="TableNormal"/>
    <w:next w:val="LightList-Accent1"/>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31">
    <w:name w:val="Table Grid3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4821">
      <w:bodyDiv w:val="1"/>
      <w:marLeft w:val="0"/>
      <w:marRight w:val="0"/>
      <w:marTop w:val="0"/>
      <w:marBottom w:val="0"/>
      <w:divBdr>
        <w:top w:val="none" w:sz="0" w:space="0" w:color="auto"/>
        <w:left w:val="none" w:sz="0" w:space="0" w:color="auto"/>
        <w:bottom w:val="none" w:sz="0" w:space="0" w:color="auto"/>
        <w:right w:val="none" w:sz="0" w:space="0" w:color="auto"/>
      </w:divBdr>
      <w:divsChild>
        <w:div w:id="915942654">
          <w:marLeft w:val="0"/>
          <w:marRight w:val="0"/>
          <w:marTop w:val="0"/>
          <w:marBottom w:val="0"/>
          <w:divBdr>
            <w:top w:val="none" w:sz="0" w:space="0" w:color="auto"/>
            <w:left w:val="none" w:sz="0" w:space="0" w:color="auto"/>
            <w:bottom w:val="none" w:sz="0" w:space="0" w:color="auto"/>
            <w:right w:val="none" w:sz="0" w:space="0" w:color="auto"/>
          </w:divBdr>
        </w:div>
        <w:div w:id="807088295">
          <w:marLeft w:val="0"/>
          <w:marRight w:val="0"/>
          <w:marTop w:val="0"/>
          <w:marBottom w:val="0"/>
          <w:divBdr>
            <w:top w:val="none" w:sz="0" w:space="0" w:color="auto"/>
            <w:left w:val="none" w:sz="0" w:space="0" w:color="auto"/>
            <w:bottom w:val="none" w:sz="0" w:space="0" w:color="auto"/>
            <w:right w:val="none" w:sz="0" w:space="0" w:color="auto"/>
          </w:divBdr>
        </w:div>
      </w:divsChild>
    </w:div>
    <w:div w:id="396054691">
      <w:bodyDiv w:val="1"/>
      <w:marLeft w:val="0"/>
      <w:marRight w:val="0"/>
      <w:marTop w:val="0"/>
      <w:marBottom w:val="0"/>
      <w:divBdr>
        <w:top w:val="none" w:sz="0" w:space="0" w:color="auto"/>
        <w:left w:val="none" w:sz="0" w:space="0" w:color="auto"/>
        <w:bottom w:val="none" w:sz="0" w:space="0" w:color="auto"/>
        <w:right w:val="none" w:sz="0" w:space="0" w:color="auto"/>
      </w:divBdr>
    </w:div>
    <w:div w:id="450248622">
      <w:bodyDiv w:val="1"/>
      <w:marLeft w:val="0"/>
      <w:marRight w:val="0"/>
      <w:marTop w:val="0"/>
      <w:marBottom w:val="0"/>
      <w:divBdr>
        <w:top w:val="none" w:sz="0" w:space="0" w:color="auto"/>
        <w:left w:val="none" w:sz="0" w:space="0" w:color="auto"/>
        <w:bottom w:val="none" w:sz="0" w:space="0" w:color="auto"/>
        <w:right w:val="none" w:sz="0" w:space="0" w:color="auto"/>
      </w:divBdr>
    </w:div>
    <w:div w:id="455488531">
      <w:bodyDiv w:val="1"/>
      <w:marLeft w:val="0"/>
      <w:marRight w:val="0"/>
      <w:marTop w:val="0"/>
      <w:marBottom w:val="0"/>
      <w:divBdr>
        <w:top w:val="none" w:sz="0" w:space="0" w:color="auto"/>
        <w:left w:val="none" w:sz="0" w:space="0" w:color="auto"/>
        <w:bottom w:val="none" w:sz="0" w:space="0" w:color="auto"/>
        <w:right w:val="none" w:sz="0" w:space="0" w:color="auto"/>
      </w:divBdr>
      <w:divsChild>
        <w:div w:id="8220133">
          <w:marLeft w:val="0"/>
          <w:marRight w:val="0"/>
          <w:marTop w:val="0"/>
          <w:marBottom w:val="0"/>
          <w:divBdr>
            <w:top w:val="none" w:sz="0" w:space="0" w:color="auto"/>
            <w:left w:val="none" w:sz="0" w:space="0" w:color="auto"/>
            <w:bottom w:val="none" w:sz="0" w:space="0" w:color="auto"/>
            <w:right w:val="none" w:sz="0" w:space="0" w:color="auto"/>
          </w:divBdr>
          <w:divsChild>
            <w:div w:id="1528594357">
              <w:marLeft w:val="0"/>
              <w:marRight w:val="0"/>
              <w:marTop w:val="0"/>
              <w:marBottom w:val="0"/>
              <w:divBdr>
                <w:top w:val="none" w:sz="0" w:space="0" w:color="auto"/>
                <w:left w:val="none" w:sz="0" w:space="0" w:color="auto"/>
                <w:bottom w:val="none" w:sz="0" w:space="0" w:color="auto"/>
                <w:right w:val="none" w:sz="0" w:space="0" w:color="auto"/>
              </w:divBdr>
              <w:divsChild>
                <w:div w:id="802772914">
                  <w:marLeft w:val="0"/>
                  <w:marRight w:val="0"/>
                  <w:marTop w:val="0"/>
                  <w:marBottom w:val="0"/>
                  <w:divBdr>
                    <w:top w:val="none" w:sz="0" w:space="0" w:color="auto"/>
                    <w:left w:val="none" w:sz="0" w:space="0" w:color="auto"/>
                    <w:bottom w:val="none" w:sz="0" w:space="0" w:color="auto"/>
                    <w:right w:val="none" w:sz="0" w:space="0" w:color="auto"/>
                  </w:divBdr>
                  <w:divsChild>
                    <w:div w:id="1772240318">
                      <w:marLeft w:val="0"/>
                      <w:marRight w:val="0"/>
                      <w:marTop w:val="0"/>
                      <w:marBottom w:val="0"/>
                      <w:divBdr>
                        <w:top w:val="none" w:sz="0" w:space="0" w:color="auto"/>
                        <w:left w:val="none" w:sz="0" w:space="0" w:color="auto"/>
                        <w:bottom w:val="none" w:sz="0" w:space="0" w:color="auto"/>
                        <w:right w:val="none" w:sz="0" w:space="0" w:color="auto"/>
                      </w:divBdr>
                      <w:divsChild>
                        <w:div w:id="204832159">
                          <w:marLeft w:val="0"/>
                          <w:marRight w:val="0"/>
                          <w:marTop w:val="0"/>
                          <w:marBottom w:val="600"/>
                          <w:divBdr>
                            <w:top w:val="none" w:sz="0" w:space="0" w:color="auto"/>
                            <w:left w:val="none" w:sz="0" w:space="0" w:color="auto"/>
                            <w:bottom w:val="none" w:sz="0" w:space="0" w:color="auto"/>
                            <w:right w:val="none" w:sz="0" w:space="0" w:color="auto"/>
                          </w:divBdr>
                          <w:divsChild>
                            <w:div w:id="1706825586">
                              <w:marLeft w:val="0"/>
                              <w:marRight w:val="0"/>
                              <w:marTop w:val="0"/>
                              <w:marBottom w:val="0"/>
                              <w:divBdr>
                                <w:top w:val="single" w:sz="6" w:space="15" w:color="DADADA"/>
                                <w:left w:val="single" w:sz="6" w:space="11" w:color="DADADA"/>
                                <w:bottom w:val="single" w:sz="6" w:space="15" w:color="DADADA"/>
                                <w:right w:val="single" w:sz="6" w:space="11" w:color="DADADA"/>
                              </w:divBdr>
                              <w:divsChild>
                                <w:div w:id="17647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804897">
      <w:bodyDiv w:val="1"/>
      <w:marLeft w:val="0"/>
      <w:marRight w:val="0"/>
      <w:marTop w:val="0"/>
      <w:marBottom w:val="0"/>
      <w:divBdr>
        <w:top w:val="none" w:sz="0" w:space="0" w:color="auto"/>
        <w:left w:val="none" w:sz="0" w:space="0" w:color="auto"/>
        <w:bottom w:val="none" w:sz="0" w:space="0" w:color="auto"/>
        <w:right w:val="none" w:sz="0" w:space="0" w:color="auto"/>
      </w:divBdr>
      <w:divsChild>
        <w:div w:id="1914702376">
          <w:marLeft w:val="0"/>
          <w:marRight w:val="0"/>
          <w:marTop w:val="0"/>
          <w:marBottom w:val="0"/>
          <w:divBdr>
            <w:top w:val="none" w:sz="0" w:space="0" w:color="auto"/>
            <w:left w:val="none" w:sz="0" w:space="0" w:color="auto"/>
            <w:bottom w:val="none" w:sz="0" w:space="0" w:color="auto"/>
            <w:right w:val="none" w:sz="0" w:space="0" w:color="auto"/>
          </w:divBdr>
          <w:divsChild>
            <w:div w:id="1776168185">
              <w:marLeft w:val="0"/>
              <w:marRight w:val="0"/>
              <w:marTop w:val="0"/>
              <w:marBottom w:val="0"/>
              <w:divBdr>
                <w:top w:val="none" w:sz="0" w:space="0" w:color="auto"/>
                <w:left w:val="none" w:sz="0" w:space="0" w:color="auto"/>
                <w:bottom w:val="none" w:sz="0" w:space="0" w:color="auto"/>
                <w:right w:val="none" w:sz="0" w:space="0" w:color="auto"/>
              </w:divBdr>
              <w:divsChild>
                <w:div w:id="1186018153">
                  <w:marLeft w:val="0"/>
                  <w:marRight w:val="0"/>
                  <w:marTop w:val="0"/>
                  <w:marBottom w:val="0"/>
                  <w:divBdr>
                    <w:top w:val="none" w:sz="0" w:space="0" w:color="auto"/>
                    <w:left w:val="none" w:sz="0" w:space="0" w:color="auto"/>
                    <w:bottom w:val="none" w:sz="0" w:space="0" w:color="auto"/>
                    <w:right w:val="none" w:sz="0" w:space="0" w:color="auto"/>
                  </w:divBdr>
                  <w:divsChild>
                    <w:div w:id="506529507">
                      <w:marLeft w:val="0"/>
                      <w:marRight w:val="0"/>
                      <w:marTop w:val="0"/>
                      <w:marBottom w:val="0"/>
                      <w:divBdr>
                        <w:top w:val="none" w:sz="0" w:space="0" w:color="auto"/>
                        <w:left w:val="none" w:sz="0" w:space="0" w:color="auto"/>
                        <w:bottom w:val="none" w:sz="0" w:space="0" w:color="auto"/>
                        <w:right w:val="none" w:sz="0" w:space="0" w:color="auto"/>
                      </w:divBdr>
                      <w:divsChild>
                        <w:div w:id="121656156">
                          <w:marLeft w:val="0"/>
                          <w:marRight w:val="0"/>
                          <w:marTop w:val="0"/>
                          <w:marBottom w:val="600"/>
                          <w:divBdr>
                            <w:top w:val="none" w:sz="0" w:space="0" w:color="auto"/>
                            <w:left w:val="none" w:sz="0" w:space="0" w:color="auto"/>
                            <w:bottom w:val="none" w:sz="0" w:space="0" w:color="auto"/>
                            <w:right w:val="none" w:sz="0" w:space="0" w:color="auto"/>
                          </w:divBdr>
                          <w:divsChild>
                            <w:div w:id="21177940">
                              <w:marLeft w:val="0"/>
                              <w:marRight w:val="0"/>
                              <w:marTop w:val="0"/>
                              <w:marBottom w:val="0"/>
                              <w:divBdr>
                                <w:top w:val="single" w:sz="6" w:space="15" w:color="DADADA"/>
                                <w:left w:val="single" w:sz="6" w:space="11" w:color="DADADA"/>
                                <w:bottom w:val="single" w:sz="6" w:space="15" w:color="DADADA"/>
                                <w:right w:val="single" w:sz="6" w:space="11" w:color="DADADA"/>
                              </w:divBdr>
                              <w:divsChild>
                                <w:div w:id="6578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906174">
      <w:bodyDiv w:val="1"/>
      <w:marLeft w:val="0"/>
      <w:marRight w:val="0"/>
      <w:marTop w:val="0"/>
      <w:marBottom w:val="0"/>
      <w:divBdr>
        <w:top w:val="none" w:sz="0" w:space="0" w:color="auto"/>
        <w:left w:val="none" w:sz="0" w:space="0" w:color="auto"/>
        <w:bottom w:val="none" w:sz="0" w:space="0" w:color="auto"/>
        <w:right w:val="none" w:sz="0" w:space="0" w:color="auto"/>
      </w:divBdr>
    </w:div>
    <w:div w:id="644240092">
      <w:bodyDiv w:val="1"/>
      <w:marLeft w:val="0"/>
      <w:marRight w:val="0"/>
      <w:marTop w:val="0"/>
      <w:marBottom w:val="0"/>
      <w:divBdr>
        <w:top w:val="none" w:sz="0" w:space="0" w:color="auto"/>
        <w:left w:val="none" w:sz="0" w:space="0" w:color="auto"/>
        <w:bottom w:val="none" w:sz="0" w:space="0" w:color="auto"/>
        <w:right w:val="none" w:sz="0" w:space="0" w:color="auto"/>
      </w:divBdr>
    </w:div>
    <w:div w:id="735513437">
      <w:bodyDiv w:val="1"/>
      <w:marLeft w:val="0"/>
      <w:marRight w:val="0"/>
      <w:marTop w:val="0"/>
      <w:marBottom w:val="0"/>
      <w:divBdr>
        <w:top w:val="none" w:sz="0" w:space="0" w:color="auto"/>
        <w:left w:val="none" w:sz="0" w:space="0" w:color="auto"/>
        <w:bottom w:val="none" w:sz="0" w:space="0" w:color="auto"/>
        <w:right w:val="none" w:sz="0" w:space="0" w:color="auto"/>
      </w:divBdr>
    </w:div>
    <w:div w:id="764812290">
      <w:bodyDiv w:val="1"/>
      <w:marLeft w:val="0"/>
      <w:marRight w:val="0"/>
      <w:marTop w:val="0"/>
      <w:marBottom w:val="0"/>
      <w:divBdr>
        <w:top w:val="none" w:sz="0" w:space="0" w:color="auto"/>
        <w:left w:val="none" w:sz="0" w:space="0" w:color="auto"/>
        <w:bottom w:val="none" w:sz="0" w:space="0" w:color="auto"/>
        <w:right w:val="none" w:sz="0" w:space="0" w:color="auto"/>
      </w:divBdr>
      <w:divsChild>
        <w:div w:id="970482009">
          <w:marLeft w:val="0"/>
          <w:marRight w:val="0"/>
          <w:marTop w:val="0"/>
          <w:marBottom w:val="0"/>
          <w:divBdr>
            <w:top w:val="none" w:sz="0" w:space="0" w:color="auto"/>
            <w:left w:val="none" w:sz="0" w:space="0" w:color="auto"/>
            <w:bottom w:val="none" w:sz="0" w:space="0" w:color="auto"/>
            <w:right w:val="none" w:sz="0" w:space="0" w:color="auto"/>
          </w:divBdr>
          <w:divsChild>
            <w:div w:id="23988710">
              <w:marLeft w:val="0"/>
              <w:marRight w:val="0"/>
              <w:marTop w:val="0"/>
              <w:marBottom w:val="0"/>
              <w:divBdr>
                <w:top w:val="none" w:sz="0" w:space="0" w:color="auto"/>
                <w:left w:val="none" w:sz="0" w:space="0" w:color="auto"/>
                <w:bottom w:val="none" w:sz="0" w:space="0" w:color="auto"/>
                <w:right w:val="none" w:sz="0" w:space="0" w:color="auto"/>
              </w:divBdr>
              <w:divsChild>
                <w:div w:id="384839503">
                  <w:marLeft w:val="0"/>
                  <w:marRight w:val="0"/>
                  <w:marTop w:val="0"/>
                  <w:marBottom w:val="0"/>
                  <w:divBdr>
                    <w:top w:val="none" w:sz="0" w:space="0" w:color="auto"/>
                    <w:left w:val="none" w:sz="0" w:space="0" w:color="auto"/>
                    <w:bottom w:val="none" w:sz="0" w:space="0" w:color="auto"/>
                    <w:right w:val="none" w:sz="0" w:space="0" w:color="auto"/>
                  </w:divBdr>
                  <w:divsChild>
                    <w:div w:id="698048506">
                      <w:marLeft w:val="0"/>
                      <w:marRight w:val="0"/>
                      <w:marTop w:val="0"/>
                      <w:marBottom w:val="0"/>
                      <w:divBdr>
                        <w:top w:val="none" w:sz="0" w:space="0" w:color="auto"/>
                        <w:left w:val="none" w:sz="0" w:space="0" w:color="auto"/>
                        <w:bottom w:val="none" w:sz="0" w:space="0" w:color="auto"/>
                        <w:right w:val="none" w:sz="0" w:space="0" w:color="auto"/>
                      </w:divBdr>
                      <w:divsChild>
                        <w:div w:id="1972982561">
                          <w:marLeft w:val="0"/>
                          <w:marRight w:val="0"/>
                          <w:marTop w:val="0"/>
                          <w:marBottom w:val="0"/>
                          <w:divBdr>
                            <w:top w:val="none" w:sz="0" w:space="0" w:color="auto"/>
                            <w:left w:val="none" w:sz="0" w:space="0" w:color="auto"/>
                            <w:bottom w:val="none" w:sz="0" w:space="0" w:color="auto"/>
                            <w:right w:val="none" w:sz="0" w:space="0" w:color="auto"/>
                          </w:divBdr>
                          <w:divsChild>
                            <w:div w:id="1769346166">
                              <w:marLeft w:val="0"/>
                              <w:marRight w:val="0"/>
                              <w:marTop w:val="0"/>
                              <w:marBottom w:val="0"/>
                              <w:divBdr>
                                <w:top w:val="none" w:sz="0" w:space="0" w:color="auto"/>
                                <w:left w:val="none" w:sz="0" w:space="0" w:color="auto"/>
                                <w:bottom w:val="none" w:sz="0" w:space="0" w:color="auto"/>
                                <w:right w:val="none" w:sz="0" w:space="0" w:color="auto"/>
                              </w:divBdr>
                              <w:divsChild>
                                <w:div w:id="1701973893">
                                  <w:marLeft w:val="0"/>
                                  <w:marRight w:val="0"/>
                                  <w:marTop w:val="0"/>
                                  <w:marBottom w:val="0"/>
                                  <w:divBdr>
                                    <w:top w:val="none" w:sz="0" w:space="0" w:color="auto"/>
                                    <w:left w:val="none" w:sz="0" w:space="0" w:color="auto"/>
                                    <w:bottom w:val="none" w:sz="0" w:space="0" w:color="auto"/>
                                    <w:right w:val="none" w:sz="0" w:space="0" w:color="auto"/>
                                  </w:divBdr>
                                  <w:divsChild>
                                    <w:div w:id="431707401">
                                      <w:marLeft w:val="0"/>
                                      <w:marRight w:val="0"/>
                                      <w:marTop w:val="0"/>
                                      <w:marBottom w:val="0"/>
                                      <w:divBdr>
                                        <w:top w:val="none" w:sz="0" w:space="0" w:color="auto"/>
                                        <w:left w:val="none" w:sz="0" w:space="0" w:color="auto"/>
                                        <w:bottom w:val="none" w:sz="0" w:space="0" w:color="auto"/>
                                        <w:right w:val="none" w:sz="0" w:space="0" w:color="auto"/>
                                      </w:divBdr>
                                      <w:divsChild>
                                        <w:div w:id="635843395">
                                          <w:marLeft w:val="0"/>
                                          <w:marRight w:val="0"/>
                                          <w:marTop w:val="0"/>
                                          <w:marBottom w:val="450"/>
                                          <w:divBdr>
                                            <w:top w:val="none" w:sz="0" w:space="0" w:color="auto"/>
                                            <w:left w:val="none" w:sz="0" w:space="0" w:color="auto"/>
                                            <w:bottom w:val="none" w:sz="0" w:space="0" w:color="auto"/>
                                            <w:right w:val="none" w:sz="0" w:space="0" w:color="auto"/>
                                          </w:divBdr>
                                          <w:divsChild>
                                            <w:div w:id="247470426">
                                              <w:marLeft w:val="0"/>
                                              <w:marRight w:val="0"/>
                                              <w:marTop w:val="0"/>
                                              <w:marBottom w:val="0"/>
                                              <w:divBdr>
                                                <w:top w:val="none" w:sz="0" w:space="0" w:color="auto"/>
                                                <w:left w:val="none" w:sz="0" w:space="0" w:color="auto"/>
                                                <w:bottom w:val="none" w:sz="0" w:space="0" w:color="auto"/>
                                                <w:right w:val="none" w:sz="0" w:space="0" w:color="auto"/>
                                              </w:divBdr>
                                              <w:divsChild>
                                                <w:div w:id="1368139606">
                                                  <w:marLeft w:val="0"/>
                                                  <w:marRight w:val="0"/>
                                                  <w:marTop w:val="0"/>
                                                  <w:marBottom w:val="0"/>
                                                  <w:divBdr>
                                                    <w:top w:val="none" w:sz="0" w:space="0" w:color="auto"/>
                                                    <w:left w:val="none" w:sz="0" w:space="0" w:color="auto"/>
                                                    <w:bottom w:val="none" w:sz="0" w:space="0" w:color="auto"/>
                                                    <w:right w:val="none" w:sz="0" w:space="0" w:color="auto"/>
                                                  </w:divBdr>
                                                  <w:divsChild>
                                                    <w:div w:id="204417903">
                                                      <w:marLeft w:val="0"/>
                                                      <w:marRight w:val="0"/>
                                                      <w:marTop w:val="0"/>
                                                      <w:marBottom w:val="0"/>
                                                      <w:divBdr>
                                                        <w:top w:val="none" w:sz="0" w:space="0" w:color="auto"/>
                                                        <w:left w:val="none" w:sz="0" w:space="0" w:color="auto"/>
                                                        <w:bottom w:val="none" w:sz="0" w:space="0" w:color="auto"/>
                                                        <w:right w:val="none" w:sz="0" w:space="0" w:color="auto"/>
                                                      </w:divBdr>
                                                      <w:divsChild>
                                                        <w:div w:id="485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79112">
      <w:bodyDiv w:val="1"/>
      <w:marLeft w:val="0"/>
      <w:marRight w:val="0"/>
      <w:marTop w:val="0"/>
      <w:marBottom w:val="0"/>
      <w:divBdr>
        <w:top w:val="none" w:sz="0" w:space="0" w:color="auto"/>
        <w:left w:val="none" w:sz="0" w:space="0" w:color="auto"/>
        <w:bottom w:val="none" w:sz="0" w:space="0" w:color="auto"/>
        <w:right w:val="none" w:sz="0" w:space="0" w:color="auto"/>
      </w:divBdr>
    </w:div>
    <w:div w:id="890191422">
      <w:bodyDiv w:val="1"/>
      <w:marLeft w:val="0"/>
      <w:marRight w:val="0"/>
      <w:marTop w:val="0"/>
      <w:marBottom w:val="0"/>
      <w:divBdr>
        <w:top w:val="none" w:sz="0" w:space="0" w:color="auto"/>
        <w:left w:val="none" w:sz="0" w:space="0" w:color="auto"/>
        <w:bottom w:val="none" w:sz="0" w:space="0" w:color="auto"/>
        <w:right w:val="none" w:sz="0" w:space="0" w:color="auto"/>
      </w:divBdr>
    </w:div>
    <w:div w:id="917641230">
      <w:bodyDiv w:val="1"/>
      <w:marLeft w:val="0"/>
      <w:marRight w:val="0"/>
      <w:marTop w:val="0"/>
      <w:marBottom w:val="0"/>
      <w:divBdr>
        <w:top w:val="none" w:sz="0" w:space="0" w:color="auto"/>
        <w:left w:val="none" w:sz="0" w:space="0" w:color="auto"/>
        <w:bottom w:val="none" w:sz="0" w:space="0" w:color="auto"/>
        <w:right w:val="none" w:sz="0" w:space="0" w:color="auto"/>
      </w:divBdr>
    </w:div>
    <w:div w:id="972441062">
      <w:bodyDiv w:val="1"/>
      <w:marLeft w:val="0"/>
      <w:marRight w:val="0"/>
      <w:marTop w:val="0"/>
      <w:marBottom w:val="0"/>
      <w:divBdr>
        <w:top w:val="none" w:sz="0" w:space="0" w:color="auto"/>
        <w:left w:val="none" w:sz="0" w:space="0" w:color="auto"/>
        <w:bottom w:val="none" w:sz="0" w:space="0" w:color="auto"/>
        <w:right w:val="none" w:sz="0" w:space="0" w:color="auto"/>
      </w:divBdr>
    </w:div>
    <w:div w:id="1051730110">
      <w:bodyDiv w:val="1"/>
      <w:marLeft w:val="0"/>
      <w:marRight w:val="0"/>
      <w:marTop w:val="0"/>
      <w:marBottom w:val="0"/>
      <w:divBdr>
        <w:top w:val="none" w:sz="0" w:space="0" w:color="auto"/>
        <w:left w:val="none" w:sz="0" w:space="0" w:color="auto"/>
        <w:bottom w:val="none" w:sz="0" w:space="0" w:color="auto"/>
        <w:right w:val="none" w:sz="0" w:space="0" w:color="auto"/>
      </w:divBdr>
    </w:div>
    <w:div w:id="1128400209">
      <w:bodyDiv w:val="1"/>
      <w:marLeft w:val="0"/>
      <w:marRight w:val="0"/>
      <w:marTop w:val="0"/>
      <w:marBottom w:val="0"/>
      <w:divBdr>
        <w:top w:val="none" w:sz="0" w:space="0" w:color="auto"/>
        <w:left w:val="none" w:sz="0" w:space="0" w:color="auto"/>
        <w:bottom w:val="none" w:sz="0" w:space="0" w:color="auto"/>
        <w:right w:val="none" w:sz="0" w:space="0" w:color="auto"/>
      </w:divBdr>
      <w:divsChild>
        <w:div w:id="242447790">
          <w:marLeft w:val="0"/>
          <w:marRight w:val="0"/>
          <w:marTop w:val="0"/>
          <w:marBottom w:val="0"/>
          <w:divBdr>
            <w:top w:val="none" w:sz="0" w:space="0" w:color="auto"/>
            <w:left w:val="none" w:sz="0" w:space="0" w:color="auto"/>
            <w:bottom w:val="none" w:sz="0" w:space="0" w:color="auto"/>
            <w:right w:val="none" w:sz="0" w:space="0" w:color="auto"/>
          </w:divBdr>
          <w:divsChild>
            <w:div w:id="1940064404">
              <w:marLeft w:val="0"/>
              <w:marRight w:val="0"/>
              <w:marTop w:val="0"/>
              <w:marBottom w:val="0"/>
              <w:divBdr>
                <w:top w:val="none" w:sz="0" w:space="0" w:color="auto"/>
                <w:left w:val="none" w:sz="0" w:space="0" w:color="auto"/>
                <w:bottom w:val="none" w:sz="0" w:space="0" w:color="auto"/>
                <w:right w:val="none" w:sz="0" w:space="0" w:color="auto"/>
              </w:divBdr>
              <w:divsChild>
                <w:div w:id="181746004">
                  <w:marLeft w:val="0"/>
                  <w:marRight w:val="0"/>
                  <w:marTop w:val="0"/>
                  <w:marBottom w:val="0"/>
                  <w:divBdr>
                    <w:top w:val="none" w:sz="0" w:space="0" w:color="auto"/>
                    <w:left w:val="none" w:sz="0" w:space="0" w:color="auto"/>
                    <w:bottom w:val="none" w:sz="0" w:space="0" w:color="auto"/>
                    <w:right w:val="none" w:sz="0" w:space="0" w:color="auto"/>
                  </w:divBdr>
                  <w:divsChild>
                    <w:div w:id="687483243">
                      <w:marLeft w:val="0"/>
                      <w:marRight w:val="0"/>
                      <w:marTop w:val="0"/>
                      <w:marBottom w:val="0"/>
                      <w:divBdr>
                        <w:top w:val="none" w:sz="0" w:space="0" w:color="auto"/>
                        <w:left w:val="none" w:sz="0" w:space="0" w:color="auto"/>
                        <w:bottom w:val="none" w:sz="0" w:space="0" w:color="auto"/>
                        <w:right w:val="none" w:sz="0" w:space="0" w:color="auto"/>
                      </w:divBdr>
                      <w:divsChild>
                        <w:div w:id="351805760">
                          <w:marLeft w:val="0"/>
                          <w:marRight w:val="0"/>
                          <w:marTop w:val="0"/>
                          <w:marBottom w:val="600"/>
                          <w:divBdr>
                            <w:top w:val="none" w:sz="0" w:space="0" w:color="auto"/>
                            <w:left w:val="none" w:sz="0" w:space="0" w:color="auto"/>
                            <w:bottom w:val="none" w:sz="0" w:space="0" w:color="auto"/>
                            <w:right w:val="none" w:sz="0" w:space="0" w:color="auto"/>
                          </w:divBdr>
                          <w:divsChild>
                            <w:div w:id="32003405">
                              <w:marLeft w:val="0"/>
                              <w:marRight w:val="0"/>
                              <w:marTop w:val="0"/>
                              <w:marBottom w:val="0"/>
                              <w:divBdr>
                                <w:top w:val="single" w:sz="6" w:space="15" w:color="DADADA"/>
                                <w:left w:val="single" w:sz="6" w:space="11" w:color="DADADA"/>
                                <w:bottom w:val="single" w:sz="6" w:space="15" w:color="DADADA"/>
                                <w:right w:val="single" w:sz="6" w:space="11" w:color="DADADA"/>
                              </w:divBdr>
                              <w:divsChild>
                                <w:div w:id="611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258352">
      <w:bodyDiv w:val="1"/>
      <w:marLeft w:val="0"/>
      <w:marRight w:val="0"/>
      <w:marTop w:val="0"/>
      <w:marBottom w:val="0"/>
      <w:divBdr>
        <w:top w:val="none" w:sz="0" w:space="0" w:color="auto"/>
        <w:left w:val="none" w:sz="0" w:space="0" w:color="auto"/>
        <w:bottom w:val="none" w:sz="0" w:space="0" w:color="auto"/>
        <w:right w:val="none" w:sz="0" w:space="0" w:color="auto"/>
      </w:divBdr>
    </w:div>
    <w:div w:id="1139803334">
      <w:bodyDiv w:val="1"/>
      <w:marLeft w:val="0"/>
      <w:marRight w:val="0"/>
      <w:marTop w:val="0"/>
      <w:marBottom w:val="0"/>
      <w:divBdr>
        <w:top w:val="none" w:sz="0" w:space="0" w:color="auto"/>
        <w:left w:val="none" w:sz="0" w:space="0" w:color="auto"/>
        <w:bottom w:val="none" w:sz="0" w:space="0" w:color="auto"/>
        <w:right w:val="none" w:sz="0" w:space="0" w:color="auto"/>
      </w:divBdr>
    </w:div>
    <w:div w:id="1300258201">
      <w:bodyDiv w:val="1"/>
      <w:marLeft w:val="0"/>
      <w:marRight w:val="0"/>
      <w:marTop w:val="0"/>
      <w:marBottom w:val="0"/>
      <w:divBdr>
        <w:top w:val="none" w:sz="0" w:space="0" w:color="auto"/>
        <w:left w:val="none" w:sz="0" w:space="0" w:color="auto"/>
        <w:bottom w:val="none" w:sz="0" w:space="0" w:color="auto"/>
        <w:right w:val="none" w:sz="0" w:space="0" w:color="auto"/>
      </w:divBdr>
    </w:div>
    <w:div w:id="1367754251">
      <w:bodyDiv w:val="1"/>
      <w:marLeft w:val="0"/>
      <w:marRight w:val="0"/>
      <w:marTop w:val="0"/>
      <w:marBottom w:val="0"/>
      <w:divBdr>
        <w:top w:val="none" w:sz="0" w:space="0" w:color="auto"/>
        <w:left w:val="none" w:sz="0" w:space="0" w:color="auto"/>
        <w:bottom w:val="none" w:sz="0" w:space="0" w:color="auto"/>
        <w:right w:val="none" w:sz="0" w:space="0" w:color="auto"/>
      </w:divBdr>
    </w:div>
    <w:div w:id="1463575804">
      <w:bodyDiv w:val="1"/>
      <w:marLeft w:val="0"/>
      <w:marRight w:val="0"/>
      <w:marTop w:val="0"/>
      <w:marBottom w:val="0"/>
      <w:divBdr>
        <w:top w:val="none" w:sz="0" w:space="0" w:color="auto"/>
        <w:left w:val="none" w:sz="0" w:space="0" w:color="auto"/>
        <w:bottom w:val="none" w:sz="0" w:space="0" w:color="auto"/>
        <w:right w:val="none" w:sz="0" w:space="0" w:color="auto"/>
      </w:divBdr>
    </w:div>
    <w:div w:id="1608152511">
      <w:bodyDiv w:val="1"/>
      <w:marLeft w:val="0"/>
      <w:marRight w:val="0"/>
      <w:marTop w:val="0"/>
      <w:marBottom w:val="0"/>
      <w:divBdr>
        <w:top w:val="none" w:sz="0" w:space="0" w:color="auto"/>
        <w:left w:val="none" w:sz="0" w:space="0" w:color="auto"/>
        <w:bottom w:val="none" w:sz="0" w:space="0" w:color="auto"/>
        <w:right w:val="none" w:sz="0" w:space="0" w:color="auto"/>
      </w:divBdr>
    </w:div>
    <w:div w:id="1649894349">
      <w:bodyDiv w:val="1"/>
      <w:marLeft w:val="0"/>
      <w:marRight w:val="0"/>
      <w:marTop w:val="0"/>
      <w:marBottom w:val="0"/>
      <w:divBdr>
        <w:top w:val="none" w:sz="0" w:space="0" w:color="auto"/>
        <w:left w:val="none" w:sz="0" w:space="0" w:color="auto"/>
        <w:bottom w:val="none" w:sz="0" w:space="0" w:color="auto"/>
        <w:right w:val="none" w:sz="0" w:space="0" w:color="auto"/>
      </w:divBdr>
    </w:div>
    <w:div w:id="1682316415">
      <w:bodyDiv w:val="1"/>
      <w:marLeft w:val="0"/>
      <w:marRight w:val="0"/>
      <w:marTop w:val="0"/>
      <w:marBottom w:val="0"/>
      <w:divBdr>
        <w:top w:val="none" w:sz="0" w:space="0" w:color="auto"/>
        <w:left w:val="none" w:sz="0" w:space="0" w:color="auto"/>
        <w:bottom w:val="none" w:sz="0" w:space="0" w:color="auto"/>
        <w:right w:val="none" w:sz="0" w:space="0" w:color="auto"/>
      </w:divBdr>
    </w:div>
    <w:div w:id="1743717364">
      <w:bodyDiv w:val="1"/>
      <w:marLeft w:val="0"/>
      <w:marRight w:val="0"/>
      <w:marTop w:val="0"/>
      <w:marBottom w:val="0"/>
      <w:divBdr>
        <w:top w:val="none" w:sz="0" w:space="0" w:color="auto"/>
        <w:left w:val="none" w:sz="0" w:space="0" w:color="auto"/>
        <w:bottom w:val="none" w:sz="0" w:space="0" w:color="auto"/>
        <w:right w:val="none" w:sz="0" w:space="0" w:color="auto"/>
      </w:divBdr>
      <w:divsChild>
        <w:div w:id="491069468">
          <w:marLeft w:val="15"/>
          <w:marRight w:val="45"/>
          <w:marTop w:val="0"/>
          <w:marBottom w:val="0"/>
          <w:divBdr>
            <w:top w:val="none" w:sz="0" w:space="0" w:color="auto"/>
            <w:left w:val="none" w:sz="0" w:space="0" w:color="auto"/>
            <w:bottom w:val="none" w:sz="0" w:space="0" w:color="auto"/>
            <w:right w:val="none" w:sz="0" w:space="0" w:color="auto"/>
          </w:divBdr>
        </w:div>
      </w:divsChild>
    </w:div>
    <w:div w:id="1896892712">
      <w:bodyDiv w:val="1"/>
      <w:marLeft w:val="0"/>
      <w:marRight w:val="0"/>
      <w:marTop w:val="0"/>
      <w:marBottom w:val="0"/>
      <w:divBdr>
        <w:top w:val="none" w:sz="0" w:space="0" w:color="auto"/>
        <w:left w:val="none" w:sz="0" w:space="0" w:color="auto"/>
        <w:bottom w:val="none" w:sz="0" w:space="0" w:color="auto"/>
        <w:right w:val="none" w:sz="0" w:space="0" w:color="auto"/>
      </w:divBdr>
    </w:div>
    <w:div w:id="1929579097">
      <w:bodyDiv w:val="1"/>
      <w:marLeft w:val="0"/>
      <w:marRight w:val="0"/>
      <w:marTop w:val="0"/>
      <w:marBottom w:val="0"/>
      <w:divBdr>
        <w:top w:val="none" w:sz="0" w:space="0" w:color="auto"/>
        <w:left w:val="none" w:sz="0" w:space="0" w:color="auto"/>
        <w:bottom w:val="none" w:sz="0" w:space="0" w:color="auto"/>
        <w:right w:val="none" w:sz="0" w:space="0" w:color="auto"/>
      </w:divBdr>
    </w:div>
    <w:div w:id="2069496255">
      <w:bodyDiv w:val="1"/>
      <w:marLeft w:val="0"/>
      <w:marRight w:val="0"/>
      <w:marTop w:val="0"/>
      <w:marBottom w:val="0"/>
      <w:divBdr>
        <w:top w:val="none" w:sz="0" w:space="0" w:color="auto"/>
        <w:left w:val="none" w:sz="0" w:space="0" w:color="auto"/>
        <w:bottom w:val="none" w:sz="0" w:space="0" w:color="auto"/>
        <w:right w:val="none" w:sz="0" w:space="0" w:color="auto"/>
      </w:divBdr>
    </w:div>
    <w:div w:id="2087192171">
      <w:bodyDiv w:val="1"/>
      <w:marLeft w:val="0"/>
      <w:marRight w:val="0"/>
      <w:marTop w:val="0"/>
      <w:marBottom w:val="0"/>
      <w:divBdr>
        <w:top w:val="none" w:sz="0" w:space="0" w:color="auto"/>
        <w:left w:val="none" w:sz="0" w:space="0" w:color="auto"/>
        <w:bottom w:val="none" w:sz="0" w:space="0" w:color="auto"/>
        <w:right w:val="none" w:sz="0" w:space="0" w:color="auto"/>
      </w:divBdr>
    </w:div>
    <w:div w:id="21300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yperlink" Target="https://connected.cnect.cec.eu.int/external-link.jspa?url=https%3A%2F%2Fwww.rolandberger.com%2Fpublications%2Fpublication_pdf%2Froland_berger_ief_plattformstudie_en_final.pdf" TargetMode="External"/><Relationship Id="rId21" Type="http://schemas.openxmlformats.org/officeDocument/2006/relationships/header" Target="header5.xml"/><Relationship Id="rId34" Type="http://schemas.openxmlformats.org/officeDocument/2006/relationships/hyperlink" Target="https://connected.cnect.cec.eu.int/external-link.jspa?url=http%3A%2F%2Fec.europa.eu%2Feurostat%2Fstatistics-explained%2Findex.php%2FInternet_advertising_of_businesses_-_statistics_on_usage_of_ads" TargetMode="External"/><Relationship Id="rId42" Type="http://schemas.openxmlformats.org/officeDocument/2006/relationships/hyperlink" Target="http://www.europarl.europa.eu/RegData/etudes/IDAN/2016/587316/IPOL_IDA(2016)587316_EN.pdf" TargetMode="External"/><Relationship Id="rId47" Type="http://schemas.openxmlformats.org/officeDocument/2006/relationships/chart" Target="charts/chart2.xml"/><Relationship Id="rId50" Type="http://schemas.openxmlformats.org/officeDocument/2006/relationships/hyperlink" Target="http://www.google.com/webmasters/.../search-engine-optimization-starte" TargetMode="External"/><Relationship Id="rId55" Type="http://schemas.openxmlformats.org/officeDocument/2006/relationships/header" Target="header12.xml"/><Relationship Id="rId63" Type="http://schemas.openxmlformats.org/officeDocument/2006/relationships/header" Target="header16.xml"/><Relationship Id="rId68" Type="http://schemas.openxmlformats.org/officeDocument/2006/relationships/footer" Target="foot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https://connected.cnect.cec.eu.int/external-link.jspa?url=https%3A%2F%2Fec.europa.eu%2Fjrc%2Fsites%2Fjrcsh%2Ffiles%2FJRC101501.pdf" TargetMode="External"/><Relationship Id="rId37" Type="http://schemas.openxmlformats.org/officeDocument/2006/relationships/hyperlink" Target="https://connected.cnect.cec.eu.int/external-link.jspa?url=http%3A%2F%2Fwww.europeandigitalmediaassociation.org%2Fpdfs%2FEDiMA%2520-%2520Online%2520intermediaries%2520-%2520EU%2520Growth%2520Engines.pdf" TargetMode="External"/><Relationship Id="rId40" Type="http://schemas.openxmlformats.org/officeDocument/2006/relationships/hyperlink" Target="https://connected.cnect.cec.eu.int/external-link.jspa?url=http%3A%2F%2Fwww.oxera.com%2Fgetmedia%2F84df70f3-8fe0-4ad1-b4ba-d235ee50cb30%2FThe-benefits-of-online-platforms-main-findings-%2528October-2015%2529.pdf.aspx%3Fext%3D.pdf" TargetMode="External"/><Relationship Id="rId45" Type="http://schemas.openxmlformats.org/officeDocument/2006/relationships/hyperlink" Target="http://www.monopolkommission.de/images/PDF/SG/s68_fulltext_eng.pdf" TargetMode="External"/><Relationship Id="rId53" Type="http://schemas.openxmlformats.org/officeDocument/2006/relationships/footer" Target="footer10.xml"/><Relationship Id="rId58" Type="http://schemas.openxmlformats.org/officeDocument/2006/relationships/header" Target="header14.xml"/><Relationship Id="rId66" Type="http://schemas.openxmlformats.org/officeDocument/2006/relationships/footer" Target="footer1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yperlink" Target="http://www.ilo.org/wcmsp5/groups/public/---ed_protect/---protrav/---travail/documents/publication/wcms_479693.pdf" TargetMode="External"/><Relationship Id="rId49" Type="http://schemas.openxmlformats.org/officeDocument/2006/relationships/chart" Target="charts/chart4.xml"/><Relationship Id="rId57" Type="http://schemas.openxmlformats.org/officeDocument/2006/relationships/header" Target="header13.xml"/><Relationship Id="rId61"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yperlink" Target="https://connected.cnect.cec.eu.int/external-link.jspa?url=https%3A%2F%2Fwww.publications.parliament.uk%2Fpa%2Fld201516%2Fldselect%2Fldeucom%2F129%2F129.pdf" TargetMode="External"/><Relationship Id="rId52" Type="http://schemas.openxmlformats.org/officeDocument/2006/relationships/header" Target="header11.xml"/><Relationship Id="rId60" Type="http://schemas.openxmlformats.org/officeDocument/2006/relationships/footer" Target="footer14.xml"/><Relationship Id="rId65"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s://tapdaq.com/blog/apple-developers-think-you-are-just-one-inconsistent-loop" TargetMode="External"/><Relationship Id="rId43" Type="http://schemas.openxmlformats.org/officeDocument/2006/relationships/hyperlink" Target="https://connected.cnect.cec.eu.int/external-link.jspa?url=https%3A%2F%2Fwww.ivir.nl%2Fpublicaties%2Fdownload%2F1703" TargetMode="External"/><Relationship Id="rId48" Type="http://schemas.openxmlformats.org/officeDocument/2006/relationships/chart" Target="charts/chart3.xml"/><Relationship Id="rId56" Type="http://schemas.openxmlformats.org/officeDocument/2006/relationships/footer" Target="footer12.xml"/><Relationship Id="rId64" Type="http://schemas.openxmlformats.org/officeDocument/2006/relationships/header" Target="header17.xm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connected.cnect.cec.eu.int/external-link.jspa?url=http%3A%2F%2Fec.europa.eu%2Feurostat%2Fstatistics-explained%2Findex.php%2FSocial_media_-_statistics_on_the_use_by_enterprises" TargetMode="External"/><Relationship Id="rId38" Type="http://schemas.openxmlformats.org/officeDocument/2006/relationships/hyperlink" Target="https://connected.cnect.cec.eu.int/external-link.jspa?url=https%3A%2F%2Fwww.copenhageneconomics.com%2Fdyn%2Fresources%2FPublication%2FpublicationPDF%2F0%2F380%2F1479805000%2Fcopenhagen-economics-2016-economic-effects-of-online-marketplace-bans.pdf" TargetMode="External"/><Relationship Id="rId46" Type="http://schemas.openxmlformats.org/officeDocument/2006/relationships/chart" Target="charts/chart1.xml"/><Relationship Id="rId59" Type="http://schemas.openxmlformats.org/officeDocument/2006/relationships/footer" Target="footer13.xml"/><Relationship Id="rId67" Type="http://schemas.openxmlformats.org/officeDocument/2006/relationships/header" Target="header18.xml"/><Relationship Id="rId20" Type="http://schemas.openxmlformats.org/officeDocument/2006/relationships/header" Target="header4.xml"/><Relationship Id="rId41" Type="http://schemas.openxmlformats.org/officeDocument/2006/relationships/hyperlink" Target="https://connected.cnect.cec.eu.int/external-link.jspa?url=http%3A%2F%2Fwww.oxera.com%2Fgetmedia%2F89afcf75-95f0-4b8f-ab3e-d463e81e5f46%2FThe-benefits-of-online-platforms-technical-appendix-%2528October-2015%2529.pdf.aspx" TargetMode="External"/><Relationship Id="rId54" Type="http://schemas.openxmlformats.org/officeDocument/2006/relationships/footer" Target="footer11.xml"/><Relationship Id="rId62" Type="http://schemas.openxmlformats.org/officeDocument/2006/relationships/footer" Target="footer15.xm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information_society/newsroom/image/document/2016-24/fl_439_en_16137.pdf" TargetMode="External"/><Relationship Id="rId18" Type="http://schemas.openxmlformats.org/officeDocument/2006/relationships/hyperlink" Target="https://m.zalando.de/faq/partnerprogramm/" TargetMode="External"/><Relationship Id="rId26" Type="http://schemas.openxmlformats.org/officeDocument/2006/relationships/hyperlink" Target="https://www.statista.com/statistics/543906/ota-share-of-hotel-booking-sales-europe-eu/" TargetMode="External"/><Relationship Id="rId39" Type="http://schemas.openxmlformats.org/officeDocument/2006/relationships/hyperlink" Target="https://ec.europa.eu/info/law/better-regulation/initiative/124635/attachment/090166e5b61fbc43_en" TargetMode="External"/><Relationship Id="rId3" Type="http://schemas.openxmlformats.org/officeDocument/2006/relationships/hyperlink" Target="https://ec.europa.eu/digital-single-market/en/news/data-related-aspects-business-platform-trading-practices-workshop-report" TargetMode="External"/><Relationship Id="rId21" Type="http://schemas.openxmlformats.org/officeDocument/2006/relationships/hyperlink" Target="https://www.statista.com/statistics/278414/number-of-worldwide-social-network-users/" TargetMode="External"/><Relationship Id="rId34" Type="http://schemas.openxmlformats.org/officeDocument/2006/relationships/hyperlink" Target="https://ec.europa.eu/digital-single-market/en/news/communication-tackling-illegal-content-online-towards-enhanced-responsibility-online-platforms" TargetMode="External"/><Relationship Id="rId42" Type="http://schemas.openxmlformats.org/officeDocument/2006/relationships/hyperlink" Target="https://ec.europa.eu/info/law/better-regulation/initiative/124635/attachment/090166e5b61fbc43_en" TargetMode="External"/><Relationship Id="rId47" Type="http://schemas.openxmlformats.org/officeDocument/2006/relationships/hyperlink" Target="http://www.europarl.europa.eu/document/activities/cont/201105/20110518ATT19592/20110518ATT19592EN.pdf" TargetMode="External"/><Relationship Id="rId50" Type="http://schemas.openxmlformats.org/officeDocument/2006/relationships/hyperlink" Target="https://www.slideshare.net/faberNovel/gafanomics-season-2-4-superpowers-to-outperform-in-the-network-economy/42-42The_more_apps_available_the" TargetMode="External"/><Relationship Id="rId7" Type="http://schemas.openxmlformats.org/officeDocument/2006/relationships/hyperlink" Target="https://ec.europa.eu/newsroom/document.cfm?doc_id=45987" TargetMode="External"/><Relationship Id="rId12" Type="http://schemas.openxmlformats.org/officeDocument/2006/relationships/hyperlink" Target="http://ec.europa.eu/eurostat/statistics-explained/index.php/Internet_access_and_use_statistics_-_households_and_individuals" TargetMode="External"/><Relationship Id="rId17" Type="http://schemas.openxmlformats.org/officeDocument/2006/relationships/hyperlink" Target="https://www.spartoo.com/marketplace_mentions.php" TargetMode="External"/><Relationship Id="rId25" Type="http://schemas.openxmlformats.org/officeDocument/2006/relationships/hyperlink" Target="https://en.wikipedia.org/wiki/Travel_website" TargetMode="External"/><Relationship Id="rId33" Type="http://schemas.openxmlformats.org/officeDocument/2006/relationships/hyperlink" Target="https://ycharts.com" TargetMode="External"/><Relationship Id="rId38" Type="http://schemas.openxmlformats.org/officeDocument/2006/relationships/hyperlink" Target="https://www.bmwi.de/Redaktion/DE/Publikationen/Digitale-Welt/weissbuch-digitale-plattformen.html" TargetMode="External"/><Relationship Id="rId46" Type="http://schemas.openxmlformats.org/officeDocument/2006/relationships/hyperlink" Target="http://www.dealroom.co" TargetMode="External"/><Relationship Id="rId2" Type="http://schemas.openxmlformats.org/officeDocument/2006/relationships/hyperlink" Target="https://ec.europa.eu/digital-single-market/en/news/study-online-platforms-contrasting-perceptions-european-stakeholders-qualitative-analysis" TargetMode="External"/><Relationship Id="rId16" Type="http://schemas.openxmlformats.org/officeDocument/2006/relationships/hyperlink" Target="http://bvoh.de/overview-of-online-marketplaces-across-europe/" TargetMode="External"/><Relationship Id="rId20" Type="http://schemas.openxmlformats.org/officeDocument/2006/relationships/hyperlink" Target="https://medium.com/life-learning/may-i-have-your-attention-please-19ef6395b2c3?curator=MediaREDEF" TargetMode="External"/><Relationship Id="rId29" Type="http://schemas.openxmlformats.org/officeDocument/2006/relationships/hyperlink" Target="https://www.statista.com/statistics/216573/worldwide-market-share-of-search-engines/" TargetMode="External"/><Relationship Id="rId41" Type="http://schemas.openxmlformats.org/officeDocument/2006/relationships/hyperlink" Target="http://curia.europa.eu/juris/liste.jsf?language=en&amp;num=C-167/00" TargetMode="External"/><Relationship Id="rId1" Type="http://schemas.openxmlformats.org/officeDocument/2006/relationships/hyperlink" Target="https://ec.europa.eu/digital-single-market/en/news/results-public-consultation-regulatory-environment-platforms-online-intermediaries-data-and" TargetMode="External"/><Relationship Id="rId6" Type="http://schemas.openxmlformats.org/officeDocument/2006/relationships/hyperlink" Target="https://ec.europa.eu/newsroom/document.cfm?doc_id=43936" TargetMode="External"/><Relationship Id="rId11" Type="http://schemas.openxmlformats.org/officeDocument/2006/relationships/hyperlink" Target="http://www.similarweb.com" TargetMode="External"/><Relationship Id="rId24" Type="http://schemas.openxmlformats.org/officeDocument/2006/relationships/hyperlink" Target="http://eu.futureofbusinesssurvey.org" TargetMode="External"/><Relationship Id="rId32" Type="http://schemas.openxmlformats.org/officeDocument/2006/relationships/hyperlink" Target="https://help.yahoo.com/kb/SLN2245.htm,%20as%20of%208%20February%202018." TargetMode="External"/><Relationship Id="rId37" Type="http://schemas.openxmlformats.org/officeDocument/2006/relationships/hyperlink" Target="http://ec.europa.eu/growth/tools-databases/tris/en/search/?trisaction=search.detail&amp;year=2017&amp;num=570" TargetMode="External"/><Relationship Id="rId40" Type="http://schemas.openxmlformats.org/officeDocument/2006/relationships/hyperlink" Target="http://curia.europa.eu/juris/liste.jsf?language=en&amp;num=C-381/98" TargetMode="External"/><Relationship Id="rId45" Type="http://schemas.openxmlformats.org/officeDocument/2006/relationships/hyperlink" Target="http://ec.europa.eu/smart-regulation/guidelines/docs/br_toolbox_en.pdf" TargetMode="External"/><Relationship Id="rId53" Type="http://schemas.openxmlformats.org/officeDocument/2006/relationships/hyperlink" Target="http://ec.europa.eu/competition/antitrust/sector_inquiry_final_report_en.pdf" TargetMode="External"/><Relationship Id="rId5" Type="http://schemas.openxmlformats.org/officeDocument/2006/relationships/hyperlink" Target="https://ec.europa.eu/newsroom/document.cfm?doc_id=40698" TargetMode="External"/><Relationship Id="rId15" Type="http://schemas.openxmlformats.org/officeDocument/2006/relationships/hyperlink" Target="http://www.phocuswright.com/Travel-Research/Market-Overview-Sizing/European-Online-Travel-Overview-Twelfth-Edition" TargetMode="External"/><Relationship Id="rId23" Type="http://schemas.openxmlformats.org/officeDocument/2006/relationships/hyperlink" Target="http://investor.fb.com/secfiling.cfm?filingID=1326801-16-67&amp;CIK=1326801" TargetMode="External"/><Relationship Id="rId28" Type="http://schemas.openxmlformats.org/officeDocument/2006/relationships/hyperlink" Target="http://www.worldwidewebsize.com" TargetMode="External"/><Relationship Id="rId36" Type="http://schemas.openxmlformats.org/officeDocument/2006/relationships/hyperlink" Target="https://www.ris.bka.gv.at/Dokumente/BgblAuth/BGBLA_2016_I_99/BGBLA_2016_I_99.pdf" TargetMode="External"/><Relationship Id="rId49" Type="http://schemas.openxmlformats.org/officeDocument/2006/relationships/hyperlink" Target="https://www.statista.com/statistics/276623/number-of-apps-available-in-leading-app-stores/" TargetMode="External"/><Relationship Id="rId10" Type="http://schemas.openxmlformats.org/officeDocument/2006/relationships/hyperlink" Target="http://www.webretailer.com/lean-commerce/amazon-sellers-survey-2016/" TargetMode="External"/><Relationship Id="rId19" Type="http://schemas.openxmlformats.org/officeDocument/2006/relationships/hyperlink" Target="http://ben-evans.com/benedictevans/2015/11/7/mobile-ecosystems-and-the-death-of-pcs" TargetMode="External"/><Relationship Id="rId31" Type="http://schemas.openxmlformats.org/officeDocument/2006/relationships/hyperlink" Target="https://chitika.com/2013/06/07/the-value-of-google-result-positioning-2/" TargetMode="External"/><Relationship Id="rId44" Type="http://schemas.openxmlformats.org/officeDocument/2006/relationships/hyperlink" Target="http://www.dealroom.co" TargetMode="External"/><Relationship Id="rId52" Type="http://schemas.openxmlformats.org/officeDocument/2006/relationships/hyperlink" Target="http://ec.europa.eu/competition/antitrust/sector_inquiry_swd_en.pdf" TargetMode="External"/><Relationship Id="rId4" Type="http://schemas.openxmlformats.org/officeDocument/2006/relationships/hyperlink" Target="https://ec.europa.eu/newsroom/document.cfm?doc_id=43829" TargetMode="External"/><Relationship Id="rId9" Type="http://schemas.openxmlformats.org/officeDocument/2006/relationships/hyperlink" Target="http://www.dealroom.co" TargetMode="External"/><Relationship Id="rId14" Type="http://schemas.openxmlformats.org/officeDocument/2006/relationships/hyperlink" Target="http://ec.europa.eu/eurostat/statistics-explained/index.php/Social_media_-_statistics_on_the_use_by_enterprises" TargetMode="External"/><Relationship Id="rId22" Type="http://schemas.openxmlformats.org/officeDocument/2006/relationships/hyperlink" Target="file:///C:\Users\beharde\AppData\Local\Microsoft\Windows\INetCache\Number%20of%20users%20by%20social%20network%20as%20of%20April%202017" TargetMode="External"/><Relationship Id="rId27" Type="http://schemas.openxmlformats.org/officeDocument/2006/relationships/hyperlink" Target="https://blog.dealroom.co/wp-content/uploads/2016/06/Dealroom-Travel-Research-June-2016-1.pdf" TargetMode="External"/><Relationship Id="rId30" Type="http://schemas.openxmlformats.org/officeDocument/2006/relationships/hyperlink" Target="http://gs.statcounter.com/search-engine-market-share/all/europe/" TargetMode="External"/><Relationship Id="rId35" Type="http://schemas.openxmlformats.org/officeDocument/2006/relationships/hyperlink" Target="http://ec.europa.eu/newsroom/just/item-detail.cfm?item_id=59332" TargetMode="External"/><Relationship Id="rId43" Type="http://schemas.openxmlformats.org/officeDocument/2006/relationships/hyperlink" Target="https://www.slideshare.net/faberNovel/gafanomics-season-2-4-superpowers-to-outperform-in-the-network-economy/42-42The_more_apps_available_the" TargetMode="External"/><Relationship Id="rId48" Type="http://schemas.openxmlformats.org/officeDocument/2006/relationships/hyperlink" Target="http://www.eurocommerce.eu/media/87967/eurocommerce_study_v2_hd.pdf" TargetMode="External"/><Relationship Id="rId8" Type="http://schemas.openxmlformats.org/officeDocument/2006/relationships/hyperlink" Target="http://www.europarl.europa.eu/document/activities/cont/201105/20110518ATT19592/20110518ATT19592EN.pdf" TargetMode="External"/><Relationship Id="rId51" Type="http://schemas.openxmlformats.org/officeDocument/2006/relationships/hyperlink" Target="http://ychart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Direct</c:v>
                </c:pt>
              </c:strCache>
            </c:strRef>
          </c:tx>
          <c:invertIfNegative val="0"/>
          <c:cat>
            <c:strRef>
              <c:f>Sheet1!$B$1:$I$1</c:f>
              <c:strCache>
                <c:ptCount val="8"/>
                <c:pt idx="0">
                  <c:v>AT</c:v>
                </c:pt>
                <c:pt idx="1">
                  <c:v>FR</c:v>
                </c:pt>
                <c:pt idx="2">
                  <c:v>DE</c:v>
                </c:pt>
                <c:pt idx="3">
                  <c:v>IT</c:v>
                </c:pt>
                <c:pt idx="4">
                  <c:v>NL</c:v>
                </c:pt>
                <c:pt idx="5">
                  <c:v>PL</c:v>
                </c:pt>
                <c:pt idx="6">
                  <c:v>ES</c:v>
                </c:pt>
                <c:pt idx="7">
                  <c:v>UK</c:v>
                </c:pt>
              </c:strCache>
            </c:strRef>
          </c:cat>
          <c:val>
            <c:numRef>
              <c:f>Sheet1!$B$2:$I$2</c:f>
              <c:numCache>
                <c:formatCode>General</c:formatCode>
                <c:ptCount val="8"/>
                <c:pt idx="0">
                  <c:v>0.68751787324066371</c:v>
                </c:pt>
                <c:pt idx="1">
                  <c:v>0.64933304333807906</c:v>
                </c:pt>
                <c:pt idx="2">
                  <c:v>0.68790552567286301</c:v>
                </c:pt>
                <c:pt idx="3">
                  <c:v>0.65670053001291806</c:v>
                </c:pt>
                <c:pt idx="4">
                  <c:v>0.6976256114492001</c:v>
                </c:pt>
                <c:pt idx="5">
                  <c:v>0.64969570950217881</c:v>
                </c:pt>
                <c:pt idx="6">
                  <c:v>0.6676234055519561</c:v>
                </c:pt>
                <c:pt idx="7">
                  <c:v>0.65321616345725897</c:v>
                </c:pt>
              </c:numCache>
            </c:numRef>
          </c:val>
          <c:extLst xmlns:c16r2="http://schemas.microsoft.com/office/drawing/2015/06/chart">
            <c:ext xmlns:c16="http://schemas.microsoft.com/office/drawing/2014/chart" uri="{C3380CC4-5D6E-409C-BE32-E72D297353CC}">
              <c16:uniqueId val="{00000000-04D2-4A3A-851F-E2DF5843CB27}"/>
            </c:ext>
          </c:extLst>
        </c:ser>
        <c:ser>
          <c:idx val="1"/>
          <c:order val="1"/>
          <c:tx>
            <c:strRef>
              <c:f>Sheet1!$A$3</c:f>
              <c:strCache>
                <c:ptCount val="1"/>
                <c:pt idx="0">
                  <c:v>Search / Organic</c:v>
                </c:pt>
              </c:strCache>
            </c:strRef>
          </c:tx>
          <c:invertIfNegative val="0"/>
          <c:cat>
            <c:strRef>
              <c:f>Sheet1!$B$1:$I$1</c:f>
              <c:strCache>
                <c:ptCount val="8"/>
                <c:pt idx="0">
                  <c:v>AT</c:v>
                </c:pt>
                <c:pt idx="1">
                  <c:v>FR</c:v>
                </c:pt>
                <c:pt idx="2">
                  <c:v>DE</c:v>
                </c:pt>
                <c:pt idx="3">
                  <c:v>IT</c:v>
                </c:pt>
                <c:pt idx="4">
                  <c:v>NL</c:v>
                </c:pt>
                <c:pt idx="5">
                  <c:v>PL</c:v>
                </c:pt>
                <c:pt idx="6">
                  <c:v>ES</c:v>
                </c:pt>
                <c:pt idx="7">
                  <c:v>UK</c:v>
                </c:pt>
              </c:strCache>
            </c:strRef>
          </c:cat>
          <c:val>
            <c:numRef>
              <c:f>Sheet1!$B$3:$I$3</c:f>
              <c:numCache>
                <c:formatCode>General</c:formatCode>
                <c:ptCount val="8"/>
                <c:pt idx="0">
                  <c:v>0.15451456198985522</c:v>
                </c:pt>
                <c:pt idx="1">
                  <c:v>0.20030280347630677</c:v>
                </c:pt>
                <c:pt idx="2">
                  <c:v>0.15392952919618588</c:v>
                </c:pt>
                <c:pt idx="3">
                  <c:v>0.20330582643053488</c:v>
                </c:pt>
                <c:pt idx="4">
                  <c:v>0.14632322344234019</c:v>
                </c:pt>
                <c:pt idx="5">
                  <c:v>0.16192557581356448</c:v>
                </c:pt>
                <c:pt idx="6">
                  <c:v>0.18416375900846721</c:v>
                </c:pt>
                <c:pt idx="7">
                  <c:v>0.17857534565572589</c:v>
                </c:pt>
              </c:numCache>
            </c:numRef>
          </c:val>
          <c:extLst xmlns:c16r2="http://schemas.microsoft.com/office/drawing/2015/06/chart">
            <c:ext xmlns:c16="http://schemas.microsoft.com/office/drawing/2014/chart" uri="{C3380CC4-5D6E-409C-BE32-E72D297353CC}">
              <c16:uniqueId val="{00000001-04D2-4A3A-851F-E2DF5843CB27}"/>
            </c:ext>
          </c:extLst>
        </c:ser>
        <c:ser>
          <c:idx val="2"/>
          <c:order val="2"/>
          <c:tx>
            <c:strRef>
              <c:f>Sheet1!$A$4</c:f>
              <c:strCache>
                <c:ptCount val="1"/>
                <c:pt idx="0">
                  <c:v>Referral</c:v>
                </c:pt>
              </c:strCache>
            </c:strRef>
          </c:tx>
          <c:invertIfNegative val="0"/>
          <c:cat>
            <c:strRef>
              <c:f>Sheet1!$B$1:$I$1</c:f>
              <c:strCache>
                <c:ptCount val="8"/>
                <c:pt idx="0">
                  <c:v>AT</c:v>
                </c:pt>
                <c:pt idx="1">
                  <c:v>FR</c:v>
                </c:pt>
                <c:pt idx="2">
                  <c:v>DE</c:v>
                </c:pt>
                <c:pt idx="3">
                  <c:v>IT</c:v>
                </c:pt>
                <c:pt idx="4">
                  <c:v>NL</c:v>
                </c:pt>
                <c:pt idx="5">
                  <c:v>PL</c:v>
                </c:pt>
                <c:pt idx="6">
                  <c:v>ES</c:v>
                </c:pt>
                <c:pt idx="7">
                  <c:v>UK</c:v>
                </c:pt>
              </c:strCache>
            </c:strRef>
          </c:cat>
          <c:val>
            <c:numRef>
              <c:f>Sheet1!$B$4:$I$4</c:f>
              <c:numCache>
                <c:formatCode>General</c:formatCode>
                <c:ptCount val="8"/>
                <c:pt idx="0">
                  <c:v>9.8523202125267287E-2</c:v>
                </c:pt>
                <c:pt idx="1">
                  <c:v>7.4750624133565355E-2</c:v>
                </c:pt>
                <c:pt idx="2">
                  <c:v>9.0797448766239741E-2</c:v>
                </c:pt>
                <c:pt idx="3">
                  <c:v>7.1174631200162847E-2</c:v>
                </c:pt>
                <c:pt idx="4">
                  <c:v>8.6235214339262053E-2</c:v>
                </c:pt>
                <c:pt idx="5">
                  <c:v>0.11428858382933536</c:v>
                </c:pt>
                <c:pt idx="6">
                  <c:v>6.8761028891697495E-2</c:v>
                </c:pt>
                <c:pt idx="7">
                  <c:v>8.4858201095140889E-2</c:v>
                </c:pt>
              </c:numCache>
            </c:numRef>
          </c:val>
          <c:extLst xmlns:c16r2="http://schemas.microsoft.com/office/drawing/2015/06/chart">
            <c:ext xmlns:c16="http://schemas.microsoft.com/office/drawing/2014/chart" uri="{C3380CC4-5D6E-409C-BE32-E72D297353CC}">
              <c16:uniqueId val="{00000002-04D2-4A3A-851F-E2DF5843CB27}"/>
            </c:ext>
          </c:extLst>
        </c:ser>
        <c:ser>
          <c:idx val="3"/>
          <c:order val="3"/>
          <c:tx>
            <c:strRef>
              <c:f>Sheet1!$A$5</c:f>
              <c:strCache>
                <c:ptCount val="1"/>
                <c:pt idx="0">
                  <c:v>Social</c:v>
                </c:pt>
              </c:strCache>
            </c:strRef>
          </c:tx>
          <c:invertIfNegative val="0"/>
          <c:cat>
            <c:strRef>
              <c:f>Sheet1!$B$1:$I$1</c:f>
              <c:strCache>
                <c:ptCount val="8"/>
                <c:pt idx="0">
                  <c:v>AT</c:v>
                </c:pt>
                <c:pt idx="1">
                  <c:v>FR</c:v>
                </c:pt>
                <c:pt idx="2">
                  <c:v>DE</c:v>
                </c:pt>
                <c:pt idx="3">
                  <c:v>IT</c:v>
                </c:pt>
                <c:pt idx="4">
                  <c:v>NL</c:v>
                </c:pt>
                <c:pt idx="5">
                  <c:v>PL</c:v>
                </c:pt>
                <c:pt idx="6">
                  <c:v>ES</c:v>
                </c:pt>
                <c:pt idx="7">
                  <c:v>UK</c:v>
                </c:pt>
              </c:strCache>
            </c:strRef>
          </c:cat>
          <c:val>
            <c:numRef>
              <c:f>Sheet1!$B$5:$I$5</c:f>
              <c:numCache>
                <c:formatCode>General</c:formatCode>
                <c:ptCount val="8"/>
                <c:pt idx="0">
                  <c:v>3.6205788620872301E-2</c:v>
                </c:pt>
                <c:pt idx="1">
                  <c:v>2.8332055321424698E-2</c:v>
                </c:pt>
                <c:pt idx="2">
                  <c:v>3.1133417639589243E-2</c:v>
                </c:pt>
                <c:pt idx="3">
                  <c:v>3.654800725721824E-2</c:v>
                </c:pt>
                <c:pt idx="4">
                  <c:v>3.815887982469339E-2</c:v>
                </c:pt>
                <c:pt idx="5">
                  <c:v>4.2656680417458376E-2</c:v>
                </c:pt>
                <c:pt idx="6">
                  <c:v>3.5255431086608439E-2</c:v>
                </c:pt>
                <c:pt idx="7">
                  <c:v>4.4166138616739896E-2</c:v>
                </c:pt>
              </c:numCache>
            </c:numRef>
          </c:val>
          <c:extLst xmlns:c16r2="http://schemas.microsoft.com/office/drawing/2015/06/chart">
            <c:ext xmlns:c16="http://schemas.microsoft.com/office/drawing/2014/chart" uri="{C3380CC4-5D6E-409C-BE32-E72D297353CC}">
              <c16:uniqueId val="{00000003-04D2-4A3A-851F-E2DF5843CB27}"/>
            </c:ext>
          </c:extLst>
        </c:ser>
        <c:ser>
          <c:idx val="4"/>
          <c:order val="4"/>
          <c:tx>
            <c:strRef>
              <c:f>Sheet1!$A$6</c:f>
              <c:strCache>
                <c:ptCount val="1"/>
                <c:pt idx="0">
                  <c:v>Email</c:v>
                </c:pt>
              </c:strCache>
            </c:strRef>
          </c:tx>
          <c:invertIfNegative val="0"/>
          <c:cat>
            <c:strRef>
              <c:f>Sheet1!$B$1:$I$1</c:f>
              <c:strCache>
                <c:ptCount val="8"/>
                <c:pt idx="0">
                  <c:v>AT</c:v>
                </c:pt>
                <c:pt idx="1">
                  <c:v>FR</c:v>
                </c:pt>
                <c:pt idx="2">
                  <c:v>DE</c:v>
                </c:pt>
                <c:pt idx="3">
                  <c:v>IT</c:v>
                </c:pt>
                <c:pt idx="4">
                  <c:v>NL</c:v>
                </c:pt>
                <c:pt idx="5">
                  <c:v>PL</c:v>
                </c:pt>
                <c:pt idx="6">
                  <c:v>ES</c:v>
                </c:pt>
                <c:pt idx="7">
                  <c:v>UK</c:v>
                </c:pt>
              </c:strCache>
            </c:strRef>
          </c:cat>
          <c:val>
            <c:numRef>
              <c:f>Sheet1!$B$6:$I$6</c:f>
              <c:numCache>
                <c:formatCode>General</c:formatCode>
                <c:ptCount val="8"/>
                <c:pt idx="0">
                  <c:v>1.2831649811943496E-2</c:v>
                </c:pt>
                <c:pt idx="1">
                  <c:v>3.3951581787732617E-2</c:v>
                </c:pt>
                <c:pt idx="2">
                  <c:v>1.6611625859930437E-2</c:v>
                </c:pt>
                <c:pt idx="3">
                  <c:v>1.8432953839089206E-2</c:v>
                </c:pt>
                <c:pt idx="4">
                  <c:v>2.0043587252616048E-2</c:v>
                </c:pt>
                <c:pt idx="5">
                  <c:v>1.8425246619118586E-2</c:v>
                </c:pt>
                <c:pt idx="6">
                  <c:v>2.6255969305061268E-2</c:v>
                </c:pt>
                <c:pt idx="7">
                  <c:v>2.31220111311514E-2</c:v>
                </c:pt>
              </c:numCache>
            </c:numRef>
          </c:val>
          <c:extLst xmlns:c16r2="http://schemas.microsoft.com/office/drawing/2015/06/chart">
            <c:ext xmlns:c16="http://schemas.microsoft.com/office/drawing/2014/chart" uri="{C3380CC4-5D6E-409C-BE32-E72D297353CC}">
              <c16:uniqueId val="{00000004-04D2-4A3A-851F-E2DF5843CB27}"/>
            </c:ext>
          </c:extLst>
        </c:ser>
        <c:ser>
          <c:idx val="5"/>
          <c:order val="5"/>
          <c:tx>
            <c:strRef>
              <c:f>Sheet1!$A$7</c:f>
              <c:strCache>
                <c:ptCount val="1"/>
                <c:pt idx="0">
                  <c:v>Search / Paid</c:v>
                </c:pt>
              </c:strCache>
            </c:strRef>
          </c:tx>
          <c:invertIfNegative val="0"/>
          <c:cat>
            <c:strRef>
              <c:f>Sheet1!$B$1:$I$1</c:f>
              <c:strCache>
                <c:ptCount val="8"/>
                <c:pt idx="0">
                  <c:v>AT</c:v>
                </c:pt>
                <c:pt idx="1">
                  <c:v>FR</c:v>
                </c:pt>
                <c:pt idx="2">
                  <c:v>DE</c:v>
                </c:pt>
                <c:pt idx="3">
                  <c:v>IT</c:v>
                </c:pt>
                <c:pt idx="4">
                  <c:v>NL</c:v>
                </c:pt>
                <c:pt idx="5">
                  <c:v>PL</c:v>
                </c:pt>
                <c:pt idx="6">
                  <c:v>ES</c:v>
                </c:pt>
                <c:pt idx="7">
                  <c:v>UK</c:v>
                </c:pt>
              </c:strCache>
            </c:strRef>
          </c:cat>
          <c:val>
            <c:numRef>
              <c:f>Sheet1!$B$7:$I$7</c:f>
              <c:numCache>
                <c:formatCode>General</c:formatCode>
                <c:ptCount val="8"/>
                <c:pt idx="0">
                  <c:v>5.5488378672114945E-3</c:v>
                </c:pt>
                <c:pt idx="1">
                  <c:v>6.9832298870289118E-3</c:v>
                </c:pt>
                <c:pt idx="2">
                  <c:v>8.4942962414460196E-3</c:v>
                </c:pt>
                <c:pt idx="3">
                  <c:v>7.1135580604082945E-3</c:v>
                </c:pt>
                <c:pt idx="4">
                  <c:v>5.294605257173928E-3</c:v>
                </c:pt>
                <c:pt idx="5">
                  <c:v>4.6957654150425457E-3</c:v>
                </c:pt>
                <c:pt idx="6">
                  <c:v>6.2161652081124162E-3</c:v>
                </c:pt>
                <c:pt idx="7">
                  <c:v>6.5796947696516112E-3</c:v>
                </c:pt>
              </c:numCache>
            </c:numRef>
          </c:val>
          <c:extLst xmlns:c16r2="http://schemas.microsoft.com/office/drawing/2015/06/chart">
            <c:ext xmlns:c16="http://schemas.microsoft.com/office/drawing/2014/chart" uri="{C3380CC4-5D6E-409C-BE32-E72D297353CC}">
              <c16:uniqueId val="{00000005-04D2-4A3A-851F-E2DF5843CB27}"/>
            </c:ext>
          </c:extLst>
        </c:ser>
        <c:ser>
          <c:idx val="6"/>
          <c:order val="6"/>
          <c:tx>
            <c:strRef>
              <c:f>Sheet1!$A$8</c:f>
              <c:strCache>
                <c:ptCount val="1"/>
                <c:pt idx="0">
                  <c:v>Display Ad</c:v>
                </c:pt>
              </c:strCache>
            </c:strRef>
          </c:tx>
          <c:invertIfNegative val="0"/>
          <c:cat>
            <c:strRef>
              <c:f>Sheet1!$B$1:$I$1</c:f>
              <c:strCache>
                <c:ptCount val="8"/>
                <c:pt idx="0">
                  <c:v>AT</c:v>
                </c:pt>
                <c:pt idx="1">
                  <c:v>FR</c:v>
                </c:pt>
                <c:pt idx="2">
                  <c:v>DE</c:v>
                </c:pt>
                <c:pt idx="3">
                  <c:v>IT</c:v>
                </c:pt>
                <c:pt idx="4">
                  <c:v>NL</c:v>
                </c:pt>
                <c:pt idx="5">
                  <c:v>PL</c:v>
                </c:pt>
                <c:pt idx="6">
                  <c:v>ES</c:v>
                </c:pt>
                <c:pt idx="7">
                  <c:v>UK</c:v>
                </c:pt>
              </c:strCache>
            </c:strRef>
          </c:cat>
          <c:val>
            <c:numRef>
              <c:f>Sheet1!$B$8:$I$8</c:f>
              <c:numCache>
                <c:formatCode>General</c:formatCode>
                <c:ptCount val="8"/>
                <c:pt idx="0">
                  <c:v>1.0582951888677573E-3</c:v>
                </c:pt>
                <c:pt idx="1">
                  <c:v>8.9564236567584235E-4</c:v>
                </c:pt>
                <c:pt idx="2">
                  <c:v>1.7152126575228962E-3</c:v>
                </c:pt>
                <c:pt idx="3">
                  <c:v>7.2232840772310739E-4</c:v>
                </c:pt>
                <c:pt idx="4">
                  <c:v>8.6031824014933369E-4</c:v>
                </c:pt>
                <c:pt idx="5">
                  <c:v>4.6025368661731904E-3</c:v>
                </c:pt>
                <c:pt idx="6">
                  <c:v>2.6513788762525963E-3</c:v>
                </c:pt>
                <c:pt idx="7">
                  <c:v>1.4041437995362706E-3</c:v>
                </c:pt>
              </c:numCache>
            </c:numRef>
          </c:val>
          <c:extLst xmlns:c16r2="http://schemas.microsoft.com/office/drawing/2015/06/chart">
            <c:ext xmlns:c16="http://schemas.microsoft.com/office/drawing/2014/chart" uri="{C3380CC4-5D6E-409C-BE32-E72D297353CC}">
              <c16:uniqueId val="{00000006-04D2-4A3A-851F-E2DF5843CB27}"/>
            </c:ext>
          </c:extLst>
        </c:ser>
        <c:dLbls>
          <c:showLegendKey val="0"/>
          <c:showVal val="0"/>
          <c:showCatName val="0"/>
          <c:showSerName val="0"/>
          <c:showPercent val="0"/>
          <c:showBubbleSize val="0"/>
        </c:dLbls>
        <c:gapWidth val="150"/>
        <c:axId val="71278976"/>
        <c:axId val="71280512"/>
      </c:barChart>
      <c:catAx>
        <c:axId val="71278976"/>
        <c:scaling>
          <c:orientation val="minMax"/>
        </c:scaling>
        <c:delete val="0"/>
        <c:axPos val="b"/>
        <c:numFmt formatCode="General" sourceLinked="0"/>
        <c:majorTickMark val="out"/>
        <c:minorTickMark val="none"/>
        <c:tickLblPos val="nextTo"/>
        <c:crossAx val="71280512"/>
        <c:crosses val="autoZero"/>
        <c:auto val="1"/>
        <c:lblAlgn val="ctr"/>
        <c:lblOffset val="100"/>
        <c:noMultiLvlLbl val="0"/>
      </c:catAx>
      <c:valAx>
        <c:axId val="71280512"/>
        <c:scaling>
          <c:orientation val="minMax"/>
        </c:scaling>
        <c:delete val="0"/>
        <c:axPos val="l"/>
        <c:numFmt formatCode="0.0%" sourceLinked="0"/>
        <c:majorTickMark val="out"/>
        <c:minorTickMark val="none"/>
        <c:tickLblPos val="nextTo"/>
        <c:txPr>
          <a:bodyPr/>
          <a:lstStyle/>
          <a:p>
            <a:pPr>
              <a:defRPr sz="900"/>
            </a:pPr>
            <a:endParaRPr lang="en-US"/>
          </a:p>
        </c:txPr>
        <c:crossAx val="71278976"/>
        <c:crosses val="autoZero"/>
        <c:crossBetween val="between"/>
      </c:valAx>
    </c:plotArea>
    <c:legend>
      <c:legendPos val="b"/>
      <c:overlay val="0"/>
      <c:txPr>
        <a:bodyPr/>
        <a:lstStyle/>
        <a:p>
          <a:pPr>
            <a:defRPr sz="9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Tables!$A$3</c:f>
              <c:strCache>
                <c:ptCount val="1"/>
                <c:pt idx="0">
                  <c:v>Top 10 platforms</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Tables!$B$2:$I$2</c:f>
              <c:strCache>
                <c:ptCount val="8"/>
                <c:pt idx="0">
                  <c:v>AT</c:v>
                </c:pt>
                <c:pt idx="1">
                  <c:v>FR</c:v>
                </c:pt>
                <c:pt idx="2">
                  <c:v>DE</c:v>
                </c:pt>
                <c:pt idx="3">
                  <c:v>IT</c:v>
                </c:pt>
                <c:pt idx="4">
                  <c:v>NL</c:v>
                </c:pt>
                <c:pt idx="5">
                  <c:v>PL</c:v>
                </c:pt>
                <c:pt idx="6">
                  <c:v>ES</c:v>
                </c:pt>
                <c:pt idx="7">
                  <c:v>UK</c:v>
                </c:pt>
              </c:strCache>
            </c:strRef>
          </c:cat>
          <c:val>
            <c:numRef>
              <c:f>Tables!$B$3:$I$3</c:f>
              <c:numCache>
                <c:formatCode>0.0</c:formatCode>
                <c:ptCount val="8"/>
                <c:pt idx="0">
                  <c:v>35.204081632653065</c:v>
                </c:pt>
                <c:pt idx="1">
                  <c:v>31.919905771495877</c:v>
                </c:pt>
                <c:pt idx="2">
                  <c:v>42.953667953667953</c:v>
                </c:pt>
                <c:pt idx="3">
                  <c:v>41.351351351351354</c:v>
                </c:pt>
                <c:pt idx="4">
                  <c:v>20.892494929006087</c:v>
                </c:pt>
                <c:pt idx="5">
                  <c:v>25.46875</c:v>
                </c:pt>
                <c:pt idx="6">
                  <c:v>34.626865671641795</c:v>
                </c:pt>
                <c:pt idx="7">
                  <c:v>41.397288842544313</c:v>
                </c:pt>
              </c:numCache>
            </c:numRef>
          </c:val>
          <c:extLst xmlns:c16r2="http://schemas.microsoft.com/office/drawing/2015/06/chart">
            <c:ext xmlns:c16="http://schemas.microsoft.com/office/drawing/2014/chart" uri="{C3380CC4-5D6E-409C-BE32-E72D297353CC}">
              <c16:uniqueId val="{00000000-6C60-44C8-A2B5-2F764B6D2838}"/>
            </c:ext>
          </c:extLst>
        </c:ser>
        <c:ser>
          <c:idx val="1"/>
          <c:order val="1"/>
          <c:tx>
            <c:strRef>
              <c:f>Tables!$A$4</c:f>
              <c:strCache>
                <c:ptCount val="1"/>
                <c:pt idx="0">
                  <c:v>Organic search</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Tables!$B$2:$I$2</c:f>
              <c:strCache>
                <c:ptCount val="8"/>
                <c:pt idx="0">
                  <c:v>AT</c:v>
                </c:pt>
                <c:pt idx="1">
                  <c:v>FR</c:v>
                </c:pt>
                <c:pt idx="2">
                  <c:v>DE</c:v>
                </c:pt>
                <c:pt idx="3">
                  <c:v>IT</c:v>
                </c:pt>
                <c:pt idx="4">
                  <c:v>NL</c:v>
                </c:pt>
                <c:pt idx="5">
                  <c:v>PL</c:v>
                </c:pt>
                <c:pt idx="6">
                  <c:v>ES</c:v>
                </c:pt>
                <c:pt idx="7">
                  <c:v>UK</c:v>
                </c:pt>
              </c:strCache>
            </c:strRef>
          </c:cat>
          <c:val>
            <c:numRef>
              <c:f>Tables!$B$4:$I$4</c:f>
              <c:numCache>
                <c:formatCode>0.0</c:formatCode>
                <c:ptCount val="8"/>
                <c:pt idx="0">
                  <c:v>19.963851449275364</c:v>
                </c:pt>
                <c:pt idx="1">
                  <c:v>33.099630996309962</c:v>
                </c:pt>
                <c:pt idx="2">
                  <c:v>19.50561797752809</c:v>
                </c:pt>
                <c:pt idx="3">
                  <c:v>24.705882352941178</c:v>
                </c:pt>
                <c:pt idx="4">
                  <c:v>28.349514563106798</c:v>
                </c:pt>
                <c:pt idx="5">
                  <c:v>22.883435582822088</c:v>
                </c:pt>
                <c:pt idx="6">
                  <c:v>27.241379310344826</c:v>
                </c:pt>
                <c:pt idx="7">
                  <c:v>21.687657430730479</c:v>
                </c:pt>
              </c:numCache>
            </c:numRef>
          </c:val>
          <c:extLst xmlns:c16r2="http://schemas.microsoft.com/office/drawing/2015/06/chart">
            <c:ext xmlns:c16="http://schemas.microsoft.com/office/drawing/2014/chart" uri="{C3380CC4-5D6E-409C-BE32-E72D297353CC}">
              <c16:uniqueId val="{00000001-6C60-44C8-A2B5-2F764B6D2838}"/>
            </c:ext>
          </c:extLst>
        </c:ser>
        <c:dLbls>
          <c:showLegendKey val="0"/>
          <c:showVal val="0"/>
          <c:showCatName val="0"/>
          <c:showSerName val="0"/>
          <c:showPercent val="0"/>
          <c:showBubbleSize val="0"/>
        </c:dLbls>
        <c:gapWidth val="150"/>
        <c:axId val="71409664"/>
        <c:axId val="71411200"/>
      </c:barChart>
      <c:catAx>
        <c:axId val="71409664"/>
        <c:scaling>
          <c:orientation val="minMax"/>
        </c:scaling>
        <c:delete val="0"/>
        <c:axPos val="b"/>
        <c:numFmt formatCode="General" sourceLinked="0"/>
        <c:majorTickMark val="out"/>
        <c:minorTickMark val="none"/>
        <c:tickLblPos val="nextTo"/>
        <c:txPr>
          <a:bodyPr/>
          <a:lstStyle/>
          <a:p>
            <a:pPr>
              <a:defRPr sz="800"/>
            </a:pPr>
            <a:endParaRPr lang="en-US"/>
          </a:p>
        </c:txPr>
        <c:crossAx val="71411200"/>
        <c:crosses val="autoZero"/>
        <c:auto val="1"/>
        <c:lblAlgn val="ctr"/>
        <c:lblOffset val="100"/>
        <c:noMultiLvlLbl val="0"/>
      </c:catAx>
      <c:valAx>
        <c:axId val="71411200"/>
        <c:scaling>
          <c:orientation val="minMax"/>
        </c:scaling>
        <c:delete val="0"/>
        <c:axPos val="l"/>
        <c:numFmt formatCode="0.0" sourceLinked="1"/>
        <c:majorTickMark val="out"/>
        <c:minorTickMark val="none"/>
        <c:tickLblPos val="nextTo"/>
        <c:txPr>
          <a:bodyPr/>
          <a:lstStyle/>
          <a:p>
            <a:pPr>
              <a:defRPr sz="800"/>
            </a:pPr>
            <a:endParaRPr lang="en-US"/>
          </a:p>
        </c:txPr>
        <c:crossAx val="7140966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Tables!$A$8</c:f>
              <c:strCache>
                <c:ptCount val="1"/>
                <c:pt idx="0">
                  <c:v>Top 10 platforms</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Tables!$B$7:$I$7</c:f>
              <c:strCache>
                <c:ptCount val="8"/>
                <c:pt idx="0">
                  <c:v>AT</c:v>
                </c:pt>
                <c:pt idx="1">
                  <c:v>FR</c:v>
                </c:pt>
                <c:pt idx="2">
                  <c:v>DE</c:v>
                </c:pt>
                <c:pt idx="3">
                  <c:v>IT</c:v>
                </c:pt>
                <c:pt idx="4">
                  <c:v>NL</c:v>
                </c:pt>
                <c:pt idx="5">
                  <c:v>PL</c:v>
                </c:pt>
                <c:pt idx="6">
                  <c:v>ES</c:v>
                </c:pt>
                <c:pt idx="7">
                  <c:v>UK</c:v>
                </c:pt>
              </c:strCache>
            </c:strRef>
          </c:cat>
          <c:val>
            <c:numRef>
              <c:f>Tables!$B$8:$I$8</c:f>
              <c:numCache>
                <c:formatCode>0.0</c:formatCode>
                <c:ptCount val="8"/>
                <c:pt idx="0">
                  <c:v>39.014020196172801</c:v>
                </c:pt>
                <c:pt idx="1">
                  <c:v>37.009803921568633</c:v>
                </c:pt>
                <c:pt idx="2">
                  <c:v>38.228438228438229</c:v>
                </c:pt>
                <c:pt idx="3">
                  <c:v>50.183150183150182</c:v>
                </c:pt>
                <c:pt idx="4">
                  <c:v>36.410068391976594</c:v>
                </c:pt>
                <c:pt idx="5">
                  <c:v>48.132486196203011</c:v>
                </c:pt>
                <c:pt idx="6">
                  <c:v>51.024631012191804</c:v>
                </c:pt>
                <c:pt idx="7">
                  <c:v>41.095890410958901</c:v>
                </c:pt>
              </c:numCache>
            </c:numRef>
          </c:val>
          <c:extLst xmlns:c16r2="http://schemas.microsoft.com/office/drawing/2015/06/chart">
            <c:ext xmlns:c16="http://schemas.microsoft.com/office/drawing/2014/chart" uri="{C3380CC4-5D6E-409C-BE32-E72D297353CC}">
              <c16:uniqueId val="{00000000-19CE-4CA5-BC2D-CC8E0AE47F95}"/>
            </c:ext>
          </c:extLst>
        </c:ser>
        <c:ser>
          <c:idx val="1"/>
          <c:order val="1"/>
          <c:tx>
            <c:strRef>
              <c:f>Tables!$A$9</c:f>
              <c:strCache>
                <c:ptCount val="1"/>
                <c:pt idx="0">
                  <c:v>Organic search</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Tables!$B$7:$I$7</c:f>
              <c:strCache>
                <c:ptCount val="8"/>
                <c:pt idx="0">
                  <c:v>AT</c:v>
                </c:pt>
                <c:pt idx="1">
                  <c:v>FR</c:v>
                </c:pt>
                <c:pt idx="2">
                  <c:v>DE</c:v>
                </c:pt>
                <c:pt idx="3">
                  <c:v>IT</c:v>
                </c:pt>
                <c:pt idx="4">
                  <c:v>NL</c:v>
                </c:pt>
                <c:pt idx="5">
                  <c:v>PL</c:v>
                </c:pt>
                <c:pt idx="6">
                  <c:v>ES</c:v>
                </c:pt>
                <c:pt idx="7">
                  <c:v>UK</c:v>
                </c:pt>
              </c:strCache>
            </c:strRef>
          </c:cat>
          <c:val>
            <c:numRef>
              <c:f>Tables!$B$9:$I$9</c:f>
              <c:numCache>
                <c:formatCode>0.0</c:formatCode>
                <c:ptCount val="8"/>
                <c:pt idx="0">
                  <c:v>15.473981335092429</c:v>
                </c:pt>
                <c:pt idx="1">
                  <c:v>22.722655629139073</c:v>
                </c:pt>
                <c:pt idx="2">
                  <c:v>17.101871951219515</c:v>
                </c:pt>
                <c:pt idx="3">
                  <c:v>20.135875912408761</c:v>
                </c:pt>
                <c:pt idx="4">
                  <c:v>13.830098545886161</c:v>
                </c:pt>
                <c:pt idx="5">
                  <c:v>15.538748845778393</c:v>
                </c:pt>
                <c:pt idx="6">
                  <c:v>16.772624999999998</c:v>
                </c:pt>
                <c:pt idx="7">
                  <c:v>17.053146666666667</c:v>
                </c:pt>
              </c:numCache>
            </c:numRef>
          </c:val>
          <c:extLst xmlns:c16r2="http://schemas.microsoft.com/office/drawing/2015/06/chart">
            <c:ext xmlns:c16="http://schemas.microsoft.com/office/drawing/2014/chart" uri="{C3380CC4-5D6E-409C-BE32-E72D297353CC}">
              <c16:uniqueId val="{00000001-19CE-4CA5-BC2D-CC8E0AE47F95}"/>
            </c:ext>
          </c:extLst>
        </c:ser>
        <c:dLbls>
          <c:showLegendKey val="0"/>
          <c:showVal val="0"/>
          <c:showCatName val="0"/>
          <c:showSerName val="0"/>
          <c:showPercent val="0"/>
          <c:showBubbleSize val="0"/>
        </c:dLbls>
        <c:gapWidth val="150"/>
        <c:axId val="73182592"/>
        <c:axId val="73188480"/>
      </c:barChart>
      <c:catAx>
        <c:axId val="73182592"/>
        <c:scaling>
          <c:orientation val="minMax"/>
        </c:scaling>
        <c:delete val="0"/>
        <c:axPos val="b"/>
        <c:numFmt formatCode="General" sourceLinked="0"/>
        <c:majorTickMark val="out"/>
        <c:minorTickMark val="none"/>
        <c:tickLblPos val="nextTo"/>
        <c:txPr>
          <a:bodyPr/>
          <a:lstStyle/>
          <a:p>
            <a:pPr>
              <a:defRPr sz="800"/>
            </a:pPr>
            <a:endParaRPr lang="en-US"/>
          </a:p>
        </c:txPr>
        <c:crossAx val="73188480"/>
        <c:crosses val="autoZero"/>
        <c:auto val="1"/>
        <c:lblAlgn val="ctr"/>
        <c:lblOffset val="100"/>
        <c:noMultiLvlLbl val="0"/>
      </c:catAx>
      <c:valAx>
        <c:axId val="73188480"/>
        <c:scaling>
          <c:orientation val="minMax"/>
        </c:scaling>
        <c:delete val="0"/>
        <c:axPos val="l"/>
        <c:numFmt formatCode="0.0" sourceLinked="1"/>
        <c:majorTickMark val="out"/>
        <c:minorTickMark val="none"/>
        <c:tickLblPos val="nextTo"/>
        <c:txPr>
          <a:bodyPr/>
          <a:lstStyle/>
          <a:p>
            <a:pPr>
              <a:defRPr sz="800"/>
            </a:pPr>
            <a:endParaRPr lang="en-US"/>
          </a:p>
        </c:txPr>
        <c:crossAx val="73182592"/>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471618007369034E-2"/>
          <c:y val="4.3126971513881868E-2"/>
          <c:w val="0.92377541287149079"/>
          <c:h val="0.67334561390835324"/>
        </c:manualLayout>
      </c:layout>
      <c:barChart>
        <c:barDir val="col"/>
        <c:grouping val="clustered"/>
        <c:varyColors val="0"/>
        <c:ser>
          <c:idx val="0"/>
          <c:order val="0"/>
          <c:tx>
            <c:strRef>
              <c:f>Google_barometer_41!$B$3</c:f>
              <c:strCache>
                <c:ptCount val="1"/>
                <c:pt idx="0">
                  <c:v>Search engine</c:v>
                </c:pt>
              </c:strCache>
            </c:strRef>
          </c:tx>
          <c:invertIfNegative val="0"/>
          <c:cat>
            <c:strRef>
              <c:f>Google_barometer_41!$C$2:$AA$2</c:f>
              <c:strCache>
                <c:ptCount val="25"/>
                <c:pt idx="0">
                  <c:v>austria</c:v>
                </c:pt>
                <c:pt idx="1">
                  <c:v>belgium</c:v>
                </c:pt>
                <c:pt idx="2">
                  <c:v>bulgaria</c:v>
                </c:pt>
                <c:pt idx="3">
                  <c:v>croatia</c:v>
                </c:pt>
                <c:pt idx="4">
                  <c:v>czech_republic</c:v>
                </c:pt>
                <c:pt idx="5">
                  <c:v>denmark</c:v>
                </c:pt>
                <c:pt idx="6">
                  <c:v>estonia</c:v>
                </c:pt>
                <c:pt idx="7">
                  <c:v>finland</c:v>
                </c:pt>
                <c:pt idx="8">
                  <c:v>france</c:v>
                </c:pt>
                <c:pt idx="9">
                  <c:v>germany</c:v>
                </c:pt>
                <c:pt idx="10">
                  <c:v>greece</c:v>
                </c:pt>
                <c:pt idx="11">
                  <c:v>hungary</c:v>
                </c:pt>
                <c:pt idx="12">
                  <c:v>ireland</c:v>
                </c:pt>
                <c:pt idx="13">
                  <c:v>italy</c:v>
                </c:pt>
                <c:pt idx="14">
                  <c:v>latvia</c:v>
                </c:pt>
                <c:pt idx="15">
                  <c:v>lithuania</c:v>
                </c:pt>
                <c:pt idx="16">
                  <c:v>netherlands</c:v>
                </c:pt>
                <c:pt idx="17">
                  <c:v>poland</c:v>
                </c:pt>
                <c:pt idx="18">
                  <c:v>portugal</c:v>
                </c:pt>
                <c:pt idx="19">
                  <c:v>romania</c:v>
                </c:pt>
                <c:pt idx="20">
                  <c:v>slovakia</c:v>
                </c:pt>
                <c:pt idx="21">
                  <c:v>slovenia</c:v>
                </c:pt>
                <c:pt idx="22">
                  <c:v>spain</c:v>
                </c:pt>
                <c:pt idx="23">
                  <c:v>sweden</c:v>
                </c:pt>
                <c:pt idx="24">
                  <c:v>united_kingdom</c:v>
                </c:pt>
              </c:strCache>
            </c:strRef>
          </c:cat>
          <c:val>
            <c:numRef>
              <c:f>Google_barometer_41!$C$3:$AA$3</c:f>
              <c:numCache>
                <c:formatCode>0%</c:formatCode>
                <c:ptCount val="25"/>
                <c:pt idx="0">
                  <c:v>0.83</c:v>
                </c:pt>
                <c:pt idx="1">
                  <c:v>0.77</c:v>
                </c:pt>
                <c:pt idx="2">
                  <c:v>0.85</c:v>
                </c:pt>
                <c:pt idx="3">
                  <c:v>0.91</c:v>
                </c:pt>
                <c:pt idx="4">
                  <c:v>0.85</c:v>
                </c:pt>
                <c:pt idx="5">
                  <c:v>0.74</c:v>
                </c:pt>
                <c:pt idx="6">
                  <c:v>0.84</c:v>
                </c:pt>
                <c:pt idx="7">
                  <c:v>0.76</c:v>
                </c:pt>
                <c:pt idx="8">
                  <c:v>0.73</c:v>
                </c:pt>
                <c:pt idx="9">
                  <c:v>0.77</c:v>
                </c:pt>
                <c:pt idx="10">
                  <c:v>0.87</c:v>
                </c:pt>
                <c:pt idx="11">
                  <c:v>0.63</c:v>
                </c:pt>
                <c:pt idx="12">
                  <c:v>0.85</c:v>
                </c:pt>
                <c:pt idx="13">
                  <c:v>0.85</c:v>
                </c:pt>
                <c:pt idx="14">
                  <c:v>0.82</c:v>
                </c:pt>
                <c:pt idx="15">
                  <c:v>0.91</c:v>
                </c:pt>
                <c:pt idx="16">
                  <c:v>0.69</c:v>
                </c:pt>
                <c:pt idx="17">
                  <c:v>0.88</c:v>
                </c:pt>
                <c:pt idx="18">
                  <c:v>0.79</c:v>
                </c:pt>
                <c:pt idx="19">
                  <c:v>0.92</c:v>
                </c:pt>
                <c:pt idx="20">
                  <c:v>0.81</c:v>
                </c:pt>
                <c:pt idx="21">
                  <c:v>0.9</c:v>
                </c:pt>
                <c:pt idx="22">
                  <c:v>0.87</c:v>
                </c:pt>
                <c:pt idx="23">
                  <c:v>0.77</c:v>
                </c:pt>
                <c:pt idx="24">
                  <c:v>0.83</c:v>
                </c:pt>
              </c:numCache>
            </c:numRef>
          </c:val>
          <c:extLst xmlns:c16r2="http://schemas.microsoft.com/office/drawing/2015/06/chart">
            <c:ext xmlns:c16="http://schemas.microsoft.com/office/drawing/2014/chart" uri="{C3380CC4-5D6E-409C-BE32-E72D297353CC}">
              <c16:uniqueId val="{00000000-2E49-47C0-BBF0-381C85213E1D}"/>
            </c:ext>
          </c:extLst>
        </c:ser>
        <c:ser>
          <c:idx val="1"/>
          <c:order val="1"/>
          <c:tx>
            <c:strRef>
              <c:f>Google_barometer_41!$B$5</c:f>
              <c:strCache>
                <c:ptCount val="1"/>
                <c:pt idx="0">
                  <c:v>Websites or apps</c:v>
                </c:pt>
              </c:strCache>
            </c:strRef>
          </c:tx>
          <c:invertIfNegative val="0"/>
          <c:cat>
            <c:strRef>
              <c:f>Google_barometer_41!$C$2:$AA$2</c:f>
              <c:strCache>
                <c:ptCount val="25"/>
                <c:pt idx="0">
                  <c:v>austria</c:v>
                </c:pt>
                <c:pt idx="1">
                  <c:v>belgium</c:v>
                </c:pt>
                <c:pt idx="2">
                  <c:v>bulgaria</c:v>
                </c:pt>
                <c:pt idx="3">
                  <c:v>croatia</c:v>
                </c:pt>
                <c:pt idx="4">
                  <c:v>czech_republic</c:v>
                </c:pt>
                <c:pt idx="5">
                  <c:v>denmark</c:v>
                </c:pt>
                <c:pt idx="6">
                  <c:v>estonia</c:v>
                </c:pt>
                <c:pt idx="7">
                  <c:v>finland</c:v>
                </c:pt>
                <c:pt idx="8">
                  <c:v>france</c:v>
                </c:pt>
                <c:pt idx="9">
                  <c:v>germany</c:v>
                </c:pt>
                <c:pt idx="10">
                  <c:v>greece</c:v>
                </c:pt>
                <c:pt idx="11">
                  <c:v>hungary</c:v>
                </c:pt>
                <c:pt idx="12">
                  <c:v>ireland</c:v>
                </c:pt>
                <c:pt idx="13">
                  <c:v>italy</c:v>
                </c:pt>
                <c:pt idx="14">
                  <c:v>latvia</c:v>
                </c:pt>
                <c:pt idx="15">
                  <c:v>lithuania</c:v>
                </c:pt>
                <c:pt idx="16">
                  <c:v>netherlands</c:v>
                </c:pt>
                <c:pt idx="17">
                  <c:v>poland</c:v>
                </c:pt>
                <c:pt idx="18">
                  <c:v>portugal</c:v>
                </c:pt>
                <c:pt idx="19">
                  <c:v>romania</c:v>
                </c:pt>
                <c:pt idx="20">
                  <c:v>slovakia</c:v>
                </c:pt>
                <c:pt idx="21">
                  <c:v>slovenia</c:v>
                </c:pt>
                <c:pt idx="22">
                  <c:v>spain</c:v>
                </c:pt>
                <c:pt idx="23">
                  <c:v>sweden</c:v>
                </c:pt>
                <c:pt idx="24">
                  <c:v>united_kingdom</c:v>
                </c:pt>
              </c:strCache>
            </c:strRef>
          </c:cat>
          <c:val>
            <c:numRef>
              <c:f>Google_barometer_41!$C$5:$AA$5</c:f>
              <c:numCache>
                <c:formatCode>0%</c:formatCode>
                <c:ptCount val="25"/>
                <c:pt idx="0">
                  <c:v>0.35</c:v>
                </c:pt>
                <c:pt idx="1">
                  <c:v>0.28999999999999998</c:v>
                </c:pt>
                <c:pt idx="2">
                  <c:v>0.32</c:v>
                </c:pt>
                <c:pt idx="3">
                  <c:v>0.33</c:v>
                </c:pt>
                <c:pt idx="4">
                  <c:v>0.37</c:v>
                </c:pt>
                <c:pt idx="5">
                  <c:v>0.35</c:v>
                </c:pt>
                <c:pt idx="6">
                  <c:v>0.38</c:v>
                </c:pt>
                <c:pt idx="7">
                  <c:v>0.26</c:v>
                </c:pt>
                <c:pt idx="8">
                  <c:v>0.31</c:v>
                </c:pt>
                <c:pt idx="9">
                  <c:v>0.28000000000000003</c:v>
                </c:pt>
                <c:pt idx="10">
                  <c:v>0.31</c:v>
                </c:pt>
                <c:pt idx="11">
                  <c:v>0.35</c:v>
                </c:pt>
                <c:pt idx="12">
                  <c:v>0.35</c:v>
                </c:pt>
                <c:pt idx="13">
                  <c:v>0.28999999999999998</c:v>
                </c:pt>
                <c:pt idx="14">
                  <c:v>0.34</c:v>
                </c:pt>
                <c:pt idx="15">
                  <c:v>0.26</c:v>
                </c:pt>
                <c:pt idx="16">
                  <c:v>0.32</c:v>
                </c:pt>
                <c:pt idx="17">
                  <c:v>0.38</c:v>
                </c:pt>
                <c:pt idx="18">
                  <c:v>0.31</c:v>
                </c:pt>
                <c:pt idx="19">
                  <c:v>0.42</c:v>
                </c:pt>
                <c:pt idx="20">
                  <c:v>0.35</c:v>
                </c:pt>
                <c:pt idx="21">
                  <c:v>0.24</c:v>
                </c:pt>
                <c:pt idx="22">
                  <c:v>0.33</c:v>
                </c:pt>
                <c:pt idx="23">
                  <c:v>0.27</c:v>
                </c:pt>
                <c:pt idx="24">
                  <c:v>0.24</c:v>
                </c:pt>
              </c:numCache>
            </c:numRef>
          </c:val>
          <c:extLst xmlns:c16r2="http://schemas.microsoft.com/office/drawing/2015/06/chart">
            <c:ext xmlns:c16="http://schemas.microsoft.com/office/drawing/2014/chart" uri="{C3380CC4-5D6E-409C-BE32-E72D297353CC}">
              <c16:uniqueId val="{00000001-2E49-47C0-BBF0-381C85213E1D}"/>
            </c:ext>
          </c:extLst>
        </c:ser>
        <c:ser>
          <c:idx val="2"/>
          <c:order val="2"/>
          <c:tx>
            <c:strRef>
              <c:f>Google_barometer_41!$B$8</c:f>
              <c:strCache>
                <c:ptCount val="1"/>
                <c:pt idx="0">
                  <c:v>Social networks</c:v>
                </c:pt>
              </c:strCache>
            </c:strRef>
          </c:tx>
          <c:invertIfNegative val="0"/>
          <c:cat>
            <c:strRef>
              <c:f>Google_barometer_41!$C$2:$AA$2</c:f>
              <c:strCache>
                <c:ptCount val="25"/>
                <c:pt idx="0">
                  <c:v>austria</c:v>
                </c:pt>
                <c:pt idx="1">
                  <c:v>belgium</c:v>
                </c:pt>
                <c:pt idx="2">
                  <c:v>bulgaria</c:v>
                </c:pt>
                <c:pt idx="3">
                  <c:v>croatia</c:v>
                </c:pt>
                <c:pt idx="4">
                  <c:v>czech_republic</c:v>
                </c:pt>
                <c:pt idx="5">
                  <c:v>denmark</c:v>
                </c:pt>
                <c:pt idx="6">
                  <c:v>estonia</c:v>
                </c:pt>
                <c:pt idx="7">
                  <c:v>finland</c:v>
                </c:pt>
                <c:pt idx="8">
                  <c:v>france</c:v>
                </c:pt>
                <c:pt idx="9">
                  <c:v>germany</c:v>
                </c:pt>
                <c:pt idx="10">
                  <c:v>greece</c:v>
                </c:pt>
                <c:pt idx="11">
                  <c:v>hungary</c:v>
                </c:pt>
                <c:pt idx="12">
                  <c:v>ireland</c:v>
                </c:pt>
                <c:pt idx="13">
                  <c:v>italy</c:v>
                </c:pt>
                <c:pt idx="14">
                  <c:v>latvia</c:v>
                </c:pt>
                <c:pt idx="15">
                  <c:v>lithuania</c:v>
                </c:pt>
                <c:pt idx="16">
                  <c:v>netherlands</c:v>
                </c:pt>
                <c:pt idx="17">
                  <c:v>poland</c:v>
                </c:pt>
                <c:pt idx="18">
                  <c:v>portugal</c:v>
                </c:pt>
                <c:pt idx="19">
                  <c:v>romania</c:v>
                </c:pt>
                <c:pt idx="20">
                  <c:v>slovakia</c:v>
                </c:pt>
                <c:pt idx="21">
                  <c:v>slovenia</c:v>
                </c:pt>
                <c:pt idx="22">
                  <c:v>spain</c:v>
                </c:pt>
                <c:pt idx="23">
                  <c:v>sweden</c:v>
                </c:pt>
                <c:pt idx="24">
                  <c:v>united_kingdom</c:v>
                </c:pt>
              </c:strCache>
            </c:strRef>
          </c:cat>
          <c:val>
            <c:numRef>
              <c:f>Google_barometer_41!$C$8:$AA$8</c:f>
              <c:numCache>
                <c:formatCode>0%</c:formatCode>
                <c:ptCount val="25"/>
                <c:pt idx="0">
                  <c:v>0.13</c:v>
                </c:pt>
                <c:pt idx="1">
                  <c:v>0.1</c:v>
                </c:pt>
                <c:pt idx="2">
                  <c:v>0.32</c:v>
                </c:pt>
                <c:pt idx="3">
                  <c:v>0.34</c:v>
                </c:pt>
                <c:pt idx="4">
                  <c:v>0.15</c:v>
                </c:pt>
                <c:pt idx="5">
                  <c:v>0.12</c:v>
                </c:pt>
                <c:pt idx="6">
                  <c:v>0.16</c:v>
                </c:pt>
                <c:pt idx="7">
                  <c:v>0.11</c:v>
                </c:pt>
                <c:pt idx="8">
                  <c:v>0.09</c:v>
                </c:pt>
                <c:pt idx="9">
                  <c:v>0.09</c:v>
                </c:pt>
                <c:pt idx="10">
                  <c:v>0.27</c:v>
                </c:pt>
                <c:pt idx="11">
                  <c:v>0.27</c:v>
                </c:pt>
                <c:pt idx="12">
                  <c:v>0.2</c:v>
                </c:pt>
                <c:pt idx="13">
                  <c:v>0.16</c:v>
                </c:pt>
                <c:pt idx="14">
                  <c:v>0.18</c:v>
                </c:pt>
                <c:pt idx="15">
                  <c:v>0.2</c:v>
                </c:pt>
                <c:pt idx="16">
                  <c:v>0.09</c:v>
                </c:pt>
                <c:pt idx="17">
                  <c:v>0.21</c:v>
                </c:pt>
                <c:pt idx="18">
                  <c:v>0.26</c:v>
                </c:pt>
                <c:pt idx="19">
                  <c:v>0.34</c:v>
                </c:pt>
                <c:pt idx="20">
                  <c:v>0.17</c:v>
                </c:pt>
                <c:pt idx="21">
                  <c:v>0.26</c:v>
                </c:pt>
                <c:pt idx="22">
                  <c:v>0.17</c:v>
                </c:pt>
                <c:pt idx="23">
                  <c:v>0.12</c:v>
                </c:pt>
                <c:pt idx="24">
                  <c:v>0.17</c:v>
                </c:pt>
              </c:numCache>
            </c:numRef>
          </c:val>
          <c:extLst xmlns:c16r2="http://schemas.microsoft.com/office/drawing/2015/06/chart">
            <c:ext xmlns:c16="http://schemas.microsoft.com/office/drawing/2014/chart" uri="{C3380CC4-5D6E-409C-BE32-E72D297353CC}">
              <c16:uniqueId val="{00000002-2E49-47C0-BBF0-381C85213E1D}"/>
            </c:ext>
          </c:extLst>
        </c:ser>
        <c:ser>
          <c:idx val="3"/>
          <c:order val="3"/>
          <c:tx>
            <c:strRef>
              <c:f>Google_barometer_41!$B$9</c:f>
              <c:strCache>
                <c:ptCount val="1"/>
                <c:pt idx="0">
                  <c:v>Price comparison sites</c:v>
                </c:pt>
              </c:strCache>
            </c:strRef>
          </c:tx>
          <c:invertIfNegative val="0"/>
          <c:cat>
            <c:strRef>
              <c:f>Google_barometer_41!$C$2:$AA$2</c:f>
              <c:strCache>
                <c:ptCount val="25"/>
                <c:pt idx="0">
                  <c:v>austria</c:v>
                </c:pt>
                <c:pt idx="1">
                  <c:v>belgium</c:v>
                </c:pt>
                <c:pt idx="2">
                  <c:v>bulgaria</c:v>
                </c:pt>
                <c:pt idx="3">
                  <c:v>croatia</c:v>
                </c:pt>
                <c:pt idx="4">
                  <c:v>czech_republic</c:v>
                </c:pt>
                <c:pt idx="5">
                  <c:v>denmark</c:v>
                </c:pt>
                <c:pt idx="6">
                  <c:v>estonia</c:v>
                </c:pt>
                <c:pt idx="7">
                  <c:v>finland</c:v>
                </c:pt>
                <c:pt idx="8">
                  <c:v>france</c:v>
                </c:pt>
                <c:pt idx="9">
                  <c:v>germany</c:v>
                </c:pt>
                <c:pt idx="10">
                  <c:v>greece</c:v>
                </c:pt>
                <c:pt idx="11">
                  <c:v>hungary</c:v>
                </c:pt>
                <c:pt idx="12">
                  <c:v>ireland</c:v>
                </c:pt>
                <c:pt idx="13">
                  <c:v>italy</c:v>
                </c:pt>
                <c:pt idx="14">
                  <c:v>latvia</c:v>
                </c:pt>
                <c:pt idx="15">
                  <c:v>lithuania</c:v>
                </c:pt>
                <c:pt idx="16">
                  <c:v>netherlands</c:v>
                </c:pt>
                <c:pt idx="17">
                  <c:v>poland</c:v>
                </c:pt>
                <c:pt idx="18">
                  <c:v>portugal</c:v>
                </c:pt>
                <c:pt idx="19">
                  <c:v>romania</c:v>
                </c:pt>
                <c:pt idx="20">
                  <c:v>slovakia</c:v>
                </c:pt>
                <c:pt idx="21">
                  <c:v>slovenia</c:v>
                </c:pt>
                <c:pt idx="22">
                  <c:v>spain</c:v>
                </c:pt>
                <c:pt idx="23">
                  <c:v>sweden</c:v>
                </c:pt>
                <c:pt idx="24">
                  <c:v>united_kingdom</c:v>
                </c:pt>
              </c:strCache>
            </c:strRef>
          </c:cat>
          <c:val>
            <c:numRef>
              <c:f>Google_barometer_41!$C$9:$AA$9</c:f>
              <c:numCache>
                <c:formatCode>0%</c:formatCode>
                <c:ptCount val="25"/>
                <c:pt idx="0">
                  <c:v>0.2</c:v>
                </c:pt>
                <c:pt idx="1">
                  <c:v>0.14000000000000001</c:v>
                </c:pt>
                <c:pt idx="2">
                  <c:v>0.22</c:v>
                </c:pt>
                <c:pt idx="3">
                  <c:v>0.19</c:v>
                </c:pt>
                <c:pt idx="4">
                  <c:v>0.18</c:v>
                </c:pt>
                <c:pt idx="5">
                  <c:v>0.14000000000000001</c:v>
                </c:pt>
                <c:pt idx="6">
                  <c:v>0.11</c:v>
                </c:pt>
                <c:pt idx="7">
                  <c:v>0.1</c:v>
                </c:pt>
                <c:pt idx="8">
                  <c:v>0.14000000000000001</c:v>
                </c:pt>
                <c:pt idx="9">
                  <c:v>0.14000000000000001</c:v>
                </c:pt>
                <c:pt idx="10">
                  <c:v>0.25</c:v>
                </c:pt>
                <c:pt idx="11">
                  <c:v>0.25</c:v>
                </c:pt>
                <c:pt idx="12">
                  <c:v>0.21</c:v>
                </c:pt>
                <c:pt idx="13">
                  <c:v>0.19</c:v>
                </c:pt>
                <c:pt idx="14">
                  <c:v>0.18</c:v>
                </c:pt>
                <c:pt idx="15">
                  <c:v>0.18</c:v>
                </c:pt>
                <c:pt idx="16">
                  <c:v>0.15</c:v>
                </c:pt>
                <c:pt idx="17">
                  <c:v>0.21</c:v>
                </c:pt>
                <c:pt idx="18">
                  <c:v>0.14000000000000001</c:v>
                </c:pt>
                <c:pt idx="19">
                  <c:v>0.25</c:v>
                </c:pt>
                <c:pt idx="20">
                  <c:v>0.25</c:v>
                </c:pt>
                <c:pt idx="21">
                  <c:v>0.17</c:v>
                </c:pt>
                <c:pt idx="22">
                  <c:v>0.22</c:v>
                </c:pt>
                <c:pt idx="23">
                  <c:v>0.14000000000000001</c:v>
                </c:pt>
                <c:pt idx="24">
                  <c:v>0.15</c:v>
                </c:pt>
              </c:numCache>
            </c:numRef>
          </c:val>
          <c:extLst xmlns:c16r2="http://schemas.microsoft.com/office/drawing/2015/06/chart">
            <c:ext xmlns:c16="http://schemas.microsoft.com/office/drawing/2014/chart" uri="{C3380CC4-5D6E-409C-BE32-E72D297353CC}">
              <c16:uniqueId val="{00000003-2E49-47C0-BBF0-381C85213E1D}"/>
            </c:ext>
          </c:extLst>
        </c:ser>
        <c:ser>
          <c:idx val="4"/>
          <c:order val="4"/>
          <c:tx>
            <c:strRef>
              <c:f>Google_barometer_41!$B$12</c:f>
              <c:strCache>
                <c:ptCount val="1"/>
                <c:pt idx="0">
                  <c:v>Online advertisements</c:v>
                </c:pt>
              </c:strCache>
            </c:strRef>
          </c:tx>
          <c:invertIfNegative val="0"/>
          <c:cat>
            <c:strRef>
              <c:f>Google_barometer_41!$C$2:$AA$2</c:f>
              <c:strCache>
                <c:ptCount val="25"/>
                <c:pt idx="0">
                  <c:v>austria</c:v>
                </c:pt>
                <c:pt idx="1">
                  <c:v>belgium</c:v>
                </c:pt>
                <c:pt idx="2">
                  <c:v>bulgaria</c:v>
                </c:pt>
                <c:pt idx="3">
                  <c:v>croatia</c:v>
                </c:pt>
                <c:pt idx="4">
                  <c:v>czech_republic</c:v>
                </c:pt>
                <c:pt idx="5">
                  <c:v>denmark</c:v>
                </c:pt>
                <c:pt idx="6">
                  <c:v>estonia</c:v>
                </c:pt>
                <c:pt idx="7">
                  <c:v>finland</c:v>
                </c:pt>
                <c:pt idx="8">
                  <c:v>france</c:v>
                </c:pt>
                <c:pt idx="9">
                  <c:v>germany</c:v>
                </c:pt>
                <c:pt idx="10">
                  <c:v>greece</c:v>
                </c:pt>
                <c:pt idx="11">
                  <c:v>hungary</c:v>
                </c:pt>
                <c:pt idx="12">
                  <c:v>ireland</c:v>
                </c:pt>
                <c:pt idx="13">
                  <c:v>italy</c:v>
                </c:pt>
                <c:pt idx="14">
                  <c:v>latvia</c:v>
                </c:pt>
                <c:pt idx="15">
                  <c:v>lithuania</c:v>
                </c:pt>
                <c:pt idx="16">
                  <c:v>netherlands</c:v>
                </c:pt>
                <c:pt idx="17">
                  <c:v>poland</c:v>
                </c:pt>
                <c:pt idx="18">
                  <c:v>portugal</c:v>
                </c:pt>
                <c:pt idx="19">
                  <c:v>romania</c:v>
                </c:pt>
                <c:pt idx="20">
                  <c:v>slovakia</c:v>
                </c:pt>
                <c:pt idx="21">
                  <c:v>slovenia</c:v>
                </c:pt>
                <c:pt idx="22">
                  <c:v>spain</c:v>
                </c:pt>
                <c:pt idx="23">
                  <c:v>sweden</c:v>
                </c:pt>
                <c:pt idx="24">
                  <c:v>united_kingdom</c:v>
                </c:pt>
              </c:strCache>
            </c:strRef>
          </c:cat>
          <c:val>
            <c:numRef>
              <c:f>Google_barometer_41!$C$12:$AA$12</c:f>
              <c:numCache>
                <c:formatCode>0%</c:formatCode>
                <c:ptCount val="25"/>
                <c:pt idx="0">
                  <c:v>0.1</c:v>
                </c:pt>
                <c:pt idx="1">
                  <c:v>0.08</c:v>
                </c:pt>
                <c:pt idx="2">
                  <c:v>0.18</c:v>
                </c:pt>
                <c:pt idx="3">
                  <c:v>0.16</c:v>
                </c:pt>
                <c:pt idx="4">
                  <c:v>0.08</c:v>
                </c:pt>
                <c:pt idx="5">
                  <c:v>7.0000000000000007E-2</c:v>
                </c:pt>
                <c:pt idx="6">
                  <c:v>0.08</c:v>
                </c:pt>
                <c:pt idx="7">
                  <c:v>0.09</c:v>
                </c:pt>
                <c:pt idx="8">
                  <c:v>0.06</c:v>
                </c:pt>
                <c:pt idx="9">
                  <c:v>0.09</c:v>
                </c:pt>
                <c:pt idx="10">
                  <c:v>0.14000000000000001</c:v>
                </c:pt>
                <c:pt idx="11">
                  <c:v>0.22</c:v>
                </c:pt>
                <c:pt idx="12">
                  <c:v>0.09</c:v>
                </c:pt>
                <c:pt idx="13">
                  <c:v>0.11</c:v>
                </c:pt>
                <c:pt idx="14">
                  <c:v>0.1</c:v>
                </c:pt>
                <c:pt idx="15">
                  <c:v>0.16</c:v>
                </c:pt>
                <c:pt idx="16">
                  <c:v>0.08</c:v>
                </c:pt>
                <c:pt idx="17">
                  <c:v>0.13</c:v>
                </c:pt>
                <c:pt idx="18">
                  <c:v>0.09</c:v>
                </c:pt>
                <c:pt idx="19">
                  <c:v>0.21</c:v>
                </c:pt>
                <c:pt idx="20">
                  <c:v>0.12</c:v>
                </c:pt>
                <c:pt idx="21">
                  <c:v>0.18</c:v>
                </c:pt>
                <c:pt idx="22">
                  <c:v>0.1</c:v>
                </c:pt>
                <c:pt idx="23">
                  <c:v>7.0000000000000007E-2</c:v>
                </c:pt>
                <c:pt idx="24">
                  <c:v>0.08</c:v>
                </c:pt>
              </c:numCache>
            </c:numRef>
          </c:val>
          <c:extLst xmlns:c16r2="http://schemas.microsoft.com/office/drawing/2015/06/chart">
            <c:ext xmlns:c16="http://schemas.microsoft.com/office/drawing/2014/chart" uri="{C3380CC4-5D6E-409C-BE32-E72D297353CC}">
              <c16:uniqueId val="{00000004-2E49-47C0-BBF0-381C85213E1D}"/>
            </c:ext>
          </c:extLst>
        </c:ser>
        <c:ser>
          <c:idx val="5"/>
          <c:order val="5"/>
          <c:tx>
            <c:strRef>
              <c:f>Google_barometer_41!$B$14</c:f>
              <c:strCache>
                <c:ptCount val="1"/>
                <c:pt idx="0">
                  <c:v>Online customer service</c:v>
                </c:pt>
              </c:strCache>
            </c:strRef>
          </c:tx>
          <c:invertIfNegative val="0"/>
          <c:cat>
            <c:strRef>
              <c:f>Google_barometer_41!$C$2:$AA$2</c:f>
              <c:strCache>
                <c:ptCount val="25"/>
                <c:pt idx="0">
                  <c:v>austria</c:v>
                </c:pt>
                <c:pt idx="1">
                  <c:v>belgium</c:v>
                </c:pt>
                <c:pt idx="2">
                  <c:v>bulgaria</c:v>
                </c:pt>
                <c:pt idx="3">
                  <c:v>croatia</c:v>
                </c:pt>
                <c:pt idx="4">
                  <c:v>czech_republic</c:v>
                </c:pt>
                <c:pt idx="5">
                  <c:v>denmark</c:v>
                </c:pt>
                <c:pt idx="6">
                  <c:v>estonia</c:v>
                </c:pt>
                <c:pt idx="7">
                  <c:v>finland</c:v>
                </c:pt>
                <c:pt idx="8">
                  <c:v>france</c:v>
                </c:pt>
                <c:pt idx="9">
                  <c:v>germany</c:v>
                </c:pt>
                <c:pt idx="10">
                  <c:v>greece</c:v>
                </c:pt>
                <c:pt idx="11">
                  <c:v>hungary</c:v>
                </c:pt>
                <c:pt idx="12">
                  <c:v>ireland</c:v>
                </c:pt>
                <c:pt idx="13">
                  <c:v>italy</c:v>
                </c:pt>
                <c:pt idx="14">
                  <c:v>latvia</c:v>
                </c:pt>
                <c:pt idx="15">
                  <c:v>lithuania</c:v>
                </c:pt>
                <c:pt idx="16">
                  <c:v>netherlands</c:v>
                </c:pt>
                <c:pt idx="17">
                  <c:v>poland</c:v>
                </c:pt>
                <c:pt idx="18">
                  <c:v>portugal</c:v>
                </c:pt>
                <c:pt idx="19">
                  <c:v>romania</c:v>
                </c:pt>
                <c:pt idx="20">
                  <c:v>slovakia</c:v>
                </c:pt>
                <c:pt idx="21">
                  <c:v>slovenia</c:v>
                </c:pt>
                <c:pt idx="22">
                  <c:v>spain</c:v>
                </c:pt>
                <c:pt idx="23">
                  <c:v>sweden</c:v>
                </c:pt>
                <c:pt idx="24">
                  <c:v>united_kingdom</c:v>
                </c:pt>
              </c:strCache>
            </c:strRef>
          </c:cat>
          <c:val>
            <c:numRef>
              <c:f>Google_barometer_41!$C$14:$AA$14</c:f>
              <c:numCache>
                <c:formatCode>0%</c:formatCode>
                <c:ptCount val="25"/>
                <c:pt idx="0">
                  <c:v>7.0000000000000007E-2</c:v>
                </c:pt>
                <c:pt idx="1">
                  <c:v>7.0000000000000007E-2</c:v>
                </c:pt>
                <c:pt idx="2">
                  <c:v>0.16</c:v>
                </c:pt>
                <c:pt idx="3">
                  <c:v>0.13</c:v>
                </c:pt>
                <c:pt idx="4">
                  <c:v>0.12</c:v>
                </c:pt>
                <c:pt idx="5">
                  <c:v>0.11</c:v>
                </c:pt>
                <c:pt idx="6">
                  <c:v>0.12</c:v>
                </c:pt>
                <c:pt idx="7">
                  <c:v>0.1</c:v>
                </c:pt>
                <c:pt idx="8">
                  <c:v>0.12</c:v>
                </c:pt>
                <c:pt idx="9">
                  <c:v>0.08</c:v>
                </c:pt>
                <c:pt idx="10">
                  <c:v>0.11</c:v>
                </c:pt>
                <c:pt idx="11">
                  <c:v>0.09</c:v>
                </c:pt>
                <c:pt idx="12">
                  <c:v>0.12</c:v>
                </c:pt>
                <c:pt idx="13">
                  <c:v>0.1</c:v>
                </c:pt>
                <c:pt idx="14">
                  <c:v>0.05</c:v>
                </c:pt>
                <c:pt idx="15">
                  <c:v>0.12</c:v>
                </c:pt>
                <c:pt idx="16">
                  <c:v>7.0000000000000007E-2</c:v>
                </c:pt>
                <c:pt idx="17">
                  <c:v>0.13</c:v>
                </c:pt>
                <c:pt idx="18">
                  <c:v>0.13</c:v>
                </c:pt>
                <c:pt idx="19">
                  <c:v>0.14000000000000001</c:v>
                </c:pt>
                <c:pt idx="20">
                  <c:v>0.1</c:v>
                </c:pt>
                <c:pt idx="21">
                  <c:v>0.13</c:v>
                </c:pt>
                <c:pt idx="22">
                  <c:v>0.12</c:v>
                </c:pt>
                <c:pt idx="23">
                  <c:v>0.11</c:v>
                </c:pt>
                <c:pt idx="24">
                  <c:v>0.1</c:v>
                </c:pt>
              </c:numCache>
            </c:numRef>
          </c:val>
          <c:extLst xmlns:c16r2="http://schemas.microsoft.com/office/drawing/2015/06/chart">
            <c:ext xmlns:c16="http://schemas.microsoft.com/office/drawing/2014/chart" uri="{C3380CC4-5D6E-409C-BE32-E72D297353CC}">
              <c16:uniqueId val="{00000005-2E49-47C0-BBF0-381C85213E1D}"/>
            </c:ext>
          </c:extLst>
        </c:ser>
        <c:dLbls>
          <c:showLegendKey val="0"/>
          <c:showVal val="0"/>
          <c:showCatName val="0"/>
          <c:showSerName val="0"/>
          <c:showPercent val="0"/>
          <c:showBubbleSize val="0"/>
        </c:dLbls>
        <c:gapWidth val="150"/>
        <c:axId val="74710016"/>
        <c:axId val="74720000"/>
      </c:barChart>
      <c:catAx>
        <c:axId val="74710016"/>
        <c:scaling>
          <c:orientation val="minMax"/>
        </c:scaling>
        <c:delete val="0"/>
        <c:axPos val="b"/>
        <c:numFmt formatCode="General" sourceLinked="0"/>
        <c:majorTickMark val="out"/>
        <c:minorTickMark val="none"/>
        <c:tickLblPos val="nextTo"/>
        <c:crossAx val="74720000"/>
        <c:crosses val="autoZero"/>
        <c:auto val="1"/>
        <c:lblAlgn val="ctr"/>
        <c:lblOffset val="100"/>
        <c:noMultiLvlLbl val="0"/>
      </c:catAx>
      <c:valAx>
        <c:axId val="74720000"/>
        <c:scaling>
          <c:orientation val="minMax"/>
        </c:scaling>
        <c:delete val="0"/>
        <c:axPos val="l"/>
        <c:numFmt formatCode="0%" sourceLinked="1"/>
        <c:majorTickMark val="out"/>
        <c:minorTickMark val="none"/>
        <c:tickLblPos val="nextTo"/>
        <c:crossAx val="7471001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UVNUSV5RWJH5-1794381228-333</_dlc_DocId>
    <_dlc_DocIdUrl xmlns="866aabb8-7ec2-447a-a7ff-f911015037e7">
      <Url>https://myintracomm-collab.ec.europa.eu/dg/CONNECT/directorateF/UnitF2/_layouts/15/DocIdRedir.aspx?ID=UVNUSV5RWJH5-1794381228-333</Url>
      <Description>UVNUSV5RWJH5-1794381228-333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b:Source>
    <b:Tag>ECOng</b:Tag>
    <b:SourceType>ConferenceProceedings</b:SourceType>
    <b:Guid>{9CD4F4F2-2191-4E7E-BFE3-8D382125CAE8}</b:Guid>
    <b:Author>
      <b:Author>
        <b:Corporate>ECORYS</b:Corporate>
      </b:Author>
    </b:Author>
    <b:Title>Business-to-Business relations in the online platform environment</b:Title>
    <b:Pages>198</b:Pages>
    <b:Year>2017 - forthcoming</b:Year>
    <b:RefOrder>1</b:RefOrder>
  </b:Source>
</b:Sources>
</file>

<file path=customXml/itemProps1.xml><?xml version="1.0" encoding="utf-8"?>
<ds:datastoreItem xmlns:ds="http://schemas.openxmlformats.org/officeDocument/2006/customXml" ds:itemID="{2DD01ECA-D771-4959-AA4A-EE80E0C2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9D99D-F891-4CBF-87BC-18F4A0536D97}">
  <ds:schemaRefs>
    <ds:schemaRef ds:uri="http://schemas.microsoft.com/sharepoint/v3/contenttype/forms"/>
  </ds:schemaRefs>
</ds:datastoreItem>
</file>

<file path=customXml/itemProps3.xml><?xml version="1.0" encoding="utf-8"?>
<ds:datastoreItem xmlns:ds="http://schemas.openxmlformats.org/officeDocument/2006/customXml" ds:itemID="{03D36C8D-22DB-4AA7-9FD8-2D321723C38C}">
  <ds:schemaRefs>
    <ds:schemaRef ds:uri="http://schemas.microsoft.com/sharepoint/events"/>
  </ds:schemaRefs>
</ds:datastoreItem>
</file>

<file path=customXml/itemProps4.xml><?xml version="1.0" encoding="utf-8"?>
<ds:datastoreItem xmlns:ds="http://schemas.openxmlformats.org/officeDocument/2006/customXml" ds:itemID="{4BCD2377-9D9B-448C-9AAF-E0234507E4B3}">
  <ds:schemaRefs>
    <ds:schemaRef ds:uri="866aabb8-7ec2-447a-a7ff-f911015037e7"/>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2dd8d85e-8862-4fd7-b17a-fcd630b045fb"/>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05952E0-F7C0-4E49-9198-39F0D0DC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67962</Words>
  <Characters>379912</Characters>
  <Application>Microsoft Office Word</Application>
  <DocSecurity>0</DocSecurity>
  <Lines>8634</Lines>
  <Paragraphs>2132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2018-04-16T13:14:00Z</cp:lastPrinted>
  <dcterms:created xsi:type="dcterms:W3CDTF">2018-04-13T10:50:00Z</dcterms:created>
  <dcterms:modified xsi:type="dcterms:W3CDTF">2018-04-26T07:22:00Z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0x010100258AA79CEB83498886A3A0868112325000A0BDFF1823B4BC488305CC72AA7E9C5D</vt:lpwstr>
  </property>
  <property fmtid="{D5CDD505-2E9C-101B-9397-08002B2CF9AE}" pid="3" name="_dlc_DocIdItemGuid">
    <vt:lpwstr>29b3e71e-673f-444f-bde4-71d331828ceb</vt:lpwstr>
  </property>
  <property fmtid="{D5CDD505-2E9C-101B-9397-08002B2CF9AE}" pid="4" name="Level of sensitivity">
    <vt:lpwstr>Standard treatment</vt:lpwstr>
  </property>
  <property fmtid="{D5CDD505-2E9C-101B-9397-08002B2CF9AE}" pid="5" name="Part">
    <vt:lpwstr>2</vt:lpwstr>
  </property>
  <property fmtid="{D5CDD505-2E9C-101B-9397-08002B2CF9AE}" pid="6" name="Total parts">
    <vt:lpwstr>2</vt:lpwstr>
  </property>
  <property fmtid="{D5CDD505-2E9C-101B-9397-08002B2CF9AE}" pid="7" name="DocStatus">
    <vt:lpwstr>Green</vt:lpwstr>
  </property>
</Properties>
</file>