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1A" w:rsidRDefault="009F0AE3" w:rsidP="009F0AE3">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4E047AA-9DC0-472C-932F-1FBADB167041" style="width:450.85pt;height:371.2pt">
            <v:imagedata r:id="rId13" o:title=""/>
          </v:shape>
        </w:pict>
      </w:r>
    </w:p>
    <w:bookmarkEnd w:id="0"/>
    <w:p w:rsidR="003B411A" w:rsidRDefault="003B411A">
      <w:pPr>
        <w:rPr>
          <w:noProof/>
          <w:lang w:val="en-GB"/>
        </w:rPr>
        <w:sectPr w:rsidR="003B411A" w:rsidSect="009F0AE3">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3B411A" w:rsidRDefault="003B411A">
      <w:pPr>
        <w:rPr>
          <w:noProof/>
          <w:lang w:val="en-GB"/>
        </w:rPr>
      </w:pPr>
    </w:p>
    <w:p w:rsidR="003B411A" w:rsidRDefault="009F0AE3">
      <w:pPr>
        <w:pStyle w:val="TOCHeading"/>
        <w:rPr>
          <w:noProof/>
          <w:szCs w:val="24"/>
        </w:rPr>
      </w:pPr>
      <w:r>
        <w:rPr>
          <w:noProof/>
          <w:szCs w:val="24"/>
        </w:rPr>
        <w:t>TABLE OF CONTENTS</w:t>
      </w:r>
    </w:p>
    <w:p w:rsidR="003B411A" w:rsidRDefault="009F0AE3">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50595241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_Toc505952410 \h </w:instrText>
        </w:r>
        <w:r>
          <w:rPr>
            <w:noProof/>
            <w:webHidden/>
          </w:rPr>
        </w:r>
        <w:r>
          <w:rPr>
            <w:noProof/>
            <w:webHidden/>
          </w:rPr>
          <w:fldChar w:fldCharType="separate"/>
        </w:r>
        <w:r>
          <w:rPr>
            <w:noProof/>
            <w:webHidden/>
          </w:rPr>
          <w:t>3</w:t>
        </w:r>
        <w:r>
          <w:rPr>
            <w:noProof/>
            <w:webHidden/>
          </w:rPr>
          <w:fldChar w:fldCharType="end"/>
        </w:r>
      </w:hyperlink>
    </w:p>
    <w:p w:rsidR="003B411A" w:rsidRDefault="009F0AE3">
      <w:pPr>
        <w:pStyle w:val="TOC1"/>
        <w:rPr>
          <w:rFonts w:asciiTheme="minorHAnsi" w:eastAsiaTheme="minorEastAsia" w:hAnsiTheme="minorHAnsi" w:cstheme="minorBidi"/>
          <w:caps w:val="0"/>
          <w:noProof/>
          <w:sz w:val="22"/>
          <w:szCs w:val="22"/>
          <w:lang w:eastAsia="en-GB"/>
        </w:rPr>
      </w:pPr>
      <w:hyperlink w:anchor="_Toc505952411"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intervention</w:t>
        </w:r>
        <w:r>
          <w:rPr>
            <w:noProof/>
            <w:webHidden/>
          </w:rPr>
          <w:tab/>
        </w:r>
        <w:r>
          <w:rPr>
            <w:noProof/>
            <w:webHidden/>
          </w:rPr>
          <w:fldChar w:fldCharType="begin"/>
        </w:r>
        <w:r>
          <w:rPr>
            <w:noProof/>
            <w:webHidden/>
          </w:rPr>
          <w:instrText xml:space="preserve"> PAGEREF _Toc505952411 \h </w:instrText>
        </w:r>
        <w:r>
          <w:rPr>
            <w:noProof/>
            <w:webHidden/>
          </w:rPr>
        </w:r>
        <w:r>
          <w:rPr>
            <w:noProof/>
            <w:webHidden/>
          </w:rPr>
          <w:fldChar w:fldCharType="separate"/>
        </w:r>
        <w:r>
          <w:rPr>
            <w:noProof/>
            <w:webHidden/>
          </w:rPr>
          <w:t>4</w:t>
        </w:r>
        <w:r>
          <w:rPr>
            <w:noProof/>
            <w:webHidden/>
          </w:rPr>
          <w:fldChar w:fldCharType="end"/>
        </w:r>
      </w:hyperlink>
    </w:p>
    <w:p w:rsidR="003B411A" w:rsidRDefault="009F0AE3">
      <w:pPr>
        <w:pStyle w:val="TOC1"/>
        <w:rPr>
          <w:rFonts w:asciiTheme="minorHAnsi" w:eastAsiaTheme="minorEastAsia" w:hAnsiTheme="minorHAnsi" w:cstheme="minorBidi"/>
          <w:caps w:val="0"/>
          <w:noProof/>
          <w:sz w:val="22"/>
          <w:szCs w:val="22"/>
          <w:lang w:eastAsia="en-GB"/>
        </w:rPr>
      </w:pPr>
      <w:hyperlink w:anchor="_Toc505952412"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_Toc505952412 \h </w:instrText>
        </w:r>
        <w:r>
          <w:rPr>
            <w:noProof/>
            <w:webHidden/>
          </w:rPr>
        </w:r>
        <w:r>
          <w:rPr>
            <w:noProof/>
            <w:webHidden/>
          </w:rPr>
          <w:fldChar w:fldCharType="separate"/>
        </w:r>
        <w:r>
          <w:rPr>
            <w:noProof/>
            <w:webHidden/>
          </w:rPr>
          <w:t>7</w:t>
        </w:r>
        <w:r>
          <w:rPr>
            <w:noProof/>
            <w:webHidden/>
          </w:rPr>
          <w:fldChar w:fldCharType="end"/>
        </w:r>
      </w:hyperlink>
    </w:p>
    <w:p w:rsidR="003B411A" w:rsidRDefault="009F0AE3">
      <w:pPr>
        <w:pStyle w:val="TOC1"/>
        <w:rPr>
          <w:rFonts w:asciiTheme="minorHAnsi" w:eastAsiaTheme="minorEastAsia" w:hAnsiTheme="minorHAnsi" w:cstheme="minorBidi"/>
          <w:caps w:val="0"/>
          <w:noProof/>
          <w:sz w:val="22"/>
          <w:szCs w:val="22"/>
          <w:lang w:eastAsia="en-GB"/>
        </w:rPr>
      </w:pPr>
      <w:hyperlink w:anchor="_Toc505952413"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_Toc505952413 \h </w:instrText>
        </w:r>
        <w:r>
          <w:rPr>
            <w:noProof/>
            <w:webHidden/>
          </w:rPr>
        </w:r>
        <w:r>
          <w:rPr>
            <w:noProof/>
            <w:webHidden/>
          </w:rPr>
          <w:fldChar w:fldCharType="separate"/>
        </w:r>
        <w:r>
          <w:rPr>
            <w:noProof/>
            <w:webHidden/>
          </w:rPr>
          <w:t>11</w:t>
        </w:r>
        <w:r>
          <w:rPr>
            <w:noProof/>
            <w:webHidden/>
          </w:rPr>
          <w:fldChar w:fldCharType="end"/>
        </w:r>
      </w:hyperlink>
    </w:p>
    <w:p w:rsidR="003B411A" w:rsidRDefault="009F0AE3">
      <w:pPr>
        <w:pStyle w:val="TOC1"/>
        <w:rPr>
          <w:rFonts w:asciiTheme="minorHAnsi" w:eastAsiaTheme="minorEastAsia" w:hAnsiTheme="minorHAnsi" w:cstheme="minorBidi"/>
          <w:caps w:val="0"/>
          <w:noProof/>
          <w:sz w:val="22"/>
          <w:szCs w:val="22"/>
          <w:lang w:eastAsia="en-GB"/>
        </w:rPr>
      </w:pPr>
      <w:hyperlink w:anchor="_Toc505952414"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_Toc505952414 \h </w:instrText>
        </w:r>
        <w:r>
          <w:rPr>
            <w:noProof/>
            <w:webHidden/>
          </w:rPr>
        </w:r>
        <w:r>
          <w:rPr>
            <w:noProof/>
            <w:webHidden/>
          </w:rPr>
          <w:fldChar w:fldCharType="separate"/>
        </w:r>
        <w:r>
          <w:rPr>
            <w:noProof/>
            <w:webHidden/>
          </w:rPr>
          <w:t>13</w:t>
        </w:r>
        <w:r>
          <w:rPr>
            <w:noProof/>
            <w:webHidden/>
          </w:rPr>
          <w:fldChar w:fldCharType="end"/>
        </w:r>
      </w:hyperlink>
    </w:p>
    <w:p w:rsidR="003B411A" w:rsidRDefault="009F0AE3">
      <w:pPr>
        <w:pStyle w:val="TOC1"/>
        <w:rPr>
          <w:rFonts w:asciiTheme="minorHAnsi" w:eastAsiaTheme="minorEastAsia" w:hAnsiTheme="minorHAnsi" w:cstheme="minorBidi"/>
          <w:caps w:val="0"/>
          <w:noProof/>
          <w:sz w:val="22"/>
          <w:szCs w:val="22"/>
          <w:lang w:eastAsia="en-GB"/>
        </w:rPr>
      </w:pPr>
      <w:hyperlink w:anchor="_Toc505952415"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_Toc505952415 \h </w:instrText>
        </w:r>
        <w:r>
          <w:rPr>
            <w:noProof/>
            <w:webHidden/>
          </w:rPr>
        </w:r>
        <w:r>
          <w:rPr>
            <w:noProof/>
            <w:webHidden/>
          </w:rPr>
          <w:fldChar w:fldCharType="separate"/>
        </w:r>
        <w:r>
          <w:rPr>
            <w:noProof/>
            <w:webHidden/>
          </w:rPr>
          <w:t>42</w:t>
        </w:r>
        <w:r>
          <w:rPr>
            <w:noProof/>
            <w:webHidden/>
          </w:rPr>
          <w:fldChar w:fldCharType="end"/>
        </w:r>
      </w:hyperlink>
    </w:p>
    <w:p w:rsidR="003B411A" w:rsidRDefault="009F0AE3">
      <w:pPr>
        <w:pStyle w:val="TOC1"/>
        <w:rPr>
          <w:rFonts w:asciiTheme="minorHAnsi" w:eastAsiaTheme="minorEastAsia" w:hAnsiTheme="minorHAnsi" w:cstheme="minorBidi"/>
          <w:caps w:val="0"/>
          <w:noProof/>
          <w:sz w:val="22"/>
          <w:szCs w:val="22"/>
          <w:lang w:eastAsia="en-GB"/>
        </w:rPr>
      </w:pPr>
      <w:hyperlink w:anchor="_Toc505952416" w:history="1">
        <w:r>
          <w:rPr>
            <w:rStyle w:val="Hyperlink"/>
            <w:noProof/>
          </w:rPr>
          <w:t>ANNEX  1 – EVALUATION QUESTIONS</w:t>
        </w:r>
        <w:r>
          <w:rPr>
            <w:noProof/>
            <w:webHidden/>
          </w:rPr>
          <w:tab/>
        </w:r>
        <w:r>
          <w:rPr>
            <w:noProof/>
            <w:webHidden/>
          </w:rPr>
          <w:fldChar w:fldCharType="begin"/>
        </w:r>
        <w:r>
          <w:rPr>
            <w:noProof/>
            <w:webHidden/>
          </w:rPr>
          <w:instrText xml:space="preserve"> PAGEREF _Toc505952416 \h </w:instrText>
        </w:r>
        <w:r>
          <w:rPr>
            <w:noProof/>
            <w:webHidden/>
          </w:rPr>
        </w:r>
        <w:r>
          <w:rPr>
            <w:noProof/>
            <w:webHidden/>
          </w:rPr>
          <w:fldChar w:fldCharType="separate"/>
        </w:r>
        <w:r>
          <w:rPr>
            <w:noProof/>
            <w:webHidden/>
          </w:rPr>
          <w:t>44</w:t>
        </w:r>
        <w:r>
          <w:rPr>
            <w:noProof/>
            <w:webHidden/>
          </w:rPr>
          <w:fldChar w:fldCharType="end"/>
        </w:r>
      </w:hyperlink>
    </w:p>
    <w:p w:rsidR="003B411A" w:rsidRDefault="009F0AE3">
      <w:pPr>
        <w:pStyle w:val="TOC1"/>
        <w:rPr>
          <w:rFonts w:asciiTheme="minorHAnsi" w:eastAsiaTheme="minorEastAsia" w:hAnsiTheme="minorHAnsi" w:cstheme="minorBidi"/>
          <w:caps w:val="0"/>
          <w:noProof/>
          <w:sz w:val="22"/>
          <w:szCs w:val="22"/>
          <w:lang w:eastAsia="en-GB"/>
        </w:rPr>
      </w:pPr>
      <w:hyperlink w:anchor="_Toc505952417" w:history="1">
        <w:r>
          <w:rPr>
            <w:rStyle w:val="Hyperlink"/>
            <w:noProof/>
          </w:rPr>
          <w:t>ANNEX  2 – GLOSSARY</w:t>
        </w:r>
        <w:r>
          <w:rPr>
            <w:noProof/>
            <w:webHidden/>
          </w:rPr>
          <w:tab/>
        </w:r>
        <w:r>
          <w:rPr>
            <w:noProof/>
            <w:webHidden/>
          </w:rPr>
          <w:fldChar w:fldCharType="begin"/>
        </w:r>
        <w:r>
          <w:rPr>
            <w:noProof/>
            <w:webHidden/>
          </w:rPr>
          <w:instrText xml:space="preserve"> PAGEREF _Toc505952417 \h </w:instrText>
        </w:r>
        <w:r>
          <w:rPr>
            <w:noProof/>
            <w:webHidden/>
          </w:rPr>
        </w:r>
        <w:r>
          <w:rPr>
            <w:noProof/>
            <w:webHidden/>
          </w:rPr>
          <w:fldChar w:fldCharType="separate"/>
        </w:r>
        <w:r>
          <w:rPr>
            <w:noProof/>
            <w:webHidden/>
          </w:rPr>
          <w:t>46</w:t>
        </w:r>
        <w:r>
          <w:rPr>
            <w:noProof/>
            <w:webHidden/>
          </w:rPr>
          <w:fldChar w:fldCharType="end"/>
        </w:r>
      </w:hyperlink>
    </w:p>
    <w:p w:rsidR="003B411A" w:rsidRDefault="009F0AE3">
      <w:pPr>
        <w:pStyle w:val="TOC1"/>
        <w:rPr>
          <w:rFonts w:asciiTheme="minorHAnsi" w:eastAsiaTheme="minorEastAsia" w:hAnsiTheme="minorHAnsi" w:cstheme="minorBidi"/>
          <w:caps w:val="0"/>
          <w:noProof/>
          <w:sz w:val="22"/>
          <w:szCs w:val="22"/>
          <w:lang w:eastAsia="en-GB"/>
        </w:rPr>
      </w:pPr>
      <w:hyperlink w:anchor="_Toc505952418" w:history="1">
        <w:r>
          <w:rPr>
            <w:rStyle w:val="Hyperlink"/>
            <w:noProof/>
          </w:rPr>
          <w:t xml:space="preserve">ANNEX 3 </w:t>
        </w:r>
        <w:r>
          <w:rPr>
            <w:rStyle w:val="Hyperlink"/>
            <w:noProof/>
          </w:rPr>
          <w:t>– LIST OF LITERATURE USED</w:t>
        </w:r>
        <w:r>
          <w:rPr>
            <w:noProof/>
            <w:webHidden/>
          </w:rPr>
          <w:tab/>
        </w:r>
        <w:r>
          <w:rPr>
            <w:noProof/>
            <w:webHidden/>
          </w:rPr>
          <w:fldChar w:fldCharType="begin"/>
        </w:r>
        <w:r>
          <w:rPr>
            <w:noProof/>
            <w:webHidden/>
          </w:rPr>
          <w:instrText xml:space="preserve"> PAGEREF _Toc505952418 \h </w:instrText>
        </w:r>
        <w:r>
          <w:rPr>
            <w:noProof/>
            <w:webHidden/>
          </w:rPr>
        </w:r>
        <w:r>
          <w:rPr>
            <w:noProof/>
            <w:webHidden/>
          </w:rPr>
          <w:fldChar w:fldCharType="separate"/>
        </w:r>
        <w:r>
          <w:rPr>
            <w:noProof/>
            <w:webHidden/>
          </w:rPr>
          <w:t>48</w:t>
        </w:r>
        <w:r>
          <w:rPr>
            <w:noProof/>
            <w:webHidden/>
          </w:rPr>
          <w:fldChar w:fldCharType="end"/>
        </w:r>
      </w:hyperlink>
    </w:p>
    <w:p w:rsidR="003B411A" w:rsidRDefault="009F0AE3">
      <w:pPr>
        <w:rPr>
          <w:noProof/>
          <w:lang w:val="en-GB"/>
        </w:rPr>
        <w:sectPr w:rsidR="003B411A">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pgNumType w:start="2"/>
          <w:cols w:space="720"/>
          <w:titlePg/>
        </w:sectPr>
      </w:pPr>
      <w:r>
        <w:rPr>
          <w:noProof/>
        </w:rPr>
        <w:fldChar w:fldCharType="end"/>
      </w:r>
    </w:p>
    <w:p w:rsidR="003B411A" w:rsidRDefault="003B411A">
      <w:pPr>
        <w:rPr>
          <w:noProof/>
          <w:lang w:val="en-GB"/>
        </w:rPr>
      </w:pPr>
    </w:p>
    <w:p w:rsidR="003B411A" w:rsidRDefault="009F0AE3">
      <w:pPr>
        <w:pStyle w:val="Heading1"/>
        <w:numPr>
          <w:ilvl w:val="0"/>
          <w:numId w:val="3"/>
        </w:numPr>
        <w:rPr>
          <w:noProof/>
        </w:rPr>
      </w:pPr>
      <w:bookmarkStart w:id="1" w:name="_Toc501640534"/>
      <w:bookmarkStart w:id="2" w:name="_Toc503460719"/>
      <w:bookmarkStart w:id="3" w:name="_Toc503544746"/>
      <w:bookmarkStart w:id="4" w:name="_Toc504065544"/>
      <w:bookmarkStart w:id="5" w:name="_Toc505952410"/>
      <w:r>
        <w:rPr>
          <w:noProof/>
        </w:rPr>
        <w:t>Introduction</w:t>
      </w:r>
      <w:bookmarkEnd w:id="1"/>
      <w:bookmarkEnd w:id="2"/>
      <w:bookmarkEnd w:id="3"/>
      <w:bookmarkEnd w:id="4"/>
      <w:bookmarkEnd w:id="5"/>
    </w:p>
    <w:p w:rsidR="003B411A" w:rsidRDefault="009F0AE3">
      <w:pPr>
        <w:rPr>
          <w:rFonts w:ascii="Times New Roman" w:hAnsi="Times New Roman" w:cs="Times New Roman"/>
          <w:i/>
          <w:noProof/>
          <w:sz w:val="24"/>
          <w:szCs w:val="24"/>
          <w:lang w:val="en-GB"/>
        </w:rPr>
      </w:pPr>
      <w:r>
        <w:rPr>
          <w:rFonts w:ascii="Times New Roman" w:hAnsi="Times New Roman" w:cs="Times New Roman"/>
          <w:i/>
          <w:noProof/>
          <w:sz w:val="24"/>
          <w:szCs w:val="24"/>
          <w:lang w:val="en-GB"/>
        </w:rPr>
        <w:t>Purpose of the evaluation</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report provides</w:t>
      </w:r>
      <w:r>
        <w:rPr>
          <w:rFonts w:ascii="Times New Roman" w:hAnsi="Times New Roman" w:cs="Times New Roman"/>
          <w:noProof/>
          <w:sz w:val="24"/>
          <w:szCs w:val="24"/>
          <w:lang w:val="en-GB"/>
        </w:rPr>
        <w:t xml:space="preserve"> the results of the evaluation under the Regulatory Fitness and Performance Programme (REFIT)</w:t>
      </w:r>
      <w:r>
        <w:rPr>
          <w:rStyle w:val="FootnoteReference"/>
          <w:rFonts w:ascii="Times New Roman" w:hAnsi="Times New Roman" w:cs="Times New Roman"/>
          <w:noProof/>
          <w:szCs w:val="24"/>
          <w:lang w:val="en-GB"/>
        </w:rPr>
        <w:footnoteReference w:id="2"/>
      </w:r>
      <w:r>
        <w:rPr>
          <w:rFonts w:ascii="Times New Roman" w:hAnsi="Times New Roman" w:cs="Times New Roman"/>
          <w:noProof/>
          <w:sz w:val="24"/>
          <w:szCs w:val="24"/>
          <w:lang w:val="en-GB"/>
        </w:rPr>
        <w:t xml:space="preserve"> of the Directive on the re-use of public sector information (PSI Directive).</w:t>
      </w:r>
      <w:r>
        <w:rPr>
          <w:rStyle w:val="FootnoteReference"/>
          <w:rFonts w:ascii="Times New Roman" w:hAnsi="Times New Roman" w:cs="Times New Roman"/>
          <w:noProof/>
          <w:szCs w:val="24"/>
          <w:lang w:val="en-GB"/>
        </w:rPr>
        <w:footnoteReference w:id="3"/>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line with the "Better Regulation" guidelines</w:t>
      </w:r>
      <w:r>
        <w:rPr>
          <w:rStyle w:val="FootnoteReference"/>
          <w:rFonts w:ascii="Times New Roman" w:hAnsi="Times New Roman" w:cs="Times New Roman"/>
          <w:noProof/>
          <w:szCs w:val="24"/>
          <w:lang w:val="en-GB"/>
        </w:rPr>
        <w:footnoteReference w:id="4"/>
      </w:r>
      <w:r>
        <w:rPr>
          <w:rFonts w:ascii="Times New Roman" w:hAnsi="Times New Roman" w:cs="Times New Roman"/>
          <w:noProof/>
          <w:sz w:val="24"/>
          <w:szCs w:val="24"/>
          <w:lang w:val="en-GB"/>
        </w:rPr>
        <w:t>, the evaluation assesses the effec</w:t>
      </w:r>
      <w:r>
        <w:rPr>
          <w:rFonts w:ascii="Times New Roman" w:hAnsi="Times New Roman" w:cs="Times New Roman"/>
          <w:noProof/>
          <w:sz w:val="24"/>
          <w:szCs w:val="24"/>
          <w:lang w:val="en-GB"/>
        </w:rPr>
        <w:t>tiveness, efficiency, relevance, coherence and EU added-value of the PSI Directive, and aims to identify opportunities to reduce regulatory costs and to simplify the existing legislation without negatively affecting the achievement of the underlying policy</w:t>
      </w:r>
      <w:r>
        <w:rPr>
          <w:rFonts w:ascii="Times New Roman" w:hAnsi="Times New Roman" w:cs="Times New Roman"/>
          <w:noProof/>
          <w:sz w:val="24"/>
          <w:szCs w:val="24"/>
          <w:lang w:val="en-GB"/>
        </w:rPr>
        <w:t xml:space="preserve"> goals.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May 2017 Mid-Term Review of the Digital Single Market Strategy (COM(2017) 228 final)</w:t>
      </w:r>
      <w:r>
        <w:rPr>
          <w:rStyle w:val="FootnoteReference"/>
          <w:rFonts w:ascii="Times New Roman" w:hAnsi="Times New Roman" w:cs="Times New Roman"/>
          <w:noProof/>
          <w:szCs w:val="24"/>
          <w:lang w:val="en-GB"/>
        </w:rPr>
        <w:footnoteReference w:id="5"/>
      </w:r>
      <w:r>
        <w:rPr>
          <w:rFonts w:ascii="Times New Roman" w:hAnsi="Times New Roman" w:cs="Times New Roman"/>
          <w:noProof/>
          <w:sz w:val="24"/>
          <w:szCs w:val="24"/>
          <w:lang w:val="en-GB"/>
        </w:rPr>
        <w:t xml:space="preserve">, the Commission announced that it would, </w:t>
      </w:r>
      <w:r>
        <w:rPr>
          <w:rFonts w:ascii="Times New Roman" w:hAnsi="Times New Roman" w:cs="Times New Roman"/>
          <w:i/>
          <w:noProof/>
          <w:sz w:val="24"/>
          <w:szCs w:val="24"/>
          <w:lang w:val="en-GB"/>
        </w:rPr>
        <w:t>"in spring 2018, based on an evaluation of existing legislation and subject to an Impact Assessment, prepare an in</w:t>
      </w:r>
      <w:r>
        <w:rPr>
          <w:rFonts w:ascii="Times New Roman" w:hAnsi="Times New Roman" w:cs="Times New Roman"/>
          <w:i/>
          <w:noProof/>
          <w:sz w:val="24"/>
          <w:szCs w:val="24"/>
          <w:lang w:val="en-GB"/>
        </w:rPr>
        <w:t>itiative on accessibility and re-use of public and publicly funded data and further explore the issue of privately held data which are of public interest"</w:t>
      </w:r>
      <w:r>
        <w:rPr>
          <w:rFonts w:ascii="Times New Roman" w:hAnsi="Times New Roman" w:cs="Times New Roman"/>
          <w:noProof/>
          <w:sz w:val="24"/>
          <w:szCs w:val="24"/>
          <w:lang w:val="en-GB"/>
        </w:rPr>
        <w:t>.</w:t>
      </w:r>
    </w:p>
    <w:p w:rsidR="003B411A" w:rsidRDefault="009F0AE3">
      <w:pPr>
        <w:jc w:val="both"/>
        <w:rPr>
          <w:rFonts w:ascii="Times New Roman" w:hAnsi="Times New Roman" w:cs="Times New Roman"/>
          <w:i/>
          <w:noProof/>
          <w:sz w:val="24"/>
          <w:szCs w:val="24"/>
          <w:lang w:val="en-GB"/>
        </w:rPr>
      </w:pPr>
      <w:r>
        <w:rPr>
          <w:rFonts w:ascii="Times New Roman" w:hAnsi="Times New Roman" w:cs="Times New Roman"/>
          <w:noProof/>
          <w:sz w:val="24"/>
          <w:szCs w:val="24"/>
          <w:lang w:val="en-GB"/>
        </w:rPr>
        <w:t>With the review of the PSI Directive</w:t>
      </w:r>
      <w:r>
        <w:rPr>
          <w:rStyle w:val="FootnoteReference"/>
          <w:rFonts w:ascii="Times New Roman" w:hAnsi="Times New Roman" w:cs="Times New Roman"/>
          <w:noProof/>
          <w:szCs w:val="24"/>
          <w:lang w:val="en-GB"/>
        </w:rPr>
        <w:footnoteReference w:id="6"/>
      </w:r>
      <w:r>
        <w:rPr>
          <w:rFonts w:ascii="Times New Roman" w:hAnsi="Times New Roman" w:cs="Times New Roman"/>
          <w:noProof/>
          <w:sz w:val="24"/>
          <w:szCs w:val="24"/>
          <w:lang w:val="en-GB"/>
        </w:rPr>
        <w:t>, the Commission can fulfil the periodic review obligation cont</w:t>
      </w:r>
      <w:r>
        <w:rPr>
          <w:rFonts w:ascii="Times New Roman" w:hAnsi="Times New Roman" w:cs="Times New Roman"/>
          <w:noProof/>
          <w:sz w:val="24"/>
          <w:szCs w:val="24"/>
          <w:lang w:val="en-GB"/>
        </w:rPr>
        <w:t xml:space="preserve">ained in Article 13.1 of the Directive, which stipulates that </w:t>
      </w:r>
      <w:r>
        <w:rPr>
          <w:rFonts w:ascii="Times New Roman" w:hAnsi="Times New Roman" w:cs="Times New Roman"/>
          <w:i/>
          <w:noProof/>
          <w:sz w:val="24"/>
          <w:szCs w:val="24"/>
          <w:lang w:val="en-GB"/>
        </w:rPr>
        <w:t xml:space="preserve">"the Commission shall carry out a review of the application of this Directive before 18 July 2018 and shall communicate the results of that review, together with any proposals for amendments to </w:t>
      </w:r>
      <w:r>
        <w:rPr>
          <w:rFonts w:ascii="Times New Roman" w:hAnsi="Times New Roman" w:cs="Times New Roman"/>
          <w:i/>
          <w:noProof/>
          <w:sz w:val="24"/>
          <w:szCs w:val="24"/>
          <w:lang w:val="en-GB"/>
        </w:rPr>
        <w:t xml:space="preserve">this Directive, to the European Parliament and the Council", </w:t>
      </w:r>
      <w:r>
        <w:rPr>
          <w:rFonts w:ascii="Times New Roman" w:hAnsi="Times New Roman" w:cs="Times New Roman"/>
          <w:noProof/>
          <w:sz w:val="24"/>
          <w:szCs w:val="24"/>
          <w:lang w:val="en-GB"/>
        </w:rPr>
        <w:t xml:space="preserve">and at the same time contribute to fulfilling the goals of the Digital Single Market Strategy in the field of the data economy.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Pursuant to this commitment, this REFIT evaluation has been carrie</w:t>
      </w:r>
      <w:r>
        <w:rPr>
          <w:rFonts w:ascii="Times New Roman" w:hAnsi="Times New Roman" w:cs="Times New Roman"/>
          <w:noProof/>
          <w:sz w:val="24"/>
          <w:szCs w:val="24"/>
          <w:lang w:val="en-GB"/>
        </w:rPr>
        <w:t>d out back-to-back to the Impact Assessment</w:t>
      </w:r>
      <w:r>
        <w:rPr>
          <w:rStyle w:val="FootnoteReference"/>
          <w:rFonts w:ascii="Times New Roman" w:hAnsi="Times New Roman" w:cs="Times New Roman"/>
          <w:noProof/>
          <w:szCs w:val="24"/>
          <w:lang w:val="en-GB"/>
        </w:rPr>
        <w:footnoteReference w:id="7"/>
      </w:r>
      <w:r>
        <w:rPr>
          <w:rFonts w:ascii="Times New Roman" w:hAnsi="Times New Roman" w:cs="Times New Roman"/>
          <w:noProof/>
          <w:sz w:val="24"/>
          <w:szCs w:val="24"/>
          <w:lang w:val="en-GB"/>
        </w:rPr>
        <w:t xml:space="preserve"> on policy options for the future of the PSI Directive. The conclusions of this evaluation have – where relevant – fed into that Impact Assessment.</w:t>
      </w:r>
    </w:p>
    <w:p w:rsidR="003B411A" w:rsidRDefault="009F0AE3">
      <w:pPr>
        <w:jc w:val="both"/>
        <w:rPr>
          <w:rFonts w:ascii="Times New Roman" w:hAnsi="Times New Roman"/>
          <w:i/>
          <w:noProof/>
          <w:sz w:val="24"/>
          <w:lang w:val="en-GB"/>
        </w:rPr>
      </w:pPr>
      <w:r>
        <w:rPr>
          <w:rFonts w:ascii="Times New Roman" w:hAnsi="Times New Roman"/>
          <w:i/>
          <w:noProof/>
          <w:sz w:val="24"/>
          <w:lang w:val="en-GB"/>
        </w:rPr>
        <w:lastRenderedPageBreak/>
        <w:t>Scope of the evaluation</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covers the overall </w:t>
      </w:r>
      <w:r>
        <w:rPr>
          <w:rFonts w:ascii="Times New Roman" w:hAnsi="Times New Roman" w:cs="Times New Roman"/>
          <w:noProof/>
          <w:sz w:val="24"/>
          <w:szCs w:val="24"/>
          <w:lang w:val="en-GB"/>
        </w:rPr>
        <w:t>functioning of the Directive, but has a special focus on the changes introduced in 2013.</w:t>
      </w:r>
      <w:bookmarkStart w:id="6" w:name="_GoBack"/>
      <w:bookmarkEnd w:id="6"/>
      <w:r>
        <w:rPr>
          <w:rFonts w:ascii="Times New Roman" w:hAnsi="Times New Roman" w:cs="Times New Roman"/>
          <w:noProof/>
          <w:sz w:val="24"/>
          <w:szCs w:val="24"/>
          <w:lang w:val="en-GB"/>
        </w:rPr>
        <w:t xml:space="preserve"> Although the overall functioning of the Directive was already evaluated once in 2009, it is believed that the evaluation of the 2013 changes cannot be performed in iso</w:t>
      </w:r>
      <w:r>
        <w:rPr>
          <w:rFonts w:ascii="Times New Roman" w:hAnsi="Times New Roman" w:cs="Times New Roman"/>
          <w:noProof/>
          <w:sz w:val="24"/>
          <w:szCs w:val="24"/>
          <w:lang w:val="en-GB"/>
        </w:rPr>
        <w:t>lation and must be linked to the overall assessment of the effects of the Directive. National transposition measures are not part of the scope of this evaluation.</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evaluation includes all EU Member States and covers the period starting from the transpo</w:t>
      </w:r>
      <w:r>
        <w:rPr>
          <w:rFonts w:ascii="Times New Roman" w:hAnsi="Times New Roman" w:cs="Times New Roman"/>
          <w:noProof/>
          <w:sz w:val="24"/>
          <w:szCs w:val="24"/>
          <w:lang w:val="en-GB"/>
        </w:rPr>
        <w:t xml:space="preserve">sition deadline of the Directive (July 2015) to </w:t>
      </w:r>
      <w:r>
        <w:rPr>
          <w:rFonts w:ascii="Times New Roman" w:hAnsi="Times New Roman"/>
          <w:noProof/>
          <w:sz w:val="24"/>
          <w:lang w:val="en-GB"/>
        </w:rPr>
        <w:t>January 2018.</w:t>
      </w:r>
    </w:p>
    <w:p w:rsidR="003B411A" w:rsidRDefault="009F0AE3">
      <w:pPr>
        <w:pStyle w:val="Heading1"/>
        <w:numPr>
          <w:ilvl w:val="0"/>
          <w:numId w:val="3"/>
        </w:numPr>
        <w:rPr>
          <w:noProof/>
        </w:rPr>
      </w:pPr>
      <w:bookmarkStart w:id="7" w:name="_Toc501640535"/>
      <w:bookmarkStart w:id="8" w:name="_Toc503460720"/>
      <w:bookmarkStart w:id="9" w:name="_Toc503544747"/>
      <w:bookmarkStart w:id="10" w:name="_Toc504065545"/>
      <w:bookmarkStart w:id="11" w:name="_Toc505952411"/>
      <w:r>
        <w:rPr>
          <w:noProof/>
        </w:rPr>
        <w:t>Background to the intervention</w:t>
      </w:r>
      <w:bookmarkEnd w:id="7"/>
      <w:bookmarkEnd w:id="8"/>
      <w:bookmarkEnd w:id="9"/>
      <w:bookmarkEnd w:id="10"/>
      <w:bookmarkEnd w:id="11"/>
    </w:p>
    <w:p w:rsidR="003B411A" w:rsidRDefault="009F0AE3">
      <w:pPr>
        <w:jc w:val="both"/>
        <w:rPr>
          <w:rFonts w:ascii="Times New Roman" w:hAnsi="Times New Roman" w:cs="Times New Roman"/>
          <w:noProof/>
          <w:sz w:val="24"/>
          <w:szCs w:val="24"/>
          <w:u w:val="single"/>
          <w:lang w:val="en-GB"/>
        </w:rPr>
      </w:pPr>
      <w:r>
        <w:rPr>
          <w:rFonts w:ascii="Times New Roman" w:hAnsi="Times New Roman" w:cs="Times New Roman"/>
          <w:noProof/>
          <w:sz w:val="24"/>
          <w:szCs w:val="24"/>
          <w:u w:val="single"/>
          <w:lang w:val="en-GB"/>
        </w:rPr>
        <w:t>Situation prior to the intervention</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Public bodies produce, collect and hold a wealth of information and content, ranging from statistical, economic or environmenta</w:t>
      </w:r>
      <w:r>
        <w:rPr>
          <w:rFonts w:ascii="Times New Roman" w:hAnsi="Times New Roman" w:cs="Times New Roman"/>
          <w:noProof/>
          <w:sz w:val="24"/>
          <w:szCs w:val="24"/>
          <w:lang w:val="en-GB"/>
        </w:rPr>
        <w:t>l data to archival material, collections of books or works of art.</w:t>
      </w:r>
      <w:r>
        <w:rPr>
          <w:rFonts w:ascii="Times New Roman" w:hAnsi="Times New Roman" w:cs="Times New Roman"/>
          <w:noProof/>
          <w:sz w:val="24"/>
          <w:szCs w:val="24"/>
          <w:vertAlign w:val="superscript"/>
          <w:lang w:val="en-GB"/>
        </w:rPr>
        <w:footnoteReference w:id="8"/>
      </w:r>
      <w:r>
        <w:rPr>
          <w:rFonts w:ascii="Times New Roman" w:hAnsi="Times New Roman" w:cs="Times New Roman"/>
          <w:noProof/>
          <w:sz w:val="24"/>
          <w:szCs w:val="24"/>
          <w:lang w:val="en-GB"/>
        </w:rPr>
        <w:t xml:space="preserve"> Prior to the 1990s this information was difficult to access and usually solely available in paper formats. However, the digital revolution that started in the 1990s put the spotlight on th</w:t>
      </w:r>
      <w:r>
        <w:rPr>
          <w:rFonts w:ascii="Times New Roman" w:hAnsi="Times New Roman" w:cs="Times New Roman"/>
          <w:noProof/>
          <w:sz w:val="24"/>
          <w:szCs w:val="24"/>
          <w:lang w:val="en-GB"/>
        </w:rPr>
        <w:t xml:space="preserve">e potential of public sector information (PSI). PSI (and </w:t>
      </w:r>
      <w:r>
        <w:rPr>
          <w:rFonts w:ascii="Times New Roman" w:hAnsi="Times New Roman" w:cs="Times New Roman"/>
          <w:i/>
          <w:noProof/>
          <w:sz w:val="24"/>
          <w:szCs w:val="24"/>
          <w:lang w:val="en-GB"/>
        </w:rPr>
        <w:t xml:space="preserve">data </w:t>
      </w:r>
      <w:r>
        <w:rPr>
          <w:rFonts w:ascii="Times New Roman" w:hAnsi="Times New Roman" w:cs="Times New Roman"/>
          <w:noProof/>
          <w:sz w:val="24"/>
          <w:szCs w:val="24"/>
          <w:lang w:val="en-GB"/>
        </w:rPr>
        <w:t>in general) soon started to be seen as important raw material that, if made available for re-use, could become a valuable economic asset and an important resource for economic growth and competi</w:t>
      </w:r>
      <w:r>
        <w:rPr>
          <w:rFonts w:ascii="Times New Roman" w:hAnsi="Times New Roman" w:cs="Times New Roman"/>
          <w:noProof/>
          <w:sz w:val="24"/>
          <w:szCs w:val="24"/>
          <w:lang w:val="en-GB"/>
        </w:rPr>
        <w:t xml:space="preserve">tiveness. The focus on PSI resulted in a number of initiatives at the national, European and international level. However, with this renewed interest in PSI, public sector bodies started trading with it, which soon led to distortions of competition in the </w:t>
      </w:r>
      <w:r>
        <w:rPr>
          <w:rFonts w:ascii="Times New Roman" w:hAnsi="Times New Roman" w:cs="Times New Roman"/>
          <w:noProof/>
          <w:sz w:val="24"/>
          <w:szCs w:val="24"/>
          <w:lang w:val="en-GB"/>
        </w:rPr>
        <w:t>internal market.</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At the European level, the first step to address these issues was the development of a set of guidelines to promote access to information, transparency, and a level playing field already in 1989</w:t>
      </w:r>
      <w:r>
        <w:rPr>
          <w:rFonts w:ascii="Times New Roman" w:hAnsi="Times New Roman" w:cs="Times New Roman"/>
          <w:noProof/>
          <w:sz w:val="24"/>
          <w:szCs w:val="24"/>
          <w:vertAlign w:val="superscript"/>
          <w:lang w:val="en-GB"/>
        </w:rPr>
        <w:footnoteReference w:id="9"/>
      </w:r>
      <w:r>
        <w:rPr>
          <w:rFonts w:ascii="Times New Roman" w:hAnsi="Times New Roman" w:cs="Times New Roman"/>
          <w:noProof/>
          <w:sz w:val="24"/>
          <w:szCs w:val="24"/>
          <w:lang w:val="en-GB"/>
        </w:rPr>
        <w:t>, but it took another 10 years before the de</w:t>
      </w:r>
      <w:r>
        <w:rPr>
          <w:rFonts w:ascii="Times New Roman" w:hAnsi="Times New Roman" w:cs="Times New Roman"/>
          <w:noProof/>
          <w:sz w:val="24"/>
          <w:szCs w:val="24"/>
          <w:lang w:val="en-GB"/>
        </w:rPr>
        <w:t>bate on open public data was properly launched. In 1998, the Commission published a Green Paper</w:t>
      </w:r>
      <w:r>
        <w:rPr>
          <w:rFonts w:ascii="Times New Roman" w:hAnsi="Times New Roman" w:cs="Times New Roman"/>
          <w:noProof/>
          <w:sz w:val="24"/>
          <w:szCs w:val="24"/>
          <w:vertAlign w:val="superscript"/>
          <w:lang w:val="en-GB"/>
        </w:rPr>
        <w:footnoteReference w:id="10"/>
      </w:r>
      <w:r>
        <w:rPr>
          <w:rFonts w:ascii="Times New Roman" w:hAnsi="Times New Roman" w:cs="Times New Roman"/>
          <w:noProof/>
          <w:sz w:val="24"/>
          <w:szCs w:val="24"/>
          <w:lang w:val="en-GB"/>
        </w:rPr>
        <w:t>, which played a major role in raising the debate across Europe on the opportunities created by the re-use of PSI in digital format that went beyond the purpose</w:t>
      </w:r>
      <w:r>
        <w:rPr>
          <w:rFonts w:ascii="Times New Roman" w:hAnsi="Times New Roman" w:cs="Times New Roman"/>
          <w:noProof/>
          <w:sz w:val="24"/>
          <w:szCs w:val="24"/>
          <w:lang w:val="en-GB"/>
        </w:rPr>
        <w:t xml:space="preserve"> for which it was originally collected. The Green Paper was followed in 2003 by the </w:t>
      </w:r>
      <w:r>
        <w:rPr>
          <w:rFonts w:ascii="Times New Roman" w:hAnsi="Times New Roman" w:cs="Times New Roman"/>
          <w:b/>
          <w:noProof/>
          <w:sz w:val="24"/>
          <w:szCs w:val="24"/>
          <w:lang w:val="en-US"/>
        </w:rPr>
        <w:t>Public Sector Information (PSI) Directive (2003/98/EC)</w:t>
      </w:r>
      <w:r>
        <w:rPr>
          <w:rFonts w:ascii="Times New Roman" w:hAnsi="Times New Roman" w:cs="Times New Roman"/>
          <w:noProof/>
          <w:sz w:val="24"/>
          <w:szCs w:val="24"/>
          <w:lang w:val="en-US"/>
        </w:rPr>
        <w:t>.</w:t>
      </w:r>
      <w:r>
        <w:rPr>
          <w:rFonts w:ascii="Times New Roman" w:hAnsi="Times New Roman" w:cs="Times New Roman"/>
          <w:noProof/>
          <w:sz w:val="24"/>
          <w:szCs w:val="24"/>
          <w:vertAlign w:val="superscript"/>
          <w:lang w:val="en-US"/>
        </w:rPr>
        <w:footnoteReference w:id="11"/>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The Directive aimed to facilitate the re-use of PSI throughout the Union by harmonising the basic conditions for </w:t>
      </w:r>
      <w:r>
        <w:rPr>
          <w:rFonts w:ascii="Times New Roman" w:hAnsi="Times New Roman" w:cs="Times New Roman"/>
          <w:noProof/>
          <w:sz w:val="24"/>
          <w:szCs w:val="24"/>
          <w:lang w:val="en-US"/>
        </w:rPr>
        <w:t>making PSI available to re-users, to foster the development of Community-wide products and services based on PSI, and to avoid distortions of competition.</w:t>
      </w:r>
      <w:r>
        <w:rPr>
          <w:rFonts w:ascii="Times New Roman" w:hAnsi="Times New Roman" w:cs="Times New Roman"/>
          <w:noProof/>
          <w:sz w:val="24"/>
          <w:szCs w:val="24"/>
          <w:lang w:val="en-GB"/>
        </w:rPr>
        <w:t xml:space="preserve"> The Directive is based on Article 114 of the EU Treaty and builds on key pillars of the internal mark</w:t>
      </w:r>
      <w:r>
        <w:rPr>
          <w:rFonts w:ascii="Times New Roman" w:hAnsi="Times New Roman" w:cs="Times New Roman"/>
          <w:noProof/>
          <w:sz w:val="24"/>
          <w:szCs w:val="24"/>
          <w:lang w:val="en-GB"/>
        </w:rPr>
        <w:t>et: transparency and fair competition.</w:t>
      </w:r>
    </w:p>
    <w:p w:rsidR="003B411A" w:rsidRDefault="009F0AE3">
      <w:pPr>
        <w:jc w:val="both"/>
        <w:rPr>
          <w:noProof/>
          <w:szCs w:val="24"/>
          <w:lang w:val="en-GB"/>
        </w:rPr>
      </w:pPr>
      <w:r>
        <w:rPr>
          <w:rFonts w:ascii="Times New Roman" w:hAnsi="Times New Roman" w:cs="Times New Roman"/>
          <w:noProof/>
          <w:sz w:val="24"/>
          <w:szCs w:val="24"/>
          <w:lang w:val="en-GB"/>
        </w:rPr>
        <w:t>The Directive succeeded in harmonising the basic legal framework for re-using PSI in the internal market in order to facilitate the re-use of PSI across the EU, where the Member States used to apply markedly different</w:t>
      </w:r>
      <w:r>
        <w:rPr>
          <w:rFonts w:ascii="Times New Roman" w:hAnsi="Times New Roman" w:cs="Times New Roman"/>
          <w:noProof/>
          <w:sz w:val="24"/>
          <w:szCs w:val="24"/>
          <w:lang w:val="en-GB"/>
        </w:rPr>
        <w:t xml:space="preserve"> rules and practices, and in order to eliminate certain anti-competitive practices by public sector bodies. Nevertheless, despite this achievement, implementation of the Directive and progress in PSI re-use across the Member States was uneven and much of t</w:t>
      </w:r>
      <w:r>
        <w:rPr>
          <w:rFonts w:ascii="Times New Roman" w:hAnsi="Times New Roman" w:cs="Times New Roman"/>
          <w:noProof/>
          <w:sz w:val="24"/>
          <w:szCs w:val="24"/>
          <w:lang w:val="en-GB"/>
        </w:rPr>
        <w:t>he potential of PSI remained untapped as many resources were locked in, difficult to find or made available on prohibitive terms, thereby preventing development of the national and EU PSI re-use markets. This potential had further grown because of technolo</w:t>
      </w:r>
      <w:r>
        <w:rPr>
          <w:rFonts w:ascii="Times New Roman" w:hAnsi="Times New Roman" w:cs="Times New Roman"/>
          <w:noProof/>
          <w:sz w:val="24"/>
          <w:szCs w:val="24"/>
          <w:lang w:val="en-GB"/>
        </w:rPr>
        <w:t>gical advances:</w:t>
      </w:r>
      <w:r>
        <w:rPr>
          <w:noProof/>
          <w:szCs w:val="24"/>
          <w:lang w:val="en-GB"/>
        </w:rPr>
        <w:t xml:space="preserve"> </w:t>
      </w:r>
      <w:r>
        <w:rPr>
          <w:rFonts w:ascii="Times New Roman" w:hAnsi="Times New Roman" w:cs="Times New Roman"/>
          <w:noProof/>
          <w:sz w:val="24"/>
          <w:szCs w:val="24"/>
          <w:lang w:val="en-GB"/>
        </w:rPr>
        <w:t>the so-called web 2.0 showed the potential opportunities related to mixing different data sets, and visualising them through so-called mash-ups. This was further reinforced by the sudden development of the mobile app market, kick-started by</w:t>
      </w:r>
      <w:r>
        <w:rPr>
          <w:rFonts w:ascii="Times New Roman" w:hAnsi="Times New Roman" w:cs="Times New Roman"/>
          <w:noProof/>
          <w:sz w:val="24"/>
          <w:szCs w:val="24"/>
          <w:lang w:val="en-GB"/>
        </w:rPr>
        <w:t xml:space="preserve"> the launch of the iPhone ecosystem in 2007.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Therefore, ten years after it came into force, Directive 2003/98/EC was amended by Directive 2013/37/EU in July 2013, with the aim to encourage Member States to make as much material held by public sector bodie</w:t>
      </w:r>
      <w:r>
        <w:rPr>
          <w:rFonts w:ascii="Times New Roman" w:hAnsi="Times New Roman" w:cs="Times New Roman"/>
          <w:noProof/>
          <w:sz w:val="24"/>
          <w:szCs w:val="24"/>
          <w:lang w:val="en-GB"/>
        </w:rPr>
        <w:t>s available for re-use as possible. This intervention was part of a range of initiatives implemented in the framework of the Digital Agenda for Europe</w:t>
      </w:r>
      <w:r>
        <w:rPr>
          <w:rStyle w:val="FootnoteReference"/>
          <w:rFonts w:ascii="Times New Roman" w:hAnsi="Times New Roman" w:cs="Times New Roman"/>
          <w:noProof/>
          <w:szCs w:val="24"/>
          <w:lang w:val="en-GB"/>
        </w:rPr>
        <w:footnoteReference w:id="12"/>
      </w:r>
      <w:r>
        <w:rPr>
          <w:rFonts w:ascii="Times New Roman" w:hAnsi="Times New Roman" w:cs="Times New Roman"/>
          <w:noProof/>
          <w:sz w:val="24"/>
          <w:szCs w:val="24"/>
          <w:lang w:val="en-GB"/>
        </w:rPr>
        <w:t xml:space="preserve"> and the Europe 2020</w:t>
      </w:r>
      <w:r>
        <w:rPr>
          <w:rStyle w:val="FootnoteReference"/>
          <w:rFonts w:ascii="Times New Roman" w:hAnsi="Times New Roman" w:cs="Times New Roman"/>
          <w:noProof/>
          <w:szCs w:val="24"/>
          <w:lang w:val="en-GB"/>
        </w:rPr>
        <w:footnoteReference w:id="13"/>
      </w:r>
      <w:r>
        <w:rPr>
          <w:rFonts w:ascii="Times New Roman" w:hAnsi="Times New Roman" w:cs="Times New Roman"/>
          <w:noProof/>
          <w:sz w:val="24"/>
          <w:szCs w:val="24"/>
          <w:lang w:val="en-GB"/>
        </w:rPr>
        <w:t xml:space="preserve"> strategy for smart, sustainable and inclusive growth.</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2013 revision addressed a</w:t>
      </w:r>
      <w:r>
        <w:rPr>
          <w:rFonts w:ascii="Times New Roman" w:hAnsi="Times New Roman" w:cs="Times New Roman"/>
          <w:noProof/>
          <w:sz w:val="24"/>
          <w:szCs w:val="24"/>
          <w:lang w:val="en-GB"/>
        </w:rPr>
        <w:t xml:space="preserve"> series of problems, which were still present as barriers to re-use of public data across all the EU Member States: </w:t>
      </w:r>
    </w:p>
    <w:p w:rsidR="003B411A" w:rsidRDefault="009F0AE3">
      <w:pPr>
        <w:pStyle w:val="ListParagraph"/>
        <w:numPr>
          <w:ilvl w:val="0"/>
          <w:numId w:val="50"/>
        </w:numPr>
        <w:rPr>
          <w:noProof/>
          <w:szCs w:val="24"/>
        </w:rPr>
      </w:pPr>
      <w:r>
        <w:rPr>
          <w:noProof/>
          <w:szCs w:val="24"/>
        </w:rPr>
        <w:t>insufficient clarity and transparency;</w:t>
      </w:r>
    </w:p>
    <w:p w:rsidR="003B411A" w:rsidRDefault="009F0AE3">
      <w:pPr>
        <w:pStyle w:val="ListParagraph"/>
        <w:numPr>
          <w:ilvl w:val="0"/>
          <w:numId w:val="50"/>
        </w:numPr>
        <w:rPr>
          <w:noProof/>
          <w:szCs w:val="24"/>
        </w:rPr>
      </w:pPr>
      <w:r>
        <w:rPr>
          <w:noProof/>
          <w:szCs w:val="24"/>
        </w:rPr>
        <w:t>locked resources;</w:t>
      </w:r>
    </w:p>
    <w:p w:rsidR="003B411A" w:rsidRDefault="009F0AE3">
      <w:pPr>
        <w:pStyle w:val="ListParagraph"/>
        <w:numPr>
          <w:ilvl w:val="0"/>
          <w:numId w:val="50"/>
        </w:numPr>
        <w:rPr>
          <w:noProof/>
          <w:szCs w:val="24"/>
        </w:rPr>
      </w:pPr>
      <w:r>
        <w:rPr>
          <w:noProof/>
          <w:szCs w:val="24"/>
        </w:rPr>
        <w:t>excessive charging and lack of a level playing field;</w:t>
      </w:r>
    </w:p>
    <w:p w:rsidR="003B411A" w:rsidRDefault="009F0AE3">
      <w:pPr>
        <w:pStyle w:val="ListParagraph"/>
        <w:numPr>
          <w:ilvl w:val="0"/>
          <w:numId w:val="50"/>
        </w:numPr>
        <w:rPr>
          <w:noProof/>
          <w:szCs w:val="24"/>
        </w:rPr>
      </w:pPr>
      <w:r>
        <w:rPr>
          <w:noProof/>
          <w:szCs w:val="24"/>
        </w:rPr>
        <w:t>inconsistent approach across</w:t>
      </w:r>
      <w:r>
        <w:rPr>
          <w:noProof/>
          <w:szCs w:val="24"/>
        </w:rPr>
        <w:t xml:space="preserve"> the Member States;</w:t>
      </w:r>
    </w:p>
    <w:p w:rsidR="003B411A" w:rsidRDefault="009F0AE3">
      <w:pPr>
        <w:pStyle w:val="ListParagraph"/>
        <w:numPr>
          <w:ilvl w:val="0"/>
          <w:numId w:val="50"/>
        </w:numPr>
        <w:rPr>
          <w:noProof/>
          <w:szCs w:val="24"/>
        </w:rPr>
      </w:pPr>
      <w:r>
        <w:rPr>
          <w:noProof/>
          <w:szCs w:val="24"/>
        </w:rPr>
        <w:t>insufficient enforcement of re-use provisions.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address the above concerns, the general objective of this intervention was to contribute to economic growth and job creation by improving the conditions for the exploitation of PSI and f</w:t>
      </w:r>
      <w:r>
        <w:rPr>
          <w:rFonts w:ascii="Times New Roman" w:hAnsi="Times New Roman" w:cs="Times New Roman"/>
          <w:noProof/>
          <w:sz w:val="24"/>
          <w:szCs w:val="24"/>
          <w:lang w:val="en-GB"/>
        </w:rPr>
        <w:t>acilitating the further development of the internal PSI re-use market. Moreover, facilitating the re-use of PSI further was supposed to have a positive effect on the transparency, efficiency and accountability of governments and contribute to citizen empow</w:t>
      </w:r>
      <w:r>
        <w:rPr>
          <w:rFonts w:ascii="Times New Roman" w:hAnsi="Times New Roman" w:cs="Times New Roman"/>
          <w:noProof/>
          <w:sz w:val="24"/>
          <w:szCs w:val="24"/>
          <w:lang w:val="en-GB"/>
        </w:rPr>
        <w:t>erment.</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general objective was in line with the original objectives of the 2003 intervention, which were to:</w:t>
      </w:r>
    </w:p>
    <w:p w:rsidR="003B411A" w:rsidRDefault="009F0AE3">
      <w:pPr>
        <w:pStyle w:val="ListParagraph"/>
        <w:numPr>
          <w:ilvl w:val="0"/>
          <w:numId w:val="44"/>
        </w:numPr>
        <w:rPr>
          <w:noProof/>
          <w:szCs w:val="24"/>
        </w:rPr>
      </w:pPr>
      <w:r>
        <w:rPr>
          <w:noProof/>
          <w:szCs w:val="24"/>
        </w:rPr>
        <w:t>prevent distortions of competition on the EU market;</w:t>
      </w:r>
    </w:p>
    <w:p w:rsidR="003B411A" w:rsidRDefault="009F0AE3">
      <w:pPr>
        <w:pStyle w:val="ListParagraph"/>
        <w:numPr>
          <w:ilvl w:val="0"/>
          <w:numId w:val="44"/>
        </w:numPr>
        <w:rPr>
          <w:noProof/>
          <w:szCs w:val="24"/>
        </w:rPr>
      </w:pPr>
      <w:r>
        <w:rPr>
          <w:noProof/>
          <w:szCs w:val="24"/>
        </w:rPr>
        <w:t>stimulate the digital content market for PSI-based products and services;</w:t>
      </w:r>
    </w:p>
    <w:p w:rsidR="003B411A" w:rsidRDefault="009F0AE3">
      <w:pPr>
        <w:pStyle w:val="ListParagraph"/>
        <w:numPr>
          <w:ilvl w:val="0"/>
          <w:numId w:val="44"/>
        </w:numPr>
        <w:rPr>
          <w:noProof/>
          <w:szCs w:val="24"/>
        </w:rPr>
      </w:pPr>
      <w:r>
        <w:rPr>
          <w:noProof/>
          <w:szCs w:val="24"/>
        </w:rPr>
        <w:t>stimulate cross-</w:t>
      </w:r>
      <w:r>
        <w:rPr>
          <w:noProof/>
          <w:szCs w:val="24"/>
        </w:rPr>
        <w:t>border exploitation of PSI.</w:t>
      </w:r>
    </w:p>
    <w:p w:rsidR="003B411A" w:rsidRDefault="009F0AE3">
      <w:pPr>
        <w:autoSpaceDE w:val="0"/>
        <w:autoSpaceDN w:val="0"/>
        <w:adjustRightInd w:val="0"/>
        <w:spacing w:after="0" w:line="240" w:lineRule="auto"/>
        <w:rPr>
          <w:rFonts w:ascii="TimesNewRoman" w:hAnsi="TimesNewRoman" w:cs="TimesNewRoman"/>
          <w:noProof/>
          <w:sz w:val="24"/>
          <w:szCs w:val="24"/>
          <w:lang w:val="en-GB"/>
        </w:rPr>
      </w:pPr>
      <w:r>
        <w:rPr>
          <w:rFonts w:ascii="Times New Roman" w:hAnsi="Times New Roman" w:cs="Times New Roman"/>
          <w:noProof/>
          <w:sz w:val="24"/>
          <w:szCs w:val="24"/>
          <w:lang w:val="en-GB"/>
        </w:rPr>
        <w:t>Furthermore, f</w:t>
      </w:r>
      <w:r>
        <w:rPr>
          <w:rFonts w:ascii="TimesNewRoman" w:hAnsi="TimesNewRoman" w:cs="TimesNewRoman"/>
          <w:noProof/>
          <w:sz w:val="24"/>
          <w:szCs w:val="24"/>
          <w:lang w:val="en-GB"/>
        </w:rPr>
        <w:t>or each of the specific objectives presented above, a number of operational objectives or ‘measures’ were identified, as illustrated in the graph below:</w:t>
      </w:r>
    </w:p>
    <w:p w:rsidR="003B411A" w:rsidRDefault="003B411A">
      <w:pPr>
        <w:autoSpaceDE w:val="0"/>
        <w:autoSpaceDN w:val="0"/>
        <w:adjustRightInd w:val="0"/>
        <w:spacing w:after="0" w:line="240" w:lineRule="auto"/>
        <w:rPr>
          <w:rFonts w:ascii="TimesNewRoman" w:hAnsi="TimesNewRoman" w:cs="TimesNewRoman"/>
          <w:noProof/>
          <w:sz w:val="24"/>
          <w:szCs w:val="24"/>
          <w:lang w:val="en-GB"/>
        </w:rPr>
      </w:pPr>
    </w:p>
    <w:p w:rsidR="003B411A" w:rsidRDefault="009F0AE3">
      <w:pPr>
        <w:autoSpaceDE w:val="0"/>
        <w:autoSpaceDN w:val="0"/>
        <w:adjustRightInd w:val="0"/>
        <w:spacing w:after="0" w:line="240" w:lineRule="auto"/>
        <w:jc w:val="center"/>
        <w:rPr>
          <w:rFonts w:ascii="TimesNewRoman" w:hAnsi="TimesNewRoman" w:cs="TimesNewRoman"/>
          <w:noProof/>
          <w:sz w:val="24"/>
          <w:szCs w:val="24"/>
          <w:lang w:val="en-GB"/>
        </w:rPr>
      </w:pPr>
      <w:r>
        <w:rPr>
          <w:rFonts w:ascii="TimesNewRoman" w:hAnsi="TimesNewRoman" w:cs="TimesNewRoman"/>
          <w:noProof/>
          <w:sz w:val="24"/>
          <w:szCs w:val="24"/>
          <w:lang w:val="en-GB" w:eastAsia="en-GB"/>
        </w:rPr>
        <w:drawing>
          <wp:inline distT="0" distB="0" distL="0" distR="0" wp14:anchorId="03637B68" wp14:editId="1A81F5F0">
            <wp:extent cx="3936670" cy="3354779"/>
            <wp:effectExtent l="0" t="0" r="6985" b="0"/>
            <wp:docPr id="1" name="Picture 1" descr="\\NET1.cec.eu.int\homes\102\bojdaro\Desktop\object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1.cec.eu.int\homes\102\bojdaro\Desktop\objective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5166" cy="3353497"/>
                    </a:xfrm>
                    <a:prstGeom prst="rect">
                      <a:avLst/>
                    </a:prstGeom>
                    <a:noFill/>
                    <a:ln>
                      <a:noFill/>
                    </a:ln>
                  </pic:spPr>
                </pic:pic>
              </a:graphicData>
            </a:graphic>
          </wp:inline>
        </w:drawing>
      </w:r>
    </w:p>
    <w:p w:rsidR="003B411A" w:rsidRDefault="003B411A">
      <w:pPr>
        <w:jc w:val="both"/>
        <w:rPr>
          <w:rFonts w:ascii="Times New Roman" w:hAnsi="Times New Roman" w:cs="Times New Roman"/>
          <w:noProof/>
          <w:sz w:val="24"/>
          <w:szCs w:val="24"/>
          <w:lang w:val="en-GB"/>
        </w:rPr>
      </w:pP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a more granular level, the 2013 intervention aimed to </w:t>
      </w:r>
      <w:r>
        <w:rPr>
          <w:rFonts w:ascii="Times New Roman" w:hAnsi="Times New Roman" w:cs="Times New Roman"/>
          <w:noProof/>
          <w:sz w:val="24"/>
          <w:szCs w:val="24"/>
          <w:lang w:val="en-GB"/>
        </w:rPr>
        <w:t>achieve the above objectives by addressing the following areas of concern:</w:t>
      </w:r>
    </w:p>
    <w:p w:rsidR="003B411A" w:rsidRDefault="009F0AE3">
      <w:pPr>
        <w:pStyle w:val="ListParagraph"/>
        <w:numPr>
          <w:ilvl w:val="0"/>
          <w:numId w:val="52"/>
        </w:numPr>
        <w:rPr>
          <w:noProof/>
          <w:szCs w:val="24"/>
        </w:rPr>
      </w:pPr>
      <w:r>
        <w:rPr>
          <w:noProof/>
          <w:szCs w:val="24"/>
        </w:rPr>
        <w:t>Limited scope of application of the PSI Directive: the 2013 changes extended the scope of application to the cultural sector;</w:t>
      </w:r>
    </w:p>
    <w:p w:rsidR="003B411A" w:rsidRDefault="009F0AE3">
      <w:pPr>
        <w:pStyle w:val="ListParagraph"/>
        <w:numPr>
          <w:ilvl w:val="0"/>
          <w:numId w:val="52"/>
        </w:numPr>
        <w:rPr>
          <w:noProof/>
          <w:szCs w:val="24"/>
        </w:rPr>
      </w:pPr>
      <w:r>
        <w:rPr>
          <w:noProof/>
          <w:szCs w:val="24"/>
        </w:rPr>
        <w:t>High charges for the re-use of PSI: in the 2013 version</w:t>
      </w:r>
      <w:r>
        <w:rPr>
          <w:noProof/>
          <w:szCs w:val="24"/>
        </w:rPr>
        <w:t xml:space="preserve"> of the Directive the principle of charging the marginal cost was laid down (although there are a number of exceptions);</w:t>
      </w:r>
    </w:p>
    <w:p w:rsidR="003B411A" w:rsidRDefault="009F0AE3">
      <w:pPr>
        <w:pStyle w:val="ListParagraph"/>
        <w:numPr>
          <w:ilvl w:val="0"/>
          <w:numId w:val="52"/>
        </w:numPr>
        <w:rPr>
          <w:noProof/>
          <w:szCs w:val="24"/>
        </w:rPr>
      </w:pPr>
      <w:r>
        <w:rPr>
          <w:noProof/>
          <w:szCs w:val="24"/>
        </w:rPr>
        <w:t>Limited re-use linked to formats in which PSI is made available: the 2013 changes included a recommendation that public sector bodies s</w:t>
      </w:r>
      <w:r>
        <w:rPr>
          <w:noProof/>
          <w:szCs w:val="24"/>
        </w:rPr>
        <w:t>hould, as far as possible, make PSI available in open and machine-readable formats.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core indicator of progress towards meeting the identified objectives was the correct transposition and application of the PSI Directive. Progress in the re-use of PSI a</w:t>
      </w:r>
      <w:r>
        <w:rPr>
          <w:rFonts w:ascii="Times New Roman" w:hAnsi="Times New Roman" w:cs="Times New Roman"/>
          <w:noProof/>
          <w:sz w:val="24"/>
          <w:szCs w:val="24"/>
          <w:lang w:val="en-GB"/>
        </w:rPr>
        <w:t>nd related policies across the EU was supposed to be measured in accordance with the following indicators:</w:t>
      </w:r>
      <w:r>
        <w:rPr>
          <w:rStyle w:val="FootnoteReference"/>
          <w:rFonts w:ascii="Times New Roman" w:hAnsi="Times New Roman" w:cs="Times New Roman"/>
          <w:noProof/>
          <w:szCs w:val="24"/>
          <w:lang w:val="en-GB"/>
        </w:rPr>
        <w:footnoteReference w:id="14"/>
      </w:r>
    </w:p>
    <w:p w:rsidR="003B411A" w:rsidRDefault="009F0AE3">
      <w:pPr>
        <w:pStyle w:val="ListParagraph"/>
        <w:numPr>
          <w:ilvl w:val="0"/>
          <w:numId w:val="10"/>
        </w:numPr>
        <w:rPr>
          <w:noProof/>
          <w:szCs w:val="24"/>
        </w:rPr>
      </w:pPr>
      <w:r>
        <w:rPr>
          <w:noProof/>
          <w:szCs w:val="24"/>
        </w:rPr>
        <w:t>number of data portals and of available datasets;</w:t>
      </w:r>
    </w:p>
    <w:p w:rsidR="003B411A" w:rsidRDefault="009F0AE3">
      <w:pPr>
        <w:pStyle w:val="ListParagraph"/>
        <w:numPr>
          <w:ilvl w:val="0"/>
          <w:numId w:val="10"/>
        </w:numPr>
        <w:rPr>
          <w:noProof/>
          <w:szCs w:val="24"/>
        </w:rPr>
      </w:pPr>
      <w:r>
        <w:rPr>
          <w:noProof/>
          <w:szCs w:val="24"/>
        </w:rPr>
        <w:t>quality of the datasets evaluated according to a set of criteria including machine readability and</w:t>
      </w:r>
      <w:r>
        <w:rPr>
          <w:noProof/>
          <w:szCs w:val="24"/>
        </w:rPr>
        <w:t xml:space="preserve"> the possibility of having user feedback;</w:t>
      </w:r>
    </w:p>
    <w:p w:rsidR="003B411A" w:rsidRDefault="009F0AE3">
      <w:pPr>
        <w:pStyle w:val="ListParagraph"/>
        <w:numPr>
          <w:ilvl w:val="0"/>
          <w:numId w:val="10"/>
        </w:numPr>
        <w:rPr>
          <w:noProof/>
          <w:szCs w:val="24"/>
        </w:rPr>
      </w:pPr>
      <w:r>
        <w:rPr>
          <w:noProof/>
          <w:szCs w:val="24"/>
        </w:rPr>
        <w:t>level of re-use (number of downloads of data, number of downloads of applications, turnover of companies);</w:t>
      </w:r>
    </w:p>
    <w:p w:rsidR="003B411A" w:rsidRDefault="009F0AE3">
      <w:pPr>
        <w:pStyle w:val="ListParagraph"/>
        <w:numPr>
          <w:ilvl w:val="0"/>
          <w:numId w:val="10"/>
        </w:numPr>
        <w:rPr>
          <w:noProof/>
          <w:szCs w:val="24"/>
        </w:rPr>
      </w:pPr>
      <w:r>
        <w:rPr>
          <w:noProof/>
          <w:szCs w:val="24"/>
        </w:rPr>
        <w:t>cross-border use of data;</w:t>
      </w:r>
    </w:p>
    <w:p w:rsidR="003B411A" w:rsidRDefault="009F0AE3">
      <w:pPr>
        <w:pStyle w:val="ListParagraph"/>
        <w:numPr>
          <w:ilvl w:val="0"/>
          <w:numId w:val="10"/>
        </w:numPr>
        <w:rPr>
          <w:noProof/>
          <w:szCs w:val="24"/>
        </w:rPr>
      </w:pPr>
      <w:r>
        <w:rPr>
          <w:noProof/>
          <w:szCs w:val="24"/>
        </w:rPr>
        <w:t>number of exceptions from the general rule on pricing, and their economic impact;</w:t>
      </w:r>
    </w:p>
    <w:p w:rsidR="003B411A" w:rsidRDefault="009F0AE3">
      <w:pPr>
        <w:pStyle w:val="ListParagraph"/>
        <w:numPr>
          <w:ilvl w:val="0"/>
          <w:numId w:val="10"/>
        </w:numPr>
        <w:rPr>
          <w:noProof/>
          <w:szCs w:val="24"/>
        </w:rPr>
      </w:pPr>
      <w:r>
        <w:rPr>
          <w:noProof/>
          <w:szCs w:val="24"/>
        </w:rPr>
        <w:t>degree of standardisation of licensing conditions, use of open licenses;</w:t>
      </w:r>
    </w:p>
    <w:p w:rsidR="003B411A" w:rsidRDefault="009F0AE3">
      <w:pPr>
        <w:pStyle w:val="ListParagraph"/>
        <w:numPr>
          <w:ilvl w:val="0"/>
          <w:numId w:val="10"/>
        </w:numPr>
        <w:rPr>
          <w:noProof/>
          <w:szCs w:val="24"/>
        </w:rPr>
      </w:pPr>
      <w:r>
        <w:rPr>
          <w:noProof/>
          <w:szCs w:val="24"/>
        </w:rPr>
        <w:t>level of activity of redress and enforcement mechanisms, including the degree of independence of regulatory bodies and effectiveness of their decisions;</w:t>
      </w:r>
    </w:p>
    <w:p w:rsidR="003B411A" w:rsidRDefault="009F0AE3">
      <w:pPr>
        <w:pStyle w:val="ListParagraph"/>
        <w:numPr>
          <w:ilvl w:val="0"/>
          <w:numId w:val="10"/>
        </w:numPr>
        <w:rPr>
          <w:noProof/>
          <w:szCs w:val="24"/>
        </w:rPr>
      </w:pPr>
      <w:r>
        <w:rPr>
          <w:noProof/>
          <w:szCs w:val="24"/>
        </w:rPr>
        <w:t>number and character of compl</w:t>
      </w:r>
      <w:r>
        <w:rPr>
          <w:noProof/>
          <w:szCs w:val="24"/>
        </w:rPr>
        <w:t>aints and other reports from citizens and business to the Commission.</w:t>
      </w:r>
    </w:p>
    <w:p w:rsidR="003B411A" w:rsidRDefault="009F0AE3">
      <w:pPr>
        <w:rPr>
          <w:rFonts w:ascii="Times New Roman" w:hAnsi="Times New Roman" w:cs="Times New Roman"/>
          <w:noProof/>
          <w:sz w:val="24"/>
          <w:szCs w:val="24"/>
          <w:lang w:val="en-US"/>
        </w:rPr>
      </w:pPr>
      <w:r>
        <w:rPr>
          <w:rFonts w:ascii="Times New Roman" w:hAnsi="Times New Roman" w:cs="Times New Roman"/>
          <w:noProof/>
          <w:sz w:val="24"/>
          <w:szCs w:val="24"/>
          <w:lang w:val="en-US"/>
        </w:rPr>
        <w:t>In addition to the Directive, several support measures were put in place:</w:t>
      </w:r>
    </w:p>
    <w:p w:rsidR="003B411A" w:rsidRDefault="009F0AE3">
      <w:pPr>
        <w:numPr>
          <w:ilvl w:val="0"/>
          <w:numId w:val="42"/>
        </w:numPr>
        <w:spacing w:after="0"/>
        <w:ind w:left="568" w:hanging="284"/>
        <w:rPr>
          <w:rFonts w:ascii="Times New Roman" w:hAnsi="Times New Roman" w:cs="Times New Roman"/>
          <w:noProof/>
          <w:sz w:val="24"/>
          <w:szCs w:val="24"/>
          <w:lang w:val="en-US"/>
        </w:rPr>
      </w:pPr>
      <w:r>
        <w:rPr>
          <w:rFonts w:ascii="Times New Roman" w:hAnsi="Times New Roman" w:cs="Times New Roman"/>
          <w:noProof/>
          <w:sz w:val="24"/>
          <w:szCs w:val="24"/>
          <w:lang w:val="en-US"/>
        </w:rPr>
        <w:t>Guidelines on recommended standard licences, datasets and charging for the re-use of documents adopted in 2014 (</w:t>
      </w:r>
      <w:r>
        <w:rPr>
          <w:rFonts w:ascii="Times New Roman" w:hAnsi="Times New Roman" w:cs="Times New Roman"/>
          <w:noProof/>
          <w:sz w:val="24"/>
          <w:szCs w:val="24"/>
          <w:lang w:val="en-US"/>
        </w:rPr>
        <w:t>2014/C 240/01) ;</w:t>
      </w:r>
      <w:r>
        <w:rPr>
          <w:rFonts w:ascii="Times New Roman" w:hAnsi="Times New Roman" w:cs="Times New Roman"/>
          <w:noProof/>
          <w:sz w:val="24"/>
          <w:szCs w:val="24"/>
          <w:vertAlign w:val="superscript"/>
          <w:lang w:val="nl-BE"/>
        </w:rPr>
        <w:footnoteReference w:id="15"/>
      </w:r>
    </w:p>
    <w:p w:rsidR="003B411A" w:rsidRDefault="009F0AE3">
      <w:pPr>
        <w:numPr>
          <w:ilvl w:val="0"/>
          <w:numId w:val="42"/>
        </w:numPr>
        <w:spacing w:after="0"/>
        <w:ind w:left="568" w:hanging="284"/>
        <w:rPr>
          <w:rFonts w:ascii="Times New Roman" w:hAnsi="Times New Roman" w:cs="Times New Roman"/>
          <w:noProof/>
          <w:sz w:val="24"/>
          <w:szCs w:val="24"/>
          <w:lang w:val="en-US"/>
        </w:rPr>
      </w:pPr>
      <w:r>
        <w:rPr>
          <w:rFonts w:ascii="Times New Roman" w:hAnsi="Times New Roman" w:cs="Times New Roman"/>
          <w:noProof/>
          <w:sz w:val="24"/>
          <w:szCs w:val="24"/>
          <w:lang w:val="en-US"/>
        </w:rPr>
        <w:t>creation of an open data portal for EU documents and a European data portal infrastructure federating existing open data portals, including support services;</w:t>
      </w:r>
    </w:p>
    <w:p w:rsidR="003B411A" w:rsidRDefault="009F0AE3">
      <w:pPr>
        <w:numPr>
          <w:ilvl w:val="0"/>
          <w:numId w:val="42"/>
        </w:numPr>
        <w:spacing w:after="0"/>
        <w:ind w:left="568" w:hanging="284"/>
        <w:rPr>
          <w:rFonts w:ascii="Times New Roman" w:hAnsi="Times New Roman" w:cs="Times New Roman"/>
          <w:noProof/>
          <w:sz w:val="24"/>
          <w:szCs w:val="24"/>
          <w:lang w:val="en-US"/>
        </w:rPr>
      </w:pPr>
      <w:r>
        <w:rPr>
          <w:rFonts w:ascii="Times New Roman" w:hAnsi="Times New Roman" w:cs="Times New Roman"/>
          <w:noProof/>
          <w:sz w:val="24"/>
          <w:szCs w:val="24"/>
          <w:lang w:val="en-US"/>
        </w:rPr>
        <w:t>funding of research and innovation projects.</w:t>
      </w:r>
      <w:r>
        <w:rPr>
          <w:rFonts w:ascii="Times New Roman" w:hAnsi="Times New Roman" w:cs="Times New Roman"/>
          <w:noProof/>
          <w:sz w:val="24"/>
          <w:szCs w:val="24"/>
          <w:vertAlign w:val="superscript"/>
          <w:lang w:val="en-US"/>
        </w:rPr>
        <w:footnoteReference w:id="16"/>
      </w:r>
    </w:p>
    <w:p w:rsidR="003B411A" w:rsidRDefault="003B411A">
      <w:pPr>
        <w:spacing w:after="0"/>
        <w:rPr>
          <w:rFonts w:ascii="Times New Roman" w:hAnsi="Times New Roman" w:cs="Times New Roman"/>
          <w:noProof/>
          <w:sz w:val="24"/>
          <w:szCs w:val="24"/>
          <w:lang w:val="en-US"/>
        </w:rPr>
      </w:pPr>
    </w:p>
    <w:p w:rsidR="003B411A" w:rsidRDefault="009F0AE3">
      <w:pPr>
        <w:pStyle w:val="Heading1"/>
        <w:numPr>
          <w:ilvl w:val="0"/>
          <w:numId w:val="3"/>
        </w:numPr>
        <w:rPr>
          <w:noProof/>
        </w:rPr>
      </w:pPr>
      <w:bookmarkStart w:id="12" w:name="_Toc501640537"/>
      <w:bookmarkStart w:id="13" w:name="_Toc503460721"/>
      <w:bookmarkStart w:id="14" w:name="_Toc503544748"/>
      <w:bookmarkStart w:id="15" w:name="_Toc504065546"/>
      <w:bookmarkStart w:id="16" w:name="_Toc505952412"/>
      <w:r>
        <w:rPr>
          <w:noProof/>
        </w:rPr>
        <w:t>Method</w:t>
      </w:r>
      <w:bookmarkEnd w:id="12"/>
      <w:bookmarkEnd w:id="13"/>
      <w:bookmarkEnd w:id="14"/>
      <w:bookmarkEnd w:id="15"/>
      <w:bookmarkEnd w:id="16"/>
    </w:p>
    <w:p w:rsidR="003B411A" w:rsidRDefault="009F0AE3">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took place </w:t>
      </w:r>
      <w:r>
        <w:rPr>
          <w:rFonts w:ascii="Times New Roman" w:hAnsi="Times New Roman" w:cs="Times New Roman"/>
          <w:noProof/>
          <w:sz w:val="24"/>
          <w:szCs w:val="24"/>
          <w:lang w:val="en-GB"/>
        </w:rPr>
        <w:t>between March 2017 and January 2018 and drew from the following main data sources:</w:t>
      </w:r>
    </w:p>
    <w:p w:rsidR="003B411A" w:rsidRDefault="003B411A">
      <w:pPr>
        <w:rPr>
          <w:rFonts w:ascii="Times New Roman" w:eastAsia="Times New Roman" w:hAnsi="Times New Roman" w:cs="Times New Roman"/>
          <w:b/>
          <w:noProof/>
          <w:sz w:val="24"/>
          <w:szCs w:val="24"/>
          <w:lang w:val="en-GB"/>
        </w:rPr>
      </w:pPr>
    </w:p>
    <w:p w:rsidR="003B411A" w:rsidRDefault="009F0AE3">
      <w:pPr>
        <w:pStyle w:val="ListParagraph"/>
        <w:numPr>
          <w:ilvl w:val="0"/>
          <w:numId w:val="8"/>
        </w:numPr>
        <w:rPr>
          <w:b/>
          <w:noProof/>
          <w:szCs w:val="24"/>
        </w:rPr>
      </w:pPr>
      <w:r>
        <w:rPr>
          <w:b/>
          <w:noProof/>
          <w:szCs w:val="24"/>
        </w:rPr>
        <w:t>Study to support the review of the PSI Directive</w:t>
      </w:r>
    </w:p>
    <w:p w:rsidR="003B411A" w:rsidRDefault="009F0AE3">
      <w:pPr>
        <w:ind w:left="3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review process was supported by a study, conducted by a consortium</w:t>
      </w:r>
      <w:r>
        <w:rPr>
          <w:rStyle w:val="FootnoteReference"/>
          <w:rFonts w:ascii="Times New Roman" w:hAnsi="Times New Roman" w:cs="Times New Roman"/>
          <w:noProof/>
          <w:szCs w:val="24"/>
          <w:lang w:val="en-GB"/>
        </w:rPr>
        <w:footnoteReference w:id="17"/>
      </w:r>
      <w:r>
        <w:rPr>
          <w:rFonts w:ascii="Times New Roman" w:hAnsi="Times New Roman" w:cs="Times New Roman"/>
          <w:noProof/>
          <w:sz w:val="24"/>
          <w:szCs w:val="24"/>
          <w:lang w:val="en-GB"/>
        </w:rPr>
        <w:t>, on the functioning of the PSI Directive.</w:t>
      </w:r>
      <w:r>
        <w:rPr>
          <w:rStyle w:val="FootnoteReference"/>
          <w:rFonts w:ascii="Times New Roman" w:hAnsi="Times New Roman" w:cs="Times New Roman"/>
          <w:noProof/>
          <w:szCs w:val="24"/>
          <w:lang w:val="en-GB"/>
        </w:rPr>
        <w:footnoteReference w:id="18"/>
      </w:r>
      <w:r>
        <w:rPr>
          <w:rFonts w:ascii="Times New Roman" w:hAnsi="Times New Roman" w:cs="Times New Roman"/>
          <w:noProof/>
          <w:sz w:val="24"/>
          <w:szCs w:val="24"/>
          <w:lang w:val="en-GB"/>
        </w:rPr>
        <w:t xml:space="preserve"> The aim </w:t>
      </w:r>
      <w:r>
        <w:rPr>
          <w:rFonts w:ascii="Times New Roman" w:hAnsi="Times New Roman" w:cs="Times New Roman"/>
          <w:noProof/>
          <w:sz w:val="24"/>
          <w:szCs w:val="24"/>
          <w:lang w:val="en-GB"/>
        </w:rPr>
        <w:t>of the study was to assist the Commission in evaluating the existing legal and policy framework applicable to data access and re-use (assessing the role which the PSI Directive has played in promoting PSI re-use across Europe), and checking whether it coul</w:t>
      </w:r>
      <w:r>
        <w:rPr>
          <w:rFonts w:ascii="Times New Roman" w:hAnsi="Times New Roman" w:cs="Times New Roman"/>
          <w:noProof/>
          <w:sz w:val="24"/>
          <w:szCs w:val="24"/>
          <w:lang w:val="en-GB"/>
        </w:rPr>
        <w:t>d be improved to address some of the weaknesses identified and/or new issues which have emerged since the last revision of the Directive (in particular by assessing the expected impacts of a number of policy options/combinations thereof).</w:t>
      </w:r>
    </w:p>
    <w:p w:rsidR="003B411A" w:rsidRDefault="009F0AE3">
      <w:pPr>
        <w:ind w:left="3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study relied </w:t>
      </w:r>
      <w:r>
        <w:rPr>
          <w:rFonts w:ascii="Times New Roman" w:hAnsi="Times New Roman" w:cs="Times New Roman"/>
          <w:noProof/>
          <w:sz w:val="24"/>
          <w:szCs w:val="24"/>
          <w:lang w:val="en-GB"/>
        </w:rPr>
        <w:t>on a combination of sources and methods, including strategic interviews</w:t>
      </w:r>
      <w:r>
        <w:rPr>
          <w:rStyle w:val="FootnoteReference"/>
          <w:rFonts w:ascii="Times New Roman" w:hAnsi="Times New Roman" w:cs="Times New Roman"/>
          <w:noProof/>
          <w:szCs w:val="24"/>
          <w:lang w:val="en-GB"/>
        </w:rPr>
        <w:footnoteReference w:id="19"/>
      </w:r>
      <w:r>
        <w:rPr>
          <w:rFonts w:ascii="Times New Roman" w:hAnsi="Times New Roman" w:cs="Times New Roman"/>
          <w:noProof/>
          <w:sz w:val="24"/>
          <w:szCs w:val="24"/>
          <w:lang w:val="en-GB"/>
        </w:rPr>
        <w:t>, desk research, interviews with stakeholders at the EU and national levels</w:t>
      </w:r>
      <w:r>
        <w:rPr>
          <w:rStyle w:val="FootnoteReference"/>
          <w:rFonts w:ascii="Times New Roman" w:hAnsi="Times New Roman" w:cs="Times New Roman"/>
          <w:noProof/>
          <w:szCs w:val="24"/>
          <w:lang w:val="en-GB"/>
        </w:rPr>
        <w:footnoteReference w:id="20"/>
      </w:r>
      <w:r>
        <w:rPr>
          <w:rFonts w:ascii="Times New Roman" w:hAnsi="Times New Roman" w:cs="Times New Roman"/>
          <w:noProof/>
          <w:sz w:val="24"/>
          <w:szCs w:val="24"/>
          <w:lang w:val="en-GB"/>
        </w:rPr>
        <w:t>, workshops with public sector practitioners and academics, as well as with PSI re-users and data economy pl</w:t>
      </w:r>
      <w:r>
        <w:rPr>
          <w:rFonts w:ascii="Times New Roman" w:hAnsi="Times New Roman" w:cs="Times New Roman"/>
          <w:noProof/>
          <w:sz w:val="24"/>
          <w:szCs w:val="24"/>
          <w:lang w:val="en-GB"/>
        </w:rPr>
        <w:t>ayers, three online surveys with public authorities, including public cultural institutions, education and research bodies, as well as the re-user community, and analysis of the public online consultation launched by the Commission. The original data colle</w:t>
      </w:r>
      <w:r>
        <w:rPr>
          <w:rFonts w:ascii="Times New Roman" w:hAnsi="Times New Roman" w:cs="Times New Roman"/>
          <w:noProof/>
          <w:sz w:val="24"/>
          <w:szCs w:val="24"/>
          <w:lang w:val="en-GB"/>
        </w:rPr>
        <w:t>ction focused on a representative sample of 10 EU Member States: Estonia, France, Germany, Greece, Ireland, Italy, Netherlands, Poland, Slovenia, and Sweden.</w:t>
      </w:r>
    </w:p>
    <w:p w:rsidR="003B411A" w:rsidRDefault="009F0AE3">
      <w:pPr>
        <w:pStyle w:val="ListParagraph"/>
        <w:numPr>
          <w:ilvl w:val="0"/>
          <w:numId w:val="8"/>
        </w:numPr>
        <w:rPr>
          <w:b/>
          <w:noProof/>
          <w:szCs w:val="24"/>
        </w:rPr>
      </w:pPr>
      <w:r>
        <w:rPr>
          <w:b/>
          <w:noProof/>
          <w:szCs w:val="24"/>
        </w:rPr>
        <w:t>Open Data Maturity in Europe - 2017 Report</w:t>
      </w:r>
      <w:r>
        <w:rPr>
          <w:rStyle w:val="FootnoteReference"/>
          <w:b/>
          <w:noProof/>
          <w:szCs w:val="24"/>
        </w:rPr>
        <w:footnoteReference w:id="21"/>
      </w:r>
    </w:p>
    <w:p w:rsidR="003B411A" w:rsidRDefault="009F0AE3">
      <w:pPr>
        <w:ind w:left="360"/>
        <w:jc w:val="both"/>
        <w:rPr>
          <w:rFonts w:ascii="Times New Roman" w:eastAsia="Times New Roman" w:hAnsi="Times New Roman" w:cs="Times New Roman"/>
          <w:b/>
          <w:noProof/>
          <w:sz w:val="24"/>
          <w:szCs w:val="24"/>
          <w:lang w:val="en-GB"/>
        </w:rPr>
      </w:pPr>
      <w:r>
        <w:rPr>
          <w:rFonts w:ascii="Times New Roman" w:hAnsi="Times New Roman" w:cs="Times New Roman"/>
          <w:noProof/>
          <w:sz w:val="24"/>
          <w:szCs w:val="24"/>
          <w:lang w:val="en-GB"/>
        </w:rPr>
        <w:t>Every year, Open Data maturity across Europe is measur</w:t>
      </w:r>
      <w:r>
        <w:rPr>
          <w:rFonts w:ascii="Times New Roman" w:hAnsi="Times New Roman" w:cs="Times New Roman"/>
          <w:noProof/>
          <w:sz w:val="24"/>
          <w:szCs w:val="24"/>
          <w:lang w:val="en-GB"/>
        </w:rPr>
        <w:t>ed for the Commission through a series of indicators.</w:t>
      </w:r>
      <w:r>
        <w:rPr>
          <w:rStyle w:val="FootnoteReference"/>
          <w:rFonts w:ascii="Times New Roman" w:hAnsi="Times New Roman" w:cs="Times New Roman"/>
          <w:noProof/>
          <w:szCs w:val="24"/>
          <w:lang w:val="en-GB"/>
        </w:rPr>
        <w:footnoteReference w:id="22"/>
      </w:r>
      <w:r>
        <w:rPr>
          <w:rFonts w:ascii="Times New Roman" w:hAnsi="Times New Roman" w:cs="Times New Roman"/>
          <w:noProof/>
          <w:sz w:val="24"/>
          <w:szCs w:val="24"/>
          <w:lang w:val="en-GB"/>
        </w:rPr>
        <w:t xml:space="preserve"> The factors taken into account for measuring Open Data maturity are aligned with the provisions of the PSI Directive and the practical measures necessary to make data better findable and usable (see th</w:t>
      </w:r>
      <w:r>
        <w:rPr>
          <w:rFonts w:ascii="Times New Roman" w:hAnsi="Times New Roman" w:cs="Times New Roman"/>
          <w:noProof/>
          <w:sz w:val="24"/>
          <w:szCs w:val="24"/>
          <w:lang w:val="en-GB"/>
        </w:rPr>
        <w:t xml:space="preserve">e indicators listed under section 2). The measurements cover the level of development of national policies promoting Open Data, an assessment of the features made available on national data portals as well as the expected impact of Open Data. This work is </w:t>
      </w:r>
      <w:r>
        <w:rPr>
          <w:rFonts w:ascii="Times New Roman" w:hAnsi="Times New Roman" w:cs="Times New Roman"/>
          <w:noProof/>
          <w:sz w:val="24"/>
          <w:szCs w:val="24"/>
          <w:lang w:val="en-GB"/>
        </w:rPr>
        <w:t>carried out by a consortium contracted by the Commission and responsible for the European Data Portal measures.</w:t>
      </w:r>
      <w:r>
        <w:rPr>
          <w:rStyle w:val="FootnoteReference"/>
          <w:rFonts w:ascii="Times New Roman" w:hAnsi="Times New Roman" w:cs="Times New Roman"/>
          <w:noProof/>
          <w:szCs w:val="24"/>
          <w:lang w:val="en-GB"/>
        </w:rPr>
        <w:footnoteReference w:id="23"/>
      </w:r>
    </w:p>
    <w:p w:rsidR="003B411A" w:rsidRDefault="009F0AE3">
      <w:pPr>
        <w:pStyle w:val="ListParagraph"/>
        <w:numPr>
          <w:ilvl w:val="0"/>
          <w:numId w:val="8"/>
        </w:numPr>
        <w:rPr>
          <w:b/>
          <w:noProof/>
          <w:szCs w:val="24"/>
        </w:rPr>
      </w:pPr>
      <w:r>
        <w:rPr>
          <w:b/>
          <w:noProof/>
          <w:szCs w:val="24"/>
        </w:rPr>
        <w:t xml:space="preserve">Input from Member States </w:t>
      </w:r>
    </w:p>
    <w:p w:rsidR="003B411A" w:rsidRDefault="009F0AE3">
      <w:pPr>
        <w:ind w:left="3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has analysed the latest available Member States reports as part of its monitoring of the PSI Directive</w:t>
      </w:r>
      <w:r>
        <w:rPr>
          <w:rFonts w:ascii="Times New Roman" w:hAnsi="Times New Roman" w:cs="Times New Roman"/>
          <w:noProof/>
          <w:sz w:val="24"/>
          <w:szCs w:val="24"/>
          <w:lang w:val="en-GB"/>
        </w:rPr>
        <w:t xml:space="preserve"> pursuant to Article 13(2) of the Directive.</w:t>
      </w:r>
      <w:r>
        <w:rPr>
          <w:rStyle w:val="FootnoteReference"/>
          <w:rFonts w:ascii="Times New Roman" w:hAnsi="Times New Roman" w:cs="Times New Roman"/>
          <w:noProof/>
          <w:szCs w:val="24"/>
          <w:lang w:val="en-GB"/>
        </w:rPr>
        <w:footnoteReference w:id="24"/>
      </w:r>
      <w:r>
        <w:rPr>
          <w:rFonts w:ascii="Times New Roman" w:hAnsi="Times New Roman" w:cs="Times New Roman"/>
          <w:noProof/>
          <w:sz w:val="24"/>
          <w:szCs w:val="24"/>
          <w:lang w:val="en-GB"/>
        </w:rPr>
        <w:t xml:space="preserve"> Additional input from Member States was received at a meeting of the Member State Expert Group on PSI on 15 November 2017.</w:t>
      </w:r>
    </w:p>
    <w:p w:rsidR="003B411A" w:rsidRDefault="009F0AE3">
      <w:pPr>
        <w:pStyle w:val="ListParagraph"/>
        <w:numPr>
          <w:ilvl w:val="0"/>
          <w:numId w:val="8"/>
        </w:numPr>
        <w:rPr>
          <w:b/>
          <w:noProof/>
          <w:szCs w:val="24"/>
        </w:rPr>
      </w:pPr>
      <w:r>
        <w:rPr>
          <w:b/>
          <w:noProof/>
          <w:szCs w:val="24"/>
        </w:rPr>
        <w:t>Stakeholder consultations</w:t>
      </w:r>
    </w:p>
    <w:p w:rsidR="003B411A" w:rsidRDefault="009F0AE3">
      <w:pPr>
        <w:ind w:left="360"/>
        <w:rPr>
          <w:rFonts w:ascii="Times New Roman" w:hAnsi="Times New Roman" w:cs="Times New Roman"/>
          <w:noProof/>
          <w:sz w:val="24"/>
          <w:szCs w:val="24"/>
          <w:lang w:val="en-GB"/>
        </w:rPr>
      </w:pPr>
      <w:r>
        <w:rPr>
          <w:rFonts w:ascii="Times New Roman" w:hAnsi="Times New Roman" w:cs="Times New Roman"/>
          <w:noProof/>
          <w:sz w:val="24"/>
          <w:szCs w:val="24"/>
          <w:lang w:val="en-GB"/>
        </w:rPr>
        <w:t>Broad stakeholder consultations were organised</w:t>
      </w:r>
      <w:r>
        <w:rPr>
          <w:rStyle w:val="FootnoteReference"/>
          <w:rFonts w:ascii="Times New Roman" w:hAnsi="Times New Roman" w:cs="Times New Roman"/>
          <w:noProof/>
          <w:szCs w:val="24"/>
          <w:lang w:val="en-GB"/>
        </w:rPr>
        <w:footnoteReference w:id="25"/>
      </w:r>
      <w:r>
        <w:rPr>
          <w:rFonts w:ascii="Times New Roman" w:hAnsi="Times New Roman" w:cs="Times New Roman"/>
          <w:noProof/>
          <w:sz w:val="24"/>
          <w:szCs w:val="24"/>
          <w:lang w:val="en-GB"/>
        </w:rPr>
        <w:t>, covering the</w:t>
      </w:r>
      <w:r>
        <w:rPr>
          <w:rFonts w:ascii="Times New Roman" w:hAnsi="Times New Roman" w:cs="Times New Roman"/>
          <w:noProof/>
          <w:sz w:val="24"/>
          <w:szCs w:val="24"/>
          <w:lang w:val="en-GB"/>
        </w:rPr>
        <w:t xml:space="preserve"> following actions:</w:t>
      </w:r>
      <w:r>
        <w:rPr>
          <w:rStyle w:val="FootnoteReference"/>
          <w:rFonts w:ascii="Times New Roman" w:hAnsi="Times New Roman" w:cs="Times New Roman"/>
          <w:noProof/>
          <w:szCs w:val="24"/>
          <w:lang w:val="en-GB"/>
        </w:rPr>
        <w:footnoteReference w:id="26"/>
      </w:r>
    </w:p>
    <w:p w:rsidR="003B411A" w:rsidRDefault="009F0AE3">
      <w:pPr>
        <w:pStyle w:val="ListParagraph"/>
        <w:numPr>
          <w:ilvl w:val="0"/>
          <w:numId w:val="6"/>
        </w:numPr>
        <w:rPr>
          <w:i/>
          <w:noProof/>
          <w:szCs w:val="24"/>
        </w:rPr>
      </w:pPr>
      <w:r>
        <w:rPr>
          <w:i/>
          <w:noProof/>
          <w:szCs w:val="24"/>
        </w:rPr>
        <w:t xml:space="preserve">Inception Impact Assessment </w:t>
      </w:r>
    </w:p>
    <w:p w:rsidR="003B411A" w:rsidRDefault="009F0AE3">
      <w:pPr>
        <w:ind w:left="7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 Inception Impact Assessment was published on the dedicated Better Regulation webpage</w:t>
      </w:r>
      <w:r>
        <w:rPr>
          <w:rStyle w:val="FootnoteReference"/>
          <w:rFonts w:ascii="Times New Roman" w:hAnsi="Times New Roman" w:cs="Times New Roman"/>
          <w:noProof/>
          <w:szCs w:val="24"/>
          <w:lang w:val="en-GB"/>
        </w:rPr>
        <w:footnoteReference w:id="27"/>
      </w:r>
      <w:r>
        <w:rPr>
          <w:rFonts w:ascii="Times New Roman" w:hAnsi="Times New Roman" w:cs="Times New Roman"/>
          <w:noProof/>
          <w:sz w:val="24"/>
          <w:szCs w:val="24"/>
          <w:lang w:val="en-GB"/>
        </w:rPr>
        <w:t xml:space="preserve"> and it was available for feedback for 4 weeks (18 September 2017 - 16 October 2017). Seven stakeholders sent replies.</w:t>
      </w:r>
    </w:p>
    <w:p w:rsidR="003B411A" w:rsidRDefault="009F0AE3">
      <w:pPr>
        <w:pStyle w:val="ListParagraph"/>
        <w:numPr>
          <w:ilvl w:val="0"/>
          <w:numId w:val="6"/>
        </w:numPr>
        <w:ind w:left="786"/>
        <w:rPr>
          <w:i/>
          <w:noProof/>
          <w:szCs w:val="24"/>
        </w:rPr>
      </w:pPr>
      <w:r>
        <w:rPr>
          <w:i/>
          <w:noProof/>
          <w:szCs w:val="24"/>
        </w:rPr>
        <w:t>Public online consultation</w:t>
      </w:r>
    </w:p>
    <w:p w:rsidR="003B411A" w:rsidRDefault="009F0AE3">
      <w:pPr>
        <w:ind w:left="78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public online consultation was published on the dedicated Consultations webpage</w:t>
      </w:r>
      <w:r>
        <w:rPr>
          <w:rStyle w:val="FootnoteReference"/>
          <w:rFonts w:ascii="Times New Roman" w:hAnsi="Times New Roman" w:cs="Times New Roman"/>
          <w:noProof/>
          <w:szCs w:val="24"/>
          <w:lang w:val="en-GB"/>
        </w:rPr>
        <w:footnoteReference w:id="28"/>
      </w:r>
      <w:r>
        <w:rPr>
          <w:rFonts w:ascii="Times New Roman" w:hAnsi="Times New Roman" w:cs="Times New Roman"/>
          <w:noProof/>
          <w:sz w:val="24"/>
          <w:szCs w:val="24"/>
          <w:lang w:val="en-GB"/>
        </w:rPr>
        <w:t xml:space="preserve"> and it was available for feedback for 12 weeks (19 September 2017 - 16 December 2017). All interested parties, including governments, public sect</w:t>
      </w:r>
      <w:r>
        <w:rPr>
          <w:rFonts w:ascii="Times New Roman" w:hAnsi="Times New Roman" w:cs="Times New Roman"/>
          <w:noProof/>
          <w:sz w:val="24"/>
          <w:szCs w:val="24"/>
          <w:lang w:val="en-GB"/>
        </w:rPr>
        <w:t>or content holders and users, commercial and non-commercial re-users, experts and academics as well as citizens were invited to contribute. The online questionnaire covered both the evaluation of the current Directive implementation and the problems, objec</w:t>
      </w:r>
      <w:r>
        <w:rPr>
          <w:rFonts w:ascii="Times New Roman" w:hAnsi="Times New Roman" w:cs="Times New Roman"/>
          <w:noProof/>
          <w:sz w:val="24"/>
          <w:szCs w:val="24"/>
          <w:lang w:val="en-GB"/>
        </w:rPr>
        <w:t>tives and possible options for the future. Respondents also had the opportunity to upload a document, such as a position paper. With several targeted actions, the Commission made stakeholders aware of the public online consultation and called on them to pa</w:t>
      </w:r>
      <w:r>
        <w:rPr>
          <w:rFonts w:ascii="Times New Roman" w:hAnsi="Times New Roman" w:cs="Times New Roman"/>
          <w:noProof/>
          <w:sz w:val="24"/>
          <w:szCs w:val="24"/>
          <w:lang w:val="en-GB"/>
        </w:rPr>
        <w:t xml:space="preserve">rticipate. Feedback was received from 273 stakeholders. A total of 63 contributions received until the end of the consultation process, end of January 2018, were taken into account. </w:t>
      </w:r>
    </w:p>
    <w:p w:rsidR="003B411A" w:rsidRDefault="009F0AE3">
      <w:pPr>
        <w:pStyle w:val="ListParagraph"/>
        <w:numPr>
          <w:ilvl w:val="0"/>
          <w:numId w:val="6"/>
        </w:numPr>
        <w:ind w:left="786"/>
        <w:rPr>
          <w:i/>
          <w:noProof/>
          <w:szCs w:val="24"/>
        </w:rPr>
      </w:pPr>
      <w:r>
        <w:rPr>
          <w:i/>
          <w:noProof/>
          <w:szCs w:val="24"/>
        </w:rPr>
        <w:t>Targeted stakeholder events</w:t>
      </w:r>
    </w:p>
    <w:p w:rsidR="003B411A" w:rsidRDefault="009F0AE3">
      <w:pPr>
        <w:ind w:left="7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part of the evaluation and impact assessme</w:t>
      </w:r>
      <w:r>
        <w:rPr>
          <w:rFonts w:ascii="Times New Roman" w:hAnsi="Times New Roman" w:cs="Times New Roman"/>
          <w:noProof/>
          <w:sz w:val="24"/>
          <w:szCs w:val="24"/>
          <w:lang w:val="en-GB"/>
        </w:rPr>
        <w:t>nt process, the following stakeholder events were organised to address particular issues and/or target specific stakeholders:</w:t>
      </w:r>
    </w:p>
    <w:p w:rsidR="003B411A" w:rsidRDefault="009F0AE3">
      <w:pPr>
        <w:pStyle w:val="ListParagraph"/>
        <w:numPr>
          <w:ilvl w:val="0"/>
          <w:numId w:val="9"/>
        </w:numPr>
        <w:rPr>
          <w:noProof/>
          <w:szCs w:val="24"/>
        </w:rPr>
      </w:pPr>
      <w:r>
        <w:rPr>
          <w:i/>
          <w:noProof/>
          <w:szCs w:val="24"/>
        </w:rPr>
        <w:t>26 June 2017:</w:t>
      </w:r>
      <w:r>
        <w:rPr>
          <w:noProof/>
          <w:szCs w:val="24"/>
        </w:rPr>
        <w:t xml:space="preserve"> workshop on access for public bodies to privately-held data of public interest;</w:t>
      </w:r>
    </w:p>
    <w:p w:rsidR="003B411A" w:rsidRDefault="009F0AE3">
      <w:pPr>
        <w:pStyle w:val="ListParagraph"/>
        <w:numPr>
          <w:ilvl w:val="0"/>
          <w:numId w:val="9"/>
        </w:numPr>
        <w:rPr>
          <w:noProof/>
          <w:szCs w:val="24"/>
        </w:rPr>
      </w:pPr>
      <w:r>
        <w:rPr>
          <w:i/>
          <w:noProof/>
          <w:szCs w:val="24"/>
        </w:rPr>
        <w:t>14 December 2017:</w:t>
      </w:r>
      <w:r>
        <w:rPr>
          <w:noProof/>
          <w:szCs w:val="24"/>
        </w:rPr>
        <w:t xml:space="preserve"> workshop on open r</w:t>
      </w:r>
      <w:r>
        <w:rPr>
          <w:noProof/>
          <w:szCs w:val="24"/>
        </w:rPr>
        <w:t>esearch data;</w:t>
      </w:r>
    </w:p>
    <w:p w:rsidR="003B411A" w:rsidRDefault="009F0AE3">
      <w:pPr>
        <w:pStyle w:val="ListParagraph"/>
        <w:numPr>
          <w:ilvl w:val="0"/>
          <w:numId w:val="9"/>
        </w:numPr>
        <w:rPr>
          <w:noProof/>
          <w:szCs w:val="24"/>
        </w:rPr>
      </w:pPr>
      <w:r>
        <w:rPr>
          <w:i/>
          <w:noProof/>
          <w:szCs w:val="24"/>
        </w:rPr>
        <w:t>18 January 2018:</w:t>
      </w:r>
      <w:r>
        <w:rPr>
          <w:noProof/>
          <w:szCs w:val="24"/>
        </w:rPr>
        <w:t xml:space="preserve"> workshop with PSI holders and re-users;</w:t>
      </w:r>
    </w:p>
    <w:p w:rsidR="003B411A" w:rsidRDefault="009F0AE3">
      <w:pPr>
        <w:pStyle w:val="ListParagraph"/>
        <w:numPr>
          <w:ilvl w:val="0"/>
          <w:numId w:val="9"/>
        </w:numPr>
        <w:rPr>
          <w:noProof/>
          <w:szCs w:val="24"/>
        </w:rPr>
      </w:pPr>
      <w:r>
        <w:rPr>
          <w:i/>
          <w:noProof/>
          <w:szCs w:val="24"/>
        </w:rPr>
        <w:t>19 January 2018:</w:t>
      </w:r>
      <w:r>
        <w:rPr>
          <w:noProof/>
          <w:szCs w:val="24"/>
        </w:rPr>
        <w:t xml:space="preserve"> public hearing (open to all) on the review of the Directive on the re-use of public sector information, with 98 attendees and 19 speakers;</w:t>
      </w:r>
    </w:p>
    <w:p w:rsidR="003B411A" w:rsidRDefault="009F0AE3">
      <w:pPr>
        <w:pStyle w:val="ListParagraph"/>
        <w:numPr>
          <w:ilvl w:val="0"/>
          <w:numId w:val="9"/>
        </w:numPr>
        <w:rPr>
          <w:noProof/>
          <w:szCs w:val="24"/>
        </w:rPr>
      </w:pPr>
      <w:r>
        <w:rPr>
          <w:i/>
          <w:noProof/>
          <w:szCs w:val="24"/>
        </w:rPr>
        <w:t>23 January 2018:</w:t>
      </w:r>
      <w:r>
        <w:rPr>
          <w:noProof/>
          <w:szCs w:val="24"/>
        </w:rPr>
        <w:t xml:space="preserve"> high-level r</w:t>
      </w:r>
      <w:r>
        <w:rPr>
          <w:noProof/>
          <w:szCs w:val="24"/>
        </w:rPr>
        <w:t>oundtable on opening up data in the transport and utilities sectors.</w:t>
      </w:r>
    </w:p>
    <w:p w:rsidR="003B411A" w:rsidRDefault="003B411A">
      <w:pPr>
        <w:pStyle w:val="ListParagraph"/>
        <w:ind w:left="1068"/>
        <w:rPr>
          <w:noProof/>
          <w:szCs w:val="24"/>
        </w:rPr>
      </w:pPr>
    </w:p>
    <w:p w:rsidR="003B411A" w:rsidRDefault="009F0AE3">
      <w:pPr>
        <w:pStyle w:val="ListParagraph"/>
        <w:numPr>
          <w:ilvl w:val="0"/>
          <w:numId w:val="6"/>
        </w:numPr>
        <w:ind w:left="786"/>
        <w:rPr>
          <w:i/>
          <w:noProof/>
          <w:szCs w:val="24"/>
        </w:rPr>
      </w:pPr>
      <w:r>
        <w:rPr>
          <w:i/>
          <w:noProof/>
          <w:szCs w:val="24"/>
        </w:rPr>
        <w:t>Ad hoc meetings</w:t>
      </w:r>
    </w:p>
    <w:p w:rsidR="003B411A" w:rsidRDefault="003B411A">
      <w:pPr>
        <w:pStyle w:val="ListParagraph"/>
        <w:rPr>
          <w:noProof/>
          <w:szCs w:val="24"/>
        </w:rPr>
      </w:pPr>
    </w:p>
    <w:p w:rsidR="003B411A" w:rsidRDefault="009F0AE3">
      <w:pPr>
        <w:pStyle w:val="ListParagraph"/>
        <w:spacing w:after="0"/>
        <w:rPr>
          <w:noProof/>
          <w:szCs w:val="24"/>
        </w:rPr>
      </w:pPr>
      <w:r>
        <w:rPr>
          <w:noProof/>
        </w:rPr>
        <w:t>Several ad hoc meetings have taken place with stakeholders' representatives, such as E3PO</w:t>
      </w:r>
      <w:r>
        <w:rPr>
          <w:rStyle w:val="FootnoteReference"/>
          <w:noProof/>
        </w:rPr>
        <w:footnoteReference w:id="29"/>
      </w:r>
      <w:r>
        <w:rPr>
          <w:noProof/>
        </w:rPr>
        <w:t xml:space="preserve">, the </w:t>
      </w:r>
      <w:r>
        <w:rPr>
          <w:i/>
          <w:noProof/>
        </w:rPr>
        <w:t>Union internationale des Transports Publics</w:t>
      </w:r>
      <w:r>
        <w:rPr>
          <w:noProof/>
        </w:rPr>
        <w:t xml:space="preserve">, the German </w:t>
      </w:r>
      <w:r>
        <w:rPr>
          <w:i/>
          <w:noProof/>
        </w:rPr>
        <w:t>Verband Deutscher</w:t>
      </w:r>
      <w:r>
        <w:rPr>
          <w:i/>
          <w:noProof/>
        </w:rPr>
        <w:t xml:space="preserve"> Verkehrsunternehmen</w:t>
      </w:r>
      <w:r>
        <w:rPr>
          <w:noProof/>
        </w:rPr>
        <w:t xml:space="preserve"> and </w:t>
      </w:r>
      <w:r>
        <w:rPr>
          <w:i/>
          <w:noProof/>
        </w:rPr>
        <w:t>Compass Gruppe</w:t>
      </w:r>
      <w:r>
        <w:rPr>
          <w:noProof/>
        </w:rPr>
        <w:t xml:space="preserve">, and the French </w:t>
      </w:r>
      <w:r>
        <w:rPr>
          <w:i/>
          <w:noProof/>
        </w:rPr>
        <w:t>Union des Transports Publics</w:t>
      </w:r>
      <w:r>
        <w:rPr>
          <w:noProof/>
        </w:rPr>
        <w:t xml:space="preserve"> and </w:t>
      </w:r>
      <w:r>
        <w:rPr>
          <w:i/>
          <w:noProof/>
        </w:rPr>
        <w:t>Institut de la Gestion Déléguée.</w:t>
      </w:r>
    </w:p>
    <w:p w:rsidR="003B411A" w:rsidRDefault="003B411A">
      <w:pPr>
        <w:spacing w:after="0"/>
        <w:rPr>
          <w:rFonts w:ascii="Times New Roman" w:eastAsia="Times New Roman" w:hAnsi="Times New Roman" w:cs="Times New Roman"/>
          <w:b/>
          <w:noProof/>
          <w:sz w:val="24"/>
          <w:szCs w:val="24"/>
          <w:lang w:val="en-GB"/>
        </w:rPr>
      </w:pPr>
    </w:p>
    <w:p w:rsidR="003B411A" w:rsidRDefault="009F0AE3">
      <w:pPr>
        <w:pStyle w:val="ListParagraph"/>
        <w:numPr>
          <w:ilvl w:val="0"/>
          <w:numId w:val="8"/>
        </w:numPr>
        <w:rPr>
          <w:b/>
          <w:noProof/>
          <w:szCs w:val="24"/>
        </w:rPr>
      </w:pPr>
      <w:r>
        <w:rPr>
          <w:b/>
          <w:noProof/>
          <w:szCs w:val="24"/>
        </w:rPr>
        <w:t>Literature review</w:t>
      </w:r>
    </w:p>
    <w:p w:rsidR="003B411A" w:rsidRDefault="009F0AE3">
      <w:pPr>
        <w:ind w:left="3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Literature review, including several studies on the impact of open data on economic growth and innovation, impacts </w:t>
      </w:r>
      <w:r>
        <w:rPr>
          <w:rFonts w:ascii="Times New Roman" w:hAnsi="Times New Roman" w:cs="Times New Roman"/>
          <w:noProof/>
          <w:sz w:val="24"/>
          <w:szCs w:val="24"/>
          <w:lang w:val="en-GB"/>
        </w:rPr>
        <w:t>on society, the impact of lowering charges on re-use, and others.</w:t>
      </w:r>
      <w:r>
        <w:rPr>
          <w:rStyle w:val="FootnoteReference"/>
          <w:rFonts w:ascii="Times New Roman" w:hAnsi="Times New Roman" w:cs="Times New Roman"/>
          <w:noProof/>
          <w:szCs w:val="24"/>
          <w:lang w:val="en-GB"/>
        </w:rPr>
        <w:footnoteReference w:id="30"/>
      </w:r>
    </w:p>
    <w:p w:rsidR="003B411A" w:rsidRDefault="009F0AE3">
      <w:pPr>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Limitations – robustness of findings</w:t>
      </w:r>
    </w:p>
    <w:p w:rsidR="003B411A" w:rsidRDefault="009F0AE3">
      <w:pPr>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data collection and analysis carried out has a number of intrinsic limitations, whose impact was mitigated to a maximum possible extent:</w:t>
      </w:r>
    </w:p>
    <w:p w:rsidR="003B411A" w:rsidRDefault="009F0AE3">
      <w:pPr>
        <w:pStyle w:val="ListParagraph"/>
        <w:numPr>
          <w:ilvl w:val="0"/>
          <w:numId w:val="8"/>
        </w:numPr>
        <w:ind w:left="426" w:hanging="426"/>
        <w:rPr>
          <w:noProof/>
          <w:szCs w:val="24"/>
        </w:rPr>
      </w:pPr>
      <w:r>
        <w:rPr>
          <w:noProof/>
          <w:szCs w:val="24"/>
        </w:rPr>
        <w:t>Numerous so</w:t>
      </w:r>
      <w:r>
        <w:rPr>
          <w:noProof/>
          <w:szCs w:val="24"/>
        </w:rPr>
        <w:t>urces that cover the data economy in general, the value of open data, issues related to PSI, and other similar topics have been identified and taken into account. There are differences between the studies in terms of their objectives and scope, their speci</w:t>
      </w:r>
      <w:r>
        <w:rPr>
          <w:noProof/>
          <w:szCs w:val="24"/>
        </w:rPr>
        <w:t>fic approaches towards quantitative and qualitative data, as well as the types of specific estimates they contain. An important difference between the studies is their focus. Whereas some concern the data economy in general, others concern open data or PSI</w:t>
      </w:r>
      <w:r>
        <w:rPr>
          <w:noProof/>
          <w:szCs w:val="24"/>
        </w:rPr>
        <w:t xml:space="preserve"> itself.</w:t>
      </w:r>
    </w:p>
    <w:p w:rsidR="003B411A" w:rsidRDefault="009F0AE3">
      <w:pPr>
        <w:pStyle w:val="ListParagraph"/>
        <w:numPr>
          <w:ilvl w:val="0"/>
          <w:numId w:val="8"/>
        </w:numPr>
        <w:ind w:left="426" w:hanging="426"/>
        <w:rPr>
          <w:noProof/>
          <w:szCs w:val="24"/>
        </w:rPr>
      </w:pPr>
      <w:r>
        <w:rPr>
          <w:noProof/>
          <w:szCs w:val="24"/>
        </w:rPr>
        <w:t>The study to support the review of the PSI Directive</w:t>
      </w:r>
      <w:r>
        <w:rPr>
          <w:rStyle w:val="FootnoteReference"/>
          <w:noProof/>
          <w:szCs w:val="24"/>
        </w:rPr>
        <w:footnoteReference w:id="31"/>
      </w:r>
      <w:r>
        <w:rPr>
          <w:noProof/>
          <w:szCs w:val="24"/>
        </w:rPr>
        <w:t xml:space="preserve"> used a representative sample of 10 EU Member States, selected on the basis of geographic balance and the score in Open Data Maturity index.</w:t>
      </w:r>
      <w:r>
        <w:rPr>
          <w:noProof/>
          <w:vertAlign w:val="superscript"/>
        </w:rPr>
        <w:footnoteReference w:id="32"/>
      </w:r>
      <w:r>
        <w:rPr>
          <w:noProof/>
          <w:szCs w:val="24"/>
        </w:rPr>
        <w:t xml:space="preserve"> This naturally limits accordingly the findings on an EU-wide level for all 28 Member States.</w:t>
      </w:r>
    </w:p>
    <w:p w:rsidR="003B411A" w:rsidRDefault="009F0AE3">
      <w:pPr>
        <w:pStyle w:val="ListParagraph"/>
        <w:numPr>
          <w:ilvl w:val="0"/>
          <w:numId w:val="8"/>
        </w:numPr>
        <w:ind w:left="426" w:hanging="426"/>
        <w:rPr>
          <w:noProof/>
          <w:szCs w:val="24"/>
        </w:rPr>
      </w:pPr>
      <w:r>
        <w:rPr>
          <w:noProof/>
          <w:szCs w:val="24"/>
        </w:rPr>
        <w:t>The evaluation takes into account the inherent limitations of the findings of public consultations. Firstly, as in all surveys, the answers received reflect the v</w:t>
      </w:r>
      <w:r>
        <w:rPr>
          <w:noProof/>
          <w:szCs w:val="24"/>
        </w:rPr>
        <w:t>iews of a sample of relevant stakeholders and not those of the entire population who have a stake in this domain. Secondly, stakeholders' views convey an individual rather than a holistic perspective.</w:t>
      </w:r>
    </w:p>
    <w:p w:rsidR="003B411A" w:rsidRDefault="009F0AE3">
      <w:pPr>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Based on the elements above, this evaluation has been c</w:t>
      </w:r>
      <w:r>
        <w:rPr>
          <w:rFonts w:ascii="Times New Roman" w:eastAsia="Times New Roman" w:hAnsi="Times New Roman" w:cs="Times New Roman"/>
          <w:noProof/>
          <w:sz w:val="24"/>
          <w:szCs w:val="24"/>
          <w:lang w:val="en-GB"/>
        </w:rPr>
        <w:t>arried out on the basis of the best available data.</w:t>
      </w:r>
    </w:p>
    <w:p w:rsidR="003B411A" w:rsidRDefault="009F0AE3">
      <w:pPr>
        <w:jc w:val="both"/>
        <w:rPr>
          <w:rFonts w:ascii="Times New Roman" w:eastAsia="Times New Roman" w:hAnsi="Times New Roman"/>
          <w:noProof/>
          <w:sz w:val="24"/>
          <w:lang w:val="en-GB"/>
        </w:rPr>
      </w:pPr>
      <w:r>
        <w:rPr>
          <w:rFonts w:ascii="Times New Roman" w:eastAsia="Times New Roman" w:hAnsi="Times New Roman" w:cs="Times New Roman"/>
          <w:noProof/>
          <w:sz w:val="24"/>
          <w:szCs w:val="24"/>
          <w:lang w:val="en-GB"/>
        </w:rPr>
        <w:t>Pursuant to the Commission Better Regulation Framework, the Directive has been subject to an overall assessment, as well as to a more specific evaluation process against the following five criteria: effec</w:t>
      </w:r>
      <w:r>
        <w:rPr>
          <w:rFonts w:ascii="Times New Roman" w:eastAsia="Times New Roman" w:hAnsi="Times New Roman" w:cs="Times New Roman"/>
          <w:noProof/>
          <w:sz w:val="24"/>
          <w:szCs w:val="24"/>
          <w:lang w:val="en-GB"/>
        </w:rPr>
        <w:t>tiveness, efficiency, relevance, coherence and EU added-value. The evaluation questions for each criterion can be found in Annex 1.</w:t>
      </w:r>
    </w:p>
    <w:p w:rsidR="003B411A" w:rsidRDefault="009F0AE3">
      <w:pPr>
        <w:pStyle w:val="Heading1"/>
        <w:numPr>
          <w:ilvl w:val="0"/>
          <w:numId w:val="3"/>
        </w:numPr>
        <w:rPr>
          <w:noProof/>
        </w:rPr>
      </w:pPr>
      <w:bookmarkStart w:id="17" w:name="_Toc501640538"/>
      <w:bookmarkStart w:id="18" w:name="_Toc503460722"/>
      <w:bookmarkStart w:id="19" w:name="_Toc503544749"/>
      <w:bookmarkStart w:id="20" w:name="_Toc504065547"/>
      <w:bookmarkStart w:id="21" w:name="_Toc505952413"/>
      <w:r>
        <w:rPr>
          <w:noProof/>
        </w:rPr>
        <w:t>Implementation / state of Play</w:t>
      </w:r>
      <w:bookmarkEnd w:id="17"/>
      <w:bookmarkEnd w:id="18"/>
      <w:bookmarkEnd w:id="19"/>
      <w:bookmarkEnd w:id="20"/>
      <w:bookmarkEnd w:id="21"/>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Following the last revision, the implementation of the PSI Directive by the Member States is </w:t>
      </w:r>
      <w:r>
        <w:rPr>
          <w:rFonts w:ascii="Times New Roman" w:hAnsi="Times New Roman" w:cs="Times New Roman"/>
          <w:noProof/>
          <w:sz w:val="24"/>
          <w:szCs w:val="24"/>
          <w:lang w:val="en-GB"/>
        </w:rPr>
        <w:t>monitored by the European Commission on the basis of Article 2 of the amending Directive.</w:t>
      </w:r>
      <w:r>
        <w:rPr>
          <w:rStyle w:val="FootnoteReference"/>
          <w:rFonts w:ascii="Times New Roman" w:hAnsi="Times New Roman" w:cs="Times New Roman"/>
          <w:noProof/>
          <w:szCs w:val="24"/>
          <w:lang w:val="en-GB"/>
        </w:rPr>
        <w:footnoteReference w:id="33"/>
      </w:r>
      <w:r>
        <w:rPr>
          <w:rFonts w:ascii="Times New Roman" w:hAnsi="Times New Roman" w:cs="Times New Roman"/>
          <w:noProof/>
          <w:sz w:val="24"/>
          <w:szCs w:val="24"/>
          <w:lang w:val="en-GB"/>
        </w:rPr>
        <w:t xml:space="preserve"> It provides that </w:t>
      </w:r>
      <w:r>
        <w:rPr>
          <w:rFonts w:ascii="Times New Roman" w:hAnsi="Times New Roman"/>
          <w:i/>
          <w:noProof/>
          <w:sz w:val="24"/>
          <w:lang w:val="en-GB"/>
        </w:rPr>
        <w:t>"by 18 July 2015, Member States shall adopt and publish the laws, regulations and administrative provisions necessary to comply with this Directive.</w:t>
      </w:r>
      <w:r>
        <w:rPr>
          <w:rFonts w:ascii="Times New Roman" w:hAnsi="Times New Roman"/>
          <w:i/>
          <w:noProof/>
          <w:sz w:val="24"/>
          <w:lang w:val="en-GB"/>
        </w:rPr>
        <w:t xml:space="preserve"> They shall immediately inform the Commission thereof" </w:t>
      </w:r>
      <w:r>
        <w:rPr>
          <w:rFonts w:ascii="Times New Roman" w:hAnsi="Times New Roman" w:cs="Times New Roman"/>
          <w:noProof/>
          <w:sz w:val="24"/>
          <w:szCs w:val="24"/>
          <w:lang w:val="en-GB"/>
        </w:rPr>
        <w:t>and</w:t>
      </w:r>
      <w:r>
        <w:rPr>
          <w:rFonts w:ascii="Times New Roman" w:hAnsi="Times New Roman"/>
          <w:i/>
          <w:noProof/>
          <w:sz w:val="24"/>
          <w:lang w:val="en-GB"/>
        </w:rPr>
        <w:t xml:space="preserve"> "shall apply those measures from 18 July 2015."</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that time, full transposition was notified to the Commission by 11 Member States. For this reason, the Commission started in September 2015 formal</w:t>
      </w:r>
      <w:r>
        <w:rPr>
          <w:rFonts w:ascii="Times New Roman" w:hAnsi="Times New Roman" w:cs="Times New Roman"/>
          <w:noProof/>
          <w:sz w:val="24"/>
          <w:szCs w:val="24"/>
          <w:lang w:val="en-GB"/>
        </w:rPr>
        <w:t xml:space="preserve"> infringement proceedings against 17 Member States that had not yet notified the relevant national implementation measures. </w:t>
      </w:r>
      <w:r>
        <w:rPr>
          <w:rFonts w:ascii="Times New Roman" w:hAnsi="Times New Roman"/>
          <w:noProof/>
          <w:sz w:val="24"/>
          <w:lang w:val="en-GB"/>
        </w:rPr>
        <w:t>The last Member State notified transposition on 15 September 2017.</w:t>
      </w:r>
    </w:p>
    <w:p w:rsidR="003B411A" w:rsidRDefault="009F0AE3">
      <w:pPr>
        <w:jc w:val="both"/>
        <w:rPr>
          <w:rFonts w:ascii="Times New Roman" w:hAnsi="Times New Roman" w:cs="Times New Roman"/>
          <w:noProof/>
          <w:color w:val="000000"/>
          <w:sz w:val="24"/>
          <w:szCs w:val="24"/>
          <w:lang w:val="en-US"/>
        </w:rPr>
      </w:pPr>
      <w:r>
        <w:rPr>
          <w:rFonts w:ascii="Times New Roman" w:hAnsi="Times New Roman" w:cs="Times New Roman"/>
          <w:noProof/>
          <w:sz w:val="24"/>
          <w:szCs w:val="24"/>
          <w:lang w:val="en-US"/>
        </w:rPr>
        <w:t>The table below contains an overview of the way in which the Memb</w:t>
      </w:r>
      <w:r>
        <w:rPr>
          <w:rFonts w:ascii="Times New Roman" w:hAnsi="Times New Roman" w:cs="Times New Roman"/>
          <w:noProof/>
          <w:sz w:val="24"/>
          <w:szCs w:val="24"/>
          <w:lang w:val="en-US"/>
        </w:rPr>
        <w:t>er States have transposed the 2013 revised Directive.</w:t>
      </w:r>
    </w:p>
    <w:p w:rsidR="003B411A" w:rsidRDefault="009F0AE3">
      <w:pPr>
        <w:pStyle w:val="Caption"/>
        <w:keepNext/>
        <w:rPr>
          <w:rFonts w:ascii="Times New Roman" w:hAnsi="Times New Roman" w:cs="Times New Roman"/>
          <w:noProof/>
          <w:szCs w:val="20"/>
          <w:lang w:val="en-GB"/>
        </w:rPr>
      </w:pPr>
      <w:bookmarkStart w:id="22" w:name="_Toc501645283"/>
      <w:r>
        <w:rPr>
          <w:rFonts w:ascii="Times New Roman" w:hAnsi="Times New Roman" w:cs="Times New Roman"/>
          <w:noProof/>
          <w:szCs w:val="20"/>
          <w:lang w:val="en-US"/>
        </w:rPr>
        <w:t>Current state of the transposition of the PSI Directive</w:t>
      </w:r>
      <w:bookmarkEnd w:id="22"/>
      <w:r>
        <w:rPr>
          <w:rFonts w:ascii="Times New Roman" w:hAnsi="Times New Roman" w:cs="Times New Roman"/>
          <w:noProof/>
          <w:szCs w:val="20"/>
          <w:vertAlign w:val="superscript"/>
        </w:rPr>
        <w:footnoteReference w:id="34"/>
      </w:r>
    </w:p>
    <w:tbl>
      <w:tblPr>
        <w:tblStyle w:val="Deloitte51"/>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3089"/>
        <w:gridCol w:w="3114"/>
        <w:gridCol w:w="2631"/>
      </w:tblGrid>
      <w:tr w:rsidR="003B411A">
        <w:tc>
          <w:tcPr>
            <w:tcW w:w="3192" w:type="dxa"/>
            <w:tcBorders>
              <w:top w:val="single" w:sz="2" w:space="0" w:color="auto"/>
              <w:bottom w:val="single" w:sz="2" w:space="0" w:color="auto"/>
              <w:right w:val="single" w:sz="2" w:space="0" w:color="auto"/>
            </w:tcBorders>
            <w:shd w:val="clear" w:color="auto" w:fill="4F81BD" w:themeFill="accent1"/>
          </w:tcPr>
          <w:p w:rsidR="003B411A" w:rsidRDefault="009F0AE3">
            <w:pPr>
              <w:spacing w:before="60" w:after="60"/>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Type of action taken</w:t>
            </w:r>
          </w:p>
        </w:tc>
        <w:tc>
          <w:tcPr>
            <w:tcW w:w="5824" w:type="dxa"/>
            <w:gridSpan w:val="2"/>
            <w:tcBorders>
              <w:top w:val="single" w:sz="2" w:space="0" w:color="auto"/>
              <w:left w:val="single" w:sz="2" w:space="0" w:color="auto"/>
              <w:bottom w:val="single" w:sz="2" w:space="0" w:color="auto"/>
            </w:tcBorders>
            <w:shd w:val="clear" w:color="auto" w:fill="4F81BD" w:themeFill="accent1"/>
          </w:tcPr>
          <w:p w:rsidR="003B411A" w:rsidRDefault="009F0AE3">
            <w:pPr>
              <w:spacing w:before="60" w:after="60"/>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Member States</w:t>
            </w:r>
          </w:p>
        </w:tc>
      </w:tr>
      <w:tr w:rsidR="003B411A">
        <w:tc>
          <w:tcPr>
            <w:tcW w:w="3192" w:type="dxa"/>
            <w:vMerge w:val="restart"/>
            <w:tcBorders>
              <w:top w:val="single" w:sz="2" w:space="0" w:color="auto"/>
              <w:bottom w:val="single" w:sz="2" w:space="0" w:color="auto"/>
              <w:right w:val="single" w:sz="2" w:space="0" w:color="auto"/>
            </w:tcBorders>
          </w:tcPr>
          <w:p w:rsidR="003B411A" w:rsidRDefault="009F0AE3">
            <w:pPr>
              <w:spacing w:before="60" w:after="60"/>
              <w:rPr>
                <w:rFonts w:ascii="Times New Roman" w:hAnsi="Times New Roman" w:cs="Times New Roman"/>
                <w:noProof/>
                <w:sz w:val="20"/>
                <w:szCs w:val="20"/>
                <w:lang w:val="en-US"/>
              </w:rPr>
            </w:pPr>
            <w:r>
              <w:rPr>
                <w:rFonts w:ascii="Times New Roman" w:hAnsi="Times New Roman" w:cs="Times New Roman"/>
                <w:noProof/>
                <w:sz w:val="20"/>
                <w:szCs w:val="20"/>
                <w:lang w:val="en-US"/>
              </w:rPr>
              <w:t>Adoption of specific measures providing for re-use of public sector information</w:t>
            </w:r>
          </w:p>
        </w:tc>
        <w:tc>
          <w:tcPr>
            <w:tcW w:w="5824" w:type="dxa"/>
            <w:gridSpan w:val="2"/>
            <w:tcBorders>
              <w:top w:val="single" w:sz="2" w:space="0" w:color="auto"/>
              <w:left w:val="single" w:sz="2" w:space="0" w:color="auto"/>
            </w:tcBorders>
          </w:tcPr>
          <w:p w:rsidR="003B411A" w:rsidRDefault="009F0AE3">
            <w:pPr>
              <w:spacing w:before="60" w:after="60"/>
              <w:rPr>
                <w:rFonts w:ascii="Times New Roman" w:hAnsi="Times New Roman" w:cs="Times New Roman"/>
                <w:noProof/>
                <w:sz w:val="20"/>
                <w:szCs w:val="20"/>
              </w:rPr>
            </w:pPr>
            <w:r>
              <w:rPr>
                <w:rFonts w:ascii="Times New Roman" w:hAnsi="Times New Roman" w:cs="Times New Roman"/>
                <w:noProof/>
                <w:sz w:val="20"/>
                <w:szCs w:val="20"/>
              </w:rPr>
              <w:t>13 Member States:</w:t>
            </w:r>
          </w:p>
        </w:tc>
      </w:tr>
      <w:tr w:rsidR="003B411A">
        <w:tc>
          <w:tcPr>
            <w:tcW w:w="3192" w:type="dxa"/>
            <w:vMerge/>
            <w:tcBorders>
              <w:top w:val="nil"/>
              <w:bottom w:val="single" w:sz="2" w:space="0" w:color="auto"/>
              <w:right w:val="single" w:sz="2" w:space="0" w:color="auto"/>
            </w:tcBorders>
          </w:tcPr>
          <w:p w:rsidR="003B411A" w:rsidRDefault="003B411A">
            <w:pPr>
              <w:spacing w:before="60" w:after="60"/>
              <w:rPr>
                <w:rFonts w:ascii="Times New Roman" w:hAnsi="Times New Roman" w:cs="Times New Roman"/>
                <w:noProof/>
                <w:sz w:val="20"/>
                <w:szCs w:val="20"/>
              </w:rPr>
            </w:pPr>
          </w:p>
        </w:tc>
        <w:tc>
          <w:tcPr>
            <w:tcW w:w="3175" w:type="dxa"/>
            <w:tcBorders>
              <w:left w:val="single" w:sz="2" w:space="0" w:color="auto"/>
              <w:bottom w:val="single" w:sz="2" w:space="0" w:color="auto"/>
            </w:tcBorders>
          </w:tcPr>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Belgium</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Cyprus</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Germany</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Greece</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Spain</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Hungary</w:t>
            </w:r>
          </w:p>
        </w:tc>
        <w:tc>
          <w:tcPr>
            <w:tcW w:w="2649" w:type="dxa"/>
            <w:tcBorders>
              <w:bottom w:val="single" w:sz="2" w:space="0" w:color="auto"/>
            </w:tcBorders>
          </w:tcPr>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Ireland</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Italy</w:t>
            </w:r>
          </w:p>
          <w:p w:rsidR="003B411A" w:rsidRDefault="009F0AE3">
            <w:pPr>
              <w:numPr>
                <w:ilvl w:val="0"/>
                <w:numId w:val="35"/>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Luxembourg</w:t>
            </w:r>
          </w:p>
          <w:p w:rsidR="003B411A" w:rsidRDefault="009F0AE3">
            <w:pPr>
              <w:numPr>
                <w:ilvl w:val="0"/>
                <w:numId w:val="35"/>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Malta</w:t>
            </w:r>
          </w:p>
          <w:p w:rsidR="003B411A" w:rsidRDefault="009F0AE3">
            <w:pPr>
              <w:numPr>
                <w:ilvl w:val="0"/>
                <w:numId w:val="35"/>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Romania</w:t>
            </w:r>
          </w:p>
          <w:p w:rsidR="003B411A" w:rsidRDefault="009F0AE3">
            <w:pPr>
              <w:numPr>
                <w:ilvl w:val="0"/>
                <w:numId w:val="35"/>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Sweden</w:t>
            </w:r>
          </w:p>
          <w:p w:rsidR="003B411A" w:rsidRDefault="009F0AE3">
            <w:pPr>
              <w:numPr>
                <w:ilvl w:val="0"/>
                <w:numId w:val="35"/>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United Kingdom</w:t>
            </w:r>
          </w:p>
        </w:tc>
      </w:tr>
      <w:tr w:rsidR="003B411A">
        <w:tc>
          <w:tcPr>
            <w:tcW w:w="3192" w:type="dxa"/>
            <w:vMerge w:val="restart"/>
            <w:tcBorders>
              <w:top w:val="single" w:sz="2" w:space="0" w:color="auto"/>
              <w:bottom w:val="single" w:sz="2" w:space="0" w:color="auto"/>
              <w:right w:val="single" w:sz="2" w:space="0" w:color="auto"/>
            </w:tcBorders>
          </w:tcPr>
          <w:p w:rsidR="003B411A" w:rsidRDefault="009F0AE3">
            <w:pPr>
              <w:spacing w:before="60" w:after="60"/>
              <w:rPr>
                <w:rFonts w:ascii="Times New Roman" w:hAnsi="Times New Roman" w:cs="Times New Roman"/>
                <w:noProof/>
                <w:sz w:val="20"/>
                <w:szCs w:val="20"/>
                <w:lang w:val="en-US"/>
              </w:rPr>
            </w:pPr>
            <w:r>
              <w:rPr>
                <w:rFonts w:ascii="Times New Roman" w:hAnsi="Times New Roman" w:cs="Times New Roman"/>
                <w:noProof/>
                <w:sz w:val="20"/>
                <w:szCs w:val="20"/>
                <w:lang w:val="en-US"/>
              </w:rPr>
              <w:t>Combination of new measures specifically dealing with re-use and existing legislation</w:t>
            </w:r>
          </w:p>
        </w:tc>
        <w:tc>
          <w:tcPr>
            <w:tcW w:w="5824" w:type="dxa"/>
            <w:gridSpan w:val="2"/>
            <w:tcBorders>
              <w:top w:val="single" w:sz="2" w:space="0" w:color="auto"/>
              <w:left w:val="single" w:sz="2" w:space="0" w:color="auto"/>
            </w:tcBorders>
          </w:tcPr>
          <w:p w:rsidR="003B411A" w:rsidRDefault="009F0AE3">
            <w:pPr>
              <w:spacing w:before="60" w:after="60"/>
              <w:rPr>
                <w:rFonts w:ascii="Times New Roman" w:hAnsi="Times New Roman" w:cs="Times New Roman"/>
                <w:noProof/>
                <w:sz w:val="20"/>
                <w:szCs w:val="20"/>
              </w:rPr>
            </w:pPr>
            <w:r>
              <w:rPr>
                <w:rFonts w:ascii="Times New Roman" w:hAnsi="Times New Roman" w:cs="Times New Roman"/>
                <w:noProof/>
                <w:sz w:val="20"/>
                <w:szCs w:val="20"/>
              </w:rPr>
              <w:t>3 Member States:</w:t>
            </w:r>
          </w:p>
        </w:tc>
      </w:tr>
      <w:tr w:rsidR="003B411A">
        <w:tc>
          <w:tcPr>
            <w:tcW w:w="3192" w:type="dxa"/>
            <w:vMerge/>
            <w:tcBorders>
              <w:top w:val="nil"/>
              <w:bottom w:val="single" w:sz="2" w:space="0" w:color="auto"/>
              <w:right w:val="single" w:sz="2" w:space="0" w:color="auto"/>
            </w:tcBorders>
          </w:tcPr>
          <w:p w:rsidR="003B411A" w:rsidRDefault="003B411A">
            <w:pPr>
              <w:spacing w:before="60" w:after="60"/>
              <w:rPr>
                <w:rFonts w:ascii="Times New Roman" w:hAnsi="Times New Roman" w:cs="Times New Roman"/>
                <w:noProof/>
                <w:sz w:val="20"/>
                <w:szCs w:val="20"/>
              </w:rPr>
            </w:pPr>
          </w:p>
        </w:tc>
        <w:tc>
          <w:tcPr>
            <w:tcW w:w="3175" w:type="dxa"/>
            <w:tcBorders>
              <w:left w:val="single" w:sz="2" w:space="0" w:color="auto"/>
              <w:bottom w:val="single" w:sz="2" w:space="0" w:color="auto"/>
            </w:tcBorders>
          </w:tcPr>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Austria</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Denmark</w:t>
            </w:r>
          </w:p>
        </w:tc>
        <w:tc>
          <w:tcPr>
            <w:tcW w:w="2649" w:type="dxa"/>
            <w:tcBorders>
              <w:bottom w:val="single" w:sz="2" w:space="0" w:color="auto"/>
            </w:tcBorders>
          </w:tcPr>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Slovenia</w:t>
            </w:r>
          </w:p>
        </w:tc>
      </w:tr>
      <w:tr w:rsidR="003B411A">
        <w:tc>
          <w:tcPr>
            <w:tcW w:w="3192" w:type="dxa"/>
            <w:vMerge w:val="restart"/>
            <w:tcBorders>
              <w:top w:val="single" w:sz="2" w:space="0" w:color="auto"/>
              <w:bottom w:val="single" w:sz="2" w:space="0" w:color="auto"/>
              <w:right w:val="single" w:sz="2" w:space="0" w:color="auto"/>
            </w:tcBorders>
          </w:tcPr>
          <w:p w:rsidR="003B411A" w:rsidRDefault="009F0AE3">
            <w:pPr>
              <w:spacing w:before="60" w:after="60"/>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Adaptation of the </w:t>
            </w:r>
            <w:r>
              <w:rPr>
                <w:rFonts w:ascii="Times New Roman" w:hAnsi="Times New Roman" w:cs="Times New Roman"/>
                <w:noProof/>
                <w:sz w:val="20"/>
                <w:szCs w:val="20"/>
                <w:lang w:val="en-US"/>
              </w:rPr>
              <w:t>legislative framework for access to documents to include re-use of public sector information</w:t>
            </w:r>
          </w:p>
        </w:tc>
        <w:tc>
          <w:tcPr>
            <w:tcW w:w="5824" w:type="dxa"/>
            <w:gridSpan w:val="2"/>
            <w:tcBorders>
              <w:top w:val="single" w:sz="2" w:space="0" w:color="auto"/>
              <w:left w:val="single" w:sz="2" w:space="0" w:color="auto"/>
            </w:tcBorders>
          </w:tcPr>
          <w:p w:rsidR="003B411A" w:rsidRDefault="009F0AE3">
            <w:pPr>
              <w:spacing w:before="60" w:after="60"/>
              <w:rPr>
                <w:rFonts w:ascii="Times New Roman" w:hAnsi="Times New Roman" w:cs="Times New Roman"/>
                <w:noProof/>
                <w:sz w:val="20"/>
                <w:szCs w:val="20"/>
              </w:rPr>
            </w:pPr>
            <w:r>
              <w:rPr>
                <w:rFonts w:ascii="Times New Roman" w:hAnsi="Times New Roman" w:cs="Times New Roman"/>
                <w:noProof/>
                <w:sz w:val="20"/>
                <w:szCs w:val="20"/>
              </w:rPr>
              <w:t>12 Member States:</w:t>
            </w:r>
          </w:p>
        </w:tc>
      </w:tr>
      <w:tr w:rsidR="003B411A">
        <w:tc>
          <w:tcPr>
            <w:tcW w:w="3192" w:type="dxa"/>
            <w:vMerge/>
            <w:tcBorders>
              <w:top w:val="nil"/>
              <w:bottom w:val="single" w:sz="2" w:space="0" w:color="auto"/>
              <w:right w:val="single" w:sz="2" w:space="0" w:color="auto"/>
            </w:tcBorders>
          </w:tcPr>
          <w:p w:rsidR="003B411A" w:rsidRDefault="003B411A">
            <w:pPr>
              <w:spacing w:before="60" w:after="60"/>
              <w:rPr>
                <w:rFonts w:ascii="Times New Roman" w:hAnsi="Times New Roman" w:cs="Times New Roman"/>
                <w:noProof/>
                <w:sz w:val="20"/>
                <w:szCs w:val="20"/>
              </w:rPr>
            </w:pPr>
          </w:p>
        </w:tc>
        <w:tc>
          <w:tcPr>
            <w:tcW w:w="3175" w:type="dxa"/>
            <w:tcBorders>
              <w:left w:val="single" w:sz="2" w:space="0" w:color="auto"/>
            </w:tcBorders>
          </w:tcPr>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Bulgaria</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Czech Republic</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Estonia</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Finland</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France</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Croatia</w:t>
            </w:r>
          </w:p>
        </w:tc>
        <w:tc>
          <w:tcPr>
            <w:tcW w:w="2649" w:type="dxa"/>
          </w:tcPr>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Latvia</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Lithuania</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Netherlands</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Poland</w:t>
            </w:r>
          </w:p>
          <w:p w:rsidR="003B411A" w:rsidRDefault="009F0AE3">
            <w:pPr>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Portugal</w:t>
            </w:r>
          </w:p>
          <w:p w:rsidR="003B411A" w:rsidRDefault="009F0AE3">
            <w:pPr>
              <w:keepNext/>
              <w:numPr>
                <w:ilvl w:val="0"/>
                <w:numId w:val="34"/>
              </w:numPr>
              <w:spacing w:before="60" w:after="60"/>
              <w:ind w:left="714" w:hanging="357"/>
              <w:contextualSpacing/>
              <w:jc w:val="both"/>
              <w:rPr>
                <w:rFonts w:ascii="Times New Roman" w:hAnsi="Times New Roman" w:cs="Times New Roman"/>
                <w:noProof/>
                <w:sz w:val="20"/>
                <w:szCs w:val="20"/>
              </w:rPr>
            </w:pPr>
            <w:r>
              <w:rPr>
                <w:rFonts w:ascii="Times New Roman" w:hAnsi="Times New Roman" w:cs="Times New Roman"/>
                <w:noProof/>
                <w:sz w:val="20"/>
                <w:szCs w:val="20"/>
              </w:rPr>
              <w:t>Slovakia</w:t>
            </w:r>
          </w:p>
        </w:tc>
      </w:tr>
    </w:tbl>
    <w:p w:rsidR="003B411A" w:rsidRDefault="003B411A">
      <w:pPr>
        <w:rPr>
          <w:rFonts w:ascii="Times New Roman" w:eastAsia="Times New Roman" w:hAnsi="Times New Roman"/>
          <w:b/>
          <w:smallCaps/>
          <w:noProof/>
          <w:sz w:val="20"/>
          <w:lang w:val="en-GB"/>
        </w:rPr>
      </w:pP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The latest Member State reports confirm that PSI is generally made available through national data portals. They mostly </w:t>
      </w:r>
      <w:r>
        <w:rPr>
          <w:rFonts w:ascii="Times New Roman" w:hAnsi="Times New Roman" w:cs="Times New Roman"/>
          <w:noProof/>
          <w:sz w:val="24"/>
          <w:szCs w:val="24"/>
          <w:lang w:val="en-GB"/>
        </w:rPr>
        <w:t>harvest metadata and datasets from institutional and local portals, but in a few cases data are uploaded directly on the national portal</w:t>
      </w:r>
      <w:r>
        <w:rPr>
          <w:rFonts w:ascii="Times New Roman" w:hAnsi="Times New Roman" w:cs="Times New Roman"/>
          <w:noProof/>
          <w:sz w:val="24"/>
          <w:szCs w:val="24"/>
          <w:lang w:val="en-GB"/>
        </w:rPr>
        <w:t xml:space="preserve"> as the exclusive point of access. </w:t>
      </w:r>
      <w:r>
        <w:rPr>
          <w:rFonts w:ascii="Times New Roman" w:hAnsi="Times New Roman" w:cs="Times New Roman"/>
          <w:noProof/>
          <w:sz w:val="24"/>
          <w:szCs w:val="24"/>
          <w:lang w:val="en-US"/>
        </w:rPr>
        <w:t>The national data portals contain asset lists of metadata and most countries have defined their categories of data based on the G8 Open Data Charter priority domains.</w:t>
      </w:r>
      <w:r>
        <w:rPr>
          <w:rStyle w:val="FootnoteReference"/>
          <w:rFonts w:ascii="Times New Roman" w:hAnsi="Times New Roman" w:cs="Times New Roman"/>
          <w:noProof/>
          <w:szCs w:val="24"/>
          <w:lang w:val="en-US"/>
        </w:rPr>
        <w:footnoteReference w:id="35"/>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GB"/>
        </w:rPr>
        <w:t>Most countries have guidelines for the publication of</w:t>
      </w:r>
      <w:r>
        <w:rPr>
          <w:rFonts w:ascii="Times New Roman" w:hAnsi="Times New Roman" w:cs="Times New Roman"/>
          <w:noProof/>
          <w:sz w:val="24"/>
          <w:szCs w:val="24"/>
          <w:lang w:val="en-GB"/>
        </w:rPr>
        <w:t xml:space="preserve"> open data attached to their national data portal, together with templates for the datasets and metadata.</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regards the redress practices, Member States reports reveal that two different models are being used. The first relies on a designated, independent</w:t>
      </w:r>
      <w:r>
        <w:rPr>
          <w:rFonts w:ascii="Times New Roman" w:hAnsi="Times New Roman" w:cs="Times New Roman"/>
          <w:noProof/>
          <w:sz w:val="24"/>
          <w:szCs w:val="24"/>
          <w:lang w:val="en-GB"/>
        </w:rPr>
        <w:t xml:space="preserve"> appellate body to handle requests for redress and can be found in Croatia, Cyprus, Ireland and the UK. The second, most common redress model relies on the administrative law of a particular Member State. As the internal structures of each Member State dif</w:t>
      </w:r>
      <w:r>
        <w:rPr>
          <w:rFonts w:ascii="Times New Roman" w:hAnsi="Times New Roman" w:cs="Times New Roman"/>
          <w:noProof/>
          <w:sz w:val="24"/>
          <w:szCs w:val="24"/>
          <w:lang w:val="en-GB"/>
        </w:rPr>
        <w:t>fer to varying degrees, so do the appeal avenues.</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At the EU level, over the last 5 years, PSI related issues have been the subject of 9 complaints to the Commission.</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Finally, it is important to point out that some Member States are moving faster on PSI re-</w:t>
      </w:r>
      <w:r>
        <w:rPr>
          <w:rFonts w:ascii="Times New Roman" w:hAnsi="Times New Roman" w:cs="Times New Roman"/>
          <w:noProof/>
          <w:sz w:val="24"/>
          <w:szCs w:val="24"/>
          <w:lang w:val="en-US"/>
        </w:rPr>
        <w:t xml:space="preserve">use and are exploring new areas, while others limit themselves to the implementation of the Directive. For example, with the </w:t>
      </w:r>
      <w:r>
        <w:rPr>
          <w:rFonts w:ascii="Times New Roman" w:hAnsi="Times New Roman" w:cs="Times New Roman"/>
          <w:i/>
          <w:noProof/>
          <w:sz w:val="24"/>
          <w:szCs w:val="24"/>
          <w:lang w:val="en-US"/>
        </w:rPr>
        <w:t>Loi Pour une République numérique</w:t>
      </w:r>
      <w:r>
        <w:rPr>
          <w:rFonts w:ascii="Times New Roman" w:hAnsi="Times New Roman" w:cs="Times New Roman"/>
          <w:noProof/>
          <w:sz w:val="24"/>
          <w:szCs w:val="24"/>
          <w:vertAlign w:val="superscript"/>
          <w:lang w:val="en-GB"/>
        </w:rPr>
        <w:footnoteReference w:id="36"/>
      </w:r>
      <w:r>
        <w:rPr>
          <w:rFonts w:ascii="Times New Roman" w:hAnsi="Times New Roman" w:cs="Times New Roman"/>
          <w:noProof/>
          <w:sz w:val="24"/>
          <w:szCs w:val="24"/>
          <w:lang w:val="en-US"/>
        </w:rPr>
        <w:t xml:space="preserve"> France has started addressing the issue of data generated as a result of activities carried out by public and private entities carrying out public tasks in the transport and utilities sectors. </w:t>
      </w:r>
      <w:r>
        <w:rPr>
          <w:rFonts w:ascii="Times New Roman" w:hAnsi="Times New Roman" w:cs="Times New Roman"/>
          <w:noProof/>
          <w:sz w:val="24"/>
          <w:szCs w:val="24"/>
          <w:lang w:val="en-GB"/>
        </w:rPr>
        <w:t>Finland</w:t>
      </w:r>
      <w:r>
        <w:rPr>
          <w:rFonts w:ascii="Times New Roman" w:hAnsi="Times New Roman" w:cs="Times New Roman"/>
          <w:noProof/>
          <w:sz w:val="24"/>
          <w:szCs w:val="24"/>
          <w:vertAlign w:val="superscript"/>
          <w:lang w:val="en-GB"/>
        </w:rPr>
        <w:footnoteReference w:id="37"/>
      </w:r>
      <w:r>
        <w:rPr>
          <w:rFonts w:ascii="Times New Roman" w:hAnsi="Times New Roman" w:cs="Times New Roman"/>
          <w:noProof/>
          <w:sz w:val="24"/>
          <w:szCs w:val="24"/>
          <w:lang w:val="en-GB"/>
        </w:rPr>
        <w:t xml:space="preserve"> has enacted legislation which aims to enable the data</w:t>
      </w:r>
      <w:r>
        <w:rPr>
          <w:rFonts w:ascii="Times New Roman" w:hAnsi="Times New Roman" w:cs="Times New Roman"/>
          <w:noProof/>
          <w:sz w:val="24"/>
          <w:szCs w:val="24"/>
          <w:lang w:val="en-GB"/>
        </w:rPr>
        <w:t xml:space="preserve"> economy to benefit from new sources of data. These efforts, while in line with the overall objectives of the PSI Directive, are not coordinated and risk undermining the level playing field for commercial re-users, as well as the development of cross-borde</w:t>
      </w:r>
      <w:r>
        <w:rPr>
          <w:rFonts w:ascii="Times New Roman" w:hAnsi="Times New Roman" w:cs="Times New Roman"/>
          <w:noProof/>
          <w:sz w:val="24"/>
          <w:szCs w:val="24"/>
          <w:lang w:val="en-GB"/>
        </w:rPr>
        <w:t>r applications in the EU.</w:t>
      </w:r>
    </w:p>
    <w:p w:rsidR="003B411A" w:rsidRDefault="009F0AE3">
      <w:pPr>
        <w:pStyle w:val="Heading1"/>
        <w:numPr>
          <w:ilvl w:val="0"/>
          <w:numId w:val="3"/>
        </w:numPr>
        <w:rPr>
          <w:noProof/>
        </w:rPr>
      </w:pPr>
      <w:bookmarkStart w:id="23" w:name="_Toc501640539"/>
      <w:bookmarkStart w:id="24" w:name="_Toc503460723"/>
      <w:bookmarkStart w:id="25" w:name="_Toc503544750"/>
      <w:bookmarkStart w:id="26" w:name="_Toc504065548"/>
      <w:bookmarkStart w:id="27" w:name="_Toc505952414"/>
      <w:r>
        <w:rPr>
          <w:noProof/>
        </w:rPr>
        <w:t>Analysis and answers to the evaluation questions</w:t>
      </w:r>
      <w:bookmarkEnd w:id="23"/>
      <w:bookmarkEnd w:id="24"/>
      <w:bookmarkEnd w:id="25"/>
      <w:bookmarkEnd w:id="26"/>
      <w:bookmarkEnd w:id="27"/>
    </w:p>
    <w:p w:rsidR="003B411A" w:rsidRDefault="009F0AE3">
      <w:pPr>
        <w:jc w:val="both"/>
        <w:rPr>
          <w:rFonts w:ascii="Times New Roman" w:hAnsi="Times New Roman"/>
          <w:noProof/>
          <w:sz w:val="24"/>
          <w:lang w:val="en-US"/>
        </w:rPr>
      </w:pPr>
      <w:r>
        <w:rPr>
          <w:rFonts w:ascii="Times New Roman" w:hAnsi="Times New Roman"/>
          <w:noProof/>
          <w:sz w:val="24"/>
          <w:lang w:val="en-US"/>
        </w:rPr>
        <w:t xml:space="preserve">Overall the available evidence indicates that the PSI Directive works well and successfully contributes to the achievement of its main policy objectives, which are to stimulate the </w:t>
      </w:r>
      <w:r>
        <w:rPr>
          <w:rFonts w:ascii="Times New Roman" w:hAnsi="Times New Roman"/>
          <w:noProof/>
          <w:sz w:val="24"/>
          <w:lang w:val="en-US"/>
        </w:rPr>
        <w:t>digital content market for PSI-based products and services, to stimulate cross-border exploitation of PSI and to prevent distortions of competition on the EU market.</w:t>
      </w:r>
    </w:p>
    <w:p w:rsidR="003B411A" w:rsidRDefault="009F0AE3">
      <w:pPr>
        <w:jc w:val="both"/>
        <w:rPr>
          <w:rFonts w:ascii="Times New Roman" w:hAnsi="Times New Roman"/>
          <w:noProof/>
          <w:sz w:val="24"/>
          <w:lang w:val="en-GB"/>
        </w:rPr>
      </w:pPr>
      <w:r>
        <w:rPr>
          <w:rFonts w:ascii="Times New Roman" w:hAnsi="Times New Roman"/>
          <w:noProof/>
          <w:sz w:val="24"/>
          <w:lang w:val="en-US"/>
        </w:rPr>
        <w:t>Since the adoption of the last version of the Directive in 2013, the Digital Single Market</w:t>
      </w:r>
      <w:r>
        <w:rPr>
          <w:rFonts w:ascii="Times New Roman" w:hAnsi="Times New Roman"/>
          <w:noProof/>
          <w:sz w:val="24"/>
          <w:lang w:val="en-US"/>
        </w:rPr>
        <w:t xml:space="preserve"> and the European economy in general have seen fast development in terms of data. For instance, the value of the European data economy has grown from 285 billion EUR in 2015, representing over 1.94% of the EU GDP, to 300 billion EUR in 2016. Moreover, the </w:t>
      </w:r>
      <w:r>
        <w:rPr>
          <w:rFonts w:ascii="Times New Roman" w:hAnsi="Times New Roman"/>
          <w:noProof/>
          <w:sz w:val="24"/>
          <w:lang w:val="en-US"/>
        </w:rPr>
        <w:t>number of data companies increased from around 129,000 in 2013 to 134,000 in 2016.</w:t>
      </w:r>
      <w:r>
        <w:rPr>
          <w:rFonts w:ascii="Times New Roman" w:hAnsi="Times New Roman"/>
          <w:noProof/>
          <w:sz w:val="24"/>
          <w:vertAlign w:val="superscript"/>
          <w:lang w:val="en-US"/>
        </w:rPr>
        <w:footnoteReference w:id="38"/>
      </w:r>
      <w:r>
        <w:rPr>
          <w:rFonts w:ascii="Times New Roman" w:hAnsi="Times New Roman"/>
          <w:noProof/>
          <w:sz w:val="24"/>
          <w:lang w:val="en-US"/>
        </w:rPr>
        <w:t xml:space="preserve"> PSI re-use is particularly relevant for the creation of SMEs. For example, the project ODINE</w:t>
      </w:r>
      <w:r>
        <w:rPr>
          <w:rStyle w:val="FootnoteReference"/>
          <w:rFonts w:ascii="Times New Roman" w:hAnsi="Times New Roman"/>
          <w:noProof/>
          <w:lang w:val="en-US"/>
        </w:rPr>
        <w:footnoteReference w:id="39"/>
      </w:r>
      <w:r>
        <w:rPr>
          <w:rFonts w:ascii="Times New Roman" w:hAnsi="Times New Roman"/>
          <w:noProof/>
          <w:sz w:val="24"/>
          <w:lang w:val="en-US"/>
        </w:rPr>
        <w:t xml:space="preserve"> funded by the EU under the H2020 programme, an incubator for start-ups using o</w:t>
      </w:r>
      <w:r>
        <w:rPr>
          <w:rFonts w:ascii="Times New Roman" w:hAnsi="Times New Roman"/>
          <w:noProof/>
          <w:sz w:val="24"/>
          <w:lang w:val="en-US"/>
        </w:rPr>
        <w:t>pen data, found a positive correlation between the maturity of the national open data policy and the number of ODINE successful applicants from that specific country. This exemplifies how a rich open data environment provides favourable conditions for inno</w:t>
      </w:r>
      <w:r>
        <w:rPr>
          <w:rFonts w:ascii="Times New Roman" w:hAnsi="Times New Roman"/>
          <w:noProof/>
          <w:sz w:val="24"/>
          <w:lang w:val="en-US"/>
        </w:rPr>
        <w:t xml:space="preserve">vators in this field. </w:t>
      </w:r>
      <w:r>
        <w:rPr>
          <w:rFonts w:ascii="Times New Roman" w:hAnsi="Times New Roman"/>
          <w:noProof/>
          <w:sz w:val="24"/>
          <w:lang w:val="en-GB"/>
        </w:rPr>
        <w:t>One third of ODINE</w:t>
      </w:r>
      <w:r>
        <w:rPr>
          <w:rFonts w:ascii="Times New Roman" w:hAnsi="Times New Roman"/>
          <w:noProof/>
          <w:sz w:val="24"/>
          <w:vertAlign w:val="superscript"/>
          <w:lang w:val="en-GB"/>
        </w:rPr>
        <w:footnoteReference w:id="40"/>
      </w:r>
      <w:r>
        <w:rPr>
          <w:rFonts w:ascii="Times New Roman" w:hAnsi="Times New Roman"/>
          <w:noProof/>
          <w:sz w:val="24"/>
          <w:lang w:val="en-GB"/>
        </w:rPr>
        <w:t xml:space="preserve"> members state that they would not exist without open data. This suggests that most of these businesses are likely to have started solely with the intention to exploit the value of open data or have since founding b</w:t>
      </w:r>
      <w:r>
        <w:rPr>
          <w:rFonts w:ascii="Times New Roman" w:hAnsi="Times New Roman"/>
          <w:noProof/>
          <w:sz w:val="24"/>
          <w:lang w:val="en-GB"/>
        </w:rPr>
        <w:t>ecome so reliant on open data that they would no longer be able to exist without it. Another third said they would struggle to exist without open data which indicates a significant reliance on this resource.</w:t>
      </w:r>
    </w:p>
    <w:p w:rsidR="003B411A" w:rsidRDefault="003B411A">
      <w:pPr>
        <w:rPr>
          <w:noProof/>
          <w:lang w:val="en-GB"/>
        </w:rPr>
      </w:pPr>
    </w:p>
    <w:tbl>
      <w:tblPr>
        <w:tblStyle w:val="TableGrid"/>
        <w:tblW w:w="0" w:type="auto"/>
        <w:tblLook w:val="04A0" w:firstRow="1" w:lastRow="0" w:firstColumn="1" w:lastColumn="0" w:noHBand="0" w:noVBand="1"/>
      </w:tblPr>
      <w:tblGrid>
        <w:gridCol w:w="8834"/>
      </w:tblGrid>
      <w:tr w:rsidR="003B411A" w:rsidRPr="009F0AE3">
        <w:tc>
          <w:tcPr>
            <w:tcW w:w="8834" w:type="dxa"/>
          </w:tcPr>
          <w:p w:rsidR="003B411A" w:rsidRDefault="009F0AE3">
            <w:pPr>
              <w:jc w:val="both"/>
              <w:rPr>
                <w:b/>
                <w:noProof/>
                <w:sz w:val="24"/>
                <w:lang w:val="en-US"/>
              </w:rPr>
            </w:pPr>
            <w:r>
              <w:rPr>
                <w:b/>
                <w:noProof/>
                <w:sz w:val="24"/>
                <w:lang w:val="en-US"/>
              </w:rPr>
              <w:t>Open Data for a biking start-up</w:t>
            </w:r>
          </w:p>
          <w:p w:rsidR="003B411A" w:rsidRDefault="003B411A">
            <w:pPr>
              <w:jc w:val="both"/>
              <w:rPr>
                <w:noProof/>
                <w:sz w:val="24"/>
                <w:lang w:val="en-US"/>
              </w:rPr>
            </w:pPr>
          </w:p>
          <w:p w:rsidR="003B411A" w:rsidRDefault="009F0AE3">
            <w:pPr>
              <w:jc w:val="both"/>
              <w:rPr>
                <w:noProof/>
                <w:sz w:val="24"/>
                <w:lang w:val="en-US"/>
              </w:rPr>
            </w:pPr>
            <w:r>
              <w:rPr>
                <w:noProof/>
                <w:sz w:val="24"/>
                <w:lang w:val="en-US"/>
              </w:rPr>
              <w:t>Bike Citizens</w:t>
            </w:r>
            <w:r>
              <w:rPr>
                <w:rStyle w:val="FootnoteReference"/>
                <w:noProof/>
                <w:lang w:val="en-US"/>
              </w:rPr>
              <w:footnoteReference w:id="41"/>
            </w:r>
            <w:r>
              <w:rPr>
                <w:noProof/>
                <w:sz w:val="24"/>
                <w:lang w:val="en-US"/>
              </w:rPr>
              <w:t>, an Austrian start-up, was established in 2011 with the aim of sharing valuable knowledge about cycling in urban areas. Having started with a simple bike navigation app and a smartphone mount, the company nowadays focuses on cycling promotion, app technol</w:t>
            </w:r>
            <w:r>
              <w:rPr>
                <w:noProof/>
                <w:sz w:val="24"/>
                <w:lang w:val="en-US"/>
              </w:rPr>
              <w:t>ogy and data analysis for cities. Its key service, the Bike Citizens app, uses free geodata from OpenStreetMap, which is populated with Open Data from national mapping agencies and other public sector bodies (e.g. Direction Générale des Impôts in France, S</w:t>
            </w:r>
            <w:r>
              <w:rPr>
                <w:noProof/>
                <w:sz w:val="24"/>
                <w:lang w:val="en-US"/>
              </w:rPr>
              <w:t>urveying and Mapping Authority in Slovenia etc.), in order to generate different kinds of maps, including world maps. The Open Data sets allow to identify high-traffic streets and mobility patterns of everyday cyclists that are represented in heat maps. Us</w:t>
            </w:r>
            <w:r>
              <w:rPr>
                <w:noProof/>
                <w:sz w:val="24"/>
                <w:lang w:val="en-US"/>
              </w:rPr>
              <w:t>ing Open Data, the app offers the best route in 300 cities all over Europe. The company employs 25 people and has further expansion plans for Europe and the US.</w:t>
            </w:r>
          </w:p>
        </w:tc>
      </w:tr>
    </w:tbl>
    <w:p w:rsidR="003B411A" w:rsidRDefault="003B411A">
      <w:pPr>
        <w:jc w:val="both"/>
        <w:rPr>
          <w:rFonts w:ascii="Times New Roman" w:hAnsi="Times New Roman"/>
          <w:noProof/>
          <w:sz w:val="24"/>
          <w:lang w:val="en-US"/>
        </w:rPr>
      </w:pPr>
    </w:p>
    <w:p w:rsidR="003B411A" w:rsidRDefault="009F0AE3">
      <w:pPr>
        <w:jc w:val="both"/>
        <w:rPr>
          <w:rFonts w:ascii="Times New Roman" w:hAnsi="Times New Roman"/>
          <w:noProof/>
          <w:sz w:val="24"/>
          <w:lang w:val="en-US"/>
        </w:rPr>
      </w:pPr>
      <w:r>
        <w:rPr>
          <w:rFonts w:ascii="Times New Roman" w:hAnsi="Times New Roman"/>
          <w:noProof/>
          <w:sz w:val="24"/>
          <w:lang w:val="en-US"/>
        </w:rPr>
        <w:t xml:space="preserve">The better availability of PSI across the European Union is reflected in the </w:t>
      </w:r>
      <w:r>
        <w:rPr>
          <w:rFonts w:ascii="Times New Roman" w:hAnsi="Times New Roman"/>
          <w:i/>
          <w:noProof/>
          <w:sz w:val="24"/>
          <w:lang w:val="en-US"/>
        </w:rPr>
        <w:t xml:space="preserve">Open Data </w:t>
      </w:r>
      <w:r>
        <w:rPr>
          <w:rFonts w:ascii="Times New Roman" w:hAnsi="Times New Roman"/>
          <w:i/>
          <w:noProof/>
          <w:sz w:val="24"/>
          <w:lang w:val="en-US"/>
        </w:rPr>
        <w:t>Maturity Index 2017</w:t>
      </w:r>
      <w:r>
        <w:rPr>
          <w:rFonts w:ascii="Times New Roman" w:hAnsi="Times New Roman"/>
          <w:noProof/>
          <w:sz w:val="24"/>
          <w:lang w:val="en-US"/>
        </w:rPr>
        <w:t>.</w:t>
      </w:r>
      <w:r>
        <w:rPr>
          <w:rFonts w:ascii="Times New Roman" w:hAnsi="Times New Roman"/>
          <w:noProof/>
          <w:sz w:val="24"/>
          <w:vertAlign w:val="superscript"/>
          <w:lang w:val="en-US"/>
        </w:rPr>
        <w:footnoteReference w:id="42"/>
      </w:r>
      <w:r>
        <w:rPr>
          <w:rFonts w:ascii="Times New Roman" w:hAnsi="Times New Roman"/>
          <w:noProof/>
          <w:sz w:val="24"/>
          <w:lang w:val="en-US"/>
        </w:rPr>
        <w:t xml:space="preserve"> This index shows that nowadays the majority of the EU Member States qualify as open data fast trackers or even trend-setters, which was not the case back in 2015, as the two figures below show.</w:t>
      </w:r>
    </w:p>
    <w:p w:rsidR="003B411A" w:rsidRDefault="003B411A">
      <w:pPr>
        <w:rPr>
          <w:rFonts w:ascii="Times New Roman" w:hAnsi="Times New Roman"/>
          <w:i/>
          <w:noProof/>
          <w:sz w:val="20"/>
          <w:szCs w:val="20"/>
          <w:lang w:val="en-US"/>
        </w:rPr>
      </w:pPr>
    </w:p>
    <w:p w:rsidR="003B411A" w:rsidRDefault="009F0AE3">
      <w:pPr>
        <w:spacing w:after="0"/>
        <w:ind w:firstLine="709"/>
        <w:rPr>
          <w:rFonts w:ascii="Times New Roman" w:hAnsi="Times New Roman"/>
          <w:noProof/>
          <w:sz w:val="24"/>
          <w:lang w:val="en-US"/>
        </w:rPr>
      </w:pPr>
      <w:r>
        <w:rPr>
          <w:rFonts w:ascii="Times New Roman" w:hAnsi="Times New Roman"/>
          <w:i/>
          <w:noProof/>
          <w:sz w:val="20"/>
          <w:szCs w:val="20"/>
          <w:lang w:val="en-US"/>
        </w:rPr>
        <w:t xml:space="preserve">Open Data Maturity of EU Member States </w:t>
      </w:r>
      <w:r>
        <w:rPr>
          <w:rFonts w:ascii="Times New Roman" w:hAnsi="Times New Roman"/>
          <w:i/>
          <w:noProof/>
          <w:sz w:val="20"/>
          <w:szCs w:val="20"/>
          <w:lang w:val="en-US"/>
        </w:rPr>
        <w:t>in 2015 (Open Data Maturity Index)</w:t>
      </w:r>
      <w:r>
        <w:rPr>
          <w:rFonts w:ascii="Times New Roman" w:hAnsi="Times New Roman"/>
          <w:noProof/>
          <w:sz w:val="24"/>
          <w:lang w:val="en-GB" w:eastAsia="en-GB"/>
        </w:rPr>
        <w:drawing>
          <wp:inline distT="0" distB="0" distL="0" distR="0" wp14:anchorId="06C4B1A9" wp14:editId="42E06015">
            <wp:extent cx="5029200" cy="3292280"/>
            <wp:effectExtent l="0" t="0" r="0" b="3810"/>
            <wp:docPr id="1030"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Grp="1"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9188" cy="3298819"/>
                    </a:xfrm>
                    <a:prstGeom prst="rect">
                      <a:avLst/>
                    </a:prstGeom>
                    <a:noFill/>
                    <a:ln>
                      <a:noFill/>
                    </a:ln>
                    <a:effectLst/>
                    <a:extLst/>
                  </pic:spPr>
                </pic:pic>
              </a:graphicData>
            </a:graphic>
          </wp:inline>
        </w:drawing>
      </w:r>
    </w:p>
    <w:p w:rsidR="003B411A" w:rsidRDefault="003B411A">
      <w:pPr>
        <w:rPr>
          <w:rFonts w:ascii="Times New Roman" w:hAnsi="Times New Roman"/>
          <w:i/>
          <w:noProof/>
          <w:sz w:val="20"/>
          <w:szCs w:val="20"/>
          <w:lang w:val="en-US"/>
        </w:rPr>
      </w:pPr>
    </w:p>
    <w:p w:rsidR="003B411A" w:rsidRDefault="009F0AE3">
      <w:pPr>
        <w:spacing w:after="0"/>
        <w:ind w:firstLine="709"/>
        <w:rPr>
          <w:rFonts w:ascii="Times New Roman" w:hAnsi="Times New Roman"/>
          <w:i/>
          <w:noProof/>
          <w:sz w:val="20"/>
          <w:szCs w:val="20"/>
          <w:lang w:val="en-US"/>
        </w:rPr>
      </w:pPr>
      <w:r>
        <w:rPr>
          <w:rFonts w:ascii="Times New Roman" w:hAnsi="Times New Roman"/>
          <w:i/>
          <w:noProof/>
          <w:sz w:val="20"/>
          <w:szCs w:val="20"/>
          <w:lang w:val="en-US"/>
        </w:rPr>
        <w:t>Open Data Maturity of EU Member States in 2017 (Open Data Maturity Index)</w:t>
      </w:r>
    </w:p>
    <w:p w:rsidR="003B411A" w:rsidRDefault="009F0AE3">
      <w:pPr>
        <w:rPr>
          <w:rFonts w:ascii="Times New Roman" w:hAnsi="Times New Roman"/>
          <w:noProof/>
          <w:sz w:val="24"/>
          <w:lang w:val="en-US"/>
        </w:rPr>
      </w:pPr>
      <w:r>
        <w:rPr>
          <w:rFonts w:ascii="Times New Roman" w:hAnsi="Times New Roman"/>
          <w:noProof/>
          <w:sz w:val="24"/>
          <w:lang w:val="en-GB" w:eastAsia="en-GB"/>
        </w:rPr>
        <w:drawing>
          <wp:inline distT="0" distB="0" distL="0" distR="0" wp14:anchorId="34D2EE9B" wp14:editId="1B187625">
            <wp:extent cx="5030653" cy="3420419"/>
            <wp:effectExtent l="0" t="0" r="0" b="889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4605" cy="3423106"/>
                    </a:xfrm>
                    <a:prstGeom prst="rect">
                      <a:avLst/>
                    </a:prstGeom>
                    <a:noFill/>
                    <a:ln>
                      <a:noFill/>
                    </a:ln>
                    <a:effectLst/>
                    <a:extLst/>
                  </pic:spPr>
                </pic:pic>
              </a:graphicData>
            </a:graphic>
          </wp:inline>
        </w:drawing>
      </w:r>
    </w:p>
    <w:p w:rsidR="003B411A" w:rsidRDefault="009F0AE3">
      <w:pPr>
        <w:jc w:val="both"/>
        <w:rPr>
          <w:rFonts w:ascii="Times New Roman" w:hAnsi="Times New Roman"/>
          <w:noProof/>
          <w:sz w:val="24"/>
          <w:lang w:val="en-GB"/>
        </w:rPr>
      </w:pPr>
      <w:r>
        <w:rPr>
          <w:rFonts w:ascii="Times New Roman" w:hAnsi="Times New Roman"/>
          <w:noProof/>
          <w:sz w:val="24"/>
          <w:lang w:val="en-US"/>
        </w:rPr>
        <w:t xml:space="preserve">The assessment of the level of </w:t>
      </w:r>
      <w:r>
        <w:rPr>
          <w:rFonts w:ascii="Times New Roman" w:hAnsi="Times New Roman"/>
          <w:i/>
          <w:noProof/>
          <w:sz w:val="24"/>
          <w:lang w:val="en-US"/>
        </w:rPr>
        <w:t>Open Data Maturity</w:t>
      </w:r>
      <w:r>
        <w:rPr>
          <w:rFonts w:ascii="Times New Roman" w:hAnsi="Times New Roman"/>
          <w:noProof/>
          <w:sz w:val="24"/>
          <w:lang w:val="en-US"/>
        </w:rPr>
        <w:t xml:space="preserve"> for each European country is measured by two main categories. </w:t>
      </w:r>
      <w:r>
        <w:rPr>
          <w:rFonts w:ascii="Times New Roman" w:hAnsi="Times New Roman"/>
          <w:i/>
          <w:noProof/>
          <w:sz w:val="24"/>
          <w:lang w:val="en-GB"/>
        </w:rPr>
        <w:t>Open Data Readiness</w:t>
      </w:r>
      <w:r>
        <w:rPr>
          <w:rFonts w:ascii="Times New Roman" w:hAnsi="Times New Roman"/>
          <w:noProof/>
          <w:sz w:val="24"/>
          <w:lang w:val="en-GB"/>
        </w:rPr>
        <w:t xml:space="preserve"> examines ex</w:t>
      </w:r>
      <w:r>
        <w:rPr>
          <w:rFonts w:ascii="Times New Roman" w:hAnsi="Times New Roman"/>
          <w:noProof/>
          <w:sz w:val="24"/>
          <w:lang w:val="en-GB"/>
        </w:rPr>
        <w:t xml:space="preserve">isting policy, licensing norms, the impact of Open Data, the usage of these data and the level of coordination at a national level. </w:t>
      </w:r>
      <w:r>
        <w:rPr>
          <w:rFonts w:ascii="Times New Roman" w:hAnsi="Times New Roman"/>
          <w:i/>
          <w:noProof/>
          <w:sz w:val="24"/>
          <w:lang w:val="en-GB"/>
        </w:rPr>
        <w:t>Portal Maturity</w:t>
      </w:r>
      <w:r>
        <w:rPr>
          <w:rFonts w:ascii="Times New Roman" w:hAnsi="Times New Roman"/>
          <w:noProof/>
          <w:sz w:val="24"/>
          <w:lang w:val="en-GB"/>
        </w:rPr>
        <w:t xml:space="preserve"> focuses on the characteristics of each Member State’s national data portal(s), such as their usability, the </w:t>
      </w:r>
      <w:r>
        <w:rPr>
          <w:rFonts w:ascii="Times New Roman" w:hAnsi="Times New Roman"/>
          <w:noProof/>
          <w:sz w:val="24"/>
          <w:lang w:val="en-GB"/>
        </w:rPr>
        <w:t>reusability of the data and the spread across domains.</w:t>
      </w:r>
    </w:p>
    <w:p w:rsidR="003B411A" w:rsidRDefault="009F0AE3">
      <w:pPr>
        <w:jc w:val="both"/>
        <w:rPr>
          <w:rFonts w:ascii="Times New Roman" w:hAnsi="Times New Roman"/>
          <w:noProof/>
          <w:sz w:val="24"/>
          <w:lang w:val="en-US"/>
        </w:rPr>
      </w:pPr>
      <w:r>
        <w:rPr>
          <w:rFonts w:ascii="Times New Roman" w:hAnsi="Times New Roman"/>
          <w:noProof/>
          <w:sz w:val="24"/>
          <w:lang w:val="en-US"/>
        </w:rPr>
        <w:t>Within each of these rubrics, a range of Key Performance Indicators (KPIs) are assessed.</w:t>
      </w:r>
      <w:r>
        <w:rPr>
          <w:rFonts w:ascii="Times New Roman" w:hAnsi="Times New Roman"/>
          <w:noProof/>
          <w:sz w:val="24"/>
          <w:vertAlign w:val="superscript"/>
          <w:lang w:val="en-US"/>
        </w:rPr>
        <w:footnoteReference w:id="43"/>
      </w:r>
      <w:r>
        <w:rPr>
          <w:rFonts w:ascii="Times New Roman" w:hAnsi="Times New Roman"/>
          <w:noProof/>
          <w:sz w:val="24"/>
          <w:lang w:val="en-US"/>
        </w:rPr>
        <w:t xml:space="preserve"> The following illustration shows that the past three years have seen improvements across all measures.</w:t>
      </w:r>
    </w:p>
    <w:p w:rsidR="003B411A" w:rsidRDefault="009F0AE3">
      <w:pPr>
        <w:jc w:val="both"/>
        <w:rPr>
          <w:rFonts w:ascii="Times New Roman" w:hAnsi="Times New Roman"/>
          <w:noProof/>
          <w:sz w:val="24"/>
          <w:lang w:val="en-US"/>
        </w:rPr>
      </w:pPr>
      <w:r>
        <w:rPr>
          <w:rFonts w:ascii="Times New Roman" w:hAnsi="Times New Roman"/>
          <w:noProof/>
          <w:sz w:val="24"/>
          <w:lang w:val="en-GB" w:eastAsia="en-GB"/>
        </w:rPr>
        <w:drawing>
          <wp:inline distT="0" distB="0" distL="0" distR="0" wp14:anchorId="14792802" wp14:editId="0700A1E8">
            <wp:extent cx="3755850" cy="2324100"/>
            <wp:effectExtent l="0" t="0" r="0" b="0"/>
            <wp:docPr id="6" name="Picture 6" descr="Macintosh HD:Users:davidoconnor:Download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oconnor:Downloads:char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1355" cy="2327506"/>
                    </a:xfrm>
                    <a:prstGeom prst="rect">
                      <a:avLst/>
                    </a:prstGeom>
                    <a:noFill/>
                    <a:ln>
                      <a:noFill/>
                    </a:ln>
                  </pic:spPr>
                </pic:pic>
              </a:graphicData>
            </a:graphic>
          </wp:inline>
        </w:drawing>
      </w:r>
    </w:p>
    <w:p w:rsidR="003B411A" w:rsidRDefault="009F0AE3">
      <w:pPr>
        <w:jc w:val="both"/>
        <w:rPr>
          <w:rFonts w:ascii="Times New Roman" w:hAnsi="Times New Roman"/>
          <w:i/>
          <w:noProof/>
          <w:sz w:val="20"/>
          <w:lang w:val="uz-Cyrl-UZ"/>
        </w:rPr>
      </w:pPr>
      <w:r>
        <w:rPr>
          <w:rFonts w:ascii="Times New Roman" w:hAnsi="Times New Roman"/>
          <w:i/>
          <w:noProof/>
          <w:sz w:val="20"/>
          <w:lang w:val="uz-Cyrl-UZ"/>
        </w:rPr>
        <w:t xml:space="preserve">Source: </w:t>
      </w:r>
      <w:r>
        <w:rPr>
          <w:rFonts w:ascii="Times New Roman" w:hAnsi="Times New Roman"/>
          <w:i/>
          <w:noProof/>
          <w:sz w:val="20"/>
          <w:lang w:val="en-GB"/>
        </w:rPr>
        <w:t xml:space="preserve">European Commission on the basis of the </w:t>
      </w:r>
      <w:r>
        <w:rPr>
          <w:rFonts w:ascii="Times New Roman" w:hAnsi="Times New Roman"/>
          <w:i/>
          <w:noProof/>
          <w:sz w:val="20"/>
          <w:lang w:val="uz-Cyrl-UZ"/>
        </w:rPr>
        <w:t>E</w:t>
      </w:r>
      <w:r>
        <w:rPr>
          <w:rFonts w:ascii="Times New Roman" w:hAnsi="Times New Roman"/>
          <w:i/>
          <w:noProof/>
          <w:sz w:val="20"/>
          <w:lang w:val="en-GB"/>
        </w:rPr>
        <w:t xml:space="preserve">uropean </w:t>
      </w:r>
      <w:r>
        <w:rPr>
          <w:rFonts w:ascii="Times New Roman" w:hAnsi="Times New Roman"/>
          <w:i/>
          <w:noProof/>
          <w:sz w:val="20"/>
          <w:lang w:val="uz-Cyrl-UZ"/>
        </w:rPr>
        <w:t>D</w:t>
      </w:r>
      <w:r>
        <w:rPr>
          <w:rFonts w:ascii="Times New Roman" w:hAnsi="Times New Roman"/>
          <w:i/>
          <w:noProof/>
          <w:sz w:val="20"/>
          <w:lang w:val="en-GB"/>
        </w:rPr>
        <w:t xml:space="preserve">ata </w:t>
      </w:r>
      <w:r>
        <w:rPr>
          <w:rFonts w:ascii="Times New Roman" w:hAnsi="Times New Roman"/>
          <w:i/>
          <w:noProof/>
          <w:sz w:val="20"/>
          <w:lang w:val="uz-Cyrl-UZ"/>
        </w:rPr>
        <w:t>P</w:t>
      </w:r>
      <w:r>
        <w:rPr>
          <w:rFonts w:ascii="Times New Roman" w:hAnsi="Times New Roman"/>
          <w:i/>
          <w:noProof/>
          <w:sz w:val="20"/>
          <w:lang w:val="en-GB"/>
        </w:rPr>
        <w:t>ortal</w:t>
      </w:r>
      <w:r>
        <w:rPr>
          <w:rFonts w:ascii="Times New Roman" w:hAnsi="Times New Roman"/>
          <w:i/>
          <w:noProof/>
          <w:sz w:val="20"/>
          <w:lang w:val="uz-Cyrl-UZ"/>
        </w:rPr>
        <w:t xml:space="preserve"> Dashboard</w:t>
      </w:r>
      <w:r>
        <w:rPr>
          <w:rStyle w:val="FootnoteReference"/>
          <w:rFonts w:ascii="Times New Roman" w:hAnsi="Times New Roman"/>
          <w:i/>
          <w:noProof/>
          <w:lang w:val="uz-Cyrl-UZ"/>
        </w:rPr>
        <w:footnoteReference w:id="44"/>
      </w:r>
      <w:r>
        <w:rPr>
          <w:rFonts w:ascii="Times New Roman" w:hAnsi="Times New Roman"/>
          <w:i/>
          <w:noProof/>
          <w:sz w:val="20"/>
          <w:lang w:val="uz-Cyrl-UZ"/>
        </w:rPr>
        <w:t>.</w:t>
      </w:r>
    </w:p>
    <w:p w:rsidR="003B411A" w:rsidRDefault="009F0AE3">
      <w:pPr>
        <w:jc w:val="both"/>
        <w:rPr>
          <w:rFonts w:ascii="Times New Roman" w:hAnsi="Times New Roman"/>
          <w:noProof/>
          <w:sz w:val="24"/>
          <w:lang w:val="en-GB"/>
        </w:rPr>
      </w:pPr>
      <w:r>
        <w:rPr>
          <w:rFonts w:ascii="Times New Roman" w:hAnsi="Times New Roman"/>
          <w:noProof/>
          <w:sz w:val="24"/>
          <w:lang w:val="en-GB"/>
        </w:rPr>
        <w:t xml:space="preserve">In 2015, the average EU-score for </w:t>
      </w:r>
      <w:r>
        <w:rPr>
          <w:rFonts w:ascii="Times New Roman" w:hAnsi="Times New Roman"/>
          <w:i/>
          <w:noProof/>
          <w:sz w:val="24"/>
          <w:lang w:val="en-GB"/>
        </w:rPr>
        <w:t>Open Data Readiness</w:t>
      </w:r>
      <w:r>
        <w:rPr>
          <w:rFonts w:ascii="Times New Roman" w:hAnsi="Times New Roman"/>
          <w:noProof/>
          <w:sz w:val="24"/>
          <w:lang w:val="en-GB"/>
        </w:rPr>
        <w:t xml:space="preserve"> was a paltry 47%. In just two years this has risen sharply to 72%. As regards the </w:t>
      </w:r>
      <w:r>
        <w:rPr>
          <w:rFonts w:ascii="Times New Roman" w:hAnsi="Times New Roman"/>
          <w:i/>
          <w:noProof/>
          <w:sz w:val="24"/>
          <w:lang w:val="en-GB"/>
        </w:rPr>
        <w:t xml:space="preserve">Portal Maturity </w:t>
      </w:r>
      <w:r>
        <w:rPr>
          <w:rFonts w:ascii="Times New Roman" w:hAnsi="Times New Roman"/>
          <w:noProof/>
          <w:sz w:val="24"/>
          <w:lang w:val="en-GB"/>
        </w:rPr>
        <w:t xml:space="preserve">dimension, the numbers </w:t>
      </w:r>
      <w:r>
        <w:rPr>
          <w:rFonts w:ascii="Times New Roman" w:hAnsi="Times New Roman"/>
          <w:noProof/>
          <w:sz w:val="24"/>
          <w:lang w:val="en-GB"/>
        </w:rPr>
        <w:t>have risen from an average of 32% in 2015 to 76% in 2017.</w:t>
      </w:r>
      <w:r>
        <w:rPr>
          <w:rFonts w:ascii="Times New Roman" w:hAnsi="Times New Roman"/>
          <w:noProof/>
          <w:sz w:val="24"/>
          <w:vertAlign w:val="superscript"/>
          <w:lang w:val="en-GB"/>
        </w:rPr>
        <w:footnoteReference w:id="45"/>
      </w:r>
    </w:p>
    <w:p w:rsidR="003B411A" w:rsidRDefault="009F0AE3">
      <w:pPr>
        <w:jc w:val="both"/>
        <w:rPr>
          <w:rFonts w:ascii="Times New Roman" w:hAnsi="Times New Roman"/>
          <w:noProof/>
          <w:sz w:val="24"/>
          <w:lang w:val="en-US"/>
        </w:rPr>
      </w:pPr>
      <w:r>
        <w:rPr>
          <w:rFonts w:ascii="Times New Roman" w:hAnsi="Times New Roman"/>
          <w:noProof/>
          <w:sz w:val="24"/>
          <w:lang w:val="en-US"/>
        </w:rPr>
        <w:t>This general trend over the last few years clearly indicates that overall, in the broader EU Open Data policy, the PSI Directive has proven its usefulness by contributing to making more and more PS</w:t>
      </w:r>
      <w:r>
        <w:rPr>
          <w:rFonts w:ascii="Times New Roman" w:hAnsi="Times New Roman"/>
          <w:noProof/>
          <w:sz w:val="24"/>
          <w:lang w:val="en-US"/>
        </w:rPr>
        <w:t>I available for re-use.</w:t>
      </w:r>
      <w:r>
        <w:rPr>
          <w:rStyle w:val="FootnoteReference"/>
          <w:rFonts w:ascii="Times New Roman" w:hAnsi="Times New Roman"/>
          <w:noProof/>
          <w:lang w:val="en-US"/>
        </w:rPr>
        <w:footnoteReference w:id="46"/>
      </w:r>
    </w:p>
    <w:p w:rsidR="003B411A" w:rsidRDefault="009F0AE3">
      <w:pPr>
        <w:rPr>
          <w:rFonts w:ascii="Times New Roman" w:hAnsi="Times New Roman"/>
          <w:b/>
          <w:noProof/>
          <w:sz w:val="24"/>
          <w:lang w:val="en-GB"/>
        </w:rPr>
      </w:pPr>
      <w:r>
        <w:rPr>
          <w:rFonts w:ascii="Times New Roman" w:hAnsi="Times New Roman"/>
          <w:b/>
          <w:noProof/>
          <w:sz w:val="24"/>
          <w:lang w:val="en-GB"/>
        </w:rPr>
        <w:t>EFFECTIVENESS</w:t>
      </w:r>
    </w:p>
    <w:p w:rsidR="003B411A" w:rsidRDefault="009F0AE3">
      <w:pPr>
        <w:spacing w:before="120" w:after="160" w:line="259" w:lineRule="auto"/>
        <w:jc w:val="both"/>
        <w:rPr>
          <w:rFonts w:ascii="Times New Roman" w:hAnsi="Times New Roman"/>
          <w:noProof/>
          <w:sz w:val="24"/>
          <w:lang w:val="en-GB"/>
        </w:rPr>
      </w:pPr>
      <w:r>
        <w:rPr>
          <w:rFonts w:ascii="Times New Roman" w:hAnsi="Times New Roman"/>
          <w:noProof/>
          <w:sz w:val="24"/>
          <w:lang w:val="en-GB"/>
        </w:rPr>
        <w:t xml:space="preserve">Based on available evidence, it appears that the Directive has been largely effective in meeting the objectives specified in Section 2, although there are areas that require further work. The analysis below </w:t>
      </w:r>
      <w:r>
        <w:rPr>
          <w:rFonts w:ascii="Times New Roman" w:hAnsi="Times New Roman" w:cs="Times New Roman"/>
          <w:noProof/>
          <w:sz w:val="24"/>
          <w:szCs w:val="24"/>
          <w:lang w:val="en-GB"/>
        </w:rPr>
        <w:t>is</w:t>
      </w:r>
      <w:r>
        <w:rPr>
          <w:rFonts w:ascii="Times New Roman" w:hAnsi="Times New Roman"/>
          <w:noProof/>
          <w:sz w:val="24"/>
          <w:lang w:val="en-GB"/>
        </w:rPr>
        <w:t xml:space="preserve"> based on the comparison between the objectives and the extent to which they have been achieved after the implementation of the provisions.</w:t>
      </w:r>
    </w:p>
    <w:p w:rsidR="003B411A" w:rsidRDefault="009F0AE3">
      <w:pPr>
        <w:pStyle w:val="Heading5"/>
        <w:spacing w:after="120"/>
        <w:jc w:val="both"/>
        <w:rPr>
          <w:rFonts w:ascii="Times New Roman" w:hAnsi="Times New Roman" w:cs="Times New Roman"/>
          <w:noProof/>
          <w:sz w:val="24"/>
          <w:szCs w:val="24"/>
          <w:lang w:val="en-GB"/>
        </w:rPr>
      </w:pPr>
      <w:r>
        <w:rPr>
          <w:rFonts w:ascii="Times New Roman" w:hAnsi="Times New Roman" w:cs="Times New Roman"/>
          <w:i/>
          <w:noProof/>
          <w:color w:val="auto"/>
          <w:sz w:val="24"/>
          <w:szCs w:val="24"/>
          <w:lang w:val="en-GB"/>
        </w:rPr>
        <w:t>Preventing distortions of competition on the EU market</w:t>
      </w:r>
    </w:p>
    <w:p w:rsidR="003B411A" w:rsidRDefault="009F0AE3">
      <w:pPr>
        <w:jc w:val="both"/>
        <w:rPr>
          <w:rFonts w:ascii="Times New Roman" w:hAnsi="Times New Roman"/>
          <w:noProof/>
          <w:sz w:val="24"/>
          <w:lang w:val="en-GB"/>
        </w:rPr>
      </w:pPr>
      <w:r>
        <w:rPr>
          <w:rFonts w:ascii="Times New Roman" w:hAnsi="Times New Roman"/>
          <w:noProof/>
          <w:sz w:val="24"/>
          <w:lang w:val="en-GB"/>
        </w:rPr>
        <w:t>The PSI Directive has been very effective in ensuring that co</w:t>
      </w:r>
      <w:r>
        <w:rPr>
          <w:rFonts w:ascii="Times New Roman" w:hAnsi="Times New Roman"/>
          <w:noProof/>
          <w:sz w:val="24"/>
          <w:lang w:val="en-GB"/>
        </w:rPr>
        <w:t xml:space="preserve">mpetition is not distorted, although there is still ground for improvement as regards specific issues. </w:t>
      </w:r>
    </w:p>
    <w:p w:rsidR="003B411A" w:rsidRDefault="009F0AE3">
      <w:pPr>
        <w:jc w:val="both"/>
        <w:rPr>
          <w:rFonts w:ascii="Times New Roman" w:hAnsi="Times New Roman"/>
          <w:noProof/>
          <w:sz w:val="24"/>
          <w:lang w:val="en-US"/>
        </w:rPr>
      </w:pPr>
      <w:r>
        <w:rPr>
          <w:rFonts w:ascii="Times New Roman" w:hAnsi="Times New Roman" w:cs="Times New Roman"/>
          <w:noProof/>
          <w:sz w:val="24"/>
          <w:szCs w:val="24"/>
          <w:lang w:val="en-GB"/>
        </w:rPr>
        <w:t>I</w:t>
      </w:r>
      <w:r>
        <w:rPr>
          <w:rFonts w:ascii="Times New Roman" w:hAnsi="Times New Roman"/>
          <w:noProof/>
          <w:sz w:val="24"/>
          <w:lang w:val="en-US"/>
        </w:rPr>
        <w:t>n terms of overall functioning of the PSI market, stakeholders agree on the positive effect the PSI Directive has had in harmonising practices and prov</w:t>
      </w:r>
      <w:r>
        <w:rPr>
          <w:rFonts w:ascii="Times New Roman" w:hAnsi="Times New Roman"/>
          <w:noProof/>
          <w:sz w:val="24"/>
          <w:lang w:val="en-US"/>
        </w:rPr>
        <w:t>iding stability for data providers and re-users.</w:t>
      </w:r>
      <w:r>
        <w:rPr>
          <w:rStyle w:val="FootnoteReference"/>
          <w:rFonts w:ascii="Times New Roman" w:hAnsi="Times New Roman"/>
          <w:noProof/>
          <w:sz w:val="24"/>
          <w:lang w:val="en-US"/>
        </w:rPr>
        <w:footnoteReference w:id="47"/>
      </w:r>
      <w:r>
        <w:rPr>
          <w:rFonts w:ascii="Times New Roman" w:hAnsi="Times New Roman"/>
          <w:noProof/>
          <w:sz w:val="24"/>
          <w:lang w:val="en-US"/>
        </w:rPr>
        <w:t xml:space="preserve"> It has helped to lay down a level playing field for all stakeholders and clarified rules and approaches for both data providers and re-users.</w:t>
      </w:r>
      <w:r>
        <w:rPr>
          <w:rStyle w:val="FootnoteReference"/>
          <w:rFonts w:ascii="Times New Roman" w:hAnsi="Times New Roman"/>
          <w:noProof/>
          <w:sz w:val="24"/>
          <w:lang w:val="en-US"/>
        </w:rPr>
        <w:footnoteReference w:id="48"/>
      </w:r>
      <w:r>
        <w:rPr>
          <w:rFonts w:ascii="Times New Roman" w:hAnsi="Times New Roman"/>
          <w:noProof/>
          <w:sz w:val="24"/>
          <w:lang w:val="en-US"/>
        </w:rPr>
        <w:t xml:space="preserve"> An example of such a positive impact can be identified with res</w:t>
      </w:r>
      <w:r>
        <w:rPr>
          <w:rFonts w:ascii="Times New Roman" w:hAnsi="Times New Roman"/>
          <w:noProof/>
          <w:sz w:val="24"/>
          <w:lang w:val="en-US"/>
        </w:rPr>
        <w:t>pect to the use of “exclusive agreements” for re-use.</w:t>
      </w:r>
    </w:p>
    <w:p w:rsidR="003B411A" w:rsidRDefault="009F0AE3">
      <w:pPr>
        <w:jc w:val="both"/>
        <w:rPr>
          <w:rFonts w:ascii="Times New Roman" w:hAnsi="Times New Roman"/>
          <w:noProof/>
          <w:sz w:val="24"/>
          <w:lang w:val="en-US"/>
        </w:rPr>
      </w:pPr>
      <w:r>
        <w:rPr>
          <w:rFonts w:ascii="Times New Roman" w:hAnsi="Times New Roman"/>
          <w:noProof/>
          <w:sz w:val="24"/>
          <w:lang w:val="en-US"/>
        </w:rPr>
        <w:t xml:space="preserve">The positive impact of the Directive in this respect is twofold: on the one hand, exclusive agreements were disincentivised through the establishment of a number of strict conditions for their validity </w:t>
      </w:r>
      <w:r>
        <w:rPr>
          <w:rFonts w:ascii="Times New Roman" w:hAnsi="Times New Roman"/>
          <w:noProof/>
          <w:sz w:val="24"/>
          <w:lang w:val="en-US"/>
        </w:rPr>
        <w:t>and, on the other hand, rules were clarified for all public and private partners recurring to exclusive agreements. The result has been a significant decrease in the number of exclusive agreements for the re-use of data.</w:t>
      </w:r>
      <w:r>
        <w:rPr>
          <w:rStyle w:val="FootnoteReference"/>
          <w:rFonts w:ascii="Times New Roman" w:hAnsi="Times New Roman"/>
          <w:noProof/>
          <w:lang w:val="en-US"/>
        </w:rPr>
        <w:footnoteReference w:id="49"/>
      </w:r>
      <w:r>
        <w:rPr>
          <w:rFonts w:ascii="Times New Roman" w:hAnsi="Times New Roman"/>
          <w:noProof/>
          <w:sz w:val="24"/>
          <w:lang w:val="en-US"/>
        </w:rPr>
        <w:t xml:space="preserve"> One Member State took the Directiv</w:t>
      </w:r>
      <w:r>
        <w:rPr>
          <w:rFonts w:ascii="Times New Roman" w:hAnsi="Times New Roman"/>
          <w:noProof/>
          <w:sz w:val="24"/>
          <w:lang w:val="en-US"/>
        </w:rPr>
        <w:t>e as an occasion to go further and banned exclusive agreements entirely. Indeed, in this country any exclusive agreement is automatically void.</w:t>
      </w:r>
      <w:r>
        <w:rPr>
          <w:rStyle w:val="FootnoteReference"/>
          <w:rFonts w:ascii="Times New Roman" w:hAnsi="Times New Roman"/>
          <w:noProof/>
          <w:sz w:val="24"/>
          <w:lang w:val="en-US"/>
        </w:rPr>
        <w:footnoteReference w:id="50"/>
      </w:r>
      <w:r>
        <w:rPr>
          <w:rFonts w:ascii="Times New Roman" w:hAnsi="Times New Roman"/>
          <w:noProof/>
          <w:sz w:val="24"/>
          <w:lang w:val="en-US"/>
        </w:rPr>
        <w:t xml:space="preserve"> </w:t>
      </w:r>
    </w:p>
    <w:p w:rsidR="003B411A" w:rsidRDefault="009F0AE3">
      <w:pPr>
        <w:jc w:val="both"/>
        <w:rPr>
          <w:rFonts w:ascii="Times New Roman" w:hAnsi="Times New Roman"/>
          <w:noProof/>
          <w:sz w:val="24"/>
          <w:lang w:val="en-US"/>
        </w:rPr>
      </w:pPr>
      <w:r>
        <w:rPr>
          <w:rFonts w:ascii="Times New Roman" w:hAnsi="Times New Roman"/>
          <w:noProof/>
          <w:sz w:val="24"/>
          <w:lang w:val="en-US"/>
        </w:rPr>
        <w:t>If the rules on exclusive agreements helped in reaching the objective of ensuring fair, proportionate and non-</w:t>
      </w:r>
      <w:r>
        <w:rPr>
          <w:rFonts w:ascii="Times New Roman" w:hAnsi="Times New Roman"/>
          <w:noProof/>
          <w:sz w:val="24"/>
          <w:lang w:val="en-US"/>
        </w:rPr>
        <w:t>discriminatory conditions for PSI re-use, some challenges related to these practices still remain. The results of the online public consultation indicate that many respondents are not sure about the current situation. Only 38% (73 of 193 respondents) agree</w:t>
      </w:r>
      <w:r>
        <w:rPr>
          <w:rFonts w:ascii="Times New Roman" w:hAnsi="Times New Roman"/>
          <w:noProof/>
          <w:sz w:val="24"/>
          <w:lang w:val="en-US"/>
        </w:rPr>
        <w:t xml:space="preserve"> that exclusive agreements between public sector bodies and third parties are used only exceptionally and are strictly limited to the cases mentioned in the Directive (e.g. necessary for the provision of the public service). This shows that despite signifi</w:t>
      </w:r>
      <w:r>
        <w:rPr>
          <w:rFonts w:ascii="Times New Roman" w:hAnsi="Times New Roman"/>
          <w:noProof/>
          <w:sz w:val="24"/>
          <w:lang w:val="en-US"/>
        </w:rPr>
        <w:t xml:space="preserve">cant progress, some further actions may be needed to curb the practice of exclusive agreements. </w:t>
      </w:r>
    </w:p>
    <w:p w:rsidR="003B411A" w:rsidRDefault="009F0AE3">
      <w:pPr>
        <w:jc w:val="both"/>
        <w:rPr>
          <w:rFonts w:ascii="Times New Roman" w:hAnsi="Times New Roman"/>
          <w:noProof/>
          <w:sz w:val="24"/>
          <w:lang w:val="en-GB"/>
        </w:rPr>
      </w:pPr>
      <w:r>
        <w:rPr>
          <w:rFonts w:ascii="Times New Roman" w:hAnsi="Times New Roman"/>
          <w:noProof/>
          <w:sz w:val="24"/>
          <w:lang w:val="en-US"/>
        </w:rPr>
        <w:t>Also, rather than formal exclusivity agreements, some stakeholders have raised the issue of PSI data lock-in as regards certain datasets.</w:t>
      </w:r>
      <w:r>
        <w:rPr>
          <w:rStyle w:val="FootnoteReference"/>
          <w:rFonts w:ascii="Times New Roman" w:hAnsi="Times New Roman"/>
          <w:noProof/>
          <w:lang w:val="en-US"/>
        </w:rPr>
        <w:footnoteReference w:id="51"/>
      </w:r>
      <w:r>
        <w:rPr>
          <w:rFonts w:ascii="Times New Roman" w:hAnsi="Times New Roman"/>
          <w:noProof/>
          <w:sz w:val="24"/>
          <w:lang w:val="en-US"/>
        </w:rPr>
        <w:t xml:space="preserve"> Cases of PSI data lo</w:t>
      </w:r>
      <w:r>
        <w:rPr>
          <w:rFonts w:ascii="Times New Roman" w:hAnsi="Times New Roman"/>
          <w:noProof/>
          <w:sz w:val="24"/>
          <w:lang w:val="en-US"/>
        </w:rPr>
        <w:t>ck-in might happen in a number of different situations</w:t>
      </w:r>
      <w:r>
        <w:rPr>
          <w:rStyle w:val="FootnoteReference"/>
          <w:rFonts w:ascii="Times New Roman" w:hAnsi="Times New Roman"/>
          <w:noProof/>
          <w:lang w:val="en-US"/>
        </w:rPr>
        <w:footnoteReference w:id="52"/>
      </w:r>
      <w:r>
        <w:rPr>
          <w:rFonts w:ascii="Times New Roman" w:hAnsi="Times New Roman"/>
          <w:noProof/>
          <w:sz w:val="24"/>
          <w:lang w:val="en-US"/>
        </w:rPr>
        <w:t xml:space="preserve">, but what they all </w:t>
      </w:r>
      <w:r>
        <w:rPr>
          <w:rFonts w:ascii="Times New Roman" w:hAnsi="Times New Roman"/>
          <w:noProof/>
          <w:sz w:val="24"/>
          <w:lang w:val="en-GB"/>
        </w:rPr>
        <w:t xml:space="preserve">have in common is the fact that there is no formal willingness on the side of the public authority to establish a formal exclusivity agreement between parties. </w:t>
      </w:r>
    </w:p>
    <w:p w:rsidR="003B411A" w:rsidRDefault="003B411A">
      <w:pPr>
        <w:jc w:val="both"/>
        <w:rPr>
          <w:rFonts w:ascii="Times New Roman" w:hAnsi="Times New Roman"/>
          <w:noProof/>
          <w:sz w:val="24"/>
          <w:lang w:val="en-US"/>
        </w:rPr>
      </w:pPr>
    </w:p>
    <w:p w:rsidR="003B411A" w:rsidRDefault="003B411A">
      <w:pPr>
        <w:jc w:val="both"/>
        <w:rPr>
          <w:rFonts w:ascii="Times New Roman" w:hAnsi="Times New Roman"/>
          <w:noProof/>
          <w:sz w:val="24"/>
          <w:lang w:val="en-US"/>
        </w:rPr>
      </w:pPr>
    </w:p>
    <w:p w:rsidR="003B411A" w:rsidRDefault="009F0AE3">
      <w:pPr>
        <w:jc w:val="both"/>
        <w:rPr>
          <w:rFonts w:ascii="Times New Roman" w:hAnsi="Times New Roman"/>
          <w:b/>
          <w:noProof/>
          <w:sz w:val="24"/>
          <w:lang w:val="en-US"/>
        </w:rPr>
      </w:pPr>
      <w:r>
        <w:rPr>
          <w:rFonts w:ascii="Times New Roman" w:hAnsi="Times New Roman"/>
          <w:i/>
          <w:noProof/>
          <w:sz w:val="24"/>
          <w:lang w:val="en-US"/>
        </w:rPr>
        <w:t xml:space="preserve">Stimulating the </w:t>
      </w:r>
      <w:r>
        <w:rPr>
          <w:rFonts w:ascii="Times New Roman" w:hAnsi="Times New Roman"/>
          <w:i/>
          <w:noProof/>
          <w:sz w:val="24"/>
          <w:lang w:val="en-US"/>
        </w:rPr>
        <w:t>digital content market for PSI-based products and services</w:t>
      </w:r>
    </w:p>
    <w:p w:rsidR="003B411A" w:rsidRDefault="009F0AE3">
      <w:pPr>
        <w:jc w:val="both"/>
        <w:rPr>
          <w:rFonts w:ascii="Times New Roman" w:hAnsi="Times New Roman"/>
          <w:noProof/>
          <w:sz w:val="24"/>
          <w:lang w:val="en-US"/>
        </w:rPr>
      </w:pPr>
      <w:r>
        <w:rPr>
          <w:rFonts w:ascii="Times New Roman" w:hAnsi="Times New Roman"/>
          <w:noProof/>
          <w:sz w:val="24"/>
          <w:lang w:val="en-US"/>
        </w:rPr>
        <w:t xml:space="preserve">The PSI Directive has significantly contributed to maximizing the benefits of the PSI market in Europe, both in terms of the development of new services and the creation of new jobs, and there is </w:t>
      </w:r>
      <w:r>
        <w:rPr>
          <w:rFonts w:ascii="Times New Roman" w:hAnsi="Times New Roman"/>
          <w:noProof/>
          <w:sz w:val="24"/>
          <w:lang w:val="en-US"/>
        </w:rPr>
        <w:t>ample evidence to substantiate this claim.</w:t>
      </w:r>
    </w:p>
    <w:p w:rsidR="003B411A" w:rsidRDefault="009F0AE3">
      <w:pPr>
        <w:jc w:val="both"/>
        <w:rPr>
          <w:rFonts w:ascii="Times New Roman" w:hAnsi="Times New Roman"/>
          <w:noProof/>
          <w:sz w:val="24"/>
          <w:lang w:val="en-US"/>
        </w:rPr>
      </w:pPr>
      <w:r>
        <w:rPr>
          <w:rFonts w:ascii="Times New Roman" w:hAnsi="Times New Roman"/>
          <w:noProof/>
          <w:sz w:val="24"/>
          <w:lang w:val="en-US"/>
        </w:rPr>
        <w:t>In the replies to the online public consultation 81% respondents (157 of 194) agree that more data held by public sector bodies, including cultural heritage institutions, has become available for re-use, and as ma</w:t>
      </w:r>
      <w:r>
        <w:rPr>
          <w:rFonts w:ascii="Times New Roman" w:hAnsi="Times New Roman"/>
          <w:noProof/>
          <w:sz w:val="24"/>
          <w:lang w:val="en-US"/>
        </w:rPr>
        <w:t xml:space="preserve">ny as 73% (140 of 193 respondents) agree that PSI is increasingly becoming a source of innovative services and products. More than half of the respondents (54%) also agree that PSI has become more affordable, including for start-ups and SMEs. </w:t>
      </w:r>
    </w:p>
    <w:p w:rsidR="003B411A" w:rsidRDefault="009F0AE3">
      <w:pPr>
        <w:jc w:val="both"/>
        <w:rPr>
          <w:rFonts w:ascii="Times New Roman" w:hAnsi="Times New Roman"/>
          <w:noProof/>
          <w:sz w:val="24"/>
          <w:lang w:val="en-US"/>
        </w:rPr>
      </w:pPr>
      <w:r>
        <w:rPr>
          <w:rFonts w:ascii="Times New Roman" w:hAnsi="Times New Roman"/>
          <w:noProof/>
          <w:sz w:val="24"/>
          <w:lang w:val="en-US"/>
        </w:rPr>
        <w:t>On a more gr</w:t>
      </w:r>
      <w:r>
        <w:rPr>
          <w:rFonts w:ascii="Times New Roman" w:hAnsi="Times New Roman"/>
          <w:noProof/>
          <w:sz w:val="24"/>
          <w:lang w:val="en-US"/>
        </w:rPr>
        <w:t xml:space="preserve">anular level, the effectiveness of the PSI Directive with respect to the objective mentioned above should be measured both in terms of impact on the </w:t>
      </w:r>
      <w:r>
        <w:rPr>
          <w:rFonts w:ascii="Times New Roman" w:hAnsi="Times New Roman"/>
          <w:i/>
          <w:noProof/>
          <w:sz w:val="24"/>
          <w:lang w:val="en-US"/>
        </w:rPr>
        <w:t>supply side</w:t>
      </w:r>
      <w:r>
        <w:rPr>
          <w:rFonts w:ascii="Times New Roman" w:hAnsi="Times New Roman"/>
          <w:noProof/>
          <w:sz w:val="24"/>
          <w:lang w:val="en-US"/>
        </w:rPr>
        <w:t xml:space="preserve"> (availability of more PSI for the data market) and </w:t>
      </w:r>
      <w:r>
        <w:rPr>
          <w:rFonts w:ascii="Times New Roman" w:hAnsi="Times New Roman"/>
          <w:i/>
          <w:noProof/>
          <w:sz w:val="24"/>
          <w:lang w:val="en-US"/>
        </w:rPr>
        <w:t>demand side</w:t>
      </w:r>
      <w:r>
        <w:rPr>
          <w:rFonts w:ascii="Times New Roman" w:hAnsi="Times New Roman"/>
          <w:noProof/>
          <w:sz w:val="24"/>
          <w:lang w:val="en-US"/>
        </w:rPr>
        <w:t xml:space="preserve"> (number of services and products</w:t>
      </w:r>
      <w:r>
        <w:rPr>
          <w:rFonts w:ascii="Times New Roman" w:hAnsi="Times New Roman"/>
          <w:noProof/>
          <w:sz w:val="24"/>
          <w:lang w:val="en-US"/>
        </w:rPr>
        <w:t xml:space="preserve"> developed as a consequence of the availability of data). </w:t>
      </w:r>
    </w:p>
    <w:p w:rsidR="003B411A" w:rsidRDefault="009F0AE3">
      <w:pPr>
        <w:jc w:val="both"/>
        <w:rPr>
          <w:rFonts w:ascii="Times New Roman" w:hAnsi="Times New Roman"/>
          <w:noProof/>
          <w:sz w:val="24"/>
          <w:lang w:val="en-US"/>
        </w:rPr>
      </w:pPr>
      <w:r>
        <w:rPr>
          <w:rFonts w:ascii="Times New Roman" w:hAnsi="Times New Roman" w:cs="Times New Roman"/>
          <w:noProof/>
          <w:sz w:val="24"/>
          <w:szCs w:val="24"/>
          <w:lang w:val="en-US"/>
        </w:rPr>
        <w:t>Regarding the supply side</w:t>
      </w:r>
      <w:r>
        <w:rPr>
          <w:rFonts w:ascii="Times New Roman" w:hAnsi="Times New Roman"/>
          <w:noProof/>
          <w:sz w:val="24"/>
          <w:lang w:val="en-US"/>
        </w:rPr>
        <w:t xml:space="preserve"> there has been a constant process of monitoring the open data maturity and readiness of the EU Member States coming from different initiatives: the European Data Portal</w:t>
      </w:r>
      <w:r>
        <w:rPr>
          <w:rStyle w:val="FootnoteReference"/>
          <w:rFonts w:ascii="Times New Roman" w:hAnsi="Times New Roman"/>
          <w:noProof/>
          <w:lang w:val="en-US"/>
        </w:rPr>
        <w:footnoteReference w:id="53"/>
      </w:r>
      <w:r>
        <w:rPr>
          <w:rFonts w:ascii="Times New Roman" w:hAnsi="Times New Roman"/>
          <w:noProof/>
          <w:sz w:val="24"/>
          <w:lang w:val="en-US"/>
        </w:rPr>
        <w:t xml:space="preserve">, </w:t>
      </w:r>
      <w:r>
        <w:rPr>
          <w:rFonts w:ascii="Times New Roman" w:hAnsi="Times New Roman"/>
          <w:noProof/>
          <w:sz w:val="24"/>
          <w:lang w:val="en-US"/>
        </w:rPr>
        <w:t>the Open Knowledge Foundation</w:t>
      </w:r>
      <w:r>
        <w:rPr>
          <w:rStyle w:val="FootnoteReference"/>
          <w:rFonts w:ascii="Times New Roman" w:hAnsi="Times New Roman"/>
          <w:noProof/>
          <w:lang w:val="en-US"/>
        </w:rPr>
        <w:footnoteReference w:id="54"/>
      </w:r>
      <w:r>
        <w:rPr>
          <w:rFonts w:ascii="Times New Roman" w:hAnsi="Times New Roman"/>
          <w:noProof/>
          <w:sz w:val="24"/>
          <w:lang w:val="en-US"/>
        </w:rPr>
        <w:t>, and the Global Open Data Index</w:t>
      </w:r>
      <w:r>
        <w:rPr>
          <w:rStyle w:val="FootnoteReference"/>
          <w:rFonts w:ascii="Times New Roman" w:hAnsi="Times New Roman"/>
          <w:noProof/>
          <w:lang w:val="en-US"/>
        </w:rPr>
        <w:footnoteReference w:id="55"/>
      </w:r>
      <w:r>
        <w:rPr>
          <w:rFonts w:ascii="Times New Roman" w:hAnsi="Times New Roman"/>
          <w:noProof/>
          <w:sz w:val="24"/>
          <w:lang w:val="en-US"/>
        </w:rPr>
        <w:t xml:space="preserve"> etc. The data collected as part of this research suggest that the availability of public sector data in Europe has increasingly improved over time together with the quality of the open data in</w:t>
      </w:r>
      <w:r>
        <w:rPr>
          <w:rFonts w:ascii="Times New Roman" w:hAnsi="Times New Roman"/>
          <w:noProof/>
          <w:sz w:val="24"/>
          <w:lang w:val="en-US"/>
        </w:rPr>
        <w:t xml:space="preserve">itiatives. </w:t>
      </w:r>
    </w:p>
    <w:p w:rsidR="003B411A" w:rsidRDefault="009F0AE3">
      <w:pPr>
        <w:jc w:val="both"/>
        <w:rPr>
          <w:rFonts w:ascii="Times New Roman" w:hAnsi="Times New Roman"/>
          <w:noProof/>
          <w:sz w:val="24"/>
          <w:lang w:val="en-US"/>
        </w:rPr>
      </w:pPr>
      <w:r>
        <w:rPr>
          <w:rFonts w:ascii="Times New Roman" w:hAnsi="Times New Roman"/>
          <w:noProof/>
          <w:sz w:val="24"/>
          <w:lang w:val="en-US"/>
        </w:rPr>
        <w:t xml:space="preserve">Next to the improved Open Data Maturity in the EU28, the number of datasets available on the local, regional, national and European portals </w:t>
      </w:r>
      <w:r>
        <w:rPr>
          <w:rFonts w:ascii="Times New Roman" w:hAnsi="Times New Roman" w:cs="Times New Roman"/>
          <w:noProof/>
          <w:sz w:val="24"/>
          <w:szCs w:val="24"/>
          <w:lang w:val="en-US"/>
        </w:rPr>
        <w:t>have</w:t>
      </w:r>
      <w:r>
        <w:rPr>
          <w:rFonts w:ascii="Times New Roman" w:hAnsi="Times New Roman"/>
          <w:noProof/>
          <w:sz w:val="24"/>
          <w:lang w:val="en-US"/>
        </w:rPr>
        <w:t xml:space="preserve"> been constantly increasing over time. For instance, the statistics for both the European Data Porta</w:t>
      </w:r>
      <w:r>
        <w:rPr>
          <w:rFonts w:ascii="Times New Roman" w:hAnsi="Times New Roman"/>
          <w:noProof/>
          <w:sz w:val="24"/>
          <w:lang w:val="en-US"/>
        </w:rPr>
        <w:t>l (giving direct access to datasets from all the Member States at different levels of government) and Europeana (giving access to information from cultural institutions) showed a steady increase in the supply of PSI.</w:t>
      </w:r>
      <w:r>
        <w:rPr>
          <w:rStyle w:val="FootnoteReference"/>
          <w:rFonts w:ascii="Times New Roman" w:hAnsi="Times New Roman"/>
          <w:noProof/>
          <w:sz w:val="24"/>
          <w:lang w:val="en-US"/>
        </w:rPr>
        <w:footnoteReference w:id="56"/>
      </w:r>
      <w:r>
        <w:rPr>
          <w:rFonts w:ascii="Times New Roman" w:hAnsi="Times New Roman"/>
          <w:noProof/>
          <w:sz w:val="24"/>
          <w:lang w:val="en-US"/>
        </w:rPr>
        <w:t xml:space="preserve"> Similarly, statistics from open data p</w:t>
      </w:r>
      <w:r>
        <w:rPr>
          <w:rFonts w:ascii="Times New Roman" w:hAnsi="Times New Roman"/>
          <w:noProof/>
          <w:sz w:val="24"/>
          <w:lang w:val="en-US"/>
        </w:rPr>
        <w:t>ortals at the local, regional and national level confirm this trend.</w:t>
      </w:r>
    </w:p>
    <w:p w:rsidR="003B411A" w:rsidRDefault="009F0AE3">
      <w:pPr>
        <w:jc w:val="both"/>
        <w:rPr>
          <w:rFonts w:ascii="Times New Roman" w:hAnsi="Times New Roman"/>
          <w:noProof/>
          <w:sz w:val="24"/>
          <w:lang w:val="en-US"/>
        </w:rPr>
      </w:pPr>
      <w:r>
        <w:rPr>
          <w:rFonts w:ascii="Times New Roman" w:hAnsi="Times New Roman"/>
          <w:noProof/>
          <w:sz w:val="24"/>
          <w:lang w:val="en-US"/>
        </w:rPr>
        <w:t>Therefore, as all this evidence points out, on the supply side of PSI there has been a constant improvement over time in terms of the number of datasets available and open data maturity o</w:t>
      </w:r>
      <w:r>
        <w:rPr>
          <w:rFonts w:ascii="Times New Roman" w:hAnsi="Times New Roman"/>
          <w:noProof/>
          <w:sz w:val="24"/>
          <w:lang w:val="en-US"/>
        </w:rPr>
        <w:t>f European countries. Although it cannot be taken for granted that this trend is the sole result of the PSI Directive, these data suggest that the Directive has definitely contributed to improving the supply market side of PSI in Europe and to making Europ</w:t>
      </w:r>
      <w:r>
        <w:rPr>
          <w:rFonts w:ascii="Times New Roman" w:hAnsi="Times New Roman"/>
          <w:noProof/>
          <w:sz w:val="24"/>
          <w:lang w:val="en-US"/>
        </w:rPr>
        <w:t xml:space="preserve">e one of the most advanced open data economies in the world. </w:t>
      </w:r>
    </w:p>
    <w:p w:rsidR="003B411A" w:rsidRDefault="009F0AE3">
      <w:pPr>
        <w:jc w:val="both"/>
        <w:rPr>
          <w:rFonts w:ascii="Times New Roman" w:hAnsi="Times New Roman"/>
          <w:noProof/>
          <w:sz w:val="24"/>
          <w:lang w:val="en-US"/>
        </w:rPr>
      </w:pPr>
      <w:r>
        <w:rPr>
          <w:rFonts w:ascii="Times New Roman" w:hAnsi="Times New Roman"/>
          <w:noProof/>
          <w:sz w:val="24"/>
          <w:lang w:val="en-US"/>
        </w:rPr>
        <w:t>Measuring the demand side and especially the number of products and services created as a result of this availability of data is more difficult. Nevertheless, in the below graph, the estimated d</w:t>
      </w:r>
      <w:r>
        <w:rPr>
          <w:rFonts w:ascii="Times New Roman" w:hAnsi="Times New Roman"/>
          <w:noProof/>
          <w:sz w:val="24"/>
          <w:lang w:val="en-US"/>
        </w:rPr>
        <w:t>irect, indirect, and total PSI economic value are provided.</w:t>
      </w:r>
      <w:r>
        <w:rPr>
          <w:rStyle w:val="FootnoteReference"/>
          <w:rFonts w:ascii="Times New Roman" w:hAnsi="Times New Roman"/>
          <w:noProof/>
          <w:lang w:val="en-US"/>
        </w:rPr>
        <w:footnoteReference w:id="57"/>
      </w:r>
      <w:r>
        <w:rPr>
          <w:rFonts w:ascii="Times New Roman" w:hAnsi="Times New Roman"/>
          <w:noProof/>
          <w:sz w:val="24"/>
          <w:lang w:val="en-US"/>
        </w:rPr>
        <w:t xml:space="preserve"> The graph depicts the development of the direct, indirect, and total economic value of PSI in the 28 EU Member States between 2010 and 2017. In 2010, the total economic value of PSI is expected t</w:t>
      </w:r>
      <w:r>
        <w:rPr>
          <w:rFonts w:ascii="Times New Roman" w:hAnsi="Times New Roman"/>
          <w:noProof/>
          <w:sz w:val="24"/>
          <w:lang w:val="en-US"/>
        </w:rPr>
        <w:t>o have been around 140 billion EUR. It is considered that this value has increased in linear fashion to roughly 220 billion EUR in 2017. This is an increase of 80 billion EUR, i.e. 57% compared to 2010.</w:t>
      </w:r>
      <w:r>
        <w:rPr>
          <w:rStyle w:val="FootnoteReference"/>
          <w:rFonts w:ascii="Times New Roman" w:hAnsi="Times New Roman"/>
          <w:noProof/>
          <w:lang w:val="en-US"/>
        </w:rPr>
        <w:footnoteReference w:id="58"/>
      </w:r>
      <w:r>
        <w:rPr>
          <w:rFonts w:ascii="Times New Roman" w:hAnsi="Times New Roman"/>
          <w:noProof/>
          <w:sz w:val="24"/>
          <w:lang w:val="en-US"/>
        </w:rPr>
        <w:br w:type="page"/>
      </w:r>
    </w:p>
    <w:p w:rsidR="003B411A" w:rsidRDefault="009F0AE3">
      <w:pPr>
        <w:jc w:val="both"/>
        <w:rPr>
          <w:rFonts w:ascii="Times New Roman" w:hAnsi="Times New Roman"/>
          <w:noProof/>
          <w:sz w:val="24"/>
          <w:lang w:val="en-US"/>
        </w:rPr>
      </w:pPr>
      <w:r>
        <w:rPr>
          <w:rFonts w:ascii="Calibri" w:eastAsia="Times New Roman" w:hAnsi="Calibri" w:cs="Times New Roman"/>
          <w:i/>
          <w:iCs/>
          <w:noProof/>
          <w:color w:val="86BC25"/>
          <w:sz w:val="20"/>
          <w:szCs w:val="18"/>
          <w:lang w:val="en-GB"/>
        </w:rPr>
        <w:t>Direct, indirect and total economic value of PSI (E</w:t>
      </w:r>
      <w:r>
        <w:rPr>
          <w:rFonts w:ascii="Calibri" w:eastAsia="Times New Roman" w:hAnsi="Calibri" w:cs="Times New Roman"/>
          <w:i/>
          <w:iCs/>
          <w:noProof/>
          <w:color w:val="86BC25"/>
          <w:sz w:val="20"/>
          <w:szCs w:val="18"/>
          <w:lang w:val="en-GB"/>
        </w:rPr>
        <w:t>U28, 2010-2017)</w:t>
      </w:r>
      <w:r>
        <w:rPr>
          <w:rFonts w:ascii="Times New Roman" w:hAnsi="Times New Roman"/>
          <w:noProof/>
          <w:sz w:val="24"/>
          <w:lang w:val="en-US"/>
        </w:rPr>
        <w:t xml:space="preserve"> </w:t>
      </w:r>
    </w:p>
    <w:p w:rsidR="003B411A" w:rsidRDefault="009F0AE3">
      <w:pPr>
        <w:jc w:val="both"/>
        <w:rPr>
          <w:rFonts w:ascii="Times New Roman" w:hAnsi="Times New Roman"/>
          <w:noProof/>
          <w:sz w:val="24"/>
          <w:lang w:val="en-US"/>
        </w:rPr>
      </w:pPr>
      <w:r>
        <w:rPr>
          <w:noProof/>
          <w:lang w:val="en-GB" w:eastAsia="en-GB"/>
        </w:rPr>
        <w:drawing>
          <wp:inline distT="0" distB="0" distL="0" distR="0" wp14:anchorId="3E4FF834" wp14:editId="1CF1C234">
            <wp:extent cx="5472430" cy="3145372"/>
            <wp:effectExtent l="0" t="0" r="13970" b="17145"/>
            <wp:docPr id="312" name="Chart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B411A" w:rsidRDefault="009F0AE3">
      <w:pPr>
        <w:pStyle w:val="Heading5"/>
        <w:spacing w:after="200"/>
        <w:jc w:val="both"/>
        <w:rPr>
          <w:rFonts w:ascii="Calibri" w:eastAsia="Times New Roman" w:hAnsi="Calibri" w:cs="Times New Roman"/>
          <w:i/>
          <w:noProof/>
          <w:color w:val="auto"/>
          <w:sz w:val="20"/>
          <w:szCs w:val="24"/>
          <w:lang w:val="en-GB"/>
        </w:rPr>
      </w:pPr>
      <w:r>
        <w:rPr>
          <w:rFonts w:ascii="Calibri" w:eastAsia="Times New Roman" w:hAnsi="Calibri" w:cs="Times New Roman"/>
          <w:i/>
          <w:noProof/>
          <w:color w:val="auto"/>
          <w:sz w:val="20"/>
          <w:szCs w:val="24"/>
          <w:lang w:val="en-GB"/>
        </w:rPr>
        <w:t>Source: Impact Assessment Support Study, Deloitte, 2018.</w:t>
      </w:r>
    </w:p>
    <w:p w:rsidR="003B411A" w:rsidRDefault="009F0AE3">
      <w:pPr>
        <w:jc w:val="both"/>
        <w:rPr>
          <w:i/>
          <w:noProof/>
          <w:sz w:val="20"/>
          <w:szCs w:val="24"/>
          <w:lang w:val="en-GB"/>
        </w:rPr>
      </w:pPr>
      <w:r>
        <w:rPr>
          <w:rFonts w:ascii="Times New Roman" w:hAnsi="Times New Roman"/>
          <w:noProof/>
          <w:sz w:val="24"/>
          <w:lang w:val="en-GB"/>
        </w:rPr>
        <w:t xml:space="preserve">As regards the number of jobs created thanks to PSI re-use, the total number of persons employed in the EU28 has increased slowly but steadily during the last years according to </w:t>
      </w:r>
      <w:r>
        <w:rPr>
          <w:rFonts w:ascii="Times New Roman" w:hAnsi="Times New Roman"/>
          <w:noProof/>
          <w:sz w:val="24"/>
          <w:lang w:val="en-GB"/>
        </w:rPr>
        <w:t>Eurostat. The number of persons employed in areas of knowledge-intensive activities</w:t>
      </w:r>
      <w:r>
        <w:rPr>
          <w:rStyle w:val="FootnoteReference"/>
          <w:rFonts w:ascii="Times New Roman" w:hAnsi="Times New Roman"/>
          <w:noProof/>
          <w:lang w:val="en-GB"/>
        </w:rPr>
        <w:footnoteReference w:id="59"/>
      </w:r>
      <w:r>
        <w:rPr>
          <w:rFonts w:ascii="Times New Roman" w:hAnsi="Times New Roman"/>
          <w:noProof/>
          <w:sz w:val="24"/>
          <w:lang w:val="en-GB"/>
        </w:rPr>
        <w:t xml:space="preserve">  has developed similarly. Thus, it can be inferred that the number of citizens employed in jobs relating to PSI has increased similarly from 2010 to 2017, albeit at a slig</w:t>
      </w:r>
      <w:r>
        <w:rPr>
          <w:rFonts w:ascii="Times New Roman" w:hAnsi="Times New Roman"/>
          <w:noProof/>
          <w:sz w:val="24"/>
          <w:lang w:val="en-GB"/>
        </w:rPr>
        <w:t>htly higher growth rate. It is estimated that around 20,000 persons are employed in jobs directly relating to PSI today.</w:t>
      </w:r>
      <w:r>
        <w:rPr>
          <w:rStyle w:val="FootnoteReference"/>
          <w:rFonts w:ascii="Times New Roman" w:hAnsi="Times New Roman"/>
          <w:noProof/>
          <w:lang w:val="en-GB"/>
        </w:rPr>
        <w:footnoteReference w:id="60"/>
      </w:r>
      <w:r>
        <w:rPr>
          <w:rFonts w:ascii="Times New Roman" w:hAnsi="Times New Roman"/>
          <w:noProof/>
          <w:sz w:val="24"/>
          <w:lang w:val="en-GB"/>
        </w:rPr>
        <w:t xml:space="preserve"> The number of persons indirectly employed depending on PSI is, however, approximately 3.5 times higher.</w:t>
      </w:r>
    </w:p>
    <w:tbl>
      <w:tblPr>
        <w:tblStyle w:val="TableGrid"/>
        <w:tblpPr w:leftFromText="180" w:rightFromText="180" w:vertAnchor="text" w:horzAnchor="margin" w:tblpY="931"/>
        <w:tblW w:w="0" w:type="auto"/>
        <w:tblLook w:val="04A0" w:firstRow="1" w:lastRow="0" w:firstColumn="1" w:lastColumn="0" w:noHBand="0" w:noVBand="1"/>
      </w:tblPr>
      <w:tblGrid>
        <w:gridCol w:w="8834"/>
      </w:tblGrid>
      <w:tr w:rsidR="003B411A" w:rsidRPr="009F0AE3">
        <w:tc>
          <w:tcPr>
            <w:tcW w:w="8834" w:type="dxa"/>
          </w:tcPr>
          <w:p w:rsidR="003B411A" w:rsidRDefault="009F0AE3">
            <w:pPr>
              <w:pStyle w:val="Heading5"/>
              <w:spacing w:after="200"/>
              <w:jc w:val="both"/>
              <w:outlineLvl w:val="4"/>
              <w:rPr>
                <w:rFonts w:ascii="Times New Roman" w:hAnsi="Times New Roman" w:cs="Times New Roman"/>
                <w:b/>
                <w:noProof/>
                <w:color w:val="auto"/>
                <w:sz w:val="24"/>
                <w:szCs w:val="24"/>
              </w:rPr>
            </w:pPr>
            <w:r>
              <w:rPr>
                <w:rFonts w:ascii="Times New Roman" w:hAnsi="Times New Roman" w:cs="Times New Roman"/>
                <w:b/>
                <w:noProof/>
                <w:color w:val="auto"/>
                <w:sz w:val="24"/>
                <w:szCs w:val="24"/>
              </w:rPr>
              <w:t xml:space="preserve">Bulgarian start-up using Open </w:t>
            </w:r>
            <w:r>
              <w:rPr>
                <w:rFonts w:ascii="Times New Roman" w:hAnsi="Times New Roman" w:cs="Times New Roman"/>
                <w:b/>
                <w:noProof/>
                <w:color w:val="auto"/>
                <w:sz w:val="24"/>
                <w:szCs w:val="24"/>
              </w:rPr>
              <w:t xml:space="preserve">Data to provide services for cargo companies </w:t>
            </w:r>
          </w:p>
          <w:p w:rsidR="003B411A" w:rsidRDefault="009F0AE3">
            <w:pPr>
              <w:pStyle w:val="Heading5"/>
              <w:spacing w:after="200"/>
              <w:jc w:val="both"/>
              <w:outlineLvl w:val="4"/>
              <w:rPr>
                <w:rFonts w:ascii="Times New Roman" w:hAnsi="Times New Roman" w:cs="Times New Roman"/>
                <w:noProof/>
                <w:color w:val="auto"/>
                <w:sz w:val="24"/>
                <w:szCs w:val="24"/>
              </w:rPr>
            </w:pPr>
            <w:r>
              <w:rPr>
                <w:rFonts w:ascii="Times New Roman" w:hAnsi="Times New Roman" w:cs="Times New Roman"/>
                <w:noProof/>
                <w:color w:val="auto"/>
                <w:sz w:val="24"/>
                <w:szCs w:val="24"/>
              </w:rPr>
              <w:t>Transmetrics</w:t>
            </w:r>
            <w:r>
              <w:rPr>
                <w:rStyle w:val="FootnoteReference"/>
                <w:rFonts w:ascii="Times New Roman" w:hAnsi="Times New Roman" w:cs="Times New Roman"/>
                <w:noProof/>
                <w:color w:val="auto"/>
                <w:szCs w:val="24"/>
              </w:rPr>
              <w:footnoteReference w:id="61"/>
            </w:r>
            <w:r>
              <w:rPr>
                <w:rFonts w:ascii="Times New Roman" w:hAnsi="Times New Roman" w:cs="Times New Roman"/>
                <w:noProof/>
                <w:color w:val="auto"/>
                <w:sz w:val="24"/>
                <w:szCs w:val="24"/>
              </w:rPr>
              <w:t xml:space="preserve"> solution provides cargo companies with an accurate demand forecast and network optimisation based on Big Data and predictive analytics. This limits the empty space within cargo vehicles. Transmetr</w:t>
            </w:r>
            <w:r>
              <w:rPr>
                <w:rFonts w:ascii="Times New Roman" w:hAnsi="Times New Roman" w:cs="Times New Roman"/>
                <w:noProof/>
                <w:color w:val="auto"/>
                <w:sz w:val="24"/>
                <w:szCs w:val="24"/>
              </w:rPr>
              <w:t>ics uses various types of Open Data from public sector bodies for their analyses, e.g. infrastructural data, traffic information, road conditions, customs declarations. Since 2013 Transmetrics has grown from 4 co-founders to a team of 19 highly skilled par</w:t>
            </w:r>
            <w:r>
              <w:rPr>
                <w:rFonts w:ascii="Times New Roman" w:hAnsi="Times New Roman" w:cs="Times New Roman"/>
                <w:noProof/>
                <w:color w:val="auto"/>
                <w:sz w:val="24"/>
                <w:szCs w:val="24"/>
              </w:rPr>
              <w:t>t- and full-time employees, received many international awards, including Forbes Business Awards, and signed the contract with its first official customer in 2015. Currently, the team is working with several other world-known cargo companies.</w:t>
            </w:r>
          </w:p>
        </w:tc>
      </w:tr>
    </w:tbl>
    <w:p w:rsidR="003B411A" w:rsidRDefault="003B411A">
      <w:pPr>
        <w:jc w:val="both"/>
        <w:rPr>
          <w:rFonts w:ascii="Times New Roman" w:hAnsi="Times New Roman" w:cs="Times New Roman"/>
          <w:noProof/>
          <w:sz w:val="24"/>
          <w:szCs w:val="24"/>
          <w:lang w:val="en-GB"/>
        </w:rPr>
      </w:pPr>
    </w:p>
    <w:p w:rsidR="003B411A" w:rsidRDefault="009F0AE3">
      <w:pPr>
        <w:pStyle w:val="Heading5"/>
        <w:spacing w:after="200"/>
        <w:jc w:val="both"/>
        <w:rPr>
          <w:rFonts w:ascii="Times New Roman" w:hAnsi="Times New Roman" w:cs="Times New Roman"/>
          <w:b/>
          <w:noProof/>
          <w:color w:val="auto"/>
          <w:sz w:val="24"/>
          <w:szCs w:val="24"/>
          <w:lang w:val="en-GB"/>
        </w:rPr>
      </w:pPr>
      <w:r>
        <w:rPr>
          <w:rFonts w:ascii="Times New Roman" w:hAnsi="Times New Roman" w:cs="Times New Roman"/>
          <w:i/>
          <w:noProof/>
          <w:color w:val="auto"/>
          <w:sz w:val="24"/>
          <w:szCs w:val="24"/>
          <w:lang w:val="en-GB"/>
        </w:rPr>
        <w:t>Stimulating</w:t>
      </w:r>
      <w:r>
        <w:rPr>
          <w:rFonts w:ascii="Times New Roman" w:hAnsi="Times New Roman" w:cs="Times New Roman"/>
          <w:i/>
          <w:noProof/>
          <w:color w:val="auto"/>
          <w:sz w:val="24"/>
          <w:szCs w:val="24"/>
          <w:lang w:val="en-GB"/>
        </w:rPr>
        <w:t xml:space="preserve"> cross-border exploitation of PSI</w:t>
      </w:r>
    </w:p>
    <w:p w:rsidR="003B411A" w:rsidRDefault="009F0AE3">
      <w:pPr>
        <w:jc w:val="both"/>
        <w:rPr>
          <w:rFonts w:ascii="Times New Roman" w:hAnsi="Times New Roman"/>
          <w:noProof/>
          <w:sz w:val="24"/>
          <w:lang w:val="en-US"/>
        </w:rPr>
      </w:pPr>
      <w:r>
        <w:rPr>
          <w:rFonts w:ascii="Times New Roman" w:hAnsi="Times New Roman"/>
          <w:noProof/>
          <w:sz w:val="24"/>
          <w:lang w:val="en-US"/>
        </w:rPr>
        <w:t xml:space="preserve">The PSI Directive has also played a part in facilitating cross border re-use of data, although progress in this area could still be improved. This is shown very clearly in the replies to the online public consultation, in </w:t>
      </w:r>
      <w:r>
        <w:rPr>
          <w:rFonts w:ascii="Times New Roman" w:hAnsi="Times New Roman"/>
          <w:noProof/>
          <w:sz w:val="24"/>
          <w:lang w:val="en-US"/>
        </w:rPr>
        <w:t>which only 34 % (66 of 192 respondents) feel that PSI circulates freely across the EU and that cross-border applications based on such information are easy to implement.</w:t>
      </w:r>
    </w:p>
    <w:p w:rsidR="003B411A" w:rsidRDefault="009F0AE3">
      <w:pPr>
        <w:jc w:val="both"/>
        <w:rPr>
          <w:rFonts w:ascii="Times New Roman" w:hAnsi="Times New Roman"/>
          <w:noProof/>
          <w:sz w:val="24"/>
          <w:lang w:val="en-US"/>
        </w:rPr>
      </w:pPr>
      <w:r>
        <w:rPr>
          <w:rFonts w:ascii="Times New Roman" w:hAnsi="Times New Roman"/>
          <w:noProof/>
          <w:sz w:val="24"/>
          <w:lang w:val="en-US"/>
        </w:rPr>
        <w:t>However, data on the percentage of traffic to any given national open data portal that</w:t>
      </w:r>
      <w:r>
        <w:rPr>
          <w:rFonts w:ascii="Times New Roman" w:hAnsi="Times New Roman"/>
          <w:noProof/>
          <w:sz w:val="24"/>
          <w:lang w:val="en-US"/>
        </w:rPr>
        <w:t xml:space="preserve"> comes from outside the specific Member States, available on the European Data Portal, is more positive. Some Member States, in particular the smaller ones such as Estonia, Ireland and Luxembourg are doing well. Medium sized countries such as Austria and B</w:t>
      </w:r>
      <w:r>
        <w:rPr>
          <w:rFonts w:ascii="Times New Roman" w:hAnsi="Times New Roman"/>
          <w:noProof/>
          <w:sz w:val="24"/>
          <w:lang w:val="en-US"/>
        </w:rPr>
        <w:t>elgium are also performing strongly. According to the available figures, only some larger Member States seem to lag behind in this respect, e.g. Germany, Italy or the UK.</w:t>
      </w:r>
      <w:r>
        <w:rPr>
          <w:rFonts w:ascii="Times New Roman" w:hAnsi="Times New Roman"/>
          <w:noProof/>
          <w:sz w:val="24"/>
          <w:vertAlign w:val="superscript"/>
          <w:lang w:val="en-US"/>
        </w:rPr>
        <w:footnoteReference w:id="62"/>
      </w:r>
      <w:r>
        <w:rPr>
          <w:rFonts w:ascii="Times New Roman" w:hAnsi="Times New Roman"/>
          <w:noProof/>
          <w:sz w:val="24"/>
          <w:vertAlign w:val="superscript"/>
          <w:lang w:val="en-US"/>
        </w:rPr>
        <w:t xml:space="preserve"> </w:t>
      </w:r>
    </w:p>
    <w:p w:rsidR="003B411A" w:rsidRDefault="009F0AE3">
      <w:pPr>
        <w:jc w:val="both"/>
        <w:rPr>
          <w:rFonts w:ascii="Times New Roman" w:hAnsi="Times New Roman"/>
          <w:noProof/>
          <w:sz w:val="24"/>
          <w:lang w:val="en-GB"/>
        </w:rPr>
      </w:pPr>
      <w:r>
        <w:rPr>
          <w:rFonts w:ascii="Times New Roman" w:hAnsi="Times New Roman"/>
          <w:noProof/>
          <w:sz w:val="24"/>
          <w:lang w:val="en-GB"/>
        </w:rPr>
        <w:t xml:space="preserve">Another interesting aspect that can be analysed in this context is the general </w:t>
      </w:r>
      <w:r>
        <w:rPr>
          <w:rFonts w:ascii="Times New Roman" w:hAnsi="Times New Roman"/>
          <w:noProof/>
          <w:sz w:val="24"/>
          <w:lang w:val="en-GB"/>
        </w:rPr>
        <w:t>reusability of data within and across borders. As measured by a recent report</w:t>
      </w:r>
      <w:r>
        <w:rPr>
          <w:rFonts w:ascii="Times New Roman" w:hAnsi="Times New Roman"/>
          <w:noProof/>
          <w:sz w:val="24"/>
          <w:vertAlign w:val="superscript"/>
          <w:lang w:val="en-GB"/>
        </w:rPr>
        <w:footnoteReference w:id="63"/>
      </w:r>
      <w:r>
        <w:rPr>
          <w:rFonts w:ascii="Times New Roman" w:hAnsi="Times New Roman"/>
          <w:noProof/>
          <w:sz w:val="24"/>
          <w:lang w:val="en-GB"/>
        </w:rPr>
        <w:t xml:space="preserve">, it seems to be constantly improving. The improvements in the reusability scores are driven by increased adoption of Application Programming Interfaces (APIs) and the improving </w:t>
      </w:r>
      <w:r>
        <w:rPr>
          <w:rFonts w:ascii="Times New Roman" w:hAnsi="Times New Roman"/>
          <w:noProof/>
          <w:sz w:val="24"/>
          <w:lang w:val="en-GB"/>
        </w:rPr>
        <w:t>availability of machine-readable datasets. According to other international sources</w:t>
      </w:r>
      <w:r>
        <w:rPr>
          <w:rFonts w:ascii="Times New Roman" w:hAnsi="Times New Roman"/>
          <w:noProof/>
          <w:sz w:val="24"/>
          <w:vertAlign w:val="superscript"/>
          <w:lang w:val="en-GB"/>
        </w:rPr>
        <w:footnoteReference w:id="64"/>
      </w:r>
      <w:r>
        <w:rPr>
          <w:rFonts w:ascii="Times New Roman" w:hAnsi="Times New Roman"/>
          <w:noProof/>
          <w:sz w:val="24"/>
          <w:lang w:val="en-GB"/>
        </w:rPr>
        <w:t>, while 98% of businesses seem to use primarily data deriving from national sources, about 48% of businesses also use data from international sources. At the same time, the</w:t>
      </w:r>
      <w:r>
        <w:rPr>
          <w:rFonts w:ascii="Times New Roman" w:hAnsi="Times New Roman"/>
          <w:noProof/>
          <w:sz w:val="24"/>
          <w:lang w:val="en-GB"/>
        </w:rPr>
        <w:t xml:space="preserve"> use of information obtained from international sources has risen over the past years. In some cases, the use of international sources is due to the lack of availability of national data that, nonetheless, is available through international organisations. </w:t>
      </w:r>
      <w:r>
        <w:rPr>
          <w:rFonts w:ascii="Times New Roman" w:hAnsi="Times New Roman"/>
          <w:noProof/>
          <w:sz w:val="24"/>
          <w:lang w:val="en-GB"/>
        </w:rPr>
        <w:t>It is to be noted that the European Commission seems to be the principal international community source for many of the companies across Europe when it comes to open data.</w:t>
      </w:r>
    </w:p>
    <w:p w:rsidR="003B411A" w:rsidRDefault="009F0AE3">
      <w:pPr>
        <w:jc w:val="both"/>
        <w:rPr>
          <w:rFonts w:ascii="Times New Roman" w:hAnsi="Times New Roman" w:cs="Times New Roman"/>
          <w:b/>
          <w:noProof/>
          <w:sz w:val="24"/>
          <w:szCs w:val="24"/>
          <w:lang w:val="en-US"/>
        </w:rPr>
      </w:pPr>
      <w:r>
        <w:rPr>
          <w:rFonts w:ascii="Times New Roman" w:hAnsi="Times New Roman" w:cs="Times New Roman"/>
          <w:i/>
          <w:noProof/>
          <w:sz w:val="24"/>
          <w:szCs w:val="24"/>
          <w:lang w:val="en-US"/>
        </w:rPr>
        <w:t>2013 changes to the PSI Directive</w:t>
      </w:r>
    </w:p>
    <w:p w:rsidR="003B411A" w:rsidRDefault="009F0AE3">
      <w:pPr>
        <w:jc w:val="both"/>
        <w:rPr>
          <w:noProof/>
          <w:lang w:val="en-GB"/>
        </w:rPr>
      </w:pPr>
      <w:r>
        <w:rPr>
          <w:rFonts w:ascii="Times New Roman" w:hAnsi="Times New Roman" w:cs="Times New Roman"/>
          <w:noProof/>
          <w:sz w:val="24"/>
          <w:szCs w:val="24"/>
          <w:lang w:val="en-GB"/>
        </w:rPr>
        <w:t>Following the 2013 extension of the scope of the P</w:t>
      </w:r>
      <w:r>
        <w:rPr>
          <w:rFonts w:ascii="Times New Roman" w:hAnsi="Times New Roman" w:cs="Times New Roman"/>
          <w:noProof/>
          <w:sz w:val="24"/>
          <w:szCs w:val="24"/>
          <w:lang w:val="en-GB"/>
        </w:rPr>
        <w:t>SI Directive to cultural data, what emerged in terms of effectiveness of the Directive in this specific field is that</w:t>
      </w:r>
      <w:r>
        <w:rPr>
          <w:noProof/>
          <w:lang w:val="en-GB"/>
        </w:rPr>
        <w:t xml:space="preserve"> </w:t>
      </w:r>
      <w:r>
        <w:rPr>
          <w:rFonts w:ascii="Times New Roman" w:hAnsi="Times New Roman"/>
          <w:noProof/>
          <w:sz w:val="24"/>
          <w:lang w:val="en-GB"/>
        </w:rPr>
        <w:t>it is early for a full-fledged assessment of the impact of this change in the Directive. Some Member States are still fine-tuning the national rules (e.g. rules on charging) and there is limited awareness of this topic on the ground, both in cultural insti</w:t>
      </w:r>
      <w:r>
        <w:rPr>
          <w:rFonts w:ascii="Times New Roman" w:hAnsi="Times New Roman"/>
          <w:noProof/>
          <w:sz w:val="24"/>
          <w:lang w:val="en-GB"/>
        </w:rPr>
        <w:t xml:space="preserve">tutions and among re-users. </w:t>
      </w:r>
      <w:r>
        <w:rPr>
          <w:noProof/>
          <w:lang w:val="en-GB"/>
        </w:rPr>
        <w:t xml:space="preserve"> </w:t>
      </w:r>
      <w:r>
        <w:rPr>
          <w:rFonts w:ascii="Times New Roman" w:hAnsi="Times New Roman" w:cs="Times New Roman"/>
          <w:noProof/>
          <w:sz w:val="24"/>
          <w:szCs w:val="24"/>
          <w:lang w:val="en-GB"/>
        </w:rPr>
        <w:t>Also, the Directive entered into force in a context in which other initiatives on digitalisation and promotion of re-use of cultural data were already established. Distinguishing the effects of these different instruments and w</w:t>
      </w:r>
      <w:r>
        <w:rPr>
          <w:rFonts w:ascii="Times New Roman" w:hAnsi="Times New Roman" w:cs="Times New Roman"/>
          <w:noProof/>
          <w:sz w:val="24"/>
          <w:szCs w:val="24"/>
          <w:lang w:val="en-GB"/>
        </w:rPr>
        <w:t xml:space="preserve">eighting their relative impact is therefore difficult. </w:t>
      </w:r>
      <w:r>
        <w:rPr>
          <w:rFonts w:ascii="Times New Roman" w:hAnsi="Times New Roman"/>
          <w:noProof/>
          <w:sz w:val="24"/>
          <w:lang w:val="en-GB"/>
        </w:rPr>
        <w:t>Finally, despite a clearer legal framework in terms of re-use of cultural data, a number of barriers remain for the implementation of the PSI Directive, especially in the domains of intellectual proper</w:t>
      </w:r>
      <w:r>
        <w:rPr>
          <w:rFonts w:ascii="Times New Roman" w:hAnsi="Times New Roman"/>
          <w:noProof/>
          <w:sz w:val="24"/>
          <w:lang w:val="en-GB"/>
        </w:rPr>
        <w:t>ty rights, heterogeneity of licence conditions, variable quality of meta-data and charging.</w:t>
      </w:r>
      <w:r>
        <w:rPr>
          <w:rStyle w:val="FootnoteReference"/>
          <w:rFonts w:ascii="Times New Roman" w:hAnsi="Times New Roman"/>
          <w:noProof/>
          <w:lang w:val="en-GB"/>
        </w:rPr>
        <w:footnoteReference w:id="65"/>
      </w:r>
      <w:r>
        <w:rPr>
          <w:rFonts w:ascii="Times New Roman" w:hAnsi="Times New Roman"/>
          <w:noProof/>
          <w:sz w:val="24"/>
          <w:lang w:val="en-GB"/>
        </w:rPr>
        <w:t xml:space="preserve"> Nevertheless, there are signs indicating the impact of this change. For example, a survey of cultural institutions in Poland found that in the year after the trans</w:t>
      </w:r>
      <w:r>
        <w:rPr>
          <w:rFonts w:ascii="Times New Roman" w:hAnsi="Times New Roman"/>
          <w:noProof/>
          <w:sz w:val="24"/>
          <w:lang w:val="en-GB"/>
        </w:rPr>
        <w:t>position of the Directive there were 616 requests of re-use to these institutions, although the majority were addressed to only one institution, the national museum in Warsaw</w:t>
      </w:r>
      <w:r>
        <w:rPr>
          <w:noProof/>
          <w:lang w:val="en-GB"/>
        </w:rPr>
        <w:t>.</w:t>
      </w:r>
      <w:r>
        <w:rPr>
          <w:rStyle w:val="FootnoteReference"/>
          <w:rFonts w:ascii="Times New Roman" w:hAnsi="Times New Roman"/>
          <w:noProof/>
          <w:lang w:val="en-GB"/>
        </w:rPr>
        <w:footnoteReference w:id="66"/>
      </w:r>
      <w:r>
        <w:rPr>
          <w:noProof/>
          <w:lang w:val="en-GB"/>
        </w:rPr>
        <w:t xml:space="preserve"> </w:t>
      </w:r>
    </w:p>
    <w:p w:rsidR="003B411A" w:rsidRDefault="009F0AE3">
      <w:pPr>
        <w:jc w:val="both"/>
        <w:rPr>
          <w:rFonts w:ascii="Times New Roman" w:hAnsi="Times New Roman"/>
          <w:noProof/>
          <w:sz w:val="24"/>
          <w:szCs w:val="24"/>
          <w:lang w:val="en-GB"/>
        </w:rPr>
      </w:pPr>
      <w:r>
        <w:rPr>
          <w:rFonts w:ascii="Times New Roman" w:hAnsi="Times New Roman"/>
          <w:noProof/>
          <w:sz w:val="24"/>
          <w:szCs w:val="24"/>
          <w:lang w:val="en-GB"/>
        </w:rPr>
        <w:t>The change in the provisions concerning charging for PSI re-use was a key modi</w:t>
      </w:r>
      <w:r>
        <w:rPr>
          <w:rFonts w:ascii="Times New Roman" w:hAnsi="Times New Roman"/>
          <w:noProof/>
          <w:sz w:val="24"/>
          <w:szCs w:val="24"/>
          <w:lang w:val="en-GB"/>
        </w:rPr>
        <w:t xml:space="preserve">fication brought into the Directive in 2013. Article 6 of the revised PSI Directive establishes the principle that </w:t>
      </w:r>
      <w:r>
        <w:rPr>
          <w:rFonts w:ascii="Times New Roman" w:hAnsi="Times New Roman"/>
          <w:i/>
          <w:noProof/>
          <w:sz w:val="24"/>
          <w:szCs w:val="24"/>
          <w:lang w:val="en-GB"/>
        </w:rPr>
        <w:t>“when charges are made for the re-use of documents, these shall be limited to the marginal costs incurred for their reproduction, provision a</w:t>
      </w:r>
      <w:r>
        <w:rPr>
          <w:rFonts w:ascii="Times New Roman" w:hAnsi="Times New Roman"/>
          <w:i/>
          <w:noProof/>
          <w:sz w:val="24"/>
          <w:szCs w:val="24"/>
          <w:lang w:val="en-GB"/>
        </w:rPr>
        <w:t>nd dissemination</w:t>
      </w:r>
      <w:r>
        <w:rPr>
          <w:rFonts w:ascii="Times New Roman" w:hAnsi="Times New Roman"/>
          <w:noProof/>
          <w:sz w:val="24"/>
          <w:szCs w:val="24"/>
          <w:lang w:val="en-GB"/>
        </w:rPr>
        <w:t>”</w:t>
      </w:r>
      <w:r>
        <w:rPr>
          <w:rFonts w:ascii="Times New Roman" w:hAnsi="Times New Roman"/>
          <w:noProof/>
          <w:sz w:val="24"/>
          <w:szCs w:val="24"/>
          <w:vertAlign w:val="superscript"/>
          <w:lang w:val="en-GB"/>
        </w:rPr>
        <w:footnoteReference w:id="67"/>
      </w:r>
      <w:r>
        <w:rPr>
          <w:rFonts w:ascii="Times New Roman" w:hAnsi="Times New Roman"/>
          <w:noProof/>
          <w:sz w:val="24"/>
          <w:szCs w:val="24"/>
          <w:lang w:val="en-GB"/>
        </w:rPr>
        <w:t xml:space="preserve">. As mentioned in the literature </w:t>
      </w:r>
      <w:r>
        <w:rPr>
          <w:rFonts w:ascii="Times New Roman" w:hAnsi="Times New Roman"/>
          <w:i/>
          <w:noProof/>
          <w:sz w:val="24"/>
          <w:szCs w:val="24"/>
          <w:lang w:val="en-GB"/>
        </w:rPr>
        <w:t>“marginal costing is an important principle, as in the case of digital material it would normally mean no charges apply”</w:t>
      </w:r>
      <w:r>
        <w:rPr>
          <w:rFonts w:ascii="Times New Roman" w:hAnsi="Times New Roman"/>
          <w:noProof/>
          <w:sz w:val="24"/>
          <w:szCs w:val="24"/>
          <w:lang w:val="en-GB"/>
        </w:rPr>
        <w:t>.</w:t>
      </w:r>
      <w:r>
        <w:rPr>
          <w:rFonts w:ascii="Times New Roman" w:hAnsi="Times New Roman"/>
          <w:noProof/>
          <w:sz w:val="24"/>
          <w:szCs w:val="24"/>
          <w:vertAlign w:val="superscript"/>
          <w:lang w:val="en-GB"/>
        </w:rPr>
        <w:footnoteReference w:id="68"/>
      </w:r>
      <w:r>
        <w:rPr>
          <w:rFonts w:ascii="Times New Roman" w:hAnsi="Times New Roman"/>
          <w:noProof/>
          <w:sz w:val="24"/>
          <w:szCs w:val="24"/>
          <w:lang w:val="en-GB"/>
        </w:rPr>
        <w:t xml:space="preserve"> </w:t>
      </w:r>
    </w:p>
    <w:p w:rsidR="003B411A" w:rsidRDefault="009F0AE3">
      <w:pPr>
        <w:jc w:val="both"/>
        <w:rPr>
          <w:rFonts w:ascii="Times New Roman" w:hAnsi="Times New Roman"/>
          <w:noProof/>
          <w:sz w:val="24"/>
          <w:szCs w:val="24"/>
          <w:lang w:val="en-US"/>
        </w:rPr>
      </w:pPr>
      <w:r>
        <w:rPr>
          <w:rFonts w:ascii="Times New Roman" w:hAnsi="Times New Roman"/>
          <w:noProof/>
          <w:sz w:val="24"/>
          <w:szCs w:val="24"/>
          <w:lang w:val="en-US"/>
        </w:rPr>
        <w:t>The changes to charging provisions were driven by the objective of lowering barri</w:t>
      </w:r>
      <w:r>
        <w:rPr>
          <w:rFonts w:ascii="Times New Roman" w:hAnsi="Times New Roman"/>
          <w:noProof/>
          <w:sz w:val="24"/>
          <w:szCs w:val="24"/>
          <w:lang w:val="en-US"/>
        </w:rPr>
        <w:t>ers for re-users of data (and especially start-ups, SMEs and citizens who might be more sensitive to costs) and increasing the exploitation of PSI overall. There is some evidence on the extent to which the changes in the charging practices have been effect</w:t>
      </w:r>
      <w:r>
        <w:rPr>
          <w:rFonts w:ascii="Times New Roman" w:hAnsi="Times New Roman"/>
          <w:noProof/>
          <w:sz w:val="24"/>
          <w:szCs w:val="24"/>
          <w:lang w:val="en-US"/>
        </w:rPr>
        <w:t>ive and have achieved the abovementioned objectives, although it is limited since the transposition of the Directive is recent.</w:t>
      </w:r>
    </w:p>
    <w:p w:rsidR="003B411A" w:rsidRDefault="009F0AE3">
      <w:pPr>
        <w:jc w:val="both"/>
        <w:rPr>
          <w:rFonts w:ascii="Times New Roman" w:hAnsi="Times New Roman"/>
          <w:noProof/>
          <w:sz w:val="24"/>
          <w:szCs w:val="24"/>
          <w:lang w:val="en-GB"/>
        </w:rPr>
      </w:pPr>
      <w:r>
        <w:rPr>
          <w:rFonts w:ascii="Times New Roman" w:hAnsi="Times New Roman"/>
          <w:noProof/>
          <w:sz w:val="24"/>
          <w:szCs w:val="24"/>
          <w:lang w:val="en-US"/>
        </w:rPr>
        <w:t>So far it appears that although a limited number of public sector bodies might have been concerned by the new charging provision</w:t>
      </w:r>
      <w:r>
        <w:rPr>
          <w:rFonts w:ascii="Times New Roman" w:hAnsi="Times New Roman"/>
          <w:noProof/>
          <w:sz w:val="24"/>
          <w:szCs w:val="24"/>
          <w:lang w:val="en-US"/>
        </w:rPr>
        <w:t>, this change had the potential to benefit a high number of re-users, and in particular start-ups and SMEs.</w:t>
      </w:r>
      <w:r>
        <w:rPr>
          <w:rStyle w:val="FootnoteReference"/>
          <w:rFonts w:ascii="Times New Roman" w:hAnsi="Times New Roman"/>
          <w:noProof/>
          <w:szCs w:val="24"/>
          <w:lang w:val="en-US"/>
        </w:rPr>
        <w:footnoteReference w:id="69"/>
      </w:r>
      <w:r>
        <w:rPr>
          <w:rFonts w:ascii="Times New Roman" w:hAnsi="Times New Roman"/>
          <w:noProof/>
          <w:sz w:val="24"/>
          <w:szCs w:val="24"/>
          <w:lang w:val="en-US"/>
        </w:rPr>
        <w:t xml:space="preserve"> </w:t>
      </w:r>
      <w:r>
        <w:rPr>
          <w:rFonts w:ascii="Times New Roman" w:hAnsi="Times New Roman"/>
          <w:noProof/>
          <w:sz w:val="24"/>
          <w:szCs w:val="24"/>
          <w:lang w:val="en-GB"/>
        </w:rPr>
        <w:t xml:space="preserve">In the studies where specific types of data were analysed (e.g. meteorological, geographic and hydrographical data), it emerged that there is high </w:t>
      </w:r>
      <w:r>
        <w:rPr>
          <w:rFonts w:ascii="Times New Roman" w:hAnsi="Times New Roman"/>
          <w:noProof/>
          <w:sz w:val="24"/>
          <w:szCs w:val="24"/>
          <w:lang w:val="en-GB"/>
        </w:rPr>
        <w:t>price elasticity in these domains, that is to say that re-users are very sensitive and reactive to price.</w:t>
      </w:r>
      <w:r>
        <w:rPr>
          <w:rFonts w:ascii="Times New Roman" w:hAnsi="Times New Roman"/>
          <w:noProof/>
          <w:sz w:val="24"/>
          <w:szCs w:val="24"/>
          <w:vertAlign w:val="superscript"/>
          <w:lang w:val="en-GB"/>
        </w:rPr>
        <w:footnoteReference w:id="70"/>
      </w:r>
    </w:p>
    <w:p w:rsidR="003B411A" w:rsidRDefault="009F0AE3">
      <w:pPr>
        <w:jc w:val="both"/>
        <w:rPr>
          <w:rFonts w:ascii="Times New Roman" w:hAnsi="Times New Roman"/>
          <w:noProof/>
          <w:sz w:val="24"/>
          <w:szCs w:val="24"/>
          <w:lang w:val="en-GB"/>
        </w:rPr>
      </w:pPr>
      <w:r>
        <w:rPr>
          <w:rFonts w:ascii="Times New Roman" w:hAnsi="Times New Roman"/>
          <w:noProof/>
          <w:sz w:val="24"/>
          <w:szCs w:val="24"/>
          <w:lang w:val="en-GB"/>
        </w:rPr>
        <w:t>Concerning the data format provisions, the PSI Directive introduced in 2013 a more explicit definition of "electronic means" by adding and defining t</w:t>
      </w:r>
      <w:r>
        <w:rPr>
          <w:rFonts w:ascii="Times New Roman" w:hAnsi="Times New Roman"/>
          <w:noProof/>
          <w:sz w:val="24"/>
          <w:szCs w:val="24"/>
          <w:lang w:val="en-GB"/>
        </w:rPr>
        <w:t>he terms "machine-readable format", "open format", "formal open standard" and "metadata". Thus, paragraph 1 of Article 5 recommends now that "</w:t>
      </w:r>
      <w:r>
        <w:rPr>
          <w:rFonts w:ascii="Times New Roman" w:hAnsi="Times New Roman"/>
          <w:i/>
          <w:noProof/>
          <w:sz w:val="24"/>
          <w:szCs w:val="24"/>
          <w:lang w:val="en-GB"/>
        </w:rPr>
        <w:t>public sector bodies shall make their documents available in any pre-existing format or language, and, where possi</w:t>
      </w:r>
      <w:r>
        <w:rPr>
          <w:rFonts w:ascii="Times New Roman" w:hAnsi="Times New Roman"/>
          <w:i/>
          <w:noProof/>
          <w:sz w:val="24"/>
          <w:szCs w:val="24"/>
          <w:lang w:val="en-GB"/>
        </w:rPr>
        <w:t>ble and appropriate, in open and machine-readable format together with their metadata. Both the format and the metadata should, in so far as possible, comply with formal open standards</w:t>
      </w:r>
      <w:r>
        <w:rPr>
          <w:rFonts w:ascii="Times New Roman" w:hAnsi="Times New Roman"/>
          <w:noProof/>
          <w:sz w:val="24"/>
          <w:szCs w:val="24"/>
          <w:lang w:val="en-GB"/>
        </w:rPr>
        <w:t>."</w:t>
      </w:r>
    </w:p>
    <w:p w:rsidR="003B411A" w:rsidRDefault="009F0AE3">
      <w:pPr>
        <w:jc w:val="both"/>
        <w:rPr>
          <w:rFonts w:ascii="Times New Roman" w:hAnsi="Times New Roman" w:cs="Times New Roman"/>
          <w:noProof/>
          <w:sz w:val="24"/>
          <w:szCs w:val="24"/>
          <w:lang w:val="en-GB"/>
        </w:rPr>
      </w:pPr>
      <w:r>
        <w:rPr>
          <w:rFonts w:ascii="Times New Roman" w:hAnsi="Times New Roman"/>
          <w:noProof/>
          <w:sz w:val="24"/>
          <w:szCs w:val="24"/>
          <w:lang w:val="en-GB"/>
        </w:rPr>
        <w:t>As regards effectiveness of this change, t</w:t>
      </w:r>
      <w:r>
        <w:rPr>
          <w:rFonts w:ascii="Times New Roman" w:hAnsi="Times New Roman" w:cs="Times New Roman"/>
          <w:noProof/>
          <w:sz w:val="24"/>
          <w:szCs w:val="24"/>
          <w:lang w:val="en-GB"/>
        </w:rPr>
        <w:t xml:space="preserve">here have been some marked </w:t>
      </w:r>
      <w:r>
        <w:rPr>
          <w:rFonts w:ascii="Times New Roman" w:hAnsi="Times New Roman" w:cs="Times New Roman"/>
          <w:noProof/>
          <w:sz w:val="24"/>
          <w:szCs w:val="24"/>
          <w:lang w:val="en-GB"/>
        </w:rPr>
        <w:t>improvements in machine-readability of datasets. In 2015, only 3 Member States provided more than 90% machine readable datasets to the European Data Portal. By 2017, this figure has risen to include 18 Member States. Currently 66% of datasets are being pub</w:t>
      </w:r>
      <w:r>
        <w:rPr>
          <w:rFonts w:ascii="Times New Roman" w:hAnsi="Times New Roman" w:cs="Times New Roman"/>
          <w:noProof/>
          <w:sz w:val="24"/>
          <w:szCs w:val="24"/>
          <w:lang w:val="en-GB"/>
        </w:rPr>
        <w:t>lished in machine readable formats, but still a relatively high level of data publishing is made in formats that do not support machine readability and continue to be published in proprietary formats (e.g. .txt, .pdf, .xls).</w:t>
      </w:r>
      <w:r>
        <w:rPr>
          <w:rStyle w:val="FootnoteReference"/>
          <w:rFonts w:ascii="Times New Roman" w:hAnsi="Times New Roman" w:cs="Times New Roman"/>
          <w:noProof/>
          <w:szCs w:val="24"/>
          <w:lang w:val="en-GB"/>
        </w:rPr>
        <w:footnoteReference w:id="71"/>
      </w:r>
    </w:p>
    <w:p w:rsidR="003B411A" w:rsidRDefault="009F0AE3">
      <w:pPr>
        <w:jc w:val="both"/>
        <w:rPr>
          <w:rFonts w:ascii="Times New Roman" w:hAnsi="Times New Roman"/>
          <w:noProof/>
          <w:sz w:val="24"/>
          <w:szCs w:val="24"/>
          <w:lang w:val="en-GB"/>
        </w:rPr>
      </w:pPr>
      <w:r>
        <w:rPr>
          <w:rFonts w:ascii="Times New Roman" w:hAnsi="Times New Roman"/>
          <w:noProof/>
          <w:sz w:val="24"/>
          <w:szCs w:val="24"/>
          <w:lang w:val="en-GB"/>
        </w:rPr>
        <w:t>With the growing importance of</w:t>
      </w:r>
      <w:r>
        <w:rPr>
          <w:rFonts w:ascii="Times New Roman" w:hAnsi="Times New Roman"/>
          <w:noProof/>
          <w:sz w:val="24"/>
          <w:szCs w:val="24"/>
          <w:lang w:val="en-GB"/>
        </w:rPr>
        <w:t xml:space="preserve"> dynamic data, the insufficient use of APIs is regularly recognized as one of the main barriers for data re-use. This was for instance emphasized in the Commission's 2017 public consultation on "Building a European data economy initiative" where the summar</w:t>
      </w:r>
      <w:r>
        <w:rPr>
          <w:rFonts w:ascii="Times New Roman" w:hAnsi="Times New Roman"/>
          <w:noProof/>
          <w:sz w:val="24"/>
          <w:szCs w:val="24"/>
          <w:lang w:val="en-GB"/>
        </w:rPr>
        <w:t>y report noted that 68% of respondents clearly support an increased use of APIs.</w:t>
      </w:r>
      <w:r>
        <w:rPr>
          <w:rStyle w:val="FootnoteReference"/>
          <w:rFonts w:ascii="Times New Roman" w:hAnsi="Times New Roman"/>
          <w:noProof/>
          <w:szCs w:val="24"/>
          <w:lang w:val="en-GB"/>
        </w:rPr>
        <w:footnoteReference w:id="72"/>
      </w:r>
      <w:r>
        <w:rPr>
          <w:rFonts w:ascii="Times New Roman" w:hAnsi="Times New Roman"/>
          <w:noProof/>
          <w:sz w:val="24"/>
          <w:szCs w:val="24"/>
          <w:lang w:val="en-GB"/>
        </w:rPr>
        <w:t xml:space="preserve"> This problem was not dealt with explicitly by the 2013 changes to the directive, although it was addressed in the guidelines.</w:t>
      </w:r>
    </w:p>
    <w:p w:rsidR="003B411A" w:rsidRDefault="009F0AE3">
      <w:pPr>
        <w:jc w:val="both"/>
        <w:rPr>
          <w:rFonts w:ascii="Times New Roman" w:hAnsi="Times New Roman"/>
          <w:noProof/>
          <w:sz w:val="24"/>
          <w:lang w:val="en-GB"/>
        </w:rPr>
      </w:pPr>
      <w:r>
        <w:rPr>
          <w:rFonts w:ascii="Times New Roman" w:hAnsi="Times New Roman"/>
          <w:noProof/>
          <w:sz w:val="24"/>
          <w:szCs w:val="24"/>
          <w:lang w:val="en-GB"/>
        </w:rPr>
        <w:t>Some open data professionals</w:t>
      </w:r>
      <w:r>
        <w:rPr>
          <w:rFonts w:ascii="Times New Roman" w:hAnsi="Times New Roman"/>
          <w:noProof/>
          <w:sz w:val="24"/>
          <w:szCs w:val="24"/>
          <w:vertAlign w:val="superscript"/>
          <w:lang w:val="en-GB"/>
        </w:rPr>
        <w:footnoteReference w:id="73"/>
      </w:r>
      <w:r>
        <w:rPr>
          <w:rFonts w:ascii="Times New Roman" w:hAnsi="Times New Roman"/>
          <w:noProof/>
          <w:sz w:val="24"/>
          <w:szCs w:val="24"/>
          <w:lang w:val="en-GB"/>
        </w:rPr>
        <w:t xml:space="preserve"> also warn that the</w:t>
      </w:r>
      <w:r>
        <w:rPr>
          <w:rFonts w:ascii="Times New Roman" w:hAnsi="Times New Roman"/>
          <w:noProof/>
          <w:sz w:val="24"/>
          <w:szCs w:val="24"/>
          <w:lang w:val="en-GB"/>
        </w:rPr>
        <w:t>re is still a lot to be done for non-dynamic datasets, in particular key datasets, where the lack of machine-readability is blocking or greatly limiting the re-use of data. An additional area of improvement would be to provide high value datasets published</w:t>
      </w:r>
      <w:r>
        <w:rPr>
          <w:rFonts w:ascii="Times New Roman" w:hAnsi="Times New Roman"/>
          <w:noProof/>
          <w:sz w:val="24"/>
          <w:szCs w:val="24"/>
          <w:lang w:val="en-GB"/>
        </w:rPr>
        <w:t xml:space="preserve">  with common more harmonised data models in the same level of granularity or scale in each Member State.</w:t>
      </w:r>
    </w:p>
    <w:p w:rsidR="003B411A" w:rsidRDefault="009F0AE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assessment of the findings available suggests that the PSI Directive has been overall effective in achieving its objectives. The analysed evidence</w:t>
      </w:r>
      <w:r>
        <w:rPr>
          <w:rFonts w:ascii="Times New Roman" w:hAnsi="Times New Roman" w:cs="Times New Roman"/>
          <w:noProof/>
          <w:sz w:val="24"/>
          <w:szCs w:val="24"/>
          <w:lang w:val="en-GB"/>
        </w:rPr>
        <w:t xml:space="preserve"> indicates that the Directive has ensured fairer competition in the Digital Single Market, </w:t>
      </w:r>
      <w:r>
        <w:rPr>
          <w:rFonts w:ascii="Times New Roman" w:hAnsi="Times New Roman"/>
          <w:noProof/>
          <w:sz w:val="24"/>
          <w:lang w:val="en-GB"/>
        </w:rPr>
        <w:t xml:space="preserve">enabled the creation of new jobs and services and, to a lesser extent, enhanced an effective cross-border use of PSI by businesses. </w:t>
      </w:r>
      <w:r>
        <w:rPr>
          <w:rFonts w:ascii="Times New Roman" w:hAnsi="Times New Roman" w:cs="Times New Roman"/>
          <w:noProof/>
          <w:sz w:val="24"/>
          <w:szCs w:val="24"/>
          <w:lang w:val="en-GB"/>
        </w:rPr>
        <w:t>Data also suggests that the Direc</w:t>
      </w:r>
      <w:r>
        <w:rPr>
          <w:rFonts w:ascii="Times New Roman" w:hAnsi="Times New Roman" w:cs="Times New Roman"/>
          <w:noProof/>
          <w:sz w:val="24"/>
          <w:szCs w:val="24"/>
          <w:lang w:val="en-GB"/>
        </w:rPr>
        <w:t>tive has not yet reached its full potential and that a few (and sometimes new) challenges exist, such as PSI data lock-in.</w:t>
      </w:r>
    </w:p>
    <w:p w:rsidR="003B411A" w:rsidRDefault="009F0AE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Moreover, although only a limited period of time has passed since the implementation deadline, early signs clearly indicate that the </w:t>
      </w:r>
      <w:r>
        <w:rPr>
          <w:rFonts w:ascii="Times New Roman" w:hAnsi="Times New Roman" w:cs="Times New Roman"/>
          <w:noProof/>
          <w:sz w:val="24"/>
          <w:szCs w:val="24"/>
          <w:lang w:val="en-GB"/>
        </w:rPr>
        <w:t>2013 changes have been effective, particularly as regards charging and data formats.</w:t>
      </w:r>
    </w:p>
    <w:p w:rsidR="003B411A" w:rsidRDefault="003B411A">
      <w:pPr>
        <w:spacing w:after="0"/>
        <w:rPr>
          <w:rFonts w:ascii="Times New Roman" w:hAnsi="Times New Roman" w:cs="Times New Roman"/>
          <w:noProof/>
          <w:sz w:val="24"/>
          <w:szCs w:val="24"/>
          <w:lang w:val="en-GB"/>
        </w:rPr>
      </w:pPr>
    </w:p>
    <w:p w:rsidR="003B411A" w:rsidRDefault="009F0AE3">
      <w:pPr>
        <w:rPr>
          <w:rFonts w:ascii="Times New Roman" w:hAnsi="Times New Roman"/>
          <w:b/>
          <w:noProof/>
          <w:sz w:val="24"/>
          <w:lang w:val="en-GB"/>
        </w:rPr>
      </w:pPr>
      <w:r>
        <w:rPr>
          <w:rFonts w:ascii="Times New Roman" w:hAnsi="Times New Roman"/>
          <w:b/>
          <w:noProof/>
          <w:sz w:val="24"/>
          <w:lang w:val="en-GB"/>
        </w:rPr>
        <w:t>EFFICIENCY</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analysis of the findings on the efficiency of the Directive points to the conclusion that there is a positive balance between the costs and its benefits, a</w:t>
      </w:r>
      <w:r>
        <w:rPr>
          <w:rFonts w:ascii="Times New Roman" w:hAnsi="Times New Roman" w:cs="Times New Roman"/>
          <w:noProof/>
          <w:sz w:val="24"/>
          <w:szCs w:val="24"/>
          <w:lang w:val="en-GB"/>
        </w:rPr>
        <w:t>nd therefore it can be seen as efficient.</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overall benefits brought by the PSI Directive fall into two categories: economic and societal.</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for the economic benefits, as mentioned earlier, </w:t>
      </w:r>
      <w:r>
        <w:rPr>
          <w:rFonts w:ascii="Times New Roman" w:hAnsi="Times New Roman" w:cs="Times New Roman"/>
          <w:noProof/>
          <w:sz w:val="24"/>
          <w:szCs w:val="24"/>
          <w:lang w:val="en-US"/>
        </w:rPr>
        <w:t>the European economy has seen fast development in terms of data</w:t>
      </w:r>
      <w:r>
        <w:rPr>
          <w:rFonts w:ascii="Times New Roman" w:hAnsi="Times New Roman" w:cs="Times New Roman"/>
          <w:noProof/>
          <w:sz w:val="24"/>
          <w:szCs w:val="24"/>
          <w:lang w:val="en-US"/>
        </w:rPr>
        <w:t xml:space="preserve"> since the adoption of the last version of the Directive in 2013: </w:t>
      </w:r>
      <w:r>
        <w:rPr>
          <w:rFonts w:ascii="Times New Roman" w:hAnsi="Times New Roman"/>
          <w:noProof/>
          <w:sz w:val="24"/>
          <w:lang w:val="en-US"/>
        </w:rPr>
        <w:t>the value of the European data economy has grown from 285 billion EUR in 2015, representing over 1.94% of the EU GDP, to 300 billion EUR in 2016. Moreover, the number of data companies incre</w:t>
      </w:r>
      <w:r>
        <w:rPr>
          <w:rFonts w:ascii="Times New Roman" w:hAnsi="Times New Roman"/>
          <w:noProof/>
          <w:sz w:val="24"/>
          <w:lang w:val="en-US"/>
        </w:rPr>
        <w:t>ased from around 129,000 in 2013 to 134,000 in 2016.</w:t>
      </w:r>
      <w:r>
        <w:rPr>
          <w:rFonts w:ascii="Times New Roman" w:hAnsi="Times New Roman"/>
          <w:noProof/>
          <w:sz w:val="24"/>
          <w:vertAlign w:val="superscript"/>
          <w:lang w:val="en-US"/>
        </w:rPr>
        <w:footnoteReference w:id="74"/>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economic benefits also materialise in terms of a growing Open Data market size, indicating the total sales volume based on Open Data. Existing recent macroeconomic studies all provide ambitious </w:t>
      </w:r>
      <w:r>
        <w:rPr>
          <w:rFonts w:ascii="Times New Roman" w:hAnsi="Times New Roman" w:cs="Times New Roman"/>
          <w:noProof/>
          <w:sz w:val="24"/>
          <w:szCs w:val="24"/>
          <w:lang w:val="en-GB"/>
        </w:rPr>
        <w:t>forecasts</w:t>
      </w:r>
      <w:r>
        <w:rPr>
          <w:rStyle w:val="FootnoteReference"/>
          <w:rFonts w:ascii="Times New Roman" w:hAnsi="Times New Roman" w:cs="Times New Roman"/>
          <w:noProof/>
          <w:szCs w:val="24"/>
          <w:lang w:val="en-GB"/>
        </w:rPr>
        <w:footnoteReference w:id="75"/>
      </w:r>
      <w:r>
        <w:rPr>
          <w:rFonts w:ascii="Times New Roman" w:hAnsi="Times New Roman" w:cs="Times New Roman"/>
          <w:noProof/>
          <w:sz w:val="24"/>
          <w:szCs w:val="24"/>
          <w:lang w:val="en-GB"/>
        </w:rPr>
        <w:t xml:space="preserve"> about the value of Open Data, estimating large gains as a result of Open Data.</w:t>
      </w:r>
      <w:r>
        <w:rPr>
          <w:rStyle w:val="FootnoteReference"/>
          <w:rFonts w:ascii="Times New Roman" w:hAnsi="Times New Roman" w:cs="Times New Roman"/>
          <w:noProof/>
          <w:szCs w:val="24"/>
          <w:lang w:val="en-GB"/>
        </w:rPr>
        <w:footnoteReference w:id="76"/>
      </w:r>
      <w:r>
        <w:rPr>
          <w:rFonts w:ascii="Times New Roman" w:hAnsi="Times New Roman" w:cs="Times New Roman"/>
          <w:noProof/>
          <w:sz w:val="24"/>
          <w:szCs w:val="24"/>
          <w:lang w:val="en-GB"/>
        </w:rPr>
        <w:t xml:space="preserve"> Zooming in from an overall view of the European Open Data economy into subsets of the Open Data economy, clear benefits are also found in terms of market size and ad</w:t>
      </w:r>
      <w:r>
        <w:rPr>
          <w:rFonts w:ascii="Times New Roman" w:hAnsi="Times New Roman" w:cs="Times New Roman"/>
          <w:noProof/>
          <w:sz w:val="24"/>
          <w:szCs w:val="24"/>
          <w:lang w:val="en-GB"/>
        </w:rPr>
        <w:t>ded value.</w:t>
      </w:r>
      <w:r>
        <w:rPr>
          <w:rStyle w:val="FootnoteReference"/>
          <w:rFonts w:ascii="Times New Roman" w:hAnsi="Times New Roman" w:cs="Times New Roman"/>
          <w:noProof/>
          <w:szCs w:val="24"/>
          <w:lang w:val="en-GB"/>
        </w:rPr>
        <w:footnoteReference w:id="77"/>
      </w:r>
      <w:r>
        <w:rPr>
          <w:rFonts w:ascii="Times New Roman" w:hAnsi="Times New Roman" w:cs="Times New Roman"/>
          <w:noProof/>
          <w:sz w:val="24"/>
          <w:szCs w:val="24"/>
          <w:lang w:val="en-GB"/>
        </w:rPr>
        <w:t xml:space="preserve">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a national level, studies have been recently undertaken to demonstrate the impact of Open Data. In Denmark for instance, research into the impact of opening up address data showed that both the direct and indirect benefits added up to a tot</w:t>
      </w:r>
      <w:r>
        <w:rPr>
          <w:rFonts w:ascii="Times New Roman" w:hAnsi="Times New Roman" w:cs="Times New Roman"/>
          <w:noProof/>
          <w:sz w:val="24"/>
          <w:szCs w:val="24"/>
          <w:lang w:val="en-GB"/>
        </w:rPr>
        <w:t>al gain of EUR 63 million in the 2005-2009 period.</w:t>
      </w:r>
      <w:r>
        <w:rPr>
          <w:rStyle w:val="FootnoteReference"/>
          <w:rFonts w:ascii="Times New Roman" w:hAnsi="Times New Roman" w:cs="Times New Roman"/>
          <w:noProof/>
          <w:szCs w:val="24"/>
          <w:lang w:val="en-GB"/>
        </w:rPr>
        <w:footnoteReference w:id="78"/>
      </w:r>
      <w:r>
        <w:rPr>
          <w:rFonts w:ascii="Times New Roman" w:hAnsi="Times New Roman" w:cs="Times New Roman"/>
          <w:noProof/>
          <w:sz w:val="24"/>
          <w:szCs w:val="24"/>
          <w:lang w:val="en-GB"/>
        </w:rPr>
        <w:t xml:space="preserve"> The most recent study conducted in Denmark undertaken in this regard estimates the socio-economic value of the open geodata at 3.5 billion DKK (460 million EUR) in 2016.</w:t>
      </w:r>
      <w:r>
        <w:rPr>
          <w:rStyle w:val="FootnoteReference"/>
          <w:rFonts w:ascii="Times New Roman" w:hAnsi="Times New Roman" w:cs="Times New Roman"/>
          <w:noProof/>
          <w:szCs w:val="24"/>
          <w:lang w:val="en-GB"/>
        </w:rPr>
        <w:footnoteReference w:id="79"/>
      </w:r>
      <w:r>
        <w:rPr>
          <w:rFonts w:ascii="Times New Roman" w:hAnsi="Times New Roman" w:cs="Times New Roman"/>
          <w:noProof/>
          <w:sz w:val="24"/>
          <w:szCs w:val="24"/>
          <w:lang w:val="en-GB"/>
        </w:rPr>
        <w:t xml:space="preserve"> In the Netherlands, the impact of</w:t>
      </w:r>
      <w:r>
        <w:rPr>
          <w:rFonts w:ascii="Times New Roman" w:hAnsi="Times New Roman" w:cs="Times New Roman"/>
          <w:noProof/>
          <w:sz w:val="24"/>
          <w:szCs w:val="24"/>
          <w:lang w:val="en-GB"/>
        </w:rPr>
        <w:t xml:space="preserve"> opening up the basis registry topography was estimated at 11.5-14.5 million EUR in 2013 and 13.6 million EUR in 2015.</w:t>
      </w:r>
      <w:r>
        <w:rPr>
          <w:rStyle w:val="FootnoteReference"/>
          <w:rFonts w:ascii="Times New Roman" w:hAnsi="Times New Roman" w:cs="Times New Roman"/>
          <w:noProof/>
          <w:szCs w:val="24"/>
          <w:lang w:val="en-GB"/>
        </w:rPr>
        <w:footnoteReference w:id="80"/>
      </w:r>
      <w:r>
        <w:rPr>
          <w:rFonts w:ascii="Times New Roman" w:hAnsi="Times New Roman" w:cs="Times New Roman"/>
          <w:noProof/>
          <w:sz w:val="24"/>
          <w:szCs w:val="24"/>
          <w:lang w:val="en-GB"/>
        </w:rPr>
        <w:t xml:space="preserve"> In Spain, the overall financial turnover of the 'info-mediary sector' (composed of companies that create value added services thanks to </w:t>
      </w:r>
      <w:r>
        <w:rPr>
          <w:rFonts w:ascii="Times New Roman" w:hAnsi="Times New Roman" w:cs="Times New Roman"/>
          <w:noProof/>
          <w:sz w:val="24"/>
          <w:szCs w:val="24"/>
          <w:lang w:val="en-GB"/>
        </w:rPr>
        <w:t xml:space="preserve">the parallel re-use of both public and private sector data) based on 2016 data was estimated to range between 1.55 billion to 1.75 billion EUR, whereas the turnover derived directly from info-mediary activity would be somewhere between 600 and 750 million </w:t>
      </w:r>
      <w:r>
        <w:rPr>
          <w:rFonts w:ascii="Times New Roman" w:hAnsi="Times New Roman" w:cs="Times New Roman"/>
          <w:noProof/>
          <w:sz w:val="24"/>
          <w:szCs w:val="24"/>
          <w:lang w:val="en-GB"/>
        </w:rPr>
        <w:t>EUR.</w:t>
      </w:r>
      <w:r>
        <w:rPr>
          <w:noProof/>
          <w:szCs w:val="24"/>
          <w:vertAlign w:val="superscript"/>
        </w:rPr>
        <w:footnoteReference w:id="81"/>
      </w:r>
      <w:r>
        <w:rPr>
          <w:rFonts w:ascii="Times New Roman" w:hAnsi="Times New Roman" w:cs="Times New Roman"/>
          <w:noProof/>
          <w:sz w:val="24"/>
          <w:szCs w:val="24"/>
          <w:lang w:val="en-GB"/>
        </w:rPr>
        <w:t xml:space="preserve"> A recent Finnish study showed that the revenue of ICT companies utilising Open Data grew in 2012–2014 on average by over 17% more than the revenue of companies in the same sector that did not utilise data in their innovations.</w:t>
      </w:r>
      <w:r>
        <w:rPr>
          <w:rStyle w:val="FootnoteReference"/>
          <w:rFonts w:ascii="Times New Roman" w:hAnsi="Times New Roman" w:cs="Times New Roman"/>
          <w:noProof/>
          <w:szCs w:val="24"/>
          <w:lang w:val="en-GB"/>
        </w:rPr>
        <w:footnoteReference w:id="82"/>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Opening up more PSI ha</w:t>
      </w:r>
      <w:r>
        <w:rPr>
          <w:rFonts w:ascii="Times New Roman" w:hAnsi="Times New Roman" w:cs="Times New Roman"/>
          <w:noProof/>
          <w:sz w:val="24"/>
          <w:szCs w:val="24"/>
          <w:lang w:val="en-US"/>
        </w:rPr>
        <w:t>s also brought numerous societal benefits for the EU. Whether it is in the area of public transport, energy consumption or healthcare, citizens can now access a range of applications based on PSI that can make their daily lives easier. Numerous use cases i</w:t>
      </w:r>
      <w:r>
        <w:rPr>
          <w:rFonts w:ascii="Times New Roman" w:hAnsi="Times New Roman" w:cs="Times New Roman"/>
          <w:noProof/>
          <w:sz w:val="24"/>
          <w:szCs w:val="24"/>
          <w:lang w:val="en-US"/>
        </w:rPr>
        <w:t>n Member States show concrete examples in many fields.</w:t>
      </w:r>
      <w:r>
        <w:rPr>
          <w:rStyle w:val="FootnoteReference"/>
          <w:rFonts w:ascii="Times New Roman" w:hAnsi="Times New Roman" w:cs="Times New Roman"/>
          <w:noProof/>
          <w:szCs w:val="24"/>
          <w:lang w:val="en-US"/>
        </w:rPr>
        <w:footnoteReference w:id="83"/>
      </w:r>
    </w:p>
    <w:tbl>
      <w:tblPr>
        <w:tblStyle w:val="TableGrid"/>
        <w:tblW w:w="0" w:type="auto"/>
        <w:tblLook w:val="04A0" w:firstRow="1" w:lastRow="0" w:firstColumn="1" w:lastColumn="0" w:noHBand="0" w:noVBand="1"/>
      </w:tblPr>
      <w:tblGrid>
        <w:gridCol w:w="8834"/>
      </w:tblGrid>
      <w:tr w:rsidR="003B411A" w:rsidRPr="009F0AE3">
        <w:tc>
          <w:tcPr>
            <w:tcW w:w="8834" w:type="dxa"/>
          </w:tcPr>
          <w:p w:rsidR="003B411A" w:rsidRDefault="009F0AE3">
            <w:pPr>
              <w:spacing w:after="200" w:line="276" w:lineRule="auto"/>
              <w:jc w:val="both"/>
              <w:rPr>
                <w:b/>
                <w:noProof/>
                <w:sz w:val="24"/>
                <w:szCs w:val="24"/>
                <w:lang w:val="en-US"/>
              </w:rPr>
            </w:pPr>
            <w:r>
              <w:rPr>
                <w:b/>
                <w:noProof/>
                <w:sz w:val="24"/>
                <w:szCs w:val="24"/>
                <w:lang w:val="en-US"/>
              </w:rPr>
              <w:t>A French website for doctors, pharmacists and patients</w:t>
            </w:r>
          </w:p>
          <w:p w:rsidR="003B411A" w:rsidRDefault="009F0AE3">
            <w:pPr>
              <w:spacing w:after="200" w:line="276" w:lineRule="auto"/>
              <w:jc w:val="both"/>
              <w:rPr>
                <w:b/>
                <w:noProof/>
                <w:sz w:val="24"/>
                <w:szCs w:val="24"/>
                <w:lang w:val="en-US"/>
              </w:rPr>
            </w:pPr>
            <w:r>
              <w:rPr>
                <w:noProof/>
                <w:sz w:val="24"/>
                <w:szCs w:val="24"/>
              </w:rPr>
              <w:t>Medicatio</w:t>
            </w:r>
            <w:r>
              <w:rPr>
                <w:rStyle w:val="FootnoteReference"/>
                <w:noProof/>
                <w:szCs w:val="24"/>
              </w:rPr>
              <w:footnoteReference w:id="84"/>
            </w:r>
            <w:r>
              <w:rPr>
                <w:noProof/>
                <w:sz w:val="24"/>
                <w:szCs w:val="24"/>
              </w:rPr>
              <w:t xml:space="preserve"> is a website that seeks to publish data on all available drugs in France, and in doing so it aims to improve medical information and dialogue among doctors, pharmacists and patients, as well as addressing the growing problem linked to overconsumption of d</w:t>
            </w:r>
            <w:r>
              <w:rPr>
                <w:noProof/>
                <w:sz w:val="24"/>
                <w:szCs w:val="24"/>
              </w:rPr>
              <w:t>rugs. It captures Open Data from multiple French ministries and agencies, and it has already won several prizes.</w:t>
            </w:r>
          </w:p>
        </w:tc>
      </w:tr>
    </w:tbl>
    <w:p w:rsidR="003B411A" w:rsidRDefault="003B411A">
      <w:pPr>
        <w:jc w:val="both"/>
        <w:rPr>
          <w:rFonts w:ascii="Times New Roman" w:hAnsi="Times New Roman" w:cs="Times New Roman"/>
          <w:noProof/>
          <w:sz w:val="24"/>
          <w:szCs w:val="24"/>
          <w:lang w:val="en-US"/>
        </w:rPr>
      </w:pP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Besides the benefits, the PSI Directive has also brought a number of costs to stakeholders. As the obligations imposed by the Directive only </w:t>
      </w:r>
      <w:r>
        <w:rPr>
          <w:rFonts w:ascii="Times New Roman" w:hAnsi="Times New Roman" w:cs="Times New Roman"/>
          <w:noProof/>
          <w:sz w:val="24"/>
          <w:szCs w:val="24"/>
          <w:lang w:val="en-US"/>
        </w:rPr>
        <w:t>apply to public sector bodies at the Member States level, these stakeholders can be considered as those bearing the vast majority of costs related to the Directive. Other stakeholders, such as businesses and re-users do not bear particular costs in this re</w:t>
      </w:r>
      <w:r>
        <w:rPr>
          <w:rFonts w:ascii="Times New Roman" w:hAnsi="Times New Roman" w:cs="Times New Roman"/>
          <w:noProof/>
          <w:sz w:val="24"/>
          <w:szCs w:val="24"/>
          <w:lang w:val="en-US"/>
        </w:rPr>
        <w:t>spect. One could identify different categories of regulatory costs related to the implementation of the PSI Directive:</w:t>
      </w:r>
    </w:p>
    <w:p w:rsidR="003B411A" w:rsidRDefault="009F0AE3">
      <w:pPr>
        <w:pStyle w:val="ListParagraph"/>
        <w:numPr>
          <w:ilvl w:val="0"/>
          <w:numId w:val="23"/>
        </w:numPr>
        <w:spacing w:before="120" w:after="160" w:line="259" w:lineRule="auto"/>
        <w:rPr>
          <w:noProof/>
          <w:szCs w:val="24"/>
          <w:lang w:val="en-US"/>
        </w:rPr>
      </w:pPr>
      <w:r>
        <w:rPr>
          <w:b/>
          <w:noProof/>
          <w:szCs w:val="24"/>
          <w:lang w:val="en-US"/>
        </w:rPr>
        <w:t>Direct costs (compliance and administrative costs)</w:t>
      </w:r>
      <w:r>
        <w:rPr>
          <w:noProof/>
          <w:szCs w:val="24"/>
          <w:lang w:val="en-US"/>
        </w:rPr>
        <w:t>: Compliance costs encompass investments and expenses needed to comply with substantive</w:t>
      </w:r>
      <w:r>
        <w:rPr>
          <w:noProof/>
          <w:szCs w:val="24"/>
          <w:lang w:val="en-US"/>
        </w:rPr>
        <w:t xml:space="preserve"> obligations contained in the Directive (this also includes technical</w:t>
      </w:r>
      <w:r>
        <w:rPr>
          <w:b/>
          <w:noProof/>
          <w:szCs w:val="24"/>
          <w:lang w:val="en-US"/>
        </w:rPr>
        <w:t xml:space="preserve"> </w:t>
      </w:r>
      <w:r>
        <w:rPr>
          <w:noProof/>
          <w:szCs w:val="24"/>
          <w:lang w:val="en-US"/>
        </w:rPr>
        <w:t>costs needed to make the data technically reusable, such cleaning up of datasets, maintenance of portals, API costs, software costs etc.). Administrative costs are the costs borne by pub</w:t>
      </w:r>
      <w:r>
        <w:rPr>
          <w:noProof/>
          <w:szCs w:val="24"/>
          <w:lang w:val="en-US"/>
        </w:rPr>
        <w:t>lic sector bodies as a result of administrative activities performed to comply with the obligations (e.g. time and resources spent in figuring out licensing and license related costs, personnel training, communication activities, developing guidelines etc.</w:t>
      </w:r>
      <w:r>
        <w:rPr>
          <w:noProof/>
          <w:szCs w:val="24"/>
          <w:lang w:val="en-US"/>
        </w:rPr>
        <w:t>).</w:t>
      </w:r>
    </w:p>
    <w:p w:rsidR="003B411A" w:rsidRDefault="009F0AE3">
      <w:pPr>
        <w:pStyle w:val="ListParagraph"/>
        <w:numPr>
          <w:ilvl w:val="0"/>
          <w:numId w:val="23"/>
        </w:numPr>
        <w:spacing w:before="120" w:after="160" w:line="259" w:lineRule="auto"/>
        <w:rPr>
          <w:noProof/>
          <w:szCs w:val="24"/>
          <w:lang w:val="en-US"/>
        </w:rPr>
      </w:pPr>
      <w:r>
        <w:rPr>
          <w:b/>
          <w:noProof/>
          <w:szCs w:val="24"/>
          <w:lang w:val="en-US"/>
        </w:rPr>
        <w:t>Enforcement costs</w:t>
      </w:r>
      <w:r>
        <w:rPr>
          <w:noProof/>
          <w:szCs w:val="24"/>
          <w:lang w:val="en-US"/>
        </w:rPr>
        <w:t>. These costs are associated with activities linked to the implementation of the Directive, such as information and monitoring, complaint handling and adjudication.</w:t>
      </w:r>
      <w:r>
        <w:rPr>
          <w:rStyle w:val="CommentReference"/>
          <w:rFonts w:asciiTheme="minorHAnsi" w:eastAsiaTheme="minorHAnsi" w:hAnsiTheme="minorHAnsi" w:cstheme="minorBidi"/>
          <w:noProof/>
          <w:szCs w:val="24"/>
          <w:lang w:val="en-US"/>
        </w:rPr>
        <w:t xml:space="preserve"> </w:t>
      </w:r>
    </w:p>
    <w:p w:rsidR="003B411A" w:rsidRDefault="009F0AE3">
      <w:pPr>
        <w:jc w:val="both"/>
        <w:rPr>
          <w:rFonts w:ascii="Times New Roman" w:hAnsi="Times New Roman" w:cs="Times New Roman"/>
          <w:noProof/>
          <w:sz w:val="24"/>
          <w:szCs w:val="24"/>
          <w:lang w:val="en-US"/>
        </w:rPr>
      </w:pPr>
      <w:r>
        <w:rPr>
          <w:rFonts w:ascii="Times New Roman" w:hAnsi="Times New Roman"/>
          <w:noProof/>
          <w:sz w:val="24"/>
          <w:lang w:val="en-US"/>
        </w:rPr>
        <w:t>The figure below visualises the costs of opening up PSI for all affect</w:t>
      </w:r>
      <w:r>
        <w:rPr>
          <w:rFonts w:ascii="Times New Roman" w:hAnsi="Times New Roman"/>
          <w:noProof/>
          <w:sz w:val="24"/>
          <w:lang w:val="en-US"/>
        </w:rPr>
        <w:t>ed public sector bodies in comparison with the overall government revenue and expenditure.</w:t>
      </w:r>
      <w:r>
        <w:rPr>
          <w:rStyle w:val="FootnoteReference"/>
          <w:rFonts w:ascii="Times New Roman" w:hAnsi="Times New Roman"/>
          <w:noProof/>
          <w:lang w:val="en-US"/>
        </w:rPr>
        <w:footnoteReference w:id="85"/>
      </w:r>
      <w:r>
        <w:rPr>
          <w:rFonts w:ascii="Times New Roman" w:hAnsi="Times New Roman"/>
          <w:noProof/>
          <w:sz w:val="24"/>
          <w:lang w:val="en-US"/>
        </w:rPr>
        <w:t xml:space="preserve"> It can be seen that the estimated overall costs to open up PSI are only a minor fraction of the total government revenue and expenditure. Although an increasing num</w:t>
      </w:r>
      <w:r>
        <w:rPr>
          <w:rFonts w:ascii="Times New Roman" w:hAnsi="Times New Roman"/>
          <w:noProof/>
          <w:sz w:val="24"/>
          <w:lang w:val="en-US"/>
        </w:rPr>
        <w:t xml:space="preserve">ber of public authorities open up their data, </w:t>
      </w:r>
      <w:r>
        <w:rPr>
          <w:rFonts w:ascii="Times New Roman" w:hAnsi="Times New Roman" w:cs="Times New Roman"/>
          <w:noProof/>
          <w:sz w:val="24"/>
          <w:szCs w:val="24"/>
          <w:lang w:val="en-US"/>
        </w:rPr>
        <w:t xml:space="preserve">it is believed that </w:t>
      </w:r>
      <w:r>
        <w:rPr>
          <w:rFonts w:ascii="Times New Roman" w:hAnsi="Times New Roman"/>
          <w:noProof/>
          <w:sz w:val="24"/>
          <w:lang w:val="en-US"/>
        </w:rPr>
        <w:t>the total costs of opening up PSI (i.e. not the average costs per institution) have decreased as a result of the introduction of the 2013 revisions of the Directive, e.g. due to efficiency g</w:t>
      </w:r>
      <w:r>
        <w:rPr>
          <w:rFonts w:ascii="Times New Roman" w:hAnsi="Times New Roman"/>
          <w:noProof/>
          <w:sz w:val="24"/>
          <w:lang w:val="en-US"/>
        </w:rPr>
        <w:t>ains at the individual institutional level.</w:t>
      </w:r>
      <w:r>
        <w:rPr>
          <w:rStyle w:val="FootnoteReference"/>
          <w:rFonts w:ascii="Times New Roman" w:hAnsi="Times New Roman"/>
          <w:noProof/>
          <w:lang w:val="en-US"/>
        </w:rPr>
        <w:footnoteReference w:id="86"/>
      </w:r>
    </w:p>
    <w:p w:rsidR="003B411A" w:rsidRDefault="009F0AE3">
      <w:pPr>
        <w:keepNext/>
        <w:spacing w:line="240" w:lineRule="auto"/>
        <w:jc w:val="center"/>
        <w:rPr>
          <w:rFonts w:ascii="Calibri" w:eastAsia="Times New Roman" w:hAnsi="Calibri"/>
          <w:i/>
          <w:noProof/>
          <w:color w:val="86BC25"/>
          <w:sz w:val="20"/>
          <w:lang w:val="en-GB"/>
        </w:rPr>
      </w:pPr>
      <w:bookmarkStart w:id="28" w:name="_Toc504491050"/>
      <w:r>
        <w:rPr>
          <w:rFonts w:ascii="Calibri" w:eastAsia="Times New Roman" w:hAnsi="Calibri"/>
          <w:i/>
          <w:noProof/>
          <w:color w:val="86BC25"/>
          <w:sz w:val="20"/>
          <w:lang w:val="en-GB"/>
        </w:rPr>
        <w:t>Costs of opening up PSI for all affected public sector bodies</w:t>
      </w:r>
      <w:r>
        <w:rPr>
          <w:rFonts w:ascii="Calibri" w:eastAsia="Times New Roman" w:hAnsi="Calibri"/>
          <w:i/>
          <w:noProof/>
          <w:color w:val="86BC25"/>
          <w:sz w:val="20"/>
          <w:lang w:val="en-GB"/>
        </w:rPr>
        <w:br/>
        <w:t>compared to total government revenue and expenditure (EU28, 2010-2017)</w:t>
      </w:r>
      <w:bookmarkEnd w:id="28"/>
    </w:p>
    <w:p w:rsidR="003B411A" w:rsidRDefault="009F0AE3">
      <w:pPr>
        <w:jc w:val="center"/>
        <w:rPr>
          <w:noProof/>
          <w:lang w:val="en-GB"/>
        </w:rPr>
      </w:pPr>
      <w:r>
        <w:rPr>
          <w:noProof/>
          <w:lang w:val="en-GB" w:eastAsia="en-GB"/>
        </w:rPr>
        <w:drawing>
          <wp:inline distT="0" distB="0" distL="0" distR="0" wp14:anchorId="01B3FA2B" wp14:editId="7090FCB7">
            <wp:extent cx="5472430" cy="3055733"/>
            <wp:effectExtent l="0" t="0" r="13970" b="114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B411A" w:rsidRDefault="009F0AE3">
      <w:pPr>
        <w:rPr>
          <w:i/>
          <w:noProof/>
          <w:sz w:val="20"/>
          <w:szCs w:val="24"/>
          <w:lang w:val="en-GB"/>
        </w:rPr>
      </w:pPr>
      <w:r>
        <w:rPr>
          <w:i/>
          <w:noProof/>
          <w:sz w:val="20"/>
          <w:szCs w:val="24"/>
          <w:lang w:val="en-GB"/>
        </w:rPr>
        <w:t>Source: Impact Assessment Support Study, Deloitte, 2018.</w:t>
      </w:r>
    </w:p>
    <w:p w:rsidR="003B411A" w:rsidRDefault="009F0AE3">
      <w:pPr>
        <w:jc w:val="both"/>
        <w:rPr>
          <w:rFonts w:ascii="Times New Roman" w:hAnsi="Times New Roman"/>
          <w:noProof/>
          <w:sz w:val="24"/>
          <w:lang w:val="en-US"/>
        </w:rPr>
      </w:pPr>
      <w:r>
        <w:rPr>
          <w:rFonts w:ascii="Times New Roman" w:hAnsi="Times New Roman"/>
          <w:noProof/>
          <w:sz w:val="24"/>
          <w:lang w:val="en-US"/>
        </w:rPr>
        <w:t xml:space="preserve">At the same time as governments open up their data, </w:t>
      </w:r>
      <w:r>
        <w:rPr>
          <w:rFonts w:ascii="Times New Roman" w:hAnsi="Times New Roman" w:cs="Times New Roman"/>
          <w:noProof/>
          <w:sz w:val="24"/>
          <w:szCs w:val="24"/>
          <w:lang w:val="en-US"/>
        </w:rPr>
        <w:t>they</w:t>
      </w:r>
      <w:r>
        <w:rPr>
          <w:rFonts w:ascii="Times New Roman" w:hAnsi="Times New Roman"/>
          <w:noProof/>
          <w:sz w:val="24"/>
          <w:lang w:val="en-US"/>
        </w:rPr>
        <w:t xml:space="preserve"> can cut costs in other parts of government activity through the use of PSI. </w:t>
      </w:r>
      <w:r>
        <w:rPr>
          <w:rFonts w:ascii="Times New Roman" w:hAnsi="Times New Roman" w:cs="Times New Roman"/>
          <w:noProof/>
          <w:sz w:val="24"/>
          <w:szCs w:val="24"/>
          <w:lang w:val="en-US"/>
        </w:rPr>
        <w:t>The use of PSI is expected to have contributed to a saving of around 20 billion EUR in 2017 alone.</w:t>
      </w:r>
      <w:r>
        <w:rPr>
          <w:rStyle w:val="FootnoteReference"/>
          <w:rFonts w:ascii="Times New Roman" w:hAnsi="Times New Roman" w:cs="Times New Roman"/>
          <w:noProof/>
          <w:szCs w:val="24"/>
          <w:lang w:val="en-US"/>
        </w:rPr>
        <w:footnoteReference w:id="87"/>
      </w:r>
    </w:p>
    <w:p w:rsidR="003B411A" w:rsidRDefault="009F0AE3">
      <w:pPr>
        <w:jc w:val="both"/>
        <w:rPr>
          <w:rFonts w:ascii="Times New Roman" w:hAnsi="Times New Roman"/>
          <w:noProof/>
          <w:sz w:val="24"/>
          <w:lang w:val="en-GB"/>
        </w:rPr>
      </w:pPr>
      <w:r>
        <w:rPr>
          <w:rFonts w:ascii="Times New Roman" w:hAnsi="Times New Roman"/>
          <w:noProof/>
          <w:sz w:val="24"/>
          <w:lang w:val="en-GB"/>
        </w:rPr>
        <w:t>In addition to cost sav</w:t>
      </w:r>
      <w:r>
        <w:rPr>
          <w:rFonts w:ascii="Times New Roman" w:hAnsi="Times New Roman"/>
          <w:noProof/>
          <w:sz w:val="24"/>
          <w:lang w:val="en-GB"/>
        </w:rPr>
        <w:t>ings, public administrations are also believed to have benefited  from increased revenue / taxation of PSI-based goods and services. The additional government revenue from PSI today is around 6 billion EUR per year (i.e. approx. 0.1% of total government re</w:t>
      </w:r>
      <w:r>
        <w:rPr>
          <w:rFonts w:ascii="Times New Roman" w:hAnsi="Times New Roman"/>
          <w:noProof/>
          <w:sz w:val="24"/>
          <w:lang w:val="en-GB"/>
        </w:rPr>
        <w:t>venue</w:t>
      </w:r>
      <w:r>
        <w:rPr>
          <w:rFonts w:ascii="Times New Roman" w:hAnsi="Times New Roman" w:cs="Times New Roman"/>
          <w:noProof/>
          <w:sz w:val="24"/>
          <w:szCs w:val="24"/>
          <w:lang w:val="en-GB"/>
        </w:rPr>
        <w:t>).</w:t>
      </w:r>
      <w:r>
        <w:rPr>
          <w:rStyle w:val="FootnoteReference"/>
          <w:rFonts w:ascii="Times New Roman" w:hAnsi="Times New Roman" w:cs="Times New Roman"/>
          <w:noProof/>
          <w:szCs w:val="24"/>
          <w:lang w:val="en-US"/>
        </w:rPr>
        <w:footnoteReference w:id="88"/>
      </w:r>
    </w:p>
    <w:p w:rsidR="003B411A" w:rsidRDefault="009F0AE3">
      <w:pPr>
        <w:jc w:val="both"/>
        <w:rPr>
          <w:rFonts w:ascii="Times New Roman" w:hAnsi="Times New Roman" w:cs="Times New Roman"/>
          <w:noProof/>
          <w:sz w:val="24"/>
          <w:szCs w:val="24"/>
          <w:lang w:val="en-GB"/>
        </w:rPr>
      </w:pPr>
      <w:r>
        <w:rPr>
          <w:rFonts w:ascii="Times New Roman" w:hAnsi="Times New Roman"/>
          <w:noProof/>
          <w:sz w:val="24"/>
          <w:lang w:val="en-GB"/>
        </w:rPr>
        <w:t>In the following figure, the annual economic benefits of opening PSI are compared with the overall annual costs of opening PSI.</w:t>
      </w:r>
      <w:r>
        <w:rPr>
          <w:rStyle w:val="FootnoteReference"/>
          <w:rFonts w:ascii="Times New Roman" w:hAnsi="Times New Roman"/>
          <w:noProof/>
          <w:lang w:val="en-US"/>
        </w:rPr>
        <w:footnoteReference w:id="89"/>
      </w:r>
      <w:r>
        <w:rPr>
          <w:rFonts w:ascii="Times New Roman" w:hAnsi="Times New Roman"/>
          <w:noProof/>
          <w:sz w:val="24"/>
          <w:lang w:val="en-GB"/>
        </w:rPr>
        <w:t xml:space="preserve"> The economic benefits of opening PSI are around 240 billion EUR today, whereas the costs associated with opening PSI a</w:t>
      </w:r>
      <w:r>
        <w:rPr>
          <w:rFonts w:ascii="Times New Roman" w:hAnsi="Times New Roman"/>
          <w:noProof/>
          <w:sz w:val="24"/>
          <w:lang w:val="en-GB"/>
        </w:rPr>
        <w:t xml:space="preserve">re around 9 billion EUR. It is </w:t>
      </w:r>
      <w:r>
        <w:rPr>
          <w:rFonts w:ascii="Times New Roman" w:hAnsi="Times New Roman" w:cs="Times New Roman"/>
          <w:noProof/>
          <w:sz w:val="24"/>
          <w:szCs w:val="24"/>
          <w:lang w:val="en-GB"/>
        </w:rPr>
        <w:t>believed</w:t>
      </w:r>
      <w:r>
        <w:rPr>
          <w:rFonts w:ascii="Times New Roman" w:hAnsi="Times New Roman"/>
          <w:noProof/>
          <w:sz w:val="24"/>
          <w:lang w:val="en-GB"/>
        </w:rPr>
        <w:t xml:space="preserve"> that the 2013 revision of the Directive has triggered a decrease in overall costs of making PSI available. It can be </w:t>
      </w:r>
      <w:r>
        <w:rPr>
          <w:rFonts w:ascii="Times New Roman" w:hAnsi="Times New Roman" w:cs="Times New Roman"/>
          <w:noProof/>
          <w:sz w:val="24"/>
          <w:szCs w:val="24"/>
          <w:lang w:val="en-GB"/>
        </w:rPr>
        <w:t>concluded</w:t>
      </w:r>
      <w:r>
        <w:rPr>
          <w:rFonts w:ascii="Times New Roman" w:hAnsi="Times New Roman"/>
          <w:noProof/>
          <w:sz w:val="24"/>
          <w:lang w:val="en-GB"/>
        </w:rPr>
        <w:t xml:space="preserve"> that the benefit-cost ratio is roughly 26:1 today</w:t>
      </w:r>
      <w:r>
        <w:rPr>
          <w:rFonts w:ascii="Times New Roman" w:hAnsi="Times New Roman" w:cs="Times New Roman"/>
          <w:noProof/>
          <w:sz w:val="24"/>
          <w:szCs w:val="24"/>
          <w:lang w:val="en-GB"/>
        </w:rPr>
        <w:t>, meaning</w:t>
      </w:r>
      <w:r>
        <w:rPr>
          <w:rFonts w:ascii="Times New Roman" w:hAnsi="Times New Roman"/>
          <w:noProof/>
          <w:sz w:val="24"/>
          <w:lang w:val="en-GB"/>
        </w:rPr>
        <w:t xml:space="preserve"> that the benefits of PSI today</w:t>
      </w:r>
      <w:r>
        <w:rPr>
          <w:rFonts w:ascii="Times New Roman" w:hAnsi="Times New Roman"/>
          <w:noProof/>
          <w:sz w:val="24"/>
          <w:lang w:val="en-GB"/>
        </w:rPr>
        <w:t xml:space="preserve"> are 26 times greater than its costs.</w:t>
      </w:r>
      <w:r>
        <w:rPr>
          <w:rFonts w:ascii="Times New Roman" w:hAnsi="Times New Roman" w:cs="Times New Roman"/>
          <w:noProof/>
          <w:sz w:val="24"/>
          <w:szCs w:val="24"/>
          <w:lang w:val="en-GB"/>
        </w:rPr>
        <w:t xml:space="preserve"> Considering only the direct economic value of PSI, the benefit-cost ratio is approximately 5:1 today.</w:t>
      </w:r>
    </w:p>
    <w:p w:rsidR="003B411A" w:rsidRDefault="009F0AE3">
      <w:pPr>
        <w:keepNext/>
        <w:spacing w:before="120" w:line="240" w:lineRule="auto"/>
        <w:jc w:val="center"/>
        <w:rPr>
          <w:rFonts w:ascii="Calibri" w:eastAsia="Times New Roman" w:hAnsi="Calibri" w:cs="Times New Roman"/>
          <w:i/>
          <w:iCs/>
          <w:noProof/>
          <w:color w:val="86BC25"/>
          <w:sz w:val="20"/>
          <w:szCs w:val="18"/>
          <w:lang w:val="en-GB"/>
        </w:rPr>
      </w:pPr>
      <w:bookmarkStart w:id="29" w:name="_Toc504491051"/>
      <w:r>
        <w:rPr>
          <w:rFonts w:ascii="Calibri" w:eastAsia="Times New Roman" w:hAnsi="Calibri" w:cs="Times New Roman"/>
          <w:i/>
          <w:iCs/>
          <w:noProof/>
          <w:color w:val="86BC25"/>
          <w:sz w:val="20"/>
          <w:szCs w:val="18"/>
          <w:lang w:val="en-GB"/>
        </w:rPr>
        <w:t>Costs and benefits of opening up PSI for different types of public sector bodies (EU28, 2010-2030)</w:t>
      </w:r>
      <w:bookmarkEnd w:id="29"/>
    </w:p>
    <w:p w:rsidR="003B411A" w:rsidRDefault="009F0AE3">
      <w:pPr>
        <w:spacing w:before="120" w:after="160" w:line="259" w:lineRule="auto"/>
        <w:jc w:val="both"/>
        <w:rPr>
          <w:rFonts w:ascii="Calibri" w:eastAsia="Times New Roman" w:hAnsi="Calibri" w:cs="Times New Roman"/>
          <w:noProof/>
          <w:sz w:val="24"/>
          <w:lang w:val="en-GB"/>
        </w:rPr>
      </w:pPr>
      <w:r>
        <w:rPr>
          <w:rFonts w:ascii="Calibri" w:eastAsia="Times New Roman" w:hAnsi="Calibri" w:cs="Times New Roman"/>
          <w:noProof/>
          <w:sz w:val="24"/>
          <w:lang w:val="en-GB" w:eastAsia="en-GB"/>
        </w:rPr>
        <w:drawing>
          <wp:inline distT="0" distB="0" distL="0" distR="0" wp14:anchorId="053BE210" wp14:editId="655C214E">
            <wp:extent cx="5731510" cy="2790190"/>
            <wp:effectExtent l="0" t="0" r="254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B411A" w:rsidRDefault="009F0AE3">
      <w:pPr>
        <w:spacing w:before="120" w:after="160" w:line="259" w:lineRule="auto"/>
        <w:jc w:val="both"/>
        <w:rPr>
          <w:rFonts w:ascii="Calibri" w:eastAsia="Times New Roman" w:hAnsi="Calibri" w:cs="Times New Roman"/>
          <w:i/>
          <w:noProof/>
          <w:sz w:val="20"/>
          <w:szCs w:val="24"/>
          <w:lang w:val="en-GB"/>
        </w:rPr>
      </w:pPr>
      <w:r>
        <w:rPr>
          <w:rFonts w:ascii="Calibri" w:eastAsia="Times New Roman" w:hAnsi="Calibri" w:cs="Times New Roman"/>
          <w:i/>
          <w:noProof/>
          <w:sz w:val="20"/>
          <w:szCs w:val="24"/>
          <w:lang w:val="en-GB"/>
        </w:rPr>
        <w:t xml:space="preserve">Source: Impact </w:t>
      </w:r>
      <w:r>
        <w:rPr>
          <w:rFonts w:ascii="Calibri" w:eastAsia="Times New Roman" w:hAnsi="Calibri" w:cs="Times New Roman"/>
          <w:i/>
          <w:noProof/>
          <w:sz w:val="20"/>
          <w:szCs w:val="24"/>
          <w:lang w:val="en-GB"/>
        </w:rPr>
        <w:t>Assessment Support Study, Deloitte, 2018.</w:t>
      </w:r>
    </w:p>
    <w:p w:rsidR="003B411A" w:rsidRDefault="009F0AE3">
      <w:pPr>
        <w:jc w:val="both"/>
        <w:rPr>
          <w:rFonts w:ascii="Times New Roman" w:hAnsi="Times New Roman" w:cs="Times New Roman"/>
          <w:noProof/>
          <w:sz w:val="24"/>
          <w:szCs w:val="24"/>
          <w:lang w:val="en-US"/>
        </w:rPr>
      </w:pPr>
      <w:r>
        <w:rPr>
          <w:rFonts w:ascii="Times New Roman" w:hAnsi="Times New Roman"/>
          <w:noProof/>
          <w:sz w:val="24"/>
          <w:lang w:val="en-US"/>
        </w:rPr>
        <w:t>Respondents to</w:t>
      </w:r>
      <w:r>
        <w:rPr>
          <w:rFonts w:ascii="Times New Roman" w:hAnsi="Times New Roman" w:cs="Times New Roman"/>
          <w:noProof/>
          <w:sz w:val="24"/>
          <w:szCs w:val="24"/>
          <w:lang w:val="en-US"/>
        </w:rPr>
        <w:t xml:space="preserve"> the online public consultation </w:t>
      </w:r>
      <w:r>
        <w:rPr>
          <w:rFonts w:ascii="Times New Roman" w:hAnsi="Times New Roman"/>
          <w:noProof/>
          <w:sz w:val="24"/>
          <w:lang w:val="en-US"/>
        </w:rPr>
        <w:t>also</w:t>
      </w:r>
      <w:r>
        <w:rPr>
          <w:rFonts w:ascii="Times New Roman" w:hAnsi="Times New Roman" w:cs="Times New Roman"/>
          <w:noProof/>
          <w:sz w:val="24"/>
          <w:szCs w:val="24"/>
          <w:lang w:val="en-US"/>
        </w:rPr>
        <w:t xml:space="preserve"> confirm that that the cost-benefit analysis of the PSI Directive is overall fairly positive and that the latter is therefore considered efficient. Indeed, 66% (128</w:t>
      </w:r>
      <w:r>
        <w:rPr>
          <w:rFonts w:ascii="Times New Roman" w:hAnsi="Times New Roman" w:cs="Times New Roman"/>
          <w:noProof/>
          <w:sz w:val="24"/>
          <w:szCs w:val="24"/>
          <w:lang w:val="en-US"/>
        </w:rPr>
        <w:t xml:space="preserve"> of 193 respondents) agree that the costs borne by the public sector bodies in implementing the Directive (e.g. adapting IT infrastructure, lower income from charges) are offset by socioeconomic benefits of re-using data (e.g. creation of new digital appli</w:t>
      </w:r>
      <w:r>
        <w:rPr>
          <w:rFonts w:ascii="Times New Roman" w:hAnsi="Times New Roman" w:cs="Times New Roman"/>
          <w:noProof/>
          <w:sz w:val="24"/>
          <w:szCs w:val="24"/>
          <w:lang w:val="en-US"/>
        </w:rPr>
        <w:t>cations and products, increased transparency). As many as 72% (138 of 193 respondents) agree that compliance with the Directive requires better data management processes of public institutions which leads to cost savings and increased operational efficienc</w:t>
      </w:r>
      <w:r>
        <w:rPr>
          <w:rFonts w:ascii="Times New Roman" w:hAnsi="Times New Roman" w:cs="Times New Roman"/>
          <w:noProof/>
          <w:sz w:val="24"/>
          <w:szCs w:val="24"/>
          <w:lang w:val="en-US"/>
        </w:rPr>
        <w:t xml:space="preserve">y. This finding has also been confirmed by the Danish administration in regards to its Basic Data Programme. It is expected that </w:t>
      </w:r>
      <w:r>
        <w:rPr>
          <w:rFonts w:ascii="Times New Roman" w:hAnsi="Times New Roman" w:cs="Times New Roman"/>
          <w:noProof/>
          <w:sz w:val="24"/>
          <w:szCs w:val="24"/>
          <w:lang w:val="en-GB"/>
        </w:rPr>
        <w:t>once the initiative has been completely phased in, savings for the public sector in Denmark will have reached about 250 million</w:t>
      </w:r>
      <w:r>
        <w:rPr>
          <w:rFonts w:ascii="Times New Roman" w:hAnsi="Times New Roman" w:cs="Times New Roman"/>
          <w:noProof/>
          <w:sz w:val="24"/>
          <w:szCs w:val="24"/>
          <w:lang w:val="en-GB"/>
        </w:rPr>
        <w:t xml:space="preserve"> DKK (33 million EUR) per year as a result of lower administration costs.</w:t>
      </w:r>
      <w:r>
        <w:rPr>
          <w:rStyle w:val="FootnoteReference"/>
          <w:rFonts w:ascii="Times New Roman" w:hAnsi="Times New Roman" w:cs="Times New Roman"/>
          <w:noProof/>
          <w:szCs w:val="24"/>
          <w:lang w:val="en-GB"/>
        </w:rPr>
        <w:footnoteReference w:id="90"/>
      </w:r>
    </w:p>
    <w:p w:rsidR="003B411A" w:rsidRDefault="009F0AE3">
      <w:pPr>
        <w:jc w:val="both"/>
        <w:rPr>
          <w:rFonts w:ascii="Times New Roman" w:hAnsi="Times New Roman"/>
          <w:noProof/>
          <w:sz w:val="24"/>
          <w:lang w:val="en-US"/>
        </w:rPr>
      </w:pPr>
      <w:r>
        <w:rPr>
          <w:rFonts w:ascii="Times New Roman" w:hAnsi="Times New Roman"/>
          <w:noProof/>
          <w:sz w:val="24"/>
          <w:lang w:val="en-US"/>
        </w:rPr>
        <w:t>However</w:t>
      </w:r>
      <w:r>
        <w:rPr>
          <w:rFonts w:ascii="Times New Roman" w:hAnsi="Times New Roman" w:cs="Times New Roman"/>
          <w:noProof/>
          <w:sz w:val="24"/>
          <w:szCs w:val="24"/>
          <w:lang w:val="en-US"/>
        </w:rPr>
        <w:t xml:space="preserve">, as regards the redress mechanisms, as many as 44% of respondents to the online public consultation agree that in case a request for re-use is rejected and an applicant </w:t>
      </w:r>
      <w:r>
        <w:rPr>
          <w:rFonts w:ascii="Times New Roman" w:hAnsi="Times New Roman" w:cs="Times New Roman"/>
          <w:noProof/>
          <w:sz w:val="24"/>
          <w:szCs w:val="24"/>
          <w:lang w:val="en-US"/>
        </w:rPr>
        <w:t>decides to appeal against the decision of a public sector body, the redress procedure at the national level is slow and inefficient, and it can be very costly. It should be noted that the 2011 Commission proposal for revising the Directive addressed this i</w:t>
      </w:r>
      <w:r>
        <w:rPr>
          <w:rFonts w:ascii="Times New Roman" w:hAnsi="Times New Roman" w:cs="Times New Roman"/>
          <w:noProof/>
          <w:sz w:val="24"/>
          <w:szCs w:val="24"/>
          <w:lang w:val="en-US"/>
        </w:rPr>
        <w:t>ssue, but that the relevant provision was significantly watered down in the interinstitutional process</w:t>
      </w:r>
      <w:r>
        <w:rPr>
          <w:rFonts w:ascii="Times New Roman" w:hAnsi="Times New Roman"/>
          <w:noProof/>
          <w:sz w:val="24"/>
          <w:lang w:val="en-US"/>
        </w:rPr>
        <w:t>.</w:t>
      </w:r>
    </w:p>
    <w:p w:rsidR="003B411A" w:rsidRDefault="003B411A">
      <w:pPr>
        <w:jc w:val="both"/>
        <w:rPr>
          <w:rFonts w:ascii="Times New Roman" w:hAnsi="Times New Roman" w:cs="Times New Roman"/>
          <w:noProof/>
          <w:sz w:val="24"/>
          <w:szCs w:val="24"/>
          <w:lang w:val="en-US"/>
        </w:rPr>
      </w:pPr>
    </w:p>
    <w:p w:rsidR="003B411A" w:rsidRDefault="003B411A">
      <w:pPr>
        <w:jc w:val="both"/>
        <w:rPr>
          <w:rFonts w:ascii="Times New Roman" w:hAnsi="Times New Roman" w:cs="Times New Roman"/>
          <w:noProof/>
          <w:sz w:val="24"/>
          <w:szCs w:val="24"/>
          <w:lang w:val="en-US"/>
        </w:rPr>
      </w:pPr>
    </w:p>
    <w:p w:rsidR="003B411A" w:rsidRDefault="009F0AE3">
      <w:pPr>
        <w:jc w:val="both"/>
        <w:rPr>
          <w:rFonts w:ascii="Times New Roman" w:hAnsi="Times New Roman" w:cs="Times New Roman"/>
          <w:b/>
          <w:noProof/>
          <w:sz w:val="24"/>
          <w:szCs w:val="24"/>
          <w:lang w:val="en-US"/>
        </w:rPr>
      </w:pPr>
      <w:r>
        <w:rPr>
          <w:rFonts w:ascii="Times New Roman" w:hAnsi="Times New Roman" w:cs="Times New Roman"/>
          <w:i/>
          <w:noProof/>
          <w:sz w:val="24"/>
          <w:szCs w:val="24"/>
          <w:lang w:val="en-US"/>
        </w:rPr>
        <w:t>2013 changes to the PSI Directive</w:t>
      </w:r>
    </w:p>
    <w:p w:rsidR="003B411A" w:rsidRDefault="009F0AE3">
      <w:pPr>
        <w:jc w:val="both"/>
        <w:rPr>
          <w:rFonts w:ascii="Times New Roman" w:hAnsi="Times New Roman"/>
          <w:noProof/>
          <w:sz w:val="24"/>
          <w:szCs w:val="24"/>
          <w:lang w:val="en-GB"/>
        </w:rPr>
      </w:pPr>
      <w:r>
        <w:rPr>
          <w:rFonts w:ascii="Times New Roman" w:hAnsi="Times New Roman" w:cs="Times New Roman"/>
          <w:noProof/>
          <w:sz w:val="24"/>
          <w:szCs w:val="24"/>
          <w:lang w:val="en-US"/>
        </w:rPr>
        <w:t>The evidence indicates that the changes in the rules concerning charging and data format have been efficient. T</w:t>
      </w:r>
      <w:r>
        <w:rPr>
          <w:rFonts w:ascii="Times New Roman" w:hAnsi="Times New Roman"/>
          <w:noProof/>
          <w:sz w:val="24"/>
          <w:szCs w:val="24"/>
          <w:lang w:val="en-GB"/>
        </w:rPr>
        <w:t xml:space="preserve">here </w:t>
      </w:r>
      <w:r>
        <w:rPr>
          <w:rFonts w:ascii="Times New Roman" w:hAnsi="Times New Roman"/>
          <w:noProof/>
          <w:sz w:val="24"/>
          <w:szCs w:val="24"/>
          <w:lang w:val="en-GB"/>
        </w:rPr>
        <w:t>is consensus among stakeholders (both from re-users and public sector bodies) that charging at marginal costs</w:t>
      </w:r>
      <w:r>
        <w:rPr>
          <w:rStyle w:val="FootnoteReference"/>
          <w:rFonts w:ascii="Times New Roman" w:hAnsi="Times New Roman"/>
          <w:noProof/>
          <w:szCs w:val="24"/>
          <w:lang w:val="en-GB"/>
        </w:rPr>
        <w:footnoteReference w:id="91"/>
      </w:r>
      <w:r>
        <w:rPr>
          <w:rFonts w:ascii="Times New Roman" w:hAnsi="Times New Roman"/>
          <w:noProof/>
          <w:sz w:val="24"/>
          <w:szCs w:val="24"/>
          <w:lang w:val="en-GB"/>
        </w:rPr>
        <w:t xml:space="preserve"> or below is efficient when looking at the balance between the overall benefits for the society and the related costs. The machinery behind a char</w:t>
      </w:r>
      <w:r>
        <w:rPr>
          <w:rFonts w:ascii="Times New Roman" w:hAnsi="Times New Roman"/>
          <w:noProof/>
          <w:sz w:val="24"/>
          <w:szCs w:val="24"/>
          <w:lang w:val="en-GB"/>
        </w:rPr>
        <w:t xml:space="preserve">ging system (e.g. accounting, marketing) is costly and a large part of the income of public sector bodies charging beyond marginal costs comes from other public sector bodies. </w:t>
      </w:r>
    </w:p>
    <w:p w:rsidR="003B411A" w:rsidRDefault="009F0AE3">
      <w:pPr>
        <w:spacing w:after="0"/>
        <w:jc w:val="both"/>
        <w:rPr>
          <w:rFonts w:ascii="Times New Roman" w:hAnsi="Times New Roman" w:cs="Times New Roman"/>
          <w:noProof/>
          <w:sz w:val="24"/>
          <w:szCs w:val="24"/>
          <w:lang w:val="en-US"/>
        </w:rPr>
      </w:pPr>
      <w:r>
        <w:rPr>
          <w:rFonts w:ascii="Times New Roman" w:hAnsi="Times New Roman"/>
          <w:noProof/>
          <w:sz w:val="24"/>
          <w:szCs w:val="24"/>
          <w:lang w:val="en-US"/>
        </w:rPr>
        <w:t>W</w:t>
      </w:r>
      <w:r>
        <w:rPr>
          <w:rFonts w:ascii="Times New Roman" w:hAnsi="Times New Roman"/>
          <w:noProof/>
          <w:sz w:val="24"/>
          <w:szCs w:val="24"/>
          <w:lang w:val="en-GB"/>
        </w:rPr>
        <w:t xml:space="preserve">hen trying to look more closely at efficiency gains from the 2013 data format </w:t>
      </w:r>
      <w:r>
        <w:rPr>
          <w:rFonts w:ascii="Times New Roman" w:hAnsi="Times New Roman"/>
          <w:noProof/>
          <w:sz w:val="24"/>
          <w:szCs w:val="24"/>
          <w:lang w:val="en-GB"/>
        </w:rPr>
        <w:t>provisions, it is difficult to provide an average breakdown of costs as both the existing data infrastructures already in place, and the technical choices will have an important impact on the final figure.</w:t>
      </w:r>
      <w:r>
        <w:rPr>
          <w:rFonts w:ascii="Times New Roman" w:hAnsi="Times New Roman"/>
          <w:noProof/>
          <w:sz w:val="24"/>
          <w:szCs w:val="24"/>
          <w:vertAlign w:val="superscript"/>
          <w:lang w:val="en-GB"/>
        </w:rPr>
        <w:footnoteReference w:id="92"/>
      </w:r>
      <w:r>
        <w:rPr>
          <w:rFonts w:ascii="Times New Roman" w:hAnsi="Times New Roman"/>
          <w:noProof/>
          <w:sz w:val="24"/>
          <w:szCs w:val="24"/>
          <w:lang w:val="en-GB"/>
        </w:rPr>
        <w:t xml:space="preserve"> The issue of interoperability is becoming more an</w:t>
      </w:r>
      <w:r>
        <w:rPr>
          <w:rFonts w:ascii="Times New Roman" w:hAnsi="Times New Roman"/>
          <w:noProof/>
          <w:sz w:val="24"/>
          <w:szCs w:val="24"/>
          <w:lang w:val="en-GB"/>
        </w:rPr>
        <w:t>d more relevant to address, in particular as more high value datasets are made available online. This has been evidenced in several recent communications such as those from the Open Data Institute</w:t>
      </w:r>
      <w:r>
        <w:rPr>
          <w:rFonts w:ascii="Times New Roman" w:hAnsi="Times New Roman"/>
          <w:noProof/>
          <w:sz w:val="24"/>
          <w:szCs w:val="24"/>
          <w:vertAlign w:val="superscript"/>
          <w:lang w:val="en-GB"/>
        </w:rPr>
        <w:footnoteReference w:id="93"/>
      </w:r>
      <w:r>
        <w:rPr>
          <w:rFonts w:ascii="Times New Roman" w:hAnsi="Times New Roman"/>
          <w:noProof/>
          <w:sz w:val="24"/>
          <w:szCs w:val="24"/>
          <w:lang w:val="en-GB"/>
        </w:rPr>
        <w:t xml:space="preserve"> and Open Knowledge International</w:t>
      </w:r>
      <w:r>
        <w:rPr>
          <w:rFonts w:ascii="Times New Roman" w:hAnsi="Times New Roman"/>
          <w:noProof/>
          <w:sz w:val="24"/>
          <w:szCs w:val="24"/>
          <w:vertAlign w:val="superscript"/>
          <w:lang w:val="en-GB"/>
        </w:rPr>
        <w:footnoteReference w:id="94"/>
      </w:r>
      <w:r>
        <w:rPr>
          <w:rFonts w:ascii="Times New Roman" w:hAnsi="Times New Roman"/>
          <w:noProof/>
          <w:sz w:val="24"/>
          <w:szCs w:val="24"/>
          <w:lang w:val="en-GB"/>
        </w:rPr>
        <w:t>, which consider it to be</w:t>
      </w:r>
      <w:r>
        <w:rPr>
          <w:rFonts w:ascii="Times New Roman" w:hAnsi="Times New Roman"/>
          <w:noProof/>
          <w:sz w:val="24"/>
          <w:szCs w:val="24"/>
          <w:lang w:val="en-GB"/>
        </w:rPr>
        <w:t xml:space="preserve"> one of the main issues to tackle in order to progress towards a higher impact from open data. In this context it is interesting to recall again the Danish Basic Data Programme, which aims to establish a system of shared key registers through the implement</w:t>
      </w:r>
      <w:r>
        <w:rPr>
          <w:rFonts w:ascii="Times New Roman" w:hAnsi="Times New Roman"/>
          <w:noProof/>
          <w:sz w:val="24"/>
          <w:szCs w:val="24"/>
          <w:lang w:val="en-GB"/>
        </w:rPr>
        <w:t>ation of the "once only" principle that comes with interoperability standards and APIs for data exchange. It has been estimated that the total impact of the Danish Basic Data Programme, if applied to all Member States, would amount to more than 5 billion E</w:t>
      </w:r>
      <w:r>
        <w:rPr>
          <w:rFonts w:ascii="Times New Roman" w:hAnsi="Times New Roman"/>
          <w:noProof/>
          <w:sz w:val="24"/>
          <w:szCs w:val="24"/>
          <w:lang w:val="en-GB"/>
        </w:rPr>
        <w:t xml:space="preserve">UR (net revenues for both public and private sectors), once fully deployed. The very high estimated impact for the whole EU is also due to the fact that those key registers are made freely accessible to users (open data) in high quality and with the right </w:t>
      </w:r>
      <w:r>
        <w:rPr>
          <w:rFonts w:ascii="Times New Roman" w:hAnsi="Times New Roman"/>
          <w:noProof/>
          <w:sz w:val="24"/>
          <w:szCs w:val="24"/>
          <w:lang w:val="en-GB"/>
        </w:rPr>
        <w:t>data formats and means of distribution (those required by the users).</w:t>
      </w:r>
    </w:p>
    <w:p w:rsidR="003B411A" w:rsidRDefault="003B411A">
      <w:pPr>
        <w:spacing w:after="0"/>
        <w:jc w:val="both"/>
        <w:rPr>
          <w:rFonts w:ascii="Times New Roman" w:hAnsi="Times New Roman" w:cs="Times New Roman"/>
          <w:noProof/>
          <w:sz w:val="24"/>
          <w:szCs w:val="24"/>
          <w:lang w:val="en-US"/>
        </w:rPr>
      </w:pPr>
    </w:p>
    <w:p w:rsidR="003B411A" w:rsidRDefault="009F0AE3">
      <w:pPr>
        <w:jc w:val="both"/>
        <w:rPr>
          <w:rFonts w:ascii="Times New Roman" w:hAnsi="Times New Roman"/>
          <w:noProof/>
          <w:sz w:val="24"/>
          <w:lang w:val="en-US"/>
        </w:rPr>
      </w:pPr>
      <w:r>
        <w:rPr>
          <w:rFonts w:ascii="Times New Roman" w:hAnsi="Times New Roman" w:cs="Times New Roman"/>
          <w:noProof/>
          <w:sz w:val="24"/>
          <w:szCs w:val="24"/>
          <w:lang w:val="en-US"/>
        </w:rPr>
        <w:t>As regards the extension of the scope of the Directive to cultural data, it is too early to draw conclusions on the efficiency of the measure, given the low awareness among cultural ins</w:t>
      </w:r>
      <w:r>
        <w:rPr>
          <w:rFonts w:ascii="Times New Roman" w:hAnsi="Times New Roman" w:cs="Times New Roman"/>
          <w:noProof/>
          <w:sz w:val="24"/>
          <w:szCs w:val="24"/>
          <w:lang w:val="en-US"/>
        </w:rPr>
        <w:t>titutions and re-users of the rights and obligations under the Directive.</w:t>
      </w:r>
      <w:r>
        <w:rPr>
          <w:rFonts w:ascii="Times New Roman" w:hAnsi="Times New Roman" w:cs="Times New Roman"/>
          <w:noProof/>
          <w:sz w:val="24"/>
          <w:szCs w:val="24"/>
          <w:lang w:val="en-GB"/>
        </w:rPr>
        <w:t xml:space="preserve"> The costs of making data reusable constitute, however, only a small percentage of the overall costs borne by cultural institutions when they decide to make data available by initiati</w:t>
      </w:r>
      <w:r>
        <w:rPr>
          <w:rFonts w:ascii="Times New Roman" w:hAnsi="Times New Roman" w:cs="Times New Roman"/>
          <w:noProof/>
          <w:sz w:val="24"/>
          <w:szCs w:val="24"/>
          <w:lang w:val="en-GB"/>
        </w:rPr>
        <w:t>ng digitisation of their collections, as confirmed by data collected in Poland in the framework of digitalisation of cultural heritage.</w:t>
      </w:r>
      <w:r>
        <w:rPr>
          <w:rStyle w:val="FootnoteReference"/>
          <w:rFonts w:ascii="Times New Roman" w:hAnsi="Times New Roman" w:cs="Times New Roman"/>
          <w:noProof/>
          <w:szCs w:val="24"/>
          <w:lang w:val="en-US"/>
        </w:rPr>
        <w:footnoteReference w:id="95"/>
      </w:r>
      <w:r>
        <w:rPr>
          <w:rFonts w:ascii="Times New Roman" w:hAnsi="Times New Roman" w:cs="Times New Roman"/>
          <w:noProof/>
          <w:sz w:val="24"/>
          <w:szCs w:val="24"/>
          <w:lang w:val="en-GB"/>
        </w:rPr>
        <w:t xml:space="preserve"> Indeed, the costs for digitisation of cultural heritage are widely considered to be very high.</w:t>
      </w:r>
      <w:r>
        <w:rPr>
          <w:rStyle w:val="FootnoteReference"/>
          <w:rFonts w:ascii="Times New Roman" w:hAnsi="Times New Roman" w:cs="Times New Roman"/>
          <w:noProof/>
          <w:szCs w:val="24"/>
          <w:lang w:val="en-US"/>
        </w:rPr>
        <w:footnoteReference w:id="96"/>
      </w:r>
    </w:p>
    <w:p w:rsidR="003B411A" w:rsidRDefault="009F0AE3">
      <w:pPr>
        <w:rPr>
          <w:rFonts w:ascii="Times New Roman" w:hAnsi="Times New Roman" w:cs="Times New Roman"/>
          <w:i/>
          <w:noProof/>
          <w:sz w:val="24"/>
          <w:szCs w:val="24"/>
          <w:lang w:val="en-US"/>
        </w:rPr>
      </w:pPr>
      <w:r>
        <w:rPr>
          <w:rFonts w:ascii="Times New Roman" w:hAnsi="Times New Roman" w:cs="Times New Roman"/>
          <w:i/>
          <w:noProof/>
          <w:sz w:val="24"/>
          <w:szCs w:val="24"/>
          <w:lang w:val="en-US"/>
        </w:rPr>
        <w:t>Administrative burden</w:t>
      </w:r>
    </w:p>
    <w:p w:rsidR="003B411A" w:rsidRDefault="009F0AE3">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There are no indications that the PSI Directive creates a disproportionate administrative burden on public authorities. 57% of respondents in the public online consultation find that the provisions of the PSI Directive are easy to understand and implement </w:t>
      </w:r>
      <w:r>
        <w:rPr>
          <w:rFonts w:ascii="Times New Roman" w:hAnsi="Times New Roman" w:cs="Times New Roman"/>
          <w:noProof/>
          <w:sz w:val="24"/>
          <w:szCs w:val="24"/>
          <w:lang w:val="en"/>
        </w:rPr>
        <w:t>by public sector bodies and re-users alike. However, some stakeholders have indicated that understanding the interplay between the PSI Directive and other related legal instruments (e.g. the Database Directive) requires a high level of expertise, and in th</w:t>
      </w:r>
      <w:r>
        <w:rPr>
          <w:rFonts w:ascii="Times New Roman" w:hAnsi="Times New Roman" w:cs="Times New Roman"/>
          <w:noProof/>
          <w:sz w:val="24"/>
          <w:szCs w:val="24"/>
          <w:lang w:val="en"/>
        </w:rPr>
        <w:t>is context clarification of this interplay would help in reducing the administrative burden.</w:t>
      </w:r>
    </w:p>
    <w:p w:rsidR="003B411A" w:rsidRDefault="009F0AE3">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Apart from the issue mentioned above, the burden mainly concerns public sector bodies and consists of the costs of coordination, service implementation relating to</w:t>
      </w:r>
      <w:r>
        <w:rPr>
          <w:rFonts w:ascii="Times New Roman" w:hAnsi="Times New Roman" w:cs="Times New Roman"/>
          <w:noProof/>
          <w:sz w:val="24"/>
          <w:szCs w:val="24"/>
          <w:lang w:val="en"/>
        </w:rPr>
        <w:t xml:space="preserve"> processing requests to make data available for re-use and compliance with transparency requirements. Despite these requirements, the burden does not appear to be excessive. For example, according to a Dutch study commissioned by the Association of Dutch m</w:t>
      </w:r>
      <w:r>
        <w:rPr>
          <w:rFonts w:ascii="Times New Roman" w:hAnsi="Times New Roman" w:cs="Times New Roman"/>
          <w:noProof/>
          <w:sz w:val="24"/>
          <w:szCs w:val="24"/>
          <w:lang w:val="en"/>
        </w:rPr>
        <w:t>unicipalities (VNG)</w:t>
      </w:r>
      <w:r>
        <w:rPr>
          <w:rStyle w:val="FootnoteReference"/>
          <w:rFonts w:ascii="Times New Roman" w:hAnsi="Times New Roman" w:cs="Times New Roman"/>
          <w:noProof/>
          <w:szCs w:val="24"/>
          <w:lang w:val="en"/>
        </w:rPr>
        <w:footnoteReference w:id="97"/>
      </w:r>
      <w:r>
        <w:rPr>
          <w:rFonts w:ascii="Times New Roman" w:hAnsi="Times New Roman" w:cs="Times New Roman"/>
          <w:noProof/>
          <w:sz w:val="24"/>
          <w:szCs w:val="24"/>
          <w:lang w:val="en"/>
        </w:rPr>
        <w:t xml:space="preserve">, the implementation costs of the 2015 national law transposing the PSI Directive </w:t>
      </w:r>
      <w:r>
        <w:rPr>
          <w:rFonts w:ascii="Times New Roman" w:hAnsi="Times New Roman"/>
          <w:i/>
          <w:noProof/>
          <w:sz w:val="24"/>
          <w:lang w:val="en"/>
        </w:rPr>
        <w:t>(Wet hergebruik overheidsinformatie – Who)</w:t>
      </w:r>
      <w:r>
        <w:rPr>
          <w:rFonts w:ascii="Times New Roman" w:hAnsi="Times New Roman" w:cs="Times New Roman"/>
          <w:noProof/>
          <w:sz w:val="24"/>
          <w:szCs w:val="24"/>
          <w:lang w:val="en"/>
        </w:rPr>
        <w:t xml:space="preserve"> do not exceed 2000 EUR per municipality per year. On a more global level, there are also monitoring and reporti</w:t>
      </w:r>
      <w:r>
        <w:rPr>
          <w:rFonts w:ascii="Times New Roman" w:hAnsi="Times New Roman" w:cs="Times New Roman"/>
          <w:noProof/>
          <w:sz w:val="24"/>
          <w:szCs w:val="24"/>
          <w:lang w:val="en"/>
        </w:rPr>
        <w:t xml:space="preserve">ng obligations under the Directive, but they do not appear to be excessive either. According to feedback from Member States, the elaboration of the most complete report required around 100 man/days, with shorter and more streamlined reports requiring much </w:t>
      </w:r>
      <w:r>
        <w:rPr>
          <w:rFonts w:ascii="Times New Roman" w:hAnsi="Times New Roman" w:cs="Times New Roman"/>
          <w:noProof/>
          <w:sz w:val="24"/>
          <w:szCs w:val="24"/>
          <w:lang w:val="en"/>
        </w:rPr>
        <w:t>less time and effort. Another issue raised in the exchanges with Member States is the need to be able to deal efficiently with recurrent unjustified requests from the same requester.</w:t>
      </w:r>
    </w:p>
    <w:p w:rsidR="003B411A" w:rsidRDefault="009F0AE3">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More generally, it has also been pointed out that the overall thrust of t</w:t>
      </w:r>
      <w:r>
        <w:rPr>
          <w:rFonts w:ascii="Times New Roman" w:hAnsi="Times New Roman" w:cs="Times New Roman"/>
          <w:noProof/>
          <w:sz w:val="24"/>
          <w:szCs w:val="24"/>
          <w:lang w:val="en"/>
        </w:rPr>
        <w:t>he Directive is favorable towards reducing administrative burden, because it encourages public sector bodies to proactively make as much PSI available online for re-use as possible, ideally in an automated way. Following this principle means that public se</w:t>
      </w:r>
      <w:r>
        <w:rPr>
          <w:rFonts w:ascii="Times New Roman" w:hAnsi="Times New Roman" w:cs="Times New Roman"/>
          <w:noProof/>
          <w:sz w:val="24"/>
          <w:szCs w:val="24"/>
          <w:lang w:val="en"/>
        </w:rPr>
        <w:t>ctor bodies would be faced with fewer requests and fewer complaints, and the administrative burden and costs related to this would progressively decrease as more and more PSI for re-use becomes available online. The example of the Danish Basic Data Program</w:t>
      </w:r>
      <w:r>
        <w:rPr>
          <w:rFonts w:ascii="Times New Roman" w:hAnsi="Times New Roman" w:cs="Times New Roman"/>
          <w:noProof/>
          <w:sz w:val="24"/>
          <w:szCs w:val="24"/>
          <w:lang w:val="en"/>
        </w:rPr>
        <w:t>me mentioned above indicates the financial benefits of this pro-active approach, which has the additional advantage of lowering the cost for re-users in dealing with the administration.</w:t>
      </w:r>
    </w:p>
    <w:p w:rsidR="003B411A" w:rsidRDefault="009F0AE3">
      <w:pPr>
        <w:jc w:val="both"/>
        <w:rPr>
          <w:rFonts w:ascii="Times New Roman" w:hAnsi="Times New Roman"/>
          <w:noProof/>
          <w:sz w:val="24"/>
          <w:lang w:val="en"/>
        </w:rPr>
      </w:pPr>
      <w:r>
        <w:rPr>
          <w:rFonts w:ascii="Times New Roman" w:hAnsi="Times New Roman" w:cs="Times New Roman"/>
          <w:noProof/>
          <w:sz w:val="24"/>
          <w:szCs w:val="24"/>
          <w:lang w:val="en"/>
        </w:rPr>
        <w:t>Finally, the Commission's guidelines of 2014</w:t>
      </w:r>
      <w:r>
        <w:rPr>
          <w:rStyle w:val="FootnoteReference"/>
          <w:rFonts w:ascii="Times New Roman" w:hAnsi="Times New Roman" w:cs="Times New Roman"/>
          <w:noProof/>
          <w:szCs w:val="24"/>
          <w:lang w:val="en"/>
        </w:rPr>
        <w:footnoteReference w:id="98"/>
      </w:r>
      <w:r>
        <w:rPr>
          <w:rFonts w:ascii="Times New Roman" w:hAnsi="Times New Roman" w:cs="Times New Roman"/>
          <w:noProof/>
          <w:sz w:val="24"/>
          <w:szCs w:val="24"/>
          <w:lang w:val="en"/>
        </w:rPr>
        <w:t xml:space="preserve"> have helped Member State</w:t>
      </w:r>
      <w:r>
        <w:rPr>
          <w:rFonts w:ascii="Times New Roman" w:hAnsi="Times New Roman" w:cs="Times New Roman"/>
          <w:noProof/>
          <w:sz w:val="24"/>
          <w:szCs w:val="24"/>
          <w:lang w:val="en"/>
        </w:rPr>
        <w:t>s with practical guidance that can further help public sector bodies in reducing their administrative burden by optimising the conditions for the re-use of PSI.</w:t>
      </w:r>
      <w:r>
        <w:rPr>
          <w:rStyle w:val="FootnoteReference"/>
          <w:rFonts w:ascii="Times New Roman" w:hAnsi="Times New Roman" w:cs="Times New Roman"/>
          <w:noProof/>
          <w:szCs w:val="24"/>
          <w:lang w:val="en"/>
        </w:rPr>
        <w:footnoteReference w:id="99"/>
      </w:r>
      <w:r>
        <w:rPr>
          <w:rFonts w:ascii="Times New Roman" w:hAnsi="Times New Roman" w:cs="Times New Roman"/>
          <w:noProof/>
          <w:sz w:val="24"/>
          <w:szCs w:val="24"/>
          <w:lang w:val="en"/>
        </w:rPr>
        <w:t xml:space="preserve"> The purpose of the guidelines is to provide non-binding guidance on the best practices concern</w:t>
      </w:r>
      <w:r>
        <w:rPr>
          <w:rFonts w:ascii="Times New Roman" w:hAnsi="Times New Roman" w:cs="Times New Roman"/>
          <w:noProof/>
          <w:sz w:val="24"/>
          <w:szCs w:val="24"/>
          <w:lang w:val="en"/>
        </w:rPr>
        <w:t>ing the use of available open standard licences, the elements to include in custom-made licences, datasets to be published as priority, the ways to make them more readily re-usable, the application of the marginal cost rule and the cost elements that can b</w:t>
      </w:r>
      <w:r>
        <w:rPr>
          <w:rFonts w:ascii="Times New Roman" w:hAnsi="Times New Roman" w:cs="Times New Roman"/>
          <w:noProof/>
          <w:sz w:val="24"/>
          <w:szCs w:val="24"/>
          <w:lang w:val="en"/>
        </w:rPr>
        <w:t>e taken into account for cost-recovery charging. A number of stakeholders have indicated that the guidelines have helped them save time and effort that would otherwise have been required to address these issues on their own.</w:t>
      </w:r>
      <w:r>
        <w:rPr>
          <w:rStyle w:val="FootnoteReference"/>
          <w:rFonts w:ascii="Times New Roman" w:hAnsi="Times New Roman" w:cs="Times New Roman"/>
          <w:noProof/>
          <w:szCs w:val="24"/>
          <w:lang w:val="en"/>
        </w:rPr>
        <w:footnoteReference w:id="100"/>
      </w:r>
    </w:p>
    <w:p w:rsidR="003B411A" w:rsidRDefault="009F0AE3">
      <w:pPr>
        <w:pBdr>
          <w:top w:val="single" w:sz="4" w:space="1" w:color="auto"/>
          <w:left w:val="single" w:sz="4" w:space="4" w:color="auto"/>
          <w:bottom w:val="single" w:sz="4" w:space="1" w:color="auto"/>
          <w:right w:val="single" w:sz="4" w:space="4" w:color="auto"/>
        </w:pBdr>
        <w:jc w:val="both"/>
        <w:rPr>
          <w:noProof/>
          <w:sz w:val="24"/>
          <w:szCs w:val="24"/>
          <w:lang w:val="en-GB"/>
        </w:rPr>
      </w:pPr>
      <w:r>
        <w:rPr>
          <w:rFonts w:ascii="Times New Roman" w:hAnsi="Times New Roman" w:cs="Times New Roman"/>
          <w:noProof/>
          <w:sz w:val="24"/>
          <w:szCs w:val="24"/>
          <w:lang w:val="en-GB"/>
        </w:rPr>
        <w:t>The analysis of the findings o</w:t>
      </w:r>
      <w:r>
        <w:rPr>
          <w:rFonts w:ascii="Times New Roman" w:hAnsi="Times New Roman" w:cs="Times New Roman"/>
          <w:noProof/>
          <w:sz w:val="24"/>
          <w:szCs w:val="24"/>
          <w:lang w:val="en-GB"/>
        </w:rPr>
        <w:t>n the efficiency of the Directive points to the conclusion that there is an overall positive balance between the costs and the (quantitative and qualitative) benefits of this legislation. For the efficiency of the 2013 extension to the cultural institution</w:t>
      </w:r>
      <w:r>
        <w:rPr>
          <w:rFonts w:ascii="Times New Roman" w:hAnsi="Times New Roman" w:cs="Times New Roman"/>
          <w:noProof/>
          <w:sz w:val="24"/>
          <w:szCs w:val="24"/>
          <w:lang w:val="en-GB"/>
        </w:rPr>
        <w:t xml:space="preserve">s, it is too early to draw conclusions. </w:t>
      </w:r>
    </w:p>
    <w:p w:rsidR="003B411A" w:rsidRDefault="009F0AE3">
      <w:pPr>
        <w:spacing w:before="240"/>
        <w:rPr>
          <w:rFonts w:ascii="Times New Roman" w:hAnsi="Times New Roman"/>
          <w:b/>
          <w:noProof/>
          <w:sz w:val="24"/>
          <w:lang w:val="en-GB"/>
        </w:rPr>
      </w:pPr>
      <w:r>
        <w:rPr>
          <w:rFonts w:ascii="Times New Roman" w:hAnsi="Times New Roman"/>
          <w:b/>
          <w:noProof/>
          <w:sz w:val="24"/>
          <w:lang w:val="en-GB"/>
        </w:rPr>
        <w:t>RELEVANCE</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Based on the evidence available, the PSI Directive is still very relevant today because it responds to a large extent to stakeholders’ needs, still fulfills its policy objectives, and addresses the right issues to facilitate re-use. </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Through its provisions</w:t>
      </w:r>
      <w:r>
        <w:rPr>
          <w:rFonts w:ascii="Times New Roman" w:hAnsi="Times New Roman" w:cs="Times New Roman"/>
          <w:noProof/>
          <w:sz w:val="24"/>
          <w:szCs w:val="24"/>
          <w:lang w:val="en-US"/>
        </w:rPr>
        <w:t xml:space="preserve"> on charging, non-discrimination, licences, requests for re-use, transparency and technical issues, it addresses the key requirements for successful PSI re-use, in particular that the information is:</w:t>
      </w:r>
    </w:p>
    <w:p w:rsidR="003B411A" w:rsidRDefault="009F0AE3">
      <w:pPr>
        <w:pStyle w:val="ListParagraph"/>
        <w:numPr>
          <w:ilvl w:val="0"/>
          <w:numId w:val="29"/>
        </w:numPr>
        <w:spacing w:before="120" w:after="160" w:line="259" w:lineRule="auto"/>
        <w:rPr>
          <w:rFonts w:eastAsiaTheme="minorHAnsi"/>
          <w:noProof/>
          <w:szCs w:val="24"/>
          <w:lang w:val="en-US"/>
        </w:rPr>
      </w:pPr>
      <w:r>
        <w:rPr>
          <w:rFonts w:eastAsiaTheme="minorHAnsi"/>
          <w:noProof/>
          <w:szCs w:val="24"/>
          <w:lang w:val="en-US"/>
        </w:rPr>
        <w:t>known to the re-user</w:t>
      </w:r>
      <w:r>
        <w:rPr>
          <w:noProof/>
          <w:szCs w:val="24"/>
          <w:lang w:val="en-US"/>
        </w:rPr>
        <w:t>;</w:t>
      </w:r>
    </w:p>
    <w:p w:rsidR="003B411A" w:rsidRDefault="009F0AE3">
      <w:pPr>
        <w:pStyle w:val="ListParagraph"/>
        <w:numPr>
          <w:ilvl w:val="0"/>
          <w:numId w:val="29"/>
        </w:numPr>
        <w:spacing w:before="120" w:after="160" w:line="259" w:lineRule="auto"/>
        <w:rPr>
          <w:rFonts w:eastAsiaTheme="minorHAnsi"/>
          <w:noProof/>
          <w:szCs w:val="24"/>
          <w:lang w:val="en-US"/>
        </w:rPr>
      </w:pPr>
      <w:r>
        <w:rPr>
          <w:rFonts w:eastAsiaTheme="minorHAnsi"/>
          <w:noProof/>
          <w:szCs w:val="24"/>
          <w:lang w:val="en-US"/>
        </w:rPr>
        <w:t>attainable for the re-user</w:t>
      </w:r>
      <w:r>
        <w:rPr>
          <w:noProof/>
          <w:szCs w:val="24"/>
          <w:lang w:val="en-US"/>
        </w:rPr>
        <w:t>;</w:t>
      </w:r>
    </w:p>
    <w:p w:rsidR="003B411A" w:rsidRDefault="009F0AE3">
      <w:pPr>
        <w:pStyle w:val="ListParagraph"/>
        <w:numPr>
          <w:ilvl w:val="0"/>
          <w:numId w:val="29"/>
        </w:numPr>
        <w:spacing w:before="120" w:after="160" w:line="259" w:lineRule="auto"/>
        <w:rPr>
          <w:noProof/>
          <w:szCs w:val="24"/>
          <w:lang w:val="en-US"/>
        </w:rPr>
      </w:pPr>
      <w:r>
        <w:rPr>
          <w:rFonts w:eastAsiaTheme="minorHAnsi"/>
          <w:noProof/>
          <w:szCs w:val="24"/>
          <w:lang w:val="en-US"/>
        </w:rPr>
        <w:t>can be</w:t>
      </w:r>
      <w:r>
        <w:rPr>
          <w:rFonts w:eastAsiaTheme="minorHAnsi"/>
          <w:noProof/>
          <w:szCs w:val="24"/>
          <w:lang w:val="en-US"/>
        </w:rPr>
        <w:t xml:space="preserve"> used for the intended purpose of the re-user</w:t>
      </w:r>
      <w:r>
        <w:rPr>
          <w:noProof/>
          <w:szCs w:val="24"/>
          <w:lang w:val="en-US"/>
        </w:rPr>
        <w:t>.</w:t>
      </w:r>
      <w:r>
        <w:rPr>
          <w:rStyle w:val="FootnoteReference"/>
          <w:noProof/>
          <w:sz w:val="24"/>
          <w:szCs w:val="24"/>
          <w:lang w:val="en-US"/>
        </w:rPr>
        <w:footnoteReference w:id="101"/>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terms of more specific requirements, it has long been acknowledged</w:t>
      </w:r>
      <w:r>
        <w:rPr>
          <w:rStyle w:val="FootnoteReference"/>
          <w:rFonts w:ascii="Times New Roman" w:hAnsi="Times New Roman" w:cs="Times New Roman"/>
          <w:noProof/>
          <w:szCs w:val="24"/>
          <w:lang w:val="en-US"/>
        </w:rPr>
        <w:footnoteReference w:id="102"/>
      </w:r>
      <w:r>
        <w:rPr>
          <w:rFonts w:ascii="Times New Roman" w:hAnsi="Times New Roman" w:cs="Times New Roman"/>
          <w:noProof/>
          <w:sz w:val="24"/>
          <w:szCs w:val="24"/>
          <w:lang w:val="en-US"/>
        </w:rPr>
        <w:t xml:space="preserve"> that PSI re-users need: </w:t>
      </w:r>
    </w:p>
    <w:p w:rsidR="003B411A" w:rsidRDefault="009F0AE3">
      <w:pPr>
        <w:pStyle w:val="ListParagraph"/>
        <w:numPr>
          <w:ilvl w:val="0"/>
          <w:numId w:val="27"/>
        </w:numPr>
        <w:spacing w:before="120" w:after="160" w:line="259" w:lineRule="auto"/>
        <w:rPr>
          <w:rFonts w:eastAsiaTheme="minorHAnsi"/>
          <w:noProof/>
          <w:szCs w:val="24"/>
          <w:lang w:val="en-US"/>
        </w:rPr>
      </w:pPr>
      <w:r>
        <w:rPr>
          <w:rFonts w:eastAsiaTheme="minorHAnsi"/>
          <w:noProof/>
        </w:rPr>
        <w:t>c</w:t>
      </w:r>
      <w:r>
        <w:rPr>
          <w:rFonts w:eastAsiaTheme="minorHAnsi"/>
          <w:noProof/>
          <w:szCs w:val="24"/>
          <w:lang w:val="en-US"/>
        </w:rPr>
        <w:t xml:space="preserve">lear, transparent and harmonised rules for access and re-use across all Member States to avoid uncertainty </w:t>
      </w:r>
      <w:r>
        <w:rPr>
          <w:rFonts w:eastAsiaTheme="minorHAnsi"/>
          <w:noProof/>
          <w:szCs w:val="24"/>
          <w:lang w:val="en-US"/>
        </w:rPr>
        <w:t>linked to different approaches and regimes at the national level;</w:t>
      </w:r>
    </w:p>
    <w:p w:rsidR="003B411A" w:rsidRDefault="009F0AE3">
      <w:pPr>
        <w:pStyle w:val="ListParagraph"/>
        <w:numPr>
          <w:ilvl w:val="0"/>
          <w:numId w:val="27"/>
        </w:numPr>
        <w:spacing w:before="120" w:after="160" w:line="259" w:lineRule="auto"/>
        <w:rPr>
          <w:rFonts w:eastAsiaTheme="minorHAnsi"/>
          <w:noProof/>
          <w:szCs w:val="24"/>
          <w:lang w:val="en-US"/>
        </w:rPr>
      </w:pPr>
      <w:r>
        <w:rPr>
          <w:rFonts w:eastAsiaTheme="minorHAnsi"/>
          <w:noProof/>
          <w:szCs w:val="24"/>
          <w:lang w:val="en-US"/>
        </w:rPr>
        <w:t>quality metadata;</w:t>
      </w:r>
      <w:r>
        <w:rPr>
          <w:rStyle w:val="FootnoteReference"/>
          <w:rFonts w:eastAsiaTheme="minorHAnsi"/>
          <w:noProof/>
          <w:szCs w:val="24"/>
          <w:lang w:val="en-US"/>
        </w:rPr>
        <w:footnoteReference w:id="103"/>
      </w:r>
    </w:p>
    <w:p w:rsidR="003B411A" w:rsidRDefault="009F0AE3">
      <w:pPr>
        <w:pStyle w:val="ListParagraph"/>
        <w:numPr>
          <w:ilvl w:val="0"/>
          <w:numId w:val="27"/>
        </w:numPr>
        <w:spacing w:before="120" w:after="160" w:line="259" w:lineRule="auto"/>
        <w:rPr>
          <w:rFonts w:eastAsiaTheme="minorHAnsi"/>
          <w:noProof/>
          <w:szCs w:val="24"/>
          <w:lang w:val="en-US"/>
        </w:rPr>
      </w:pPr>
      <w:r>
        <w:rPr>
          <w:rFonts w:eastAsiaTheme="minorHAnsi"/>
          <w:noProof/>
          <w:szCs w:val="24"/>
        </w:rPr>
        <w:t>the availability of</w:t>
      </w:r>
      <w:r>
        <w:rPr>
          <w:rFonts w:eastAsiaTheme="minorHAnsi"/>
          <w:noProof/>
          <w:szCs w:val="24"/>
          <w:lang w:val="en-US"/>
        </w:rPr>
        <w:t xml:space="preserve"> more datasets; </w:t>
      </w:r>
    </w:p>
    <w:p w:rsidR="003B411A" w:rsidRDefault="009F0AE3">
      <w:pPr>
        <w:pStyle w:val="ListParagraph"/>
        <w:numPr>
          <w:ilvl w:val="0"/>
          <w:numId w:val="27"/>
        </w:numPr>
        <w:spacing w:before="120" w:after="160" w:line="259" w:lineRule="auto"/>
        <w:rPr>
          <w:rFonts w:eastAsiaTheme="minorHAnsi"/>
          <w:noProof/>
          <w:szCs w:val="24"/>
          <w:lang w:val="en-US"/>
        </w:rPr>
      </w:pPr>
      <w:r>
        <w:rPr>
          <w:rFonts w:eastAsiaTheme="minorHAnsi"/>
          <w:noProof/>
        </w:rPr>
        <w:t>l</w:t>
      </w:r>
      <w:r>
        <w:rPr>
          <w:rFonts w:eastAsiaTheme="minorHAnsi"/>
          <w:noProof/>
          <w:szCs w:val="24"/>
          <w:lang w:val="en-US"/>
        </w:rPr>
        <w:t>owering of charging for re-use of data to stimulate development of new products and services; and</w:t>
      </w:r>
    </w:p>
    <w:p w:rsidR="003B411A" w:rsidRDefault="009F0AE3">
      <w:pPr>
        <w:pStyle w:val="ListParagraph"/>
        <w:numPr>
          <w:ilvl w:val="0"/>
          <w:numId w:val="27"/>
        </w:numPr>
        <w:spacing w:before="120" w:after="160" w:line="259" w:lineRule="auto"/>
        <w:rPr>
          <w:rFonts w:eastAsiaTheme="minorHAnsi"/>
          <w:noProof/>
          <w:szCs w:val="24"/>
          <w:lang w:val="en-US"/>
        </w:rPr>
      </w:pPr>
      <w:r>
        <w:rPr>
          <w:rFonts w:eastAsiaTheme="minorHAnsi"/>
          <w:noProof/>
        </w:rPr>
        <w:t>data</w:t>
      </w:r>
      <w:r>
        <w:rPr>
          <w:rFonts w:eastAsiaTheme="minorHAnsi"/>
          <w:noProof/>
          <w:szCs w:val="24"/>
          <w:lang w:val="en-US"/>
        </w:rPr>
        <w:t xml:space="preserve"> to be provided in a standard, m</w:t>
      </w:r>
      <w:r>
        <w:rPr>
          <w:rFonts w:eastAsiaTheme="minorHAnsi"/>
          <w:noProof/>
          <w:szCs w:val="24"/>
          <w:lang w:val="en-US"/>
        </w:rPr>
        <w:t xml:space="preserve">achine readable and re-usable format. </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majority of stakeholders interviewed agreed that the PSI Directive responded to these needs (although sometimes not to the full extent – e.g. research data are currently not included in the scope of the Directive)</w:t>
      </w:r>
      <w:r>
        <w:rPr>
          <w:rFonts w:ascii="Times New Roman" w:hAnsi="Times New Roman" w:cs="Times New Roman"/>
          <w:noProof/>
          <w:sz w:val="24"/>
          <w:szCs w:val="24"/>
          <w:lang w:val="en-US"/>
        </w:rPr>
        <w:t xml:space="preserve"> and that the legislative measure is still relevant today.</w:t>
      </w:r>
      <w:r>
        <w:rPr>
          <w:rStyle w:val="FootnoteReference"/>
          <w:rFonts w:ascii="Times New Roman" w:hAnsi="Times New Roman" w:cs="Times New Roman"/>
          <w:noProof/>
          <w:sz w:val="24"/>
          <w:szCs w:val="24"/>
          <w:lang w:val="en-US"/>
        </w:rPr>
        <w:footnoteReference w:id="104"/>
      </w:r>
      <w:r>
        <w:rPr>
          <w:rFonts w:ascii="Times New Roman" w:hAnsi="Times New Roman" w:cs="Times New Roman"/>
          <w:noProof/>
          <w:sz w:val="24"/>
          <w:szCs w:val="24"/>
          <w:lang w:val="en-US"/>
        </w:rPr>
        <w:t xml:space="preserve"> </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Directive is also seen as relevant for achieving policy goals beyond its key objectives, in particular the openness of government. Although sometimes confusion arises between traditional free</w:t>
      </w:r>
      <w:r>
        <w:rPr>
          <w:rFonts w:ascii="Times New Roman" w:hAnsi="Times New Roman" w:cs="Times New Roman"/>
          <w:noProof/>
          <w:sz w:val="24"/>
          <w:szCs w:val="24"/>
          <w:lang w:val="en-US"/>
        </w:rPr>
        <w:t>dom of information legislation and the re-use of public sector data</w:t>
      </w:r>
      <w:r>
        <w:rPr>
          <w:rStyle w:val="FootnoteReference"/>
          <w:rFonts w:ascii="Times New Roman" w:hAnsi="Times New Roman" w:cs="Times New Roman"/>
          <w:noProof/>
          <w:sz w:val="24"/>
          <w:szCs w:val="24"/>
          <w:lang w:val="en-US"/>
        </w:rPr>
        <w:footnoteReference w:id="105"/>
      </w:r>
      <w:r>
        <w:rPr>
          <w:rFonts w:ascii="Times New Roman" w:hAnsi="Times New Roman" w:cs="Times New Roman"/>
          <w:noProof/>
          <w:sz w:val="24"/>
          <w:szCs w:val="24"/>
          <w:lang w:val="en-US"/>
        </w:rPr>
        <w:t>, stakeholders agree that the Directive is relevant and helpful in pushing for more transparent and open governments.</w:t>
      </w:r>
      <w:r>
        <w:rPr>
          <w:rStyle w:val="FootnoteReference"/>
          <w:rFonts w:ascii="Times New Roman" w:hAnsi="Times New Roman" w:cs="Times New Roman"/>
          <w:noProof/>
          <w:sz w:val="24"/>
          <w:szCs w:val="24"/>
          <w:lang w:val="en-US"/>
        </w:rPr>
        <w:footnoteReference w:id="106"/>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above findings are largely confirmed by data from the online publ</w:t>
      </w:r>
      <w:r>
        <w:rPr>
          <w:rFonts w:ascii="Times New Roman" w:hAnsi="Times New Roman" w:cs="Times New Roman"/>
          <w:noProof/>
          <w:sz w:val="24"/>
          <w:szCs w:val="24"/>
          <w:lang w:val="en-US"/>
        </w:rPr>
        <w:t>ic consultation. 87% of respondents agree that the PSI Directive is still relevant by ensuring the supply of PSI into the EU single market for PSI, with 82% convinced that it ensures sufficient usability (e.g. machine-readability) of data. Furthermore, 87%</w:t>
      </w:r>
      <w:r>
        <w:rPr>
          <w:rFonts w:ascii="Times New Roman" w:hAnsi="Times New Roman" w:cs="Times New Roman"/>
          <w:noProof/>
          <w:sz w:val="24"/>
          <w:szCs w:val="24"/>
          <w:lang w:val="en-US"/>
        </w:rPr>
        <w:t xml:space="preserve"> respondents agree that the Directive ensures fair market access (non-discrimination) for all re-users and 85% believe that it ensures transparency and accountability of public sector bodies.</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Thus, at this stage, the appraisal of the relevance of the PSI </w:t>
      </w:r>
      <w:r>
        <w:rPr>
          <w:rFonts w:ascii="Times New Roman" w:hAnsi="Times New Roman" w:cs="Times New Roman"/>
          <w:noProof/>
          <w:sz w:val="24"/>
          <w:szCs w:val="24"/>
          <w:lang w:val="en-US"/>
        </w:rPr>
        <w:t>Directive seems very positive. At the same time, the interaction with stakeholders also suggests that there might be a number of challenges for the future, which could affect the relevance of the PSI Directive. These emerging and future stakeholders’</w:t>
      </w:r>
      <w:r>
        <w:rPr>
          <w:rFonts w:ascii="Times New Roman" w:hAnsi="Times New Roman" w:cs="Times New Roman"/>
          <w:i/>
          <w:noProof/>
          <w:sz w:val="24"/>
          <w:szCs w:val="24"/>
          <w:lang w:val="en-US"/>
        </w:rPr>
        <w:t xml:space="preserve"> </w:t>
      </w:r>
      <w:r>
        <w:rPr>
          <w:rFonts w:ascii="Times New Roman" w:hAnsi="Times New Roman" w:cs="Times New Roman"/>
          <w:noProof/>
          <w:sz w:val="24"/>
          <w:szCs w:val="24"/>
          <w:lang w:val="en-US"/>
        </w:rPr>
        <w:t>needs</w:t>
      </w:r>
      <w:r>
        <w:rPr>
          <w:rFonts w:ascii="Times New Roman" w:hAnsi="Times New Roman" w:cs="Times New Roman"/>
          <w:noProof/>
          <w:sz w:val="24"/>
          <w:szCs w:val="24"/>
          <w:lang w:val="en-US"/>
        </w:rPr>
        <w:t xml:space="preserve"> concern in particular:</w:t>
      </w:r>
    </w:p>
    <w:p w:rsidR="003B411A" w:rsidRDefault="009F0AE3">
      <w:pPr>
        <w:pStyle w:val="ListParagraph"/>
        <w:numPr>
          <w:ilvl w:val="0"/>
          <w:numId w:val="26"/>
        </w:numPr>
        <w:rPr>
          <w:noProof/>
          <w:szCs w:val="24"/>
          <w:lang w:val="en-US"/>
        </w:rPr>
      </w:pPr>
      <w:r>
        <w:rPr>
          <w:noProof/>
          <w:szCs w:val="24"/>
          <w:lang w:val="en-US"/>
        </w:rPr>
        <w:t>the scope of the Directive, which does not include a number of valuable datasets, such as for instance research data and data held by public undertakings in utility domains (energy, transport, waste etc.). Some Member States are leg</w:t>
      </w:r>
      <w:r>
        <w:rPr>
          <w:noProof/>
          <w:szCs w:val="24"/>
          <w:lang w:val="en-US"/>
        </w:rPr>
        <w:t>islating in these areas in view of making more data of public interest available, while others are not, which risks creating an uneven playing field across the EU.</w:t>
      </w:r>
    </w:p>
    <w:p w:rsidR="003B411A" w:rsidRDefault="003B411A">
      <w:pPr>
        <w:pStyle w:val="ListParagraph"/>
        <w:rPr>
          <w:noProof/>
          <w:szCs w:val="24"/>
          <w:lang w:val="en-US"/>
        </w:rPr>
      </w:pPr>
    </w:p>
    <w:p w:rsidR="003B411A" w:rsidRDefault="009F0AE3">
      <w:pPr>
        <w:pStyle w:val="ListParagraph"/>
        <w:numPr>
          <w:ilvl w:val="0"/>
          <w:numId w:val="26"/>
        </w:numPr>
        <w:rPr>
          <w:noProof/>
          <w:szCs w:val="24"/>
          <w:lang w:val="en-US"/>
        </w:rPr>
      </w:pPr>
      <w:r>
        <w:rPr>
          <w:noProof/>
          <w:szCs w:val="24"/>
          <w:lang w:val="en-US"/>
        </w:rPr>
        <w:t>the lack of a clear direction concerning dynamic data and APIs. The 2013 rules concerning m</w:t>
      </w:r>
      <w:r>
        <w:rPr>
          <w:noProof/>
          <w:szCs w:val="24"/>
          <w:lang w:val="en-US"/>
        </w:rPr>
        <w:t xml:space="preserve">achine-readable and reusable format already facilitate the re-use of data, but these provisions are not sufficient anymore in a world in which data have become much more frequently re-used in real time. To extract value from such PSI it is imperative that </w:t>
      </w:r>
      <w:r>
        <w:rPr>
          <w:noProof/>
          <w:szCs w:val="24"/>
          <w:lang w:val="en-US"/>
        </w:rPr>
        <w:t>public sector bodies make it available in automated ways, ideally via APIs.</w:t>
      </w:r>
    </w:p>
    <w:p w:rsidR="003B411A" w:rsidRDefault="009F0AE3">
      <w:pPr>
        <w:jc w:val="both"/>
        <w:rPr>
          <w:rFonts w:ascii="Times New Roman" w:hAnsi="Times New Roman" w:cs="Times New Roman"/>
          <w:b/>
          <w:noProof/>
          <w:sz w:val="24"/>
          <w:szCs w:val="24"/>
          <w:lang w:val="en-US"/>
        </w:rPr>
      </w:pPr>
      <w:r>
        <w:rPr>
          <w:rFonts w:ascii="Times New Roman" w:hAnsi="Times New Roman" w:cs="Times New Roman"/>
          <w:i/>
          <w:noProof/>
          <w:sz w:val="24"/>
          <w:szCs w:val="24"/>
          <w:lang w:val="en-US"/>
        </w:rPr>
        <w:t>2013 changes to the PSI Directive</w:t>
      </w:r>
    </w:p>
    <w:p w:rsidR="003B411A" w:rsidRDefault="009F0AE3">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At the time of its adoption, the new PSI Directive provisions related to cultural data were relevant to the context and the needs of the main stak</w:t>
      </w:r>
      <w:r>
        <w:rPr>
          <w:rFonts w:ascii="Times New Roman" w:hAnsi="Times New Roman" w:cs="Times New Roman"/>
          <w:noProof/>
          <w:sz w:val="24"/>
          <w:szCs w:val="24"/>
          <w:lang w:val="en-US"/>
        </w:rPr>
        <w:t>eholders. Four years later, the Directive remains relevant because, according to the stakeholders interviewed, the conditions that made the Directive relevant in 2013 have not radically changed in the meantime.</w:t>
      </w:r>
      <w:r>
        <w:rPr>
          <w:rFonts w:ascii="Times New Roman" w:hAnsi="Times New Roman" w:cs="Times New Roman"/>
          <w:noProof/>
          <w:sz w:val="24"/>
          <w:szCs w:val="24"/>
          <w:vertAlign w:val="superscript"/>
          <w:lang w:val="en-US"/>
        </w:rPr>
        <w:footnoteReference w:id="107"/>
      </w:r>
      <w:r>
        <w:rPr>
          <w:rFonts w:ascii="Times New Roman" w:hAnsi="Times New Roman" w:cs="Times New Roman"/>
          <w:noProof/>
          <w:sz w:val="24"/>
          <w:szCs w:val="24"/>
          <w:lang w:val="en-US"/>
        </w:rPr>
        <w:t xml:space="preserve"> In particular, cultural institutions still n</w:t>
      </w:r>
      <w:r>
        <w:rPr>
          <w:rFonts w:ascii="Times New Roman" w:hAnsi="Times New Roman" w:cs="Times New Roman"/>
          <w:noProof/>
          <w:sz w:val="24"/>
          <w:szCs w:val="24"/>
          <w:lang w:val="en-US"/>
        </w:rPr>
        <w:t>eed an EU-wide framework for enabling re-use of their data (as this has not been fully put in place yet) and re-users’ demand for data and transparency is still stable if not increasing in certain domains.</w:t>
      </w:r>
      <w:r>
        <w:rPr>
          <w:rFonts w:ascii="Times New Roman" w:hAnsi="Times New Roman" w:cs="Times New Roman"/>
          <w:noProof/>
          <w:sz w:val="24"/>
          <w:szCs w:val="24"/>
          <w:vertAlign w:val="superscript"/>
          <w:lang w:val="en-US"/>
        </w:rPr>
        <w:footnoteReference w:id="108"/>
      </w:r>
    </w:p>
    <w:p w:rsidR="003B411A" w:rsidRDefault="009F0AE3">
      <w:pPr>
        <w:jc w:val="both"/>
        <w:rPr>
          <w:rFonts w:ascii="Times New Roman" w:hAnsi="Times New Roman"/>
          <w:noProof/>
          <w:sz w:val="24"/>
          <w:lang w:val="en-US"/>
        </w:rPr>
      </w:pPr>
      <w:r>
        <w:rPr>
          <w:rFonts w:ascii="Times New Roman" w:hAnsi="Times New Roman"/>
          <w:noProof/>
          <w:sz w:val="24"/>
          <w:szCs w:val="24"/>
          <w:lang w:val="en-GB"/>
        </w:rPr>
        <w:t>As for changes concerning charging,</w:t>
      </w:r>
      <w:r>
        <w:rPr>
          <w:rFonts w:ascii="Times New Roman" w:hAnsi="Times New Roman"/>
          <w:noProof/>
          <w:sz w:val="24"/>
          <w:lang w:val="en-GB"/>
        </w:rPr>
        <w:t xml:space="preserve"> </w:t>
      </w:r>
      <w:r>
        <w:rPr>
          <w:rFonts w:ascii="Times New Roman" w:hAnsi="Times New Roman"/>
          <w:noProof/>
          <w:sz w:val="24"/>
          <w:szCs w:val="24"/>
          <w:lang w:val="en-US"/>
        </w:rPr>
        <w:t>Member States</w:t>
      </w:r>
      <w:r>
        <w:rPr>
          <w:rFonts w:ascii="Times New Roman" w:hAnsi="Times New Roman"/>
          <w:noProof/>
          <w:sz w:val="24"/>
          <w:szCs w:val="24"/>
          <w:lang w:val="en-US"/>
        </w:rPr>
        <w:t xml:space="preserve"> confirmed that charging at zero or marginal costs is the new norm for the vast majority of public sector bodies. However, all Member States still use the exceptions to the marginal costs regime, even beyond the cultural sector that was brought into the Di</w:t>
      </w:r>
      <w:r>
        <w:rPr>
          <w:rFonts w:ascii="Times New Roman" w:hAnsi="Times New Roman"/>
          <w:noProof/>
          <w:sz w:val="24"/>
          <w:szCs w:val="24"/>
          <w:lang w:val="en-US"/>
        </w:rPr>
        <w:t>rective in 2013 under the more generous 2003 charging rules, which allow public sector bodies to charge above the marginal cost. Although it is generally acknowledged that lowering the costs for re-use of datasets can overall benefit the economy and societ</w:t>
      </w:r>
      <w:r>
        <w:rPr>
          <w:rFonts w:ascii="Times New Roman" w:hAnsi="Times New Roman"/>
          <w:noProof/>
          <w:sz w:val="24"/>
          <w:szCs w:val="24"/>
          <w:lang w:val="en-US"/>
        </w:rPr>
        <w:t>y, public sector bodies charging beyond marginal costs of dissemination point out that they need the income to reinvest in the quality of their datasets: Open Data leads to higher tax income and to benefits throughout the public sector and the economy, but</w:t>
      </w:r>
      <w:r>
        <w:rPr>
          <w:rFonts w:ascii="Times New Roman" w:hAnsi="Times New Roman"/>
          <w:noProof/>
          <w:sz w:val="24"/>
          <w:szCs w:val="24"/>
          <w:lang w:val="en-US"/>
        </w:rPr>
        <w:t xml:space="preserve"> if the public sector bodies producing the data do not get the appropriate funding for maintaining the datasets, the overall quality and usability of the data will be at risk.</w:t>
      </w:r>
    </w:p>
    <w:tbl>
      <w:tblPr>
        <w:tblStyle w:val="TableGrid"/>
        <w:tblW w:w="0" w:type="auto"/>
        <w:shd w:val="clear" w:color="auto" w:fill="FFFFFF" w:themeFill="background1"/>
        <w:tblLook w:val="04A0" w:firstRow="1" w:lastRow="0" w:firstColumn="1" w:lastColumn="0" w:noHBand="0" w:noVBand="1"/>
      </w:tblPr>
      <w:tblGrid>
        <w:gridCol w:w="8834"/>
      </w:tblGrid>
      <w:tr w:rsidR="003B411A" w:rsidRPr="009F0AE3">
        <w:tc>
          <w:tcPr>
            <w:tcW w:w="9016" w:type="dxa"/>
            <w:shd w:val="clear" w:color="auto" w:fill="FFFFFF" w:themeFill="background1"/>
          </w:tcPr>
          <w:p w:rsidR="003B411A" w:rsidRDefault="009F0AE3">
            <w:pPr>
              <w:jc w:val="both"/>
              <w:rPr>
                <w:noProof/>
                <w:sz w:val="24"/>
                <w:szCs w:val="24"/>
              </w:rPr>
            </w:pPr>
            <w:r>
              <w:rPr>
                <w:rFonts w:eastAsiaTheme="minorHAnsi"/>
                <w:noProof/>
                <w:sz w:val="24"/>
                <w:szCs w:val="24"/>
                <w:lang w:val="en-US" w:eastAsia="en-US"/>
              </w:rPr>
              <w:t>The evidence suggests that since its adoption, the PSI Directive has retained it</w:t>
            </w:r>
            <w:r>
              <w:rPr>
                <w:rFonts w:eastAsiaTheme="minorHAnsi"/>
                <w:noProof/>
                <w:sz w:val="24"/>
                <w:szCs w:val="24"/>
                <w:lang w:val="en-US" w:eastAsia="en-US"/>
              </w:rPr>
              <w:t>s relevance to stakeholders’ needs. However, emerging trends such as the increase in dynamic data coming from sensors and IoT devices, and Member States actions in making data of public interest better available in new areas not covered by the Directive (e</w:t>
            </w:r>
            <w:r>
              <w:rPr>
                <w:rFonts w:eastAsiaTheme="minorHAnsi"/>
                <w:noProof/>
                <w:sz w:val="24"/>
                <w:szCs w:val="24"/>
                <w:lang w:val="en-US" w:eastAsia="en-US"/>
              </w:rPr>
              <w:t>.g. public undertakings in transport and utility domains) might have an impact on its relevance for the future.</w:t>
            </w:r>
            <w:r>
              <w:rPr>
                <w:noProof/>
                <w:sz w:val="24"/>
                <w:szCs w:val="24"/>
              </w:rPr>
              <w:t xml:space="preserve"> </w:t>
            </w:r>
          </w:p>
        </w:tc>
      </w:tr>
    </w:tbl>
    <w:p w:rsidR="003B411A" w:rsidRDefault="003B411A">
      <w:pPr>
        <w:spacing w:before="200"/>
        <w:rPr>
          <w:rFonts w:ascii="Times New Roman" w:hAnsi="Times New Roman" w:cs="Times New Roman"/>
          <w:b/>
          <w:noProof/>
          <w:sz w:val="24"/>
          <w:szCs w:val="24"/>
          <w:lang w:val="en-GB"/>
        </w:rPr>
      </w:pPr>
    </w:p>
    <w:p w:rsidR="003B411A" w:rsidRDefault="009F0AE3">
      <w:pPr>
        <w:rPr>
          <w:rFonts w:ascii="Times New Roman" w:hAnsi="Times New Roman" w:cs="Times New Roman"/>
          <w:b/>
          <w:noProof/>
          <w:sz w:val="24"/>
          <w:szCs w:val="24"/>
          <w:lang w:val="en-GB"/>
        </w:rPr>
      </w:pPr>
      <w:r>
        <w:rPr>
          <w:rFonts w:ascii="Times New Roman" w:hAnsi="Times New Roman" w:cs="Times New Roman"/>
          <w:b/>
          <w:noProof/>
          <w:sz w:val="24"/>
          <w:szCs w:val="24"/>
          <w:lang w:val="en-GB"/>
        </w:rPr>
        <w:br w:type="page"/>
      </w:r>
    </w:p>
    <w:p w:rsidR="003B411A" w:rsidRDefault="009F0AE3">
      <w:pPr>
        <w:spacing w:before="200"/>
        <w:rPr>
          <w:rFonts w:ascii="Times New Roman" w:hAnsi="Times New Roman" w:cs="Times New Roman"/>
          <w:b/>
          <w:noProof/>
          <w:sz w:val="24"/>
          <w:szCs w:val="24"/>
          <w:lang w:val="en-GB"/>
        </w:rPr>
      </w:pPr>
      <w:r>
        <w:rPr>
          <w:rFonts w:ascii="Times New Roman" w:hAnsi="Times New Roman" w:cs="Times New Roman"/>
          <w:b/>
          <w:noProof/>
          <w:sz w:val="24"/>
          <w:szCs w:val="24"/>
          <w:lang w:val="en-GB"/>
        </w:rPr>
        <w:t>COHERENCE</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By and large, there is agreement among stakeholders that the Directive is largely coherent with the related legislation, although in the case of some instruments it would benefit from a degree of clarification. </w:t>
      </w:r>
    </w:p>
    <w:p w:rsidR="003B411A" w:rsidRDefault="009F0AE3">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INSPIRE Directive</w:t>
      </w:r>
      <w:r>
        <w:rPr>
          <w:rFonts w:ascii="Times New Roman" w:hAnsi="Times New Roman" w:cs="Times New Roman"/>
          <w:noProof/>
          <w:sz w:val="24"/>
          <w:szCs w:val="24"/>
          <w:vertAlign w:val="superscript"/>
          <w:lang w:val="en-GB"/>
        </w:rPr>
        <w:footnoteReference w:id="109"/>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INSPIRE Directive est</w:t>
      </w:r>
      <w:r>
        <w:rPr>
          <w:rFonts w:ascii="Times New Roman" w:hAnsi="Times New Roman" w:cs="Times New Roman"/>
          <w:noProof/>
          <w:sz w:val="24"/>
          <w:szCs w:val="24"/>
          <w:lang w:val="en-GB"/>
        </w:rPr>
        <w:t>ablishes a legal and technical interoperability framework  for the sharing (access and use) of spatial data</w:t>
      </w:r>
      <w:r>
        <w:rPr>
          <w:rStyle w:val="FootnoteReference"/>
          <w:rFonts w:ascii="Times New Roman" w:hAnsi="Times New Roman" w:cs="Times New Roman"/>
          <w:noProof/>
          <w:szCs w:val="24"/>
          <w:lang w:val="en-GB"/>
        </w:rPr>
        <w:footnoteReference w:id="110"/>
      </w:r>
      <w:r>
        <w:rPr>
          <w:rFonts w:ascii="Times New Roman" w:hAnsi="Times New Roman" w:cs="Times New Roman"/>
          <w:noProof/>
          <w:sz w:val="24"/>
          <w:szCs w:val="24"/>
          <w:lang w:val="en-GB"/>
        </w:rPr>
        <w:t xml:space="preserve">  held by public authorities for the purpose of environmental policies and policies and activities having an impact on the environment. Spatial data</w:t>
      </w:r>
      <w:r>
        <w:rPr>
          <w:rFonts w:ascii="Times New Roman" w:hAnsi="Times New Roman" w:cs="Times New Roman"/>
          <w:noProof/>
          <w:sz w:val="24"/>
          <w:szCs w:val="24"/>
          <w:lang w:val="en-GB"/>
        </w:rPr>
        <w:t xml:space="preserve"> are amongst the most valuable datasets</w:t>
      </w:r>
      <w:r>
        <w:rPr>
          <w:rStyle w:val="FootnoteReference"/>
          <w:rFonts w:ascii="Times New Roman" w:hAnsi="Times New Roman" w:cs="Times New Roman"/>
          <w:noProof/>
          <w:szCs w:val="24"/>
          <w:lang w:val="en-GB"/>
        </w:rPr>
        <w:footnoteReference w:id="111"/>
      </w:r>
      <w:r>
        <w:rPr>
          <w:rFonts w:ascii="Times New Roman" w:hAnsi="Times New Roman" w:cs="Times New Roman"/>
          <w:noProof/>
          <w:sz w:val="24"/>
          <w:szCs w:val="24"/>
          <w:lang w:val="en-GB"/>
        </w:rPr>
        <w:t xml:space="preserve"> for both public re-use (to establish the environmental impact of policy measures, to adopt emergency plans in case of natural disaster) and for private re-use (for geo-localisation services for instance, for mobilit</w:t>
      </w:r>
      <w:r>
        <w:rPr>
          <w:rFonts w:ascii="Times New Roman" w:hAnsi="Times New Roman" w:cs="Times New Roman"/>
          <w:noProof/>
          <w:sz w:val="24"/>
          <w:szCs w:val="24"/>
          <w:lang w:val="en-GB"/>
        </w:rPr>
        <w:t>y and energy apps etc.)</w:t>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lang w:val="en-GB"/>
        </w:rPr>
        <w:t>.</w:t>
      </w:r>
      <w:r>
        <w:rPr>
          <w:rFonts w:ascii="Times New Roman" w:hAnsi="Times New Roman" w:cs="Times New Roman"/>
          <w:noProof/>
          <w:sz w:val="24"/>
          <w:szCs w:val="24"/>
          <w:vertAlign w:val="superscript"/>
          <w:lang w:val="en-GB"/>
        </w:rPr>
        <w:footnoteReference w:id="112"/>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GB"/>
        </w:rPr>
        <w:t>This is one of the reasons why spatial information is covered by both the PSI Directive and the INSPIRE Directive. While the latter focuses technically on data access services, interoperability models and mandatory data-sharing b</w:t>
      </w:r>
      <w:r>
        <w:rPr>
          <w:rFonts w:ascii="Times New Roman" w:hAnsi="Times New Roman" w:cs="Times New Roman"/>
          <w:noProof/>
          <w:sz w:val="24"/>
          <w:szCs w:val="24"/>
          <w:lang w:val="en-GB"/>
        </w:rPr>
        <w:t>etween administrations, the former regulates the re-use of spatial datasets, including the conditions for re-use by third parties.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Consulted stakeholders suggested that the interplay between the two Directives has been working relatively well in the past f</w:t>
      </w:r>
      <w:r>
        <w:rPr>
          <w:rFonts w:ascii="Times New Roman" w:hAnsi="Times New Roman" w:cs="Times New Roman"/>
          <w:noProof/>
          <w:sz w:val="24"/>
          <w:szCs w:val="24"/>
          <w:lang w:val="en-GB"/>
        </w:rPr>
        <w:t>ew years. They also mentioned during the interviews that the PSI Directive has had a positive influence on the lowering of charges for re-use of spatial data.</w:t>
      </w:r>
      <w:r>
        <w:rPr>
          <w:rFonts w:ascii="Times New Roman" w:hAnsi="Times New Roman" w:cs="Times New Roman"/>
          <w:noProof/>
          <w:sz w:val="24"/>
          <w:szCs w:val="24"/>
          <w:vertAlign w:val="superscript"/>
          <w:lang w:val="en-GB"/>
        </w:rPr>
        <w:footnoteReference w:id="113"/>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From this perspective, the complementarity and coherence of the two Directives have played out w</w:t>
      </w:r>
      <w:r>
        <w:rPr>
          <w:rFonts w:ascii="Times New Roman" w:hAnsi="Times New Roman" w:cs="Times New Roman"/>
          <w:noProof/>
          <w:sz w:val="24"/>
          <w:szCs w:val="24"/>
          <w:lang w:val="en-GB"/>
        </w:rPr>
        <w:t>ell. However, for the future and due to the 2013 modifications of the PSI Directive, a few risks in terms of coherence could be identified, in particular as regards re-use conditions (e.g. charging and licencing). Some stakeholders argued that more guidanc</w:t>
      </w:r>
      <w:r>
        <w:rPr>
          <w:rFonts w:ascii="Times New Roman" w:hAnsi="Times New Roman" w:cs="Times New Roman"/>
          <w:noProof/>
          <w:sz w:val="24"/>
          <w:szCs w:val="24"/>
          <w:lang w:val="en-GB"/>
        </w:rPr>
        <w:t>e is needed to understand what is allowed for spatial data and services. It was noted that, in some cases, agencies managing spatial data are “borderline” in terms of compliance with the PSI Directive.</w:t>
      </w:r>
      <w:r>
        <w:rPr>
          <w:rFonts w:ascii="Times New Roman" w:hAnsi="Times New Roman" w:cs="Times New Roman"/>
          <w:noProof/>
          <w:sz w:val="24"/>
          <w:szCs w:val="24"/>
          <w:vertAlign w:val="superscript"/>
          <w:lang w:val="en-GB"/>
        </w:rPr>
        <w:footnoteReference w:id="114"/>
      </w:r>
      <w:r>
        <w:rPr>
          <w:rFonts w:ascii="Times New Roman" w:hAnsi="Times New Roman" w:cs="Times New Roman"/>
          <w:noProof/>
          <w:sz w:val="24"/>
          <w:szCs w:val="24"/>
          <w:lang w:val="en-GB"/>
        </w:rPr>
        <w:t xml:space="preserve"> Moreover, it was mentioned that issues related to int</w:t>
      </w:r>
      <w:r>
        <w:rPr>
          <w:rFonts w:ascii="Times New Roman" w:hAnsi="Times New Roman" w:cs="Times New Roman"/>
          <w:noProof/>
          <w:sz w:val="24"/>
          <w:szCs w:val="24"/>
          <w:lang w:val="en-GB"/>
        </w:rPr>
        <w:t>eroperability of metadata could arise if the two communities (PSI and INSPIRE) do not coordinate sufficiently with each other: indeed, the INSPIRE metadata standard is a thematic extension</w:t>
      </w:r>
      <w:r>
        <w:rPr>
          <w:rStyle w:val="FootnoteReference"/>
          <w:rFonts w:ascii="Times New Roman" w:hAnsi="Times New Roman" w:cs="Times New Roman"/>
          <w:noProof/>
          <w:szCs w:val="24"/>
          <w:lang w:val="en-GB"/>
        </w:rPr>
        <w:footnoteReference w:id="115"/>
      </w:r>
      <w:r>
        <w:rPr>
          <w:rFonts w:ascii="Times New Roman" w:hAnsi="Times New Roman" w:cs="Times New Roman"/>
          <w:noProof/>
          <w:sz w:val="24"/>
          <w:szCs w:val="24"/>
          <w:lang w:val="en-GB"/>
        </w:rPr>
        <w:t xml:space="preserve">  of CKAN</w:t>
      </w:r>
      <w:r>
        <w:rPr>
          <w:rStyle w:val="FootnoteReference"/>
          <w:rFonts w:ascii="Times New Roman" w:hAnsi="Times New Roman" w:cs="Times New Roman"/>
          <w:noProof/>
          <w:szCs w:val="24"/>
          <w:lang w:val="en-GB"/>
        </w:rPr>
        <w:footnoteReference w:id="116"/>
      </w:r>
      <w:r>
        <w:rPr>
          <w:rFonts w:ascii="Times New Roman" w:hAnsi="Times New Roman" w:cs="Times New Roman"/>
          <w:noProof/>
          <w:sz w:val="24"/>
          <w:szCs w:val="24"/>
          <w:lang w:val="en-GB"/>
        </w:rPr>
        <w:t xml:space="preserve"> used by the PSI community.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Besides these limited issues, which would benefit from some clarification, the coherence between the INSPIRE and the PSI Directives is confirmed in the results of the online consultation. Only 11% of respondents do not think that the PSI and INSPIRE Direct</w:t>
      </w:r>
      <w:r>
        <w:rPr>
          <w:rFonts w:ascii="Times New Roman" w:hAnsi="Times New Roman" w:cs="Times New Roman"/>
          <w:noProof/>
          <w:sz w:val="24"/>
          <w:szCs w:val="24"/>
          <w:lang w:val="en-GB"/>
        </w:rPr>
        <w:t xml:space="preserve">ives are well aligned. Almost a half of respondents (44%) believe that there are no problems in this area, while 45% do not have an opinion. </w:t>
      </w:r>
    </w:p>
    <w:p w:rsidR="003B411A" w:rsidRDefault="009F0AE3">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EU data protection legislation</w:t>
      </w:r>
    </w:p>
    <w:p w:rsidR="003B411A" w:rsidRDefault="009F0AE3">
      <w:pPr>
        <w:jc w:val="both"/>
        <w:rPr>
          <w:rFonts w:ascii="Times New Roman" w:hAnsi="Times New Roman" w:cs="Times New Roman"/>
          <w:i/>
          <w:noProof/>
          <w:sz w:val="24"/>
          <w:szCs w:val="24"/>
          <w:lang w:val="en-GB"/>
        </w:rPr>
      </w:pPr>
      <w:r>
        <w:rPr>
          <w:rFonts w:ascii="Times New Roman" w:hAnsi="Times New Roman" w:cs="Times New Roman"/>
          <w:noProof/>
          <w:sz w:val="24"/>
          <w:szCs w:val="24"/>
          <w:lang w:val="en-GB"/>
        </w:rPr>
        <w:t>Information produced by the public sector often does not contain personal data (map</w:t>
      </w:r>
      <w:r>
        <w:rPr>
          <w:rFonts w:ascii="Times New Roman" w:hAnsi="Times New Roman" w:cs="Times New Roman"/>
          <w:noProof/>
          <w:sz w:val="24"/>
          <w:szCs w:val="24"/>
          <w:lang w:val="en-GB"/>
        </w:rPr>
        <w:t>s, meteorological information etc.). However, there are numerous cases in which PSI may contain personal data. Therefore the protection of personal data is an important aspect of handling PSI: data protection legislation shall be respected in such cases.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w:t>
      </w:r>
      <w:r>
        <w:rPr>
          <w:rFonts w:ascii="Times New Roman" w:hAnsi="Times New Roman" w:cs="Times New Roman"/>
          <w:noProof/>
          <w:sz w:val="24"/>
          <w:szCs w:val="24"/>
          <w:lang w:val="en-GB"/>
        </w:rPr>
        <w:t xml:space="preserve">his means that PSI law must be applied in full compliance with data protection law and that it does not create any exceptions to it – this is explicitly recognised by the current PSI Directive. Indeed, according to Article 1(4) </w:t>
      </w:r>
      <w:r>
        <w:rPr>
          <w:rFonts w:ascii="Times New Roman" w:hAnsi="Times New Roman" w:cs="Times New Roman"/>
          <w:i/>
          <w:noProof/>
          <w:sz w:val="24"/>
          <w:szCs w:val="24"/>
          <w:lang w:val="en-GB"/>
        </w:rPr>
        <w:t>“This Directive leaves intac</w:t>
      </w:r>
      <w:r>
        <w:rPr>
          <w:rFonts w:ascii="Times New Roman" w:hAnsi="Times New Roman" w:cs="Times New Roman"/>
          <w:i/>
          <w:noProof/>
          <w:sz w:val="24"/>
          <w:szCs w:val="24"/>
          <w:lang w:val="en-GB"/>
        </w:rPr>
        <w:t>t and in no way affects the level of protection of individuals with regard to the processing of personal data under the provisions of Union and national law, and in particular does not alter the obligations and rights set out in Directive 95/46/EC”</w:t>
      </w:r>
      <w:r>
        <w:rPr>
          <w:rFonts w:ascii="Times New Roman" w:hAnsi="Times New Roman" w:cs="Times New Roman"/>
          <w:noProof/>
          <w:sz w:val="24"/>
          <w:szCs w:val="24"/>
          <w:lang w:val="en-GB"/>
        </w:rPr>
        <w:t>. This i</w:t>
      </w:r>
      <w:r>
        <w:rPr>
          <w:rFonts w:ascii="Times New Roman" w:hAnsi="Times New Roman" w:cs="Times New Roman"/>
          <w:noProof/>
          <w:sz w:val="24"/>
          <w:szCs w:val="24"/>
          <w:lang w:val="en-GB"/>
        </w:rPr>
        <w:t xml:space="preserve">s reinforced in recital (11) of Directive 2013/37/EU, stating that it </w:t>
      </w:r>
      <w:r>
        <w:rPr>
          <w:rFonts w:ascii="Times New Roman" w:hAnsi="Times New Roman" w:cs="Times New Roman"/>
          <w:i/>
          <w:noProof/>
          <w:sz w:val="24"/>
          <w:szCs w:val="24"/>
          <w:lang w:val="en-GB"/>
        </w:rPr>
        <w:t>“should be implemented and applied in full compliance with the principles relating to the protection of personal data in accordance with Directive 95/46/EC of the European Parliament and</w:t>
      </w:r>
      <w:r>
        <w:rPr>
          <w:rFonts w:ascii="Times New Roman" w:hAnsi="Times New Roman" w:cs="Times New Roman"/>
          <w:i/>
          <w:noProof/>
          <w:sz w:val="24"/>
          <w:szCs w:val="24"/>
          <w:lang w:val="en-GB"/>
        </w:rPr>
        <w:t xml:space="preserve"> of the Council of 24 October 1995 on the protection of individuals with regard to the processing of personal data and on the free movement of such data”</w:t>
      </w:r>
      <w:r>
        <w:rPr>
          <w:rFonts w:ascii="Times New Roman" w:hAnsi="Times New Roman" w:cs="Times New Roman"/>
          <w:noProof/>
          <w:sz w:val="24"/>
          <w:szCs w:val="24"/>
          <w:lang w:val="en-GB"/>
        </w:rPr>
        <w:t>.</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2013 the Article 29 Working Party has provided an opinion on the application of data protection la</w:t>
      </w:r>
      <w:r>
        <w:rPr>
          <w:rFonts w:ascii="Times New Roman" w:hAnsi="Times New Roman" w:cs="Times New Roman"/>
          <w:noProof/>
          <w:sz w:val="24"/>
          <w:szCs w:val="24"/>
          <w:lang w:val="en-GB"/>
        </w:rPr>
        <w:t>w in the context of PSI.</w:t>
      </w:r>
      <w:r>
        <w:rPr>
          <w:rFonts w:ascii="Times New Roman" w:hAnsi="Times New Roman" w:cs="Times New Roman"/>
          <w:noProof/>
          <w:sz w:val="24"/>
          <w:szCs w:val="24"/>
          <w:vertAlign w:val="superscript"/>
          <w:lang w:val="en-GB"/>
        </w:rPr>
        <w:footnoteReference w:id="117"/>
      </w:r>
      <w:r>
        <w:rPr>
          <w:rFonts w:ascii="Times New Roman" w:hAnsi="Times New Roman" w:cs="Times New Roman"/>
          <w:noProof/>
          <w:sz w:val="24"/>
          <w:szCs w:val="24"/>
          <w:lang w:val="en-GB"/>
        </w:rPr>
        <w:t xml:space="preserve"> The objective of this opinion was to help ensure a common understanding of the applicable legal framework, and offer consistent guidance and best practice examples on how to implement the PSI Directive (as amended) with regard to </w:t>
      </w:r>
      <w:r>
        <w:rPr>
          <w:rFonts w:ascii="Times New Roman" w:hAnsi="Times New Roman" w:cs="Times New Roman"/>
          <w:noProof/>
          <w:sz w:val="24"/>
          <w:szCs w:val="24"/>
          <w:lang w:val="en-GB"/>
        </w:rPr>
        <w:t>the processing of personal data.</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current Directive 95/46/EC will be repealed and replaced by the General Data Protection Regulation (GDPR)</w:t>
      </w:r>
      <w:r>
        <w:rPr>
          <w:rStyle w:val="FootnoteReference"/>
          <w:rFonts w:ascii="Times New Roman" w:hAnsi="Times New Roman" w:cs="Times New Roman"/>
          <w:noProof/>
          <w:szCs w:val="24"/>
          <w:lang w:val="en-GB"/>
        </w:rPr>
        <w:footnoteReference w:id="118"/>
      </w:r>
      <w:r>
        <w:rPr>
          <w:rFonts w:ascii="Times New Roman" w:hAnsi="Times New Roman" w:cs="Times New Roman"/>
          <w:noProof/>
          <w:sz w:val="24"/>
          <w:szCs w:val="24"/>
          <w:lang w:val="en-GB"/>
        </w:rPr>
        <w:t xml:space="preserve"> on 25 May 2018. This new data protection framework has been built on the existing legislation.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recital 154 </w:t>
      </w:r>
      <w:r>
        <w:rPr>
          <w:rFonts w:ascii="Times New Roman" w:hAnsi="Times New Roman" w:cs="Times New Roman"/>
          <w:noProof/>
          <w:sz w:val="24"/>
          <w:szCs w:val="24"/>
          <w:lang w:val="en-GB"/>
        </w:rPr>
        <w:t xml:space="preserve">of the GDPR states that </w:t>
      </w:r>
      <w:r>
        <w:rPr>
          <w:rFonts w:ascii="Times New Roman" w:hAnsi="Times New Roman" w:cs="Times New Roman"/>
          <w:i/>
          <w:noProof/>
          <w:sz w:val="24"/>
          <w:szCs w:val="24"/>
          <w:lang w:val="en-GB"/>
        </w:rPr>
        <w:t>“Directive 2003/98/EC of the European Parliament and of the Council leaves intact and in no way affects the level of protection of natural persons with regard to the processing of personal data under the provisions of Union and Memb</w:t>
      </w:r>
      <w:r>
        <w:rPr>
          <w:rFonts w:ascii="Times New Roman" w:hAnsi="Times New Roman" w:cs="Times New Roman"/>
          <w:i/>
          <w:noProof/>
          <w:sz w:val="24"/>
          <w:szCs w:val="24"/>
          <w:lang w:val="en-GB"/>
        </w:rPr>
        <w:t>er State law, and in particular does not alter the obligations and rights set out in this Regulation.”</w:t>
      </w:r>
      <w:r>
        <w:rPr>
          <w:rFonts w:ascii="Times New Roman" w:hAnsi="Times New Roman" w:cs="Times New Roman"/>
          <w:noProof/>
          <w:sz w:val="24"/>
          <w:szCs w:val="24"/>
          <w:lang w:val="en-GB"/>
        </w:rPr>
        <w:t xml:space="preserve"> Moreover, Article 86 of the GDPR contains a specific provision on processing and public access to official documents.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During the engagement with stakeho</w:t>
      </w:r>
      <w:r>
        <w:rPr>
          <w:rFonts w:ascii="Times New Roman" w:hAnsi="Times New Roman" w:cs="Times New Roman"/>
          <w:noProof/>
          <w:sz w:val="24"/>
          <w:szCs w:val="24"/>
          <w:lang w:val="en-GB"/>
        </w:rPr>
        <w:t>lders some targeted challenges were raised by public sector bodies, for example about the use of appropriate techniques for pseudonomisation or anomysation in order to reconcile the provisions on the re-use of PSI with the right to the protection of person</w:t>
      </w:r>
      <w:r>
        <w:rPr>
          <w:rFonts w:ascii="Times New Roman" w:hAnsi="Times New Roman" w:cs="Times New Roman"/>
          <w:noProof/>
          <w:sz w:val="24"/>
          <w:szCs w:val="24"/>
          <w:lang w:val="en-GB"/>
        </w:rPr>
        <w:t>al data. This issue is, however, not specific for the PSI area.</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the stakeholders did not recognise during the public consultation any general issues related to the application of the PSI Directive and the legislation on the protection of personal </w:t>
      </w:r>
      <w:r>
        <w:rPr>
          <w:rFonts w:ascii="Times New Roman" w:hAnsi="Times New Roman" w:cs="Times New Roman"/>
          <w:noProof/>
          <w:sz w:val="24"/>
          <w:szCs w:val="24"/>
          <w:lang w:val="en-GB"/>
        </w:rPr>
        <w:t>data. Only 27% of respondents do not agree that the PSI Directive is well aligned with the current and future rules on the protection of personal data. The remainder are convinced that there are no issues in this area or do not have an opinion.</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relatio</w:t>
      </w:r>
      <w:r>
        <w:rPr>
          <w:rFonts w:ascii="Times New Roman" w:hAnsi="Times New Roman" w:cs="Times New Roman"/>
          <w:noProof/>
          <w:sz w:val="24"/>
          <w:szCs w:val="24"/>
          <w:lang w:val="en-GB"/>
        </w:rPr>
        <w:t>nship between data protection law and PSI re-use – in the sense that both the public sector body and the re-user must comply with data protection law in full - is an established part of Union law.</w:t>
      </w:r>
    </w:p>
    <w:p w:rsidR="003B411A" w:rsidRDefault="009F0AE3">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Database Directive</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Database Directive adopted in 1996</w:t>
      </w:r>
      <w:r>
        <w:rPr>
          <w:rFonts w:ascii="Times New Roman" w:hAnsi="Times New Roman" w:cs="Times New Roman"/>
          <w:noProof/>
          <w:sz w:val="24"/>
          <w:szCs w:val="24"/>
          <w:vertAlign w:val="superscript"/>
          <w:lang w:val="en-GB"/>
        </w:rPr>
        <w:footnoteReference w:id="119"/>
      </w: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provides for two types of database rights: copyright protection (Chapter II) and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database right (Chapter III). This new exclusive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is granted to database producers, for a period of 15 years, to protect their investment of t</w:t>
      </w:r>
      <w:r>
        <w:rPr>
          <w:rFonts w:ascii="Times New Roman" w:hAnsi="Times New Roman" w:cs="Times New Roman"/>
          <w:noProof/>
          <w:sz w:val="24"/>
          <w:szCs w:val="24"/>
          <w:lang w:val="en-GB"/>
        </w:rPr>
        <w:t>ime, money and effort, irrespective of whether the database is in itself innovative (“non-original” databases)”.</w:t>
      </w:r>
      <w:r>
        <w:rPr>
          <w:rFonts w:ascii="Times New Roman" w:hAnsi="Times New Roman" w:cs="Times New Roman"/>
          <w:noProof/>
          <w:sz w:val="24"/>
          <w:szCs w:val="24"/>
          <w:vertAlign w:val="superscript"/>
          <w:lang w:val="en-GB"/>
        </w:rPr>
        <w:footnoteReference w:id="120"/>
      </w:r>
      <w:r>
        <w:rPr>
          <w:rFonts w:ascii="Times New Roman" w:hAnsi="Times New Roman" w:cs="Times New Roman"/>
          <w:noProof/>
          <w:sz w:val="24"/>
          <w:szCs w:val="24"/>
          <w:lang w:val="en-GB"/>
        </w:rPr>
        <w:t xml:space="preserve"> Public sector bodies can hold such rights if they have invested “time, money and effort” in establishing a database and they want this investm</w:t>
      </w:r>
      <w:r>
        <w:rPr>
          <w:rFonts w:ascii="Times New Roman" w:hAnsi="Times New Roman" w:cs="Times New Roman"/>
          <w:noProof/>
          <w:sz w:val="24"/>
          <w:szCs w:val="24"/>
          <w:lang w:val="en-GB"/>
        </w:rPr>
        <w:t>ent to be protected.</w:t>
      </w:r>
      <w:r>
        <w:rPr>
          <w:rFonts w:ascii="Times New Roman" w:hAnsi="Times New Roman" w:cs="Times New Roman"/>
          <w:noProof/>
          <w:sz w:val="24"/>
          <w:szCs w:val="24"/>
          <w:vertAlign w:val="superscript"/>
          <w:lang w:val="en-GB"/>
        </w:rPr>
        <w:footnoteReference w:id="121"/>
      </w:r>
      <w:r>
        <w:rPr>
          <w:rFonts w:ascii="Times New Roman" w:hAnsi="Times New Roman" w:cs="Times New Roman"/>
          <w:noProof/>
          <w:sz w:val="24"/>
          <w:szCs w:val="24"/>
          <w:lang w:val="en-GB"/>
        </w:rPr>
        <w:t xml:space="preserve">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practice, since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as all exclusive rights in the area of IPR, gives the right holder the capacity to authorise or refuse uses of its protected content, public bodies have sometimes argued that database protect</w:t>
      </w:r>
      <w:r>
        <w:rPr>
          <w:rFonts w:ascii="Times New Roman" w:hAnsi="Times New Roman" w:cs="Times New Roman"/>
          <w:noProof/>
          <w:sz w:val="24"/>
          <w:szCs w:val="24"/>
          <w:lang w:val="en-GB"/>
        </w:rPr>
        <w:t>ed content was not subject to the re-use obligations set out in the PSI Directive. In the absence of a clear provision regulating the relationship between the two instruments, this has created a situation where, in practice, public bodies may invoke (in so</w:t>
      </w:r>
      <w:r>
        <w:rPr>
          <w:rFonts w:ascii="Times New Roman" w:hAnsi="Times New Roman" w:cs="Times New Roman"/>
          <w:noProof/>
          <w:sz w:val="24"/>
          <w:szCs w:val="24"/>
          <w:lang w:val="en-GB"/>
        </w:rPr>
        <w:t xml:space="preserve">me cases they have done so)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to escape the application of the rules of the PSI Directive. This excludes the case where a database which is used by a public sector body in the course of its tasks was in fact created by a third party.</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w:t>
      </w:r>
      <w:r>
        <w:rPr>
          <w:rFonts w:ascii="Times New Roman" w:hAnsi="Times New Roman" w:cs="Times New Roman"/>
          <w:noProof/>
          <w:sz w:val="24"/>
          <w:szCs w:val="24"/>
          <w:lang w:val="en-GB"/>
        </w:rPr>
        <w:t xml:space="preserve">ere may seem to be a contradiction between the aims of the instruments: the PSI Directive aims at making as much public information available for re-use as possible (with the smallest number of exceptions possible), while the Database Directive </w:t>
      </w:r>
      <w:r>
        <w:rPr>
          <w:rFonts w:ascii="Times New Roman" w:hAnsi="Times New Roman" w:cs="Times New Roman"/>
          <w:i/>
          <w:noProof/>
          <w:sz w:val="24"/>
          <w:szCs w:val="24"/>
          <w:lang w:val="en-GB"/>
        </w:rPr>
        <w:t xml:space="preserve">“sought to </w:t>
      </w:r>
      <w:r>
        <w:rPr>
          <w:rFonts w:ascii="Times New Roman" w:hAnsi="Times New Roman" w:cs="Times New Roman"/>
          <w:i/>
          <w:noProof/>
          <w:sz w:val="24"/>
          <w:szCs w:val="24"/>
          <w:lang w:val="en-GB"/>
        </w:rPr>
        <w:t>create a legal framework that would establish the ground rules for the protection of a wide variety of databases in the information age</w:t>
      </w:r>
      <w:r>
        <w:rPr>
          <w:rFonts w:ascii="Times New Roman" w:hAnsi="Times New Roman" w:cs="Times New Roman"/>
          <w:noProof/>
          <w:sz w:val="24"/>
          <w:szCs w:val="24"/>
          <w:lang w:val="en-GB"/>
        </w:rPr>
        <w:t>”</w:t>
      </w:r>
      <w:r>
        <w:rPr>
          <w:rFonts w:ascii="Times New Roman" w:hAnsi="Times New Roman" w:cs="Times New Roman"/>
          <w:noProof/>
          <w:sz w:val="24"/>
          <w:szCs w:val="24"/>
          <w:vertAlign w:val="superscript"/>
          <w:lang w:val="en-GB"/>
        </w:rPr>
        <w:footnoteReference w:id="122"/>
      </w:r>
      <w:r>
        <w:rPr>
          <w:rFonts w:ascii="Times New Roman" w:hAnsi="Times New Roman" w:cs="Times New Roman"/>
          <w:noProof/>
          <w:sz w:val="24"/>
          <w:szCs w:val="24"/>
          <w:lang w:val="en-GB"/>
        </w:rPr>
        <w:t xml:space="preserve"> (also public datasets). Some stakeholders underlined how the different objectives do not seem to be fully compatible.</w:t>
      </w:r>
      <w:r>
        <w:rPr>
          <w:rFonts w:ascii="Times New Roman" w:hAnsi="Times New Roman" w:cs="Times New Roman"/>
          <w:noProof/>
          <w:sz w:val="24"/>
          <w:szCs w:val="24"/>
          <w:vertAlign w:val="superscript"/>
          <w:lang w:val="en-GB"/>
        </w:rPr>
        <w:footnoteReference w:id="123"/>
      </w:r>
      <w:r>
        <w:rPr>
          <w:rFonts w:ascii="Times New Roman" w:hAnsi="Times New Roman" w:cs="Times New Roman"/>
          <w:noProof/>
          <w:sz w:val="24"/>
          <w:szCs w:val="24"/>
          <w:lang w:val="en-GB"/>
        </w:rPr>
        <w:t xml:space="preserve">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PSI Directive contains recitals</w:t>
      </w:r>
      <w:r>
        <w:rPr>
          <w:rFonts w:ascii="Times New Roman" w:hAnsi="Times New Roman" w:cs="Times New Roman"/>
          <w:noProof/>
          <w:sz w:val="24"/>
          <w:szCs w:val="24"/>
          <w:vertAlign w:val="superscript"/>
          <w:lang w:val="en-GB"/>
        </w:rPr>
        <w:footnoteReference w:id="124"/>
      </w:r>
      <w:r>
        <w:rPr>
          <w:rFonts w:ascii="Times New Roman" w:hAnsi="Times New Roman" w:cs="Times New Roman"/>
          <w:noProof/>
          <w:sz w:val="24"/>
          <w:szCs w:val="24"/>
          <w:lang w:val="en-GB"/>
        </w:rPr>
        <w:t xml:space="preserve"> that aim to provide clarity on the relationship between IPRs and the obligations under the PSI Directive. However, in practice legal certainty has not been achieved, at least as regards the interplay between the oblig</w:t>
      </w:r>
      <w:r>
        <w:rPr>
          <w:rFonts w:ascii="Times New Roman" w:hAnsi="Times New Roman" w:cs="Times New Roman"/>
          <w:noProof/>
          <w:sz w:val="24"/>
          <w:szCs w:val="24"/>
          <w:lang w:val="en-GB"/>
        </w:rPr>
        <w:t xml:space="preserve">ations under the PSI Directive and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database right held by public bodies.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Case law suggests that such uncertain reading of recitals might be at play in practice. Also, in a French court case a judge decided that local authorities were allow</w:t>
      </w:r>
      <w:r>
        <w:rPr>
          <w:rFonts w:ascii="Times New Roman" w:hAnsi="Times New Roman" w:cs="Times New Roman"/>
          <w:noProof/>
          <w:sz w:val="24"/>
          <w:szCs w:val="24"/>
          <w:lang w:val="en-GB"/>
        </w:rPr>
        <w:t xml:space="preserve">ed to deny the re-use of genealogy data to a website based on its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This judgement was overturned by the Conseil d'Etat</w:t>
      </w:r>
      <w:r>
        <w:rPr>
          <w:rFonts w:ascii="Times New Roman" w:hAnsi="Times New Roman" w:cs="Times New Roman"/>
          <w:noProof/>
          <w:sz w:val="24"/>
          <w:szCs w:val="24"/>
          <w:vertAlign w:val="superscript"/>
          <w:lang w:val="en-GB"/>
        </w:rPr>
        <w:footnoteReference w:id="125"/>
      </w:r>
      <w:r>
        <w:rPr>
          <w:rFonts w:ascii="Times New Roman" w:hAnsi="Times New Roman" w:cs="Times New Roman"/>
          <w:noProof/>
          <w:sz w:val="24"/>
          <w:szCs w:val="24"/>
          <w:lang w:val="en-GB"/>
        </w:rPr>
        <w:t xml:space="preserve"> deciding that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cannot prevent the re-use of data under the rules of the PSI directive. Also, in a</w:t>
      </w:r>
      <w:r>
        <w:rPr>
          <w:rFonts w:ascii="Times New Roman" w:hAnsi="Times New Roman" w:cs="Times New Roman"/>
          <w:noProof/>
          <w:sz w:val="24"/>
          <w:szCs w:val="24"/>
          <w:lang w:val="en-GB"/>
        </w:rPr>
        <w:t xml:space="preserve"> 2012 judgment of the Court of Justice of the European Union, the Austrian state asserted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in the official companies register in an attempt to deny its re-use by private company. While this last case was not specifically about PSI but comp</w:t>
      </w:r>
      <w:r>
        <w:rPr>
          <w:rFonts w:ascii="Times New Roman" w:hAnsi="Times New Roman" w:cs="Times New Roman"/>
          <w:noProof/>
          <w:sz w:val="24"/>
          <w:szCs w:val="24"/>
          <w:lang w:val="en-GB"/>
        </w:rPr>
        <w:t>etition law</w:t>
      </w:r>
      <w:r>
        <w:rPr>
          <w:rFonts w:ascii="Times New Roman" w:hAnsi="Times New Roman" w:cs="Times New Roman"/>
          <w:noProof/>
          <w:sz w:val="24"/>
          <w:szCs w:val="24"/>
          <w:vertAlign w:val="superscript"/>
          <w:lang w:val="en-GB"/>
        </w:rPr>
        <w:footnoteReference w:id="126"/>
      </w:r>
      <w:r>
        <w:rPr>
          <w:rFonts w:ascii="Times New Roman" w:hAnsi="Times New Roman" w:cs="Times New Roman"/>
          <w:noProof/>
          <w:sz w:val="24"/>
          <w:szCs w:val="24"/>
          <w:lang w:val="en-GB"/>
        </w:rPr>
        <w:t xml:space="preserve">, the case also highlights the uncertainty surrounding the applicability of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database right in cases of public data re-use.</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Moreover, various instances were reported by practitioners where access and re-use of public information </w:t>
      </w:r>
      <w:r>
        <w:rPr>
          <w:rFonts w:ascii="Times New Roman" w:hAnsi="Times New Roman" w:cs="Times New Roman"/>
          <w:noProof/>
          <w:sz w:val="24"/>
          <w:szCs w:val="24"/>
          <w:lang w:val="en-GB"/>
        </w:rPr>
        <w:t xml:space="preserve">such as population census data or official map and traffic data were prevented by authorities exercising their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w:t>
      </w:r>
      <w:r>
        <w:rPr>
          <w:rFonts w:ascii="Times New Roman" w:hAnsi="Times New Roman" w:cs="Times New Roman"/>
          <w:noProof/>
          <w:sz w:val="24"/>
          <w:szCs w:val="24"/>
          <w:vertAlign w:val="superscript"/>
          <w:lang w:val="en-GB"/>
        </w:rPr>
        <w:footnoteReference w:id="127"/>
      </w:r>
      <w:r>
        <w:rPr>
          <w:rFonts w:ascii="Times New Roman" w:hAnsi="Times New Roman" w:cs="Times New Roman"/>
          <w:noProof/>
          <w:sz w:val="24"/>
          <w:szCs w:val="24"/>
          <w:lang w:val="en-GB"/>
        </w:rPr>
        <w:t xml:space="preserve"> As a result, even if courts resolve the conflict of the directives to the advatange of the public information re-users, the t</w:t>
      </w:r>
      <w:r>
        <w:rPr>
          <w:rFonts w:ascii="Times New Roman" w:hAnsi="Times New Roman" w:cs="Times New Roman"/>
          <w:noProof/>
          <w:sz w:val="24"/>
          <w:szCs w:val="24"/>
          <w:lang w:val="en-GB"/>
        </w:rPr>
        <w:t xml:space="preserve">ransaction cost of litigation is a relevant factor to take into account.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misalignment is to some extent confirmed by the results of the online public consultation, in which 34% of respondents agreed that the PSI and Database Directives are well aligne</w:t>
      </w:r>
      <w:r>
        <w:rPr>
          <w:rFonts w:ascii="Times New Roman" w:hAnsi="Times New Roman" w:cs="Times New Roman"/>
          <w:noProof/>
          <w:sz w:val="24"/>
          <w:szCs w:val="24"/>
          <w:lang w:val="en-GB"/>
        </w:rPr>
        <w:t>d, while 30% disagreed and 46% did not express any particular view. This trend is confirmed by the public consultation on the Database Directive</w:t>
      </w:r>
      <w:r>
        <w:rPr>
          <w:rFonts w:ascii="Times New Roman" w:hAnsi="Times New Roman" w:cs="Times New Roman"/>
          <w:noProof/>
          <w:sz w:val="24"/>
          <w:szCs w:val="24"/>
          <w:vertAlign w:val="superscript"/>
          <w:lang w:val="en-GB"/>
        </w:rPr>
        <w:footnoteReference w:id="128"/>
      </w:r>
      <w:r>
        <w:rPr>
          <w:rFonts w:ascii="Times New Roman" w:hAnsi="Times New Roman" w:cs="Times New Roman"/>
          <w:noProof/>
          <w:sz w:val="24"/>
          <w:szCs w:val="24"/>
          <w:lang w:val="en-GB"/>
        </w:rPr>
        <w:t xml:space="preserve"> where 29.8% of the respondent stakeholders agree that the Database Directive and the PSI Directive are not coh</w:t>
      </w:r>
      <w:r>
        <w:rPr>
          <w:rFonts w:ascii="Times New Roman" w:hAnsi="Times New Roman" w:cs="Times New Roman"/>
          <w:noProof/>
          <w:sz w:val="24"/>
          <w:szCs w:val="24"/>
          <w:lang w:val="en-GB"/>
        </w:rPr>
        <w:t xml:space="preserve">erent legislation, while 31.5% agree that they are and 38.5% of the respondents did not express an opinion.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the same time and despite these occurrences, the intention has always been for the PSI Directive to take precedence over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c</w:t>
      </w:r>
      <w:r>
        <w:rPr>
          <w:rFonts w:ascii="Times New Roman" w:hAnsi="Times New Roman" w:cs="Times New Roman"/>
          <w:noProof/>
          <w:sz w:val="24"/>
          <w:szCs w:val="24"/>
          <w:lang w:val="en-GB"/>
        </w:rPr>
        <w:t xml:space="preserve">ontained in the Database Directive. Therefore, it appears that clarification of the interplay between the two instruments, clarifying that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should not stand in the way of the obligations of the PSI Directive, would be welcome.</w:t>
      </w:r>
      <w:r>
        <w:rPr>
          <w:rStyle w:val="FootnoteReference"/>
          <w:rFonts w:ascii="Times New Roman" w:hAnsi="Times New Roman" w:cs="Times New Roman"/>
          <w:noProof/>
          <w:szCs w:val="24"/>
          <w:lang w:val="en-GB"/>
        </w:rPr>
        <w:footnoteReference w:id="129"/>
      </w:r>
    </w:p>
    <w:p w:rsidR="003B411A" w:rsidRDefault="009F0AE3">
      <w:pPr>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Nationa</w:t>
      </w:r>
      <w:r>
        <w:rPr>
          <w:rFonts w:ascii="Times New Roman" w:hAnsi="Times New Roman" w:cs="Times New Roman"/>
          <w:i/>
          <w:noProof/>
          <w:sz w:val="24"/>
          <w:szCs w:val="24"/>
          <w:lang w:val="en-US"/>
        </w:rPr>
        <w:t>l access regimes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obligations of the PSI Directive build on the national access regimes, which can limit access to certain documents on the grounds on national security, commercial confidentiality etc. These access regimes are often not completely align</w:t>
      </w:r>
      <w:r>
        <w:rPr>
          <w:rFonts w:ascii="Times New Roman" w:hAnsi="Times New Roman" w:cs="Times New Roman"/>
          <w:noProof/>
          <w:sz w:val="24"/>
          <w:szCs w:val="24"/>
          <w:lang w:val="en-GB"/>
        </w:rPr>
        <w:t>ed. This has an impact on the availability of the information for re-use, since information that is not generally accessible in a Member State is not covered by the Directive.</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Nevertheless, the replies to the public consultation indicate that overall the P</w:t>
      </w:r>
      <w:r>
        <w:rPr>
          <w:rFonts w:ascii="Times New Roman" w:hAnsi="Times New Roman" w:cs="Times New Roman"/>
          <w:noProof/>
          <w:sz w:val="24"/>
          <w:szCs w:val="24"/>
          <w:lang w:val="en-GB"/>
        </w:rPr>
        <w:t>SI Directive is coherent with these regimes. Almost 72% of respondents agree with this statement or do not hold a specific view, while only 28% believe that there is lack of coherence between the PSI Directive and national access regimes that would be prob</w:t>
      </w:r>
      <w:r>
        <w:rPr>
          <w:rFonts w:ascii="Times New Roman" w:hAnsi="Times New Roman" w:cs="Times New Roman"/>
          <w:noProof/>
          <w:sz w:val="24"/>
          <w:szCs w:val="24"/>
          <w:lang w:val="en-GB"/>
        </w:rPr>
        <w:t>lematic.</w:t>
      </w:r>
    </w:p>
    <w:p w:rsidR="003B411A" w:rsidRDefault="009F0AE3">
      <w:pPr>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Other legal instruments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w:t>
      </w:r>
      <w:r>
        <w:rPr>
          <w:rFonts w:ascii="Times New Roman" w:hAnsi="Times New Roman" w:cs="Times New Roman"/>
          <w:noProof/>
          <w:sz w:val="24"/>
          <w:szCs w:val="24"/>
          <w:lang w:val="en-US"/>
        </w:rPr>
        <w:t xml:space="preserve">hen discussing the PSI Directive and the main barriers for the re-use rule, stakeholders often mention the question of the barriers raised by the exception concerning third party copyright. </w:t>
      </w:r>
      <w:r>
        <w:rPr>
          <w:rFonts w:ascii="Times New Roman" w:hAnsi="Times New Roman" w:cs="Times New Roman"/>
          <w:noProof/>
          <w:sz w:val="24"/>
          <w:szCs w:val="24"/>
          <w:lang w:val="en-GB"/>
        </w:rPr>
        <w:t xml:space="preserve">However, in terms of legal </w:t>
      </w:r>
      <w:r>
        <w:rPr>
          <w:rFonts w:ascii="Times New Roman" w:hAnsi="Times New Roman" w:cs="Times New Roman"/>
          <w:noProof/>
          <w:sz w:val="24"/>
          <w:szCs w:val="24"/>
          <w:lang w:val="en-GB"/>
        </w:rPr>
        <w:t>clarity there is no particular inconsistency between PSI and copyright rules as the relation between the two regimes is transparent. Still, for the implementation of the Directive copyright raises a number of challenges, in particular due to different rule</w:t>
      </w:r>
      <w:r>
        <w:rPr>
          <w:rFonts w:ascii="Times New Roman" w:hAnsi="Times New Roman" w:cs="Times New Roman"/>
          <w:noProof/>
          <w:sz w:val="24"/>
          <w:szCs w:val="24"/>
          <w:lang w:val="en-GB"/>
        </w:rPr>
        <w:t>s in Member States (for example in terms of the rights of individual public sector employees) and the burden of copyright clearance.</w:t>
      </w:r>
    </w:p>
    <w:p w:rsidR="003B411A" w:rsidRDefault="009F0AE3">
      <w:pPr>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GB"/>
        </w:rPr>
        <w:t>Another issue raised in the consultation process concerns t</w:t>
      </w:r>
      <w:r>
        <w:rPr>
          <w:rFonts w:ascii="Times New Roman" w:hAnsi="Times New Roman" w:cs="Times New Roman"/>
          <w:noProof/>
          <w:sz w:val="24"/>
          <w:szCs w:val="24"/>
          <w:lang w:val="en-US"/>
        </w:rPr>
        <w:t>he Directive on the protection of undisclosed know-how and busin</w:t>
      </w:r>
      <w:r>
        <w:rPr>
          <w:rFonts w:ascii="Times New Roman" w:hAnsi="Times New Roman" w:cs="Times New Roman"/>
          <w:noProof/>
          <w:sz w:val="24"/>
          <w:szCs w:val="24"/>
          <w:lang w:val="en-US"/>
        </w:rPr>
        <w:t>ess information against their unlawful acquisition, use and disclosure (Trade Secrets Directive).</w:t>
      </w:r>
      <w:r>
        <w:rPr>
          <w:rStyle w:val="FootnoteReference"/>
          <w:rFonts w:ascii="Times New Roman" w:hAnsi="Times New Roman" w:cs="Times New Roman"/>
          <w:noProof/>
          <w:szCs w:val="24"/>
          <w:lang w:val="en-US"/>
        </w:rPr>
        <w:footnoteReference w:id="130"/>
      </w:r>
      <w:r>
        <w:rPr>
          <w:rFonts w:ascii="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en-US"/>
        </w:rPr>
        <w:t>If interpreted in an extensive manner, some PSI could fall in the category of trade secrets and would therefore benefit from an exemption to the PSI Directiv</w:t>
      </w:r>
      <w:r>
        <w:rPr>
          <w:rFonts w:ascii="Times New Roman" w:eastAsia="Times New Roman" w:hAnsi="Times New Roman" w:cs="Times New Roman"/>
          <w:noProof/>
          <w:sz w:val="24"/>
          <w:szCs w:val="24"/>
          <w:lang w:val="en-US"/>
        </w:rPr>
        <w:t xml:space="preserve">e. Indeed, Article 1 of the PSI Directive specifically excludes from its scope documents which are not subject to the national access regimes because they have </w:t>
      </w:r>
      <w:r>
        <w:rPr>
          <w:rFonts w:ascii="Times New Roman" w:eastAsia="Times New Roman" w:hAnsi="Times New Roman" w:cs="Times New Roman"/>
          <w:i/>
          <w:noProof/>
          <w:sz w:val="24"/>
          <w:szCs w:val="24"/>
          <w:lang w:val="en-US"/>
        </w:rPr>
        <w:t>“commercial confidentiality (e.g. business, professional or company secrets)”</w:t>
      </w:r>
      <w:r>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vertAlign w:val="superscript"/>
          <w:lang w:val="en-US"/>
        </w:rPr>
        <w:footnoteReference w:id="131"/>
      </w:r>
      <w:r>
        <w:rPr>
          <w:rFonts w:ascii="Times New Roman" w:eastAsia="Times New Roman" w:hAnsi="Times New Roman" w:cs="Times New Roman"/>
          <w:noProof/>
          <w:sz w:val="24"/>
          <w:szCs w:val="24"/>
          <w:lang w:val="en-US"/>
        </w:rPr>
        <w:t xml:space="preserve"> The t</w:t>
      </w:r>
      <w:r>
        <w:rPr>
          <w:rFonts w:ascii="Times New Roman" w:hAnsi="Times New Roman" w:cs="Times New Roman"/>
          <w:noProof/>
          <w:sz w:val="24"/>
          <w:szCs w:val="24"/>
          <w:lang w:val="en-US"/>
        </w:rPr>
        <w:t>rade Secret</w:t>
      </w:r>
      <w:r>
        <w:rPr>
          <w:rFonts w:ascii="Times New Roman" w:hAnsi="Times New Roman" w:cs="Times New Roman"/>
          <w:noProof/>
          <w:sz w:val="24"/>
          <w:szCs w:val="24"/>
          <w:lang w:val="en-US"/>
        </w:rPr>
        <w:t>s Directive was adopted in 2016 and has not been transposed yet in all Member States, but some stakeholders question the clarity of its relation with the PSI Directive and argue that guidance from the Commission in this respect is needed.</w:t>
      </w:r>
      <w:r>
        <w:rPr>
          <w:rFonts w:ascii="Times New Roman" w:hAnsi="Times New Roman" w:cs="Times New Roman"/>
          <w:noProof/>
          <w:sz w:val="24"/>
          <w:szCs w:val="24"/>
          <w:vertAlign w:val="superscript"/>
          <w:lang w:val="en-US"/>
        </w:rPr>
        <w:footnoteReference w:id="132"/>
      </w:r>
    </w:p>
    <w:p w:rsidR="003B411A" w:rsidRDefault="009F0AE3">
      <w:pPr>
        <w:jc w:val="both"/>
        <w:rPr>
          <w:rFonts w:ascii="Times New Roman" w:hAnsi="Times New Roman" w:cs="Times New Roman"/>
          <w:b/>
          <w:noProof/>
          <w:sz w:val="24"/>
          <w:szCs w:val="24"/>
          <w:lang w:val="en-US"/>
        </w:rPr>
      </w:pPr>
      <w:r>
        <w:rPr>
          <w:rFonts w:ascii="Times New Roman" w:hAnsi="Times New Roman" w:cs="Times New Roman"/>
          <w:i/>
          <w:noProof/>
          <w:sz w:val="24"/>
          <w:szCs w:val="24"/>
          <w:lang w:val="en-US"/>
        </w:rPr>
        <w:t xml:space="preserve">2013 changes to </w:t>
      </w:r>
      <w:r>
        <w:rPr>
          <w:rFonts w:ascii="Times New Roman" w:hAnsi="Times New Roman" w:cs="Times New Roman"/>
          <w:i/>
          <w:noProof/>
          <w:sz w:val="24"/>
          <w:szCs w:val="24"/>
          <w:lang w:val="en-US"/>
        </w:rPr>
        <w:t>the PSI Directive</w:t>
      </w:r>
    </w:p>
    <w:p w:rsidR="003B411A" w:rsidRDefault="009F0AE3">
      <w:pPr>
        <w:jc w:val="both"/>
        <w:rPr>
          <w:rFonts w:ascii="Times New Roman" w:hAnsi="Times New Roman"/>
          <w:noProof/>
          <w:sz w:val="24"/>
          <w:szCs w:val="24"/>
          <w:lang w:val="en-GB"/>
        </w:rPr>
      </w:pPr>
      <w:r>
        <w:rPr>
          <w:rFonts w:ascii="Times New Roman" w:hAnsi="Times New Roman"/>
          <w:noProof/>
          <w:sz w:val="24"/>
          <w:lang w:val="en-GB"/>
        </w:rPr>
        <w:t>As regards the extension of the scope to cultural data,</w:t>
      </w:r>
      <w:r>
        <w:rPr>
          <w:rFonts w:ascii="Times New Roman" w:hAnsi="Times New Roman"/>
          <w:noProof/>
          <w:sz w:val="24"/>
          <w:szCs w:val="24"/>
          <w:lang w:val="en-GB"/>
        </w:rPr>
        <w:t xml:space="preserve"> there is a high level of coherence of the PSI Directive with the international framework of reference. Indeed, the PSI Directive provisions pursue objectives which are totally in lin</w:t>
      </w:r>
      <w:r>
        <w:rPr>
          <w:rFonts w:ascii="Times New Roman" w:hAnsi="Times New Roman"/>
          <w:noProof/>
          <w:sz w:val="24"/>
          <w:szCs w:val="24"/>
          <w:lang w:val="en-GB"/>
        </w:rPr>
        <w:t>e with those of UNESCO. In fact, they go even further in promoting accessibility and re-use of cultural information. Some challenges were identified with regard to the copyright framework and in particular the Directive on orphan works.</w:t>
      </w:r>
      <w:r>
        <w:rPr>
          <w:rStyle w:val="FootnoteReference"/>
          <w:rFonts w:ascii="Times New Roman" w:hAnsi="Times New Roman"/>
          <w:noProof/>
          <w:szCs w:val="24"/>
          <w:lang w:val="en-GB"/>
        </w:rPr>
        <w:footnoteReference w:id="133"/>
      </w:r>
      <w:r>
        <w:rPr>
          <w:rFonts w:ascii="Times New Roman" w:hAnsi="Times New Roman"/>
          <w:noProof/>
          <w:sz w:val="24"/>
          <w:szCs w:val="24"/>
          <w:lang w:val="en-GB"/>
        </w:rPr>
        <w:t xml:space="preserve"> Some stakeholders </w:t>
      </w:r>
      <w:r>
        <w:rPr>
          <w:rFonts w:ascii="Times New Roman" w:hAnsi="Times New Roman"/>
          <w:noProof/>
          <w:sz w:val="24"/>
          <w:szCs w:val="24"/>
          <w:lang w:val="en-GB"/>
        </w:rPr>
        <w:t>see the latter as too complicated and not necessarily consistent with the objectives of the PSI Directive in the area of cultural data.</w:t>
      </w:r>
      <w:r>
        <w:rPr>
          <w:rStyle w:val="FootnoteReference"/>
          <w:rFonts w:ascii="Times New Roman" w:hAnsi="Times New Roman"/>
          <w:noProof/>
          <w:szCs w:val="24"/>
          <w:lang w:val="en-GB"/>
        </w:rPr>
        <w:footnoteReference w:id="134"/>
      </w:r>
      <w:r>
        <w:rPr>
          <w:rFonts w:ascii="Times New Roman" w:hAnsi="Times New Roman"/>
          <w:noProof/>
          <w:sz w:val="24"/>
          <w:szCs w:val="24"/>
          <w:lang w:val="en-GB"/>
        </w:rPr>
        <w:t xml:space="preserve"> Indeed, the Directive on orphan works provides that “diligent search” is performed to clear the information/data on a s</w:t>
      </w:r>
      <w:r>
        <w:rPr>
          <w:rFonts w:ascii="Times New Roman" w:hAnsi="Times New Roman"/>
          <w:noProof/>
          <w:sz w:val="24"/>
          <w:szCs w:val="24"/>
          <w:lang w:val="en-GB"/>
        </w:rPr>
        <w:t>pecific orphan work</w:t>
      </w:r>
      <w:r>
        <w:rPr>
          <w:rStyle w:val="FootnoteReference"/>
          <w:rFonts w:ascii="Times New Roman" w:hAnsi="Times New Roman"/>
          <w:noProof/>
          <w:szCs w:val="24"/>
          <w:lang w:val="en-GB"/>
        </w:rPr>
        <w:footnoteReference w:id="135"/>
      </w:r>
      <w:r>
        <w:rPr>
          <w:rFonts w:ascii="Times New Roman" w:hAnsi="Times New Roman"/>
          <w:noProof/>
          <w:sz w:val="24"/>
          <w:szCs w:val="24"/>
          <w:lang w:val="en-GB"/>
        </w:rPr>
        <w:t xml:space="preserve"> for re-use. However, this diligent search is interpreted differently in different Member States and this might result in uneven opening up and re-using of similar cultural data.</w:t>
      </w:r>
    </w:p>
    <w:p w:rsidR="003B411A" w:rsidRDefault="009F0AE3">
      <w:pPr>
        <w:jc w:val="both"/>
        <w:rPr>
          <w:rFonts w:ascii="Times New Roman" w:hAnsi="Times New Roman"/>
          <w:noProof/>
          <w:sz w:val="24"/>
          <w:lang w:val="en-US"/>
        </w:rPr>
      </w:pPr>
      <w:r>
        <w:rPr>
          <w:rFonts w:ascii="Times New Roman" w:hAnsi="Times New Roman"/>
          <w:noProof/>
          <w:sz w:val="24"/>
          <w:szCs w:val="24"/>
          <w:lang w:val="en-US"/>
        </w:rPr>
        <w:t>As regards the coherence of the 2013 changes concerning t</w:t>
      </w:r>
      <w:r>
        <w:rPr>
          <w:rFonts w:ascii="Times New Roman" w:hAnsi="Times New Roman"/>
          <w:noProof/>
          <w:sz w:val="24"/>
          <w:szCs w:val="24"/>
          <w:lang w:val="en-US"/>
        </w:rPr>
        <w:t>he charging provisions, the above mentioned issue on the relation with the INSPIRE Directive is relevant.</w:t>
      </w:r>
      <w:r>
        <w:rPr>
          <w:rFonts w:ascii="Times New Roman" w:hAnsi="Times New Roman"/>
          <w:noProof/>
          <w:sz w:val="24"/>
          <w:szCs w:val="24"/>
          <w:lang w:val="en-GB"/>
        </w:rPr>
        <w:t xml:space="preserve"> T</w:t>
      </w:r>
      <w:r>
        <w:rPr>
          <w:rFonts w:ascii="Times New Roman" w:hAnsi="Times New Roman"/>
          <w:noProof/>
          <w:sz w:val="24"/>
          <w:szCs w:val="24"/>
          <w:lang w:val="en-US"/>
        </w:rPr>
        <w:t>heoretically, these two regimes are perfectly complementary, as they have different purposes. Nevertheless, the question of the coherence between the</w:t>
      </w:r>
      <w:r>
        <w:rPr>
          <w:rFonts w:ascii="Times New Roman" w:hAnsi="Times New Roman"/>
          <w:noProof/>
          <w:sz w:val="24"/>
          <w:szCs w:val="24"/>
          <w:lang w:val="en-US"/>
        </w:rPr>
        <w:t xml:space="preserve"> INSPIRE Directive and the charging provisions of the PSI Directive has been raised by some stakeholders, so it might benefit from some clarification or formal alignment.</w:t>
      </w:r>
    </w:p>
    <w:tbl>
      <w:tblPr>
        <w:tblStyle w:val="TableGrid"/>
        <w:tblW w:w="0" w:type="auto"/>
        <w:shd w:val="clear" w:color="auto" w:fill="FFFFFF" w:themeFill="background1"/>
        <w:tblLook w:val="04A0" w:firstRow="1" w:lastRow="0" w:firstColumn="1" w:lastColumn="0" w:noHBand="0" w:noVBand="1"/>
      </w:tblPr>
      <w:tblGrid>
        <w:gridCol w:w="8834"/>
      </w:tblGrid>
      <w:tr w:rsidR="003B411A" w:rsidRPr="009F0AE3">
        <w:tc>
          <w:tcPr>
            <w:tcW w:w="9016" w:type="dxa"/>
            <w:shd w:val="clear" w:color="auto" w:fill="FFFFFF" w:themeFill="background1"/>
          </w:tcPr>
          <w:p w:rsidR="003B411A" w:rsidRDefault="009F0AE3">
            <w:pPr>
              <w:jc w:val="both"/>
              <w:rPr>
                <w:noProof/>
                <w:sz w:val="24"/>
                <w:szCs w:val="24"/>
              </w:rPr>
            </w:pPr>
            <w:r>
              <w:rPr>
                <w:noProof/>
                <w:sz w:val="24"/>
                <w:szCs w:val="24"/>
              </w:rPr>
              <w:t>The PSI Directive is overall coherent with other relevant EU legislation. Nevertheles</w:t>
            </w:r>
            <w:r>
              <w:rPr>
                <w:noProof/>
                <w:sz w:val="24"/>
                <w:szCs w:val="24"/>
              </w:rPr>
              <w:t>s a technical clarification confirming the relation with in particular the Database Directive and the INSPIRE Directive may be useful. In relation with data protection legislation the interaction is already very clear, in that the rules on re-use must be a</w:t>
            </w:r>
            <w:r>
              <w:rPr>
                <w:noProof/>
                <w:sz w:val="24"/>
                <w:szCs w:val="24"/>
              </w:rPr>
              <w:t>pplied in full compliance with data protection legislation.</w:t>
            </w:r>
          </w:p>
        </w:tc>
      </w:tr>
    </w:tbl>
    <w:p w:rsidR="003B411A" w:rsidRDefault="003B411A">
      <w:pPr>
        <w:rPr>
          <w:rFonts w:ascii="Times New Roman" w:hAnsi="Times New Roman" w:cs="Times New Roman"/>
          <w:noProof/>
          <w:sz w:val="24"/>
          <w:szCs w:val="24"/>
          <w:lang w:val="en-GB"/>
        </w:rPr>
      </w:pPr>
    </w:p>
    <w:p w:rsidR="003B411A" w:rsidRDefault="009F0AE3">
      <w:pPr>
        <w:rPr>
          <w:rFonts w:ascii="Times New Roman" w:hAnsi="Times New Roman" w:cs="Times New Roman"/>
          <w:b/>
          <w:noProof/>
          <w:sz w:val="24"/>
          <w:szCs w:val="24"/>
          <w:lang w:val="en-GB"/>
        </w:rPr>
      </w:pPr>
      <w:r>
        <w:rPr>
          <w:rFonts w:ascii="Times New Roman" w:hAnsi="Times New Roman" w:cs="Times New Roman"/>
          <w:b/>
          <w:noProof/>
          <w:sz w:val="24"/>
          <w:szCs w:val="24"/>
          <w:lang w:val="en-GB"/>
        </w:rPr>
        <w:t>EU ADDED VALUE</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PSI Directive is based on Article 114 of the Treaty on the Functioning of the European Union (TFUE)</w:t>
      </w:r>
      <w:r>
        <w:rPr>
          <w:rFonts w:ascii="Times New Roman" w:hAnsi="Times New Roman" w:cs="Times New Roman"/>
          <w:noProof/>
          <w:sz w:val="24"/>
          <w:szCs w:val="24"/>
          <w:vertAlign w:val="superscript"/>
          <w:lang w:val="en-GB"/>
        </w:rPr>
        <w:footnoteReference w:id="136"/>
      </w:r>
      <w:r>
        <w:rPr>
          <w:rFonts w:ascii="Times New Roman" w:hAnsi="Times New Roman" w:cs="Times New Roman"/>
          <w:noProof/>
          <w:sz w:val="24"/>
          <w:szCs w:val="24"/>
          <w:lang w:val="en-GB"/>
        </w:rPr>
        <w:t xml:space="preserve"> and therefore strongly rooted in a Single Market logic. Based on the feedback received by stakeholders, the EU added value of the Directive is unquestioned. The stakeholders tend to agree that national initiatives in the field of PSI would have not been s</w:t>
      </w:r>
      <w:r>
        <w:rPr>
          <w:rFonts w:ascii="Times New Roman" w:hAnsi="Times New Roman" w:cs="Times New Roman"/>
          <w:noProof/>
          <w:sz w:val="24"/>
          <w:szCs w:val="24"/>
          <w:lang w:val="en-GB"/>
        </w:rPr>
        <w:t>ufficient to address possible market distortions and market failures and to offer a level-playing field to all businesses.</w:t>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vertAlign w:val="superscript"/>
          <w:lang w:val="en-GB"/>
        </w:rPr>
        <w:footnoteReference w:id="137"/>
      </w:r>
      <w:r>
        <w:rPr>
          <w:rFonts w:ascii="Times New Roman" w:hAnsi="Times New Roman" w:cs="Times New Roman"/>
          <w:noProof/>
          <w:sz w:val="24"/>
          <w:szCs w:val="24"/>
          <w:lang w:val="en-GB"/>
        </w:rPr>
        <w:t xml:space="preserve"> The instrument has helped to reduce the significant differences that existed between Member States. </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Replies to the online consulta</w:t>
      </w:r>
      <w:r>
        <w:rPr>
          <w:rFonts w:ascii="Times New Roman" w:hAnsi="Times New Roman" w:cs="Times New Roman"/>
          <w:noProof/>
          <w:sz w:val="24"/>
          <w:szCs w:val="24"/>
          <w:lang w:val="en-GB"/>
        </w:rPr>
        <w:t xml:space="preserve">tion support this claim. 87% of respondents agree that the PSI Directive has played a role in encouraging the national authorities to open up more public sector data, while almost 63% believe that it has facilitated access to PSI from countries other than </w:t>
      </w:r>
      <w:r>
        <w:rPr>
          <w:rFonts w:ascii="Times New Roman" w:hAnsi="Times New Roman" w:cs="Times New Roman"/>
          <w:noProof/>
          <w:sz w:val="24"/>
          <w:szCs w:val="24"/>
          <w:lang w:val="en-GB"/>
        </w:rPr>
        <w:t xml:space="preserve">the one where the person concerned lives. Similarly, almost 64% of the replies indicate that the PSI Directive has been conducive to the creation of an EU-wide market for products and services based on PSI, with less than 20% disagreeing. </w:t>
      </w:r>
    </w:p>
    <w:p w:rsidR="003B411A" w:rsidRDefault="009F0AE3">
      <w:pPr>
        <w:jc w:val="both"/>
        <w:rPr>
          <w:rFonts w:ascii="Times New Roman" w:hAnsi="Times New Roman" w:cs="Times New Roman"/>
          <w:b/>
          <w:noProof/>
          <w:sz w:val="24"/>
          <w:szCs w:val="24"/>
          <w:lang w:val="en-US"/>
        </w:rPr>
      </w:pPr>
      <w:r>
        <w:rPr>
          <w:rFonts w:ascii="Times New Roman" w:hAnsi="Times New Roman" w:cs="Times New Roman"/>
          <w:i/>
          <w:noProof/>
          <w:sz w:val="24"/>
          <w:szCs w:val="24"/>
          <w:lang w:val="en-US"/>
        </w:rPr>
        <w:t xml:space="preserve">2013 changes to </w:t>
      </w:r>
      <w:r>
        <w:rPr>
          <w:rFonts w:ascii="Times New Roman" w:hAnsi="Times New Roman" w:cs="Times New Roman"/>
          <w:i/>
          <w:noProof/>
          <w:sz w:val="24"/>
          <w:szCs w:val="24"/>
          <w:lang w:val="en-US"/>
        </w:rPr>
        <w:t>the PSI Directive</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Stakeholders</w:t>
      </w:r>
      <w:r>
        <w:rPr>
          <w:rFonts w:ascii="Times New Roman" w:hAnsi="Times New Roman" w:cs="Times New Roman"/>
          <w:noProof/>
          <w:sz w:val="24"/>
          <w:szCs w:val="24"/>
          <w:vertAlign w:val="superscript"/>
          <w:lang w:val="en-GB"/>
        </w:rPr>
        <w:footnoteReference w:id="138"/>
      </w:r>
      <w:r>
        <w:rPr>
          <w:rFonts w:ascii="Times New Roman" w:hAnsi="Times New Roman" w:cs="Times New Roman"/>
          <w:noProof/>
          <w:sz w:val="24"/>
          <w:szCs w:val="24"/>
          <w:lang w:val="en-GB"/>
        </w:rPr>
        <w:t xml:space="preserve"> agreed on the high EU added value of the modifications brought in 2013 to the provisions on charging. National initiatives alone would not have been able to provide a level-playing field for all European re-users and public </w:t>
      </w:r>
      <w:r>
        <w:rPr>
          <w:rFonts w:ascii="Times New Roman" w:hAnsi="Times New Roman" w:cs="Times New Roman"/>
          <w:noProof/>
          <w:sz w:val="24"/>
          <w:szCs w:val="24"/>
          <w:lang w:val="en-GB"/>
        </w:rPr>
        <w:t>sector bodies with respect to the price of data.</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area of cultural data, stakeholders indicated that the Directive, together with practical measures such as the creation of Europeana</w:t>
      </w:r>
      <w:r>
        <w:rPr>
          <w:rStyle w:val="FootnoteReference"/>
          <w:rFonts w:ascii="Times New Roman" w:hAnsi="Times New Roman" w:cs="Times New Roman"/>
          <w:noProof/>
          <w:szCs w:val="24"/>
          <w:lang w:val="en-GB"/>
        </w:rPr>
        <w:footnoteReference w:id="139"/>
      </w:r>
      <w:r>
        <w:rPr>
          <w:rFonts w:ascii="Times New Roman" w:hAnsi="Times New Roman" w:cs="Times New Roman"/>
          <w:noProof/>
          <w:sz w:val="24"/>
          <w:szCs w:val="24"/>
          <w:lang w:val="en-GB"/>
        </w:rPr>
        <w:t xml:space="preserve">, has laid a basis for the development of cross-border and EU wide </w:t>
      </w:r>
      <w:r>
        <w:rPr>
          <w:rFonts w:ascii="Times New Roman" w:hAnsi="Times New Roman" w:cs="Times New Roman"/>
          <w:noProof/>
          <w:sz w:val="24"/>
          <w:szCs w:val="24"/>
          <w:lang w:val="en-GB"/>
        </w:rPr>
        <w:t>services.</w:t>
      </w:r>
      <w:r>
        <w:rPr>
          <w:noProof/>
          <w:lang w:val="en-GB"/>
        </w:rPr>
        <w:t xml:space="preserve"> </w:t>
      </w:r>
      <w:r>
        <w:rPr>
          <w:rFonts w:ascii="Times New Roman" w:hAnsi="Times New Roman" w:cs="Times New Roman"/>
          <w:noProof/>
          <w:sz w:val="24"/>
          <w:szCs w:val="24"/>
          <w:lang w:val="en-GB"/>
        </w:rPr>
        <w:t>However, it has also been argued that, as the Directive built on an already existing trend towards cultural heritage digitalisation and improvements in terms of data accessibility, its added value remained more limited than originally wished, esp</w:t>
      </w:r>
      <w:r>
        <w:rPr>
          <w:rFonts w:ascii="Times New Roman" w:hAnsi="Times New Roman" w:cs="Times New Roman"/>
          <w:noProof/>
          <w:sz w:val="24"/>
          <w:szCs w:val="24"/>
          <w:lang w:val="en-GB"/>
        </w:rPr>
        <w:t>ecially considering that the biggest obstacles in terms of copyright regimes and financing of digitalisation are to be addressed at the national level mainly or in the framework of other EU initiatives (e.g. digitisation of cultural heritage or reform of t</w:t>
      </w:r>
      <w:r>
        <w:rPr>
          <w:rFonts w:ascii="Times New Roman" w:hAnsi="Times New Roman" w:cs="Times New Roman"/>
          <w:noProof/>
          <w:sz w:val="24"/>
          <w:szCs w:val="24"/>
          <w:lang w:val="en-GB"/>
        </w:rPr>
        <w:t>he copyright ramework). Therefore, based on the data available at this stage, one could argue that the potential EU added value of the PSI Directive in terms of extension of the scope to cultural data has not been entirely translated on the ground due to a</w:t>
      </w:r>
      <w:r>
        <w:rPr>
          <w:rFonts w:ascii="Times New Roman" w:hAnsi="Times New Roman" w:cs="Times New Roman"/>
          <w:noProof/>
          <w:sz w:val="24"/>
          <w:szCs w:val="24"/>
          <w:lang w:val="en-GB"/>
        </w:rPr>
        <w:t xml:space="preserve"> number of obstacles which could not be entirely and directly addressed by the Directive.</w:t>
      </w:r>
      <w:r>
        <w:rPr>
          <w:rStyle w:val="FootnoteReference"/>
          <w:rFonts w:ascii="Times New Roman" w:hAnsi="Times New Roman" w:cs="Times New Roman"/>
          <w:noProof/>
          <w:szCs w:val="24"/>
          <w:lang w:val="en-GB"/>
        </w:rPr>
        <w:footnoteReference w:id="140"/>
      </w:r>
    </w:p>
    <w:p w:rsidR="003B411A" w:rsidRDefault="009F0AE3">
      <w:pPr>
        <w:jc w:val="both"/>
        <w:rPr>
          <w:rFonts w:ascii="Times New Roman" w:hAnsi="Times New Roman" w:cs="Times New Roman"/>
          <w:noProof/>
          <w:sz w:val="24"/>
          <w:szCs w:val="24"/>
          <w:lang w:val="en-US"/>
        </w:rPr>
      </w:pPr>
      <w:r>
        <w:rPr>
          <w:rFonts w:ascii="Times New Roman" w:hAnsi="Times New Roman"/>
          <w:noProof/>
          <w:sz w:val="24"/>
          <w:szCs w:val="24"/>
          <w:lang w:val="en-US"/>
        </w:rPr>
        <w:t xml:space="preserve">Although </w:t>
      </w:r>
      <w:r>
        <w:rPr>
          <w:rFonts w:ascii="Times New Roman" w:hAnsi="Times New Roman"/>
          <w:noProof/>
          <w:sz w:val="24"/>
          <w:szCs w:val="24"/>
          <w:lang w:val="en-GB"/>
        </w:rPr>
        <w:t>some stakeholders expressed doubts regarding the capacity to streamline open data standards through a top-down approach, others underlined that the directio</w:t>
      </w:r>
      <w:r>
        <w:rPr>
          <w:rFonts w:ascii="Times New Roman" w:hAnsi="Times New Roman"/>
          <w:noProof/>
          <w:sz w:val="24"/>
          <w:szCs w:val="24"/>
          <w:lang w:val="en-GB"/>
        </w:rPr>
        <w:t>n given by the EU in the Directive, and its concretisation in the 2014 guidelines on data formats, have brought some EU added value.</w:t>
      </w:r>
    </w:p>
    <w:tbl>
      <w:tblPr>
        <w:tblStyle w:val="TableGrid"/>
        <w:tblW w:w="0" w:type="auto"/>
        <w:shd w:val="clear" w:color="auto" w:fill="FFFFFF" w:themeFill="background1"/>
        <w:tblLook w:val="04A0" w:firstRow="1" w:lastRow="0" w:firstColumn="1" w:lastColumn="0" w:noHBand="0" w:noVBand="1"/>
      </w:tblPr>
      <w:tblGrid>
        <w:gridCol w:w="8834"/>
      </w:tblGrid>
      <w:tr w:rsidR="003B411A" w:rsidRPr="009F0AE3">
        <w:tc>
          <w:tcPr>
            <w:tcW w:w="8834" w:type="dxa"/>
            <w:shd w:val="clear" w:color="auto" w:fill="FFFFFF" w:themeFill="background1"/>
          </w:tcPr>
          <w:p w:rsidR="003B411A" w:rsidRDefault="009F0AE3">
            <w:pPr>
              <w:jc w:val="both"/>
              <w:rPr>
                <w:noProof/>
                <w:sz w:val="24"/>
                <w:szCs w:val="24"/>
              </w:rPr>
            </w:pPr>
            <w:r>
              <w:rPr>
                <w:noProof/>
                <w:sz w:val="24"/>
                <w:szCs w:val="24"/>
              </w:rPr>
              <w:t>Analysis and stakeholder views confirm that policy intervention at the Member States level could not have achieved the same</w:t>
            </w:r>
            <w:r>
              <w:rPr>
                <w:noProof/>
                <w:sz w:val="24"/>
                <w:szCs w:val="24"/>
              </w:rPr>
              <w:t xml:space="preserve"> results to the same extent as the PSI Directive. The overall EU added value of the instrument is unquestioned, although it is stronger for specific aspects of PSI re-use (charging) than for others (cultural data and formats).</w:t>
            </w:r>
          </w:p>
        </w:tc>
      </w:tr>
    </w:tbl>
    <w:p w:rsidR="003B411A" w:rsidRDefault="009F0AE3">
      <w:pPr>
        <w:pStyle w:val="Heading1"/>
        <w:numPr>
          <w:ilvl w:val="0"/>
          <w:numId w:val="3"/>
        </w:numPr>
        <w:rPr>
          <w:noProof/>
        </w:rPr>
      </w:pPr>
      <w:bookmarkStart w:id="30" w:name="_Toc501640540"/>
      <w:bookmarkStart w:id="31" w:name="_Toc503460724"/>
      <w:bookmarkStart w:id="32" w:name="_Toc503544751"/>
      <w:bookmarkStart w:id="33" w:name="_Toc504065549"/>
      <w:bookmarkStart w:id="34" w:name="_Toc505952415"/>
      <w:r>
        <w:rPr>
          <w:noProof/>
        </w:rPr>
        <w:t>Conclusions</w:t>
      </w:r>
      <w:bookmarkEnd w:id="30"/>
      <w:bookmarkEnd w:id="31"/>
      <w:bookmarkEnd w:id="32"/>
      <w:bookmarkEnd w:id="33"/>
      <w:bookmarkEnd w:id="34"/>
    </w:p>
    <w:p w:rsidR="003B411A" w:rsidRDefault="009F0AE3">
      <w:pPr>
        <w:pStyle w:val="Text1"/>
        <w:ind w:left="0"/>
        <w:rPr>
          <w:rFonts w:eastAsiaTheme="minorHAnsi"/>
          <w:noProof/>
          <w:szCs w:val="24"/>
        </w:rPr>
      </w:pPr>
      <w:r>
        <w:rPr>
          <w:rFonts w:eastAsiaTheme="minorHAnsi"/>
          <w:noProof/>
          <w:szCs w:val="24"/>
        </w:rPr>
        <w:t xml:space="preserve">Evaluation of </w:t>
      </w:r>
      <w:r>
        <w:rPr>
          <w:rFonts w:eastAsiaTheme="minorHAnsi"/>
          <w:noProof/>
          <w:szCs w:val="24"/>
        </w:rPr>
        <w:t>the PSI Directive, including the changes introduced in 2013, has shown that it continues to be an effective, efficient and relevant instrument that successfully contributes to the achievement of its main policy objectives, which are to stimulate the digita</w:t>
      </w:r>
      <w:r>
        <w:rPr>
          <w:rFonts w:eastAsiaTheme="minorHAnsi"/>
          <w:noProof/>
          <w:szCs w:val="24"/>
        </w:rPr>
        <w:t>l content market for PSI-based products and services, to stimulate cross-border exploitation of PSI and to prevent distortions of competition on the EU market.</w:t>
      </w:r>
    </w:p>
    <w:p w:rsidR="003B411A" w:rsidRDefault="009F0AE3">
      <w:pPr>
        <w:pStyle w:val="Text1"/>
        <w:ind w:left="0"/>
        <w:rPr>
          <w:rFonts w:eastAsiaTheme="minorHAnsi" w:cstheme="minorBidi"/>
          <w:noProof/>
          <w:szCs w:val="24"/>
        </w:rPr>
      </w:pPr>
      <w:r>
        <w:rPr>
          <w:rFonts w:eastAsiaTheme="minorHAnsi" w:cstheme="minorBidi"/>
          <w:noProof/>
          <w:szCs w:val="24"/>
        </w:rPr>
        <w:t>It has also been demonstrated that the PSI Directive does not impose a disproportionate burden o</w:t>
      </w:r>
      <w:r>
        <w:rPr>
          <w:rFonts w:eastAsiaTheme="minorHAnsi" w:cstheme="minorBidi"/>
          <w:noProof/>
          <w:szCs w:val="24"/>
        </w:rPr>
        <w:t>n the stakeholders concerned. While it affects two groups of stakeholders: re-users (mostly from the private sector, including SMEs, micro enterprises and start-ups) and public sector bodies, it only imposes obligations (and possible resulting administrati</w:t>
      </w:r>
      <w:r>
        <w:rPr>
          <w:rFonts w:eastAsiaTheme="minorHAnsi" w:cstheme="minorBidi"/>
          <w:noProof/>
          <w:szCs w:val="24"/>
        </w:rPr>
        <w:t xml:space="preserve">ve burden) on the latter. It should also be borne in mind, however, that several obligations that the PSI Directive imposes on public sector bodies, notably those related to the practical arrangements of making data available, should be considered as part </w:t>
      </w:r>
      <w:r>
        <w:rPr>
          <w:rFonts w:eastAsiaTheme="minorHAnsi" w:cstheme="minorBidi"/>
          <w:noProof/>
          <w:szCs w:val="24"/>
        </w:rPr>
        <w:t>of an overall effort towards digitising administration</w:t>
      </w:r>
      <w:r>
        <w:rPr>
          <w:rStyle w:val="FootnoteReference"/>
          <w:rFonts w:eastAsiaTheme="minorHAnsi" w:cstheme="minorBidi"/>
          <w:noProof/>
          <w:szCs w:val="24"/>
        </w:rPr>
        <w:footnoteReference w:id="141"/>
      </w:r>
      <w:r>
        <w:rPr>
          <w:rFonts w:eastAsiaTheme="minorHAnsi" w:cstheme="minorBidi"/>
          <w:noProof/>
          <w:szCs w:val="24"/>
        </w:rPr>
        <w:t xml:space="preserve"> rather than specific PSI Directive-related costs. Re-users, on the other hand, have benefited from the substantial simplification of the procedures for obtaining PSI access, which helps them save time</w:t>
      </w:r>
      <w:r>
        <w:rPr>
          <w:rFonts w:eastAsiaTheme="minorHAnsi" w:cstheme="minorBidi"/>
          <w:noProof/>
          <w:szCs w:val="24"/>
        </w:rPr>
        <w:t xml:space="preserve"> and resources.</w:t>
      </w:r>
    </w:p>
    <w:p w:rsidR="003B411A" w:rsidRDefault="009F0AE3">
      <w:pPr>
        <w:pStyle w:val="Text1"/>
        <w:ind w:left="0"/>
        <w:rPr>
          <w:rFonts w:eastAsiaTheme="minorHAnsi" w:cstheme="minorBidi"/>
          <w:noProof/>
          <w:szCs w:val="24"/>
          <w:lang w:val="en-US"/>
        </w:rPr>
      </w:pPr>
      <w:r>
        <w:rPr>
          <w:rFonts w:eastAsiaTheme="minorHAnsi" w:cstheme="minorBidi"/>
          <w:noProof/>
          <w:szCs w:val="24"/>
          <w:lang w:val="en-US"/>
        </w:rPr>
        <w:t xml:space="preserve">However, the evaluation has also revealed that there are a number of areas that would need to be addressed in order to fully exploit the potential of PSI for the European economy and society. </w:t>
      </w:r>
    </w:p>
    <w:p w:rsidR="003B411A" w:rsidRDefault="009F0AE3">
      <w:pPr>
        <w:pStyle w:val="Text1"/>
        <w:ind w:left="0"/>
        <w:rPr>
          <w:rFonts w:eastAsiaTheme="minorHAnsi" w:cstheme="minorBidi"/>
          <w:noProof/>
          <w:szCs w:val="24"/>
        </w:rPr>
      </w:pPr>
      <w:r>
        <w:rPr>
          <w:rFonts w:eastAsiaTheme="minorHAnsi" w:cstheme="minorBidi"/>
          <w:noProof/>
          <w:szCs w:val="24"/>
        </w:rPr>
        <w:t>First, recent technological progress has allowe</w:t>
      </w:r>
      <w:r>
        <w:rPr>
          <w:rFonts w:eastAsiaTheme="minorHAnsi" w:cstheme="minorBidi"/>
          <w:noProof/>
          <w:szCs w:val="24"/>
        </w:rPr>
        <w:t>d public sector bodies to generate a wealth of dynamic datasets. Nevertheless, as shown in the evaluation, the provision of real-time access to such data via adequate technical means, such as APIs, and in conformity with recognised interoperable standards,</w:t>
      </w:r>
      <w:r>
        <w:rPr>
          <w:rFonts w:eastAsiaTheme="minorHAnsi" w:cstheme="minorBidi"/>
          <w:noProof/>
          <w:szCs w:val="24"/>
        </w:rPr>
        <w:t xml:space="preserve"> is still an issue which limits the usefulness of such data for innovative and high-demand services.</w:t>
      </w:r>
    </w:p>
    <w:p w:rsidR="003B411A" w:rsidRDefault="009F0AE3">
      <w:pPr>
        <w:pStyle w:val="Text1"/>
        <w:ind w:left="0"/>
        <w:rPr>
          <w:rFonts w:eastAsiaTheme="minorHAnsi"/>
          <w:noProof/>
          <w:szCs w:val="24"/>
        </w:rPr>
      </w:pPr>
      <w:r>
        <w:rPr>
          <w:rFonts w:eastAsiaTheme="minorHAnsi"/>
          <w:noProof/>
          <w:szCs w:val="24"/>
        </w:rPr>
        <w:t>Second, while the Directive has definitely contributed to an increased supply of public sector data in the internal market, there are still vast amounts of</w:t>
      </w:r>
      <w:r>
        <w:rPr>
          <w:rFonts w:eastAsiaTheme="minorHAnsi"/>
          <w:noProof/>
          <w:szCs w:val="24"/>
        </w:rPr>
        <w:t xml:space="preserve"> high-value public data that remain shielded from its scope, such as research data or data from entities executing public sector tasks. Some Member States are moving faster and taking action to address this issue, but others are not.</w:t>
      </w:r>
    </w:p>
    <w:p w:rsidR="003B411A" w:rsidRDefault="009F0AE3">
      <w:pPr>
        <w:pStyle w:val="Text1"/>
        <w:ind w:left="0"/>
        <w:rPr>
          <w:rFonts w:eastAsiaTheme="minorHAnsi" w:cstheme="minorBidi"/>
          <w:noProof/>
          <w:szCs w:val="24"/>
        </w:rPr>
      </w:pPr>
      <w:r>
        <w:rPr>
          <w:rFonts w:eastAsiaTheme="minorHAnsi" w:cstheme="minorBidi"/>
          <w:noProof/>
          <w:szCs w:val="24"/>
        </w:rPr>
        <w:t xml:space="preserve">Third, the evaluation </w:t>
      </w:r>
      <w:r>
        <w:rPr>
          <w:rFonts w:eastAsiaTheme="minorHAnsi" w:cstheme="minorBidi"/>
          <w:noProof/>
          <w:szCs w:val="24"/>
        </w:rPr>
        <w:t>has shown that although the competition dimension of the PSI Directive works, there are some concerns as regards the continued existence of exclusive arrangements. These may take new forms, such as PSI data lock-in, leading to situations in which the re-us</w:t>
      </w:r>
      <w:r>
        <w:rPr>
          <w:rFonts w:eastAsiaTheme="minorHAnsi" w:cstheme="minorBidi"/>
          <w:noProof/>
          <w:szCs w:val="24"/>
        </w:rPr>
        <w:t>e of data by one economic operator takes away the incentive for commercial re-use of the same dataset by other companies.</w:t>
      </w:r>
    </w:p>
    <w:p w:rsidR="003B411A" w:rsidRDefault="009F0AE3">
      <w:pPr>
        <w:pStyle w:val="Text1"/>
        <w:ind w:left="0"/>
        <w:rPr>
          <w:rFonts w:eastAsiaTheme="minorHAnsi" w:cstheme="minorBidi"/>
          <w:noProof/>
          <w:szCs w:val="24"/>
        </w:rPr>
      </w:pPr>
      <w:r>
        <w:rPr>
          <w:rFonts w:eastAsiaTheme="minorHAnsi" w:cstheme="minorBidi"/>
          <w:noProof/>
          <w:szCs w:val="24"/>
        </w:rPr>
        <w:t>Fourth, the Directive would benefit from some additional clarification as regards charging provisions. The evaluation has revealed tha</w:t>
      </w:r>
      <w:r>
        <w:rPr>
          <w:rFonts w:eastAsiaTheme="minorHAnsi" w:cstheme="minorBidi"/>
          <w:noProof/>
          <w:szCs w:val="24"/>
        </w:rPr>
        <w:t>t exceptions enabling public bodies to charge above the default upper limit of marginal cost of dissemination are less relevant than before.</w:t>
      </w:r>
    </w:p>
    <w:p w:rsidR="003B411A" w:rsidRDefault="009F0AE3">
      <w:pPr>
        <w:pStyle w:val="Text1"/>
        <w:ind w:left="0"/>
        <w:rPr>
          <w:rFonts w:eastAsiaTheme="minorHAnsi" w:cstheme="minorBidi"/>
          <w:noProof/>
          <w:szCs w:val="24"/>
        </w:rPr>
      </w:pPr>
      <w:r>
        <w:rPr>
          <w:rFonts w:eastAsiaTheme="minorHAnsi" w:cstheme="minorBidi"/>
          <w:noProof/>
          <w:szCs w:val="24"/>
        </w:rPr>
        <w:t>Finally, it has been observed that while the PSI Directive is coherent with the current legislation on related topi</w:t>
      </w:r>
      <w:r>
        <w:rPr>
          <w:rFonts w:eastAsiaTheme="minorHAnsi" w:cstheme="minorBidi"/>
          <w:noProof/>
          <w:szCs w:val="24"/>
        </w:rPr>
        <w:t>cs, its interaction with certain legal instruments could be clarified. This concerns the relation between the PSI Directive and the Database Directive and the relation between the PSI and INSPIRE Directives, in particular as regards charging mechanisms.</w:t>
      </w:r>
    </w:p>
    <w:p w:rsidR="003B411A" w:rsidRDefault="009F0AE3">
      <w:pPr>
        <w:pStyle w:val="Text1"/>
        <w:ind w:left="0"/>
        <w:rPr>
          <w:noProof/>
        </w:rPr>
      </w:pPr>
      <w:r>
        <w:rPr>
          <w:rFonts w:eastAsiaTheme="minorHAnsi" w:cstheme="minorBidi"/>
          <w:noProof/>
          <w:szCs w:val="24"/>
        </w:rPr>
        <w:t>Ad</w:t>
      </w:r>
      <w:r>
        <w:rPr>
          <w:rFonts w:eastAsiaTheme="minorHAnsi" w:cstheme="minorBidi"/>
          <w:noProof/>
          <w:szCs w:val="24"/>
        </w:rPr>
        <w:t>dressing the above challenges will ensure that the Directive will remain an effective, efficient and relevant policy measure with an even greater potential to generate EU added value for the European taxpayer.</w:t>
      </w:r>
      <w:bookmarkStart w:id="35" w:name="_Toc503544752"/>
    </w:p>
    <w:p w:rsidR="003B411A" w:rsidRDefault="009F0AE3">
      <w:pPr>
        <w:rPr>
          <w:rFonts w:ascii="Times New Roman" w:eastAsia="Times New Roman" w:hAnsi="Times New Roman" w:cs="Times New Roman"/>
          <w:b/>
          <w:smallCaps/>
          <w:noProof/>
          <w:sz w:val="24"/>
          <w:szCs w:val="20"/>
          <w:lang w:val="en-GB"/>
        </w:rPr>
      </w:pPr>
      <w:bookmarkStart w:id="36" w:name="_Toc504065550"/>
      <w:r>
        <w:rPr>
          <w:noProof/>
          <w:lang w:val="en-GB"/>
        </w:rPr>
        <w:br w:type="page"/>
      </w:r>
    </w:p>
    <w:p w:rsidR="003B411A" w:rsidRDefault="009F0AE3">
      <w:pPr>
        <w:pStyle w:val="Heading1"/>
        <w:rPr>
          <w:noProof/>
        </w:rPr>
      </w:pPr>
      <w:bookmarkStart w:id="37" w:name="_Toc505952416"/>
      <w:r>
        <w:rPr>
          <w:noProof/>
        </w:rPr>
        <w:t>ANNEX  1 – EVALUATION QUESTIONS</w:t>
      </w:r>
      <w:bookmarkEnd w:id="36"/>
      <w:bookmarkEnd w:id="37"/>
    </w:p>
    <w:p w:rsidR="003B411A" w:rsidRDefault="009F0AE3">
      <w:pPr>
        <w:pStyle w:val="Text1"/>
        <w:ind w:left="0"/>
        <w:rPr>
          <w:b/>
          <w:noProof/>
        </w:rPr>
      </w:pPr>
      <w:r>
        <w:rPr>
          <w:b/>
          <w:noProof/>
        </w:rPr>
        <w:t>Effectivenes</w:t>
      </w:r>
      <w:r>
        <w:rPr>
          <w:b/>
          <w:noProof/>
        </w:rPr>
        <w:t>s</w:t>
      </w:r>
    </w:p>
    <w:p w:rsidR="003B411A" w:rsidRDefault="009F0AE3">
      <w:pPr>
        <w:pStyle w:val="Text1"/>
        <w:numPr>
          <w:ilvl w:val="0"/>
          <w:numId w:val="45"/>
        </w:numPr>
        <w:rPr>
          <w:noProof/>
        </w:rPr>
      </w:pPr>
      <w:r>
        <w:rPr>
          <w:noProof/>
        </w:rPr>
        <w:t>Has the Directive ensured that competition in the internal market is not distorted?</w:t>
      </w:r>
    </w:p>
    <w:p w:rsidR="003B411A" w:rsidRDefault="009F0AE3">
      <w:pPr>
        <w:pStyle w:val="Text1"/>
        <w:numPr>
          <w:ilvl w:val="0"/>
          <w:numId w:val="45"/>
        </w:numPr>
        <w:rPr>
          <w:noProof/>
        </w:rPr>
      </w:pPr>
      <w:r>
        <w:rPr>
          <w:noProof/>
        </w:rPr>
        <w:t>Has the Directive enabled the creation of jobs related to the digital economy and concerning digital contents?</w:t>
      </w:r>
    </w:p>
    <w:p w:rsidR="003B411A" w:rsidRDefault="009F0AE3">
      <w:pPr>
        <w:pStyle w:val="Text1"/>
        <w:numPr>
          <w:ilvl w:val="0"/>
          <w:numId w:val="45"/>
        </w:numPr>
        <w:rPr>
          <w:noProof/>
        </w:rPr>
      </w:pPr>
      <w:r>
        <w:rPr>
          <w:noProof/>
        </w:rPr>
        <w:t>Have more data held by public sector bodies, including cult</w:t>
      </w:r>
      <w:r>
        <w:rPr>
          <w:noProof/>
        </w:rPr>
        <w:t>ural heritage institutions, become available for re-use?</w:t>
      </w:r>
    </w:p>
    <w:p w:rsidR="003B411A" w:rsidRDefault="009F0AE3">
      <w:pPr>
        <w:pStyle w:val="Text1"/>
        <w:numPr>
          <w:ilvl w:val="0"/>
          <w:numId w:val="45"/>
        </w:numPr>
        <w:rPr>
          <w:noProof/>
        </w:rPr>
      </w:pPr>
      <w:r>
        <w:rPr>
          <w:noProof/>
        </w:rPr>
        <w:t>Has PSI increasingly become a source of innovative services and products?</w:t>
      </w:r>
    </w:p>
    <w:p w:rsidR="003B411A" w:rsidRDefault="009F0AE3">
      <w:pPr>
        <w:pStyle w:val="Text1"/>
        <w:numPr>
          <w:ilvl w:val="0"/>
          <w:numId w:val="45"/>
        </w:numPr>
        <w:rPr>
          <w:noProof/>
        </w:rPr>
      </w:pPr>
      <w:r>
        <w:rPr>
          <w:noProof/>
        </w:rPr>
        <w:t>Is PSI circulating freely across the EU and are cross-border applications based on such information easy to implement?</w:t>
      </w:r>
    </w:p>
    <w:p w:rsidR="003B411A" w:rsidRDefault="009F0AE3">
      <w:pPr>
        <w:pStyle w:val="Text1"/>
        <w:numPr>
          <w:ilvl w:val="0"/>
          <w:numId w:val="45"/>
        </w:numPr>
        <w:rPr>
          <w:noProof/>
        </w:rPr>
      </w:pPr>
      <w:r>
        <w:rPr>
          <w:noProof/>
        </w:rPr>
        <w:t xml:space="preserve">Has </w:t>
      </w:r>
      <w:r>
        <w:rPr>
          <w:noProof/>
        </w:rPr>
        <w:t>PSI has become more affordable, including for start-ups and SMEs?</w:t>
      </w:r>
    </w:p>
    <w:p w:rsidR="003B411A" w:rsidRDefault="009F0AE3">
      <w:pPr>
        <w:pStyle w:val="Text1"/>
        <w:numPr>
          <w:ilvl w:val="0"/>
          <w:numId w:val="45"/>
        </w:numPr>
        <w:rPr>
          <w:noProof/>
        </w:rPr>
      </w:pPr>
      <w:r>
        <w:rPr>
          <w:noProof/>
        </w:rPr>
        <w:t xml:space="preserve">Are exclusive agreements between public sector bodies and third parties used only exceptionally and are they strictly limited to the cases mentioned in the Directive (e.g. necessary for the </w:t>
      </w:r>
      <w:r>
        <w:rPr>
          <w:noProof/>
        </w:rPr>
        <w:t>provision of the public service)?</w:t>
      </w:r>
    </w:p>
    <w:p w:rsidR="003B411A" w:rsidRDefault="009F0AE3">
      <w:pPr>
        <w:pStyle w:val="Text1"/>
        <w:ind w:left="0"/>
        <w:rPr>
          <w:b/>
          <w:noProof/>
        </w:rPr>
      </w:pPr>
      <w:r>
        <w:rPr>
          <w:b/>
          <w:noProof/>
        </w:rPr>
        <w:t>Efficiency</w:t>
      </w:r>
    </w:p>
    <w:p w:rsidR="003B411A" w:rsidRDefault="009F0AE3">
      <w:pPr>
        <w:pStyle w:val="Text1"/>
        <w:numPr>
          <w:ilvl w:val="0"/>
          <w:numId w:val="46"/>
        </w:numPr>
        <w:rPr>
          <w:noProof/>
        </w:rPr>
      </w:pPr>
      <w:r>
        <w:rPr>
          <w:noProof/>
        </w:rPr>
        <w:t>What ratio exists between the benefits achieved and the costs borne by the stakeholders concerned?</w:t>
      </w:r>
    </w:p>
    <w:p w:rsidR="003B411A" w:rsidRDefault="009F0AE3">
      <w:pPr>
        <w:pStyle w:val="Text1"/>
        <w:numPr>
          <w:ilvl w:val="0"/>
          <w:numId w:val="46"/>
        </w:numPr>
        <w:rPr>
          <w:noProof/>
        </w:rPr>
      </w:pPr>
      <w:r>
        <w:rPr>
          <w:noProof/>
        </w:rPr>
        <w:t xml:space="preserve">Are the costs borne by the public sector bodies in implementing the Directive (e.g. adapting IT infrastructure, </w:t>
      </w:r>
      <w:r>
        <w:rPr>
          <w:noProof/>
        </w:rPr>
        <w:t>lower income from charges) offset by socioeconomic benefits of re-using data (e.g. creation of new digital applications and products, increased transparency)?</w:t>
      </w:r>
    </w:p>
    <w:p w:rsidR="003B411A" w:rsidRDefault="009F0AE3">
      <w:pPr>
        <w:pStyle w:val="Text1"/>
        <w:numPr>
          <w:ilvl w:val="0"/>
          <w:numId w:val="46"/>
        </w:numPr>
        <w:rPr>
          <w:noProof/>
        </w:rPr>
      </w:pPr>
      <w:r>
        <w:rPr>
          <w:noProof/>
        </w:rPr>
        <w:t>Does compliance with the Directive require better data management processes of public institution</w:t>
      </w:r>
      <w:r>
        <w:rPr>
          <w:noProof/>
        </w:rPr>
        <w:t>s? Does this lead to cost savings and increased operational efficiency?</w:t>
      </w:r>
    </w:p>
    <w:p w:rsidR="003B411A" w:rsidRDefault="009F0AE3">
      <w:pPr>
        <w:pStyle w:val="Text1"/>
        <w:numPr>
          <w:ilvl w:val="0"/>
          <w:numId w:val="46"/>
        </w:numPr>
        <w:rPr>
          <w:noProof/>
        </w:rPr>
      </w:pPr>
      <w:r>
        <w:rPr>
          <w:noProof/>
        </w:rPr>
        <w:t>In case a request for re-use is rejected and an applicant decides to appeal to the decision of public sector body, is the redress procedure swift, efficient and without excessive costs</w:t>
      </w:r>
      <w:r>
        <w:rPr>
          <w:noProof/>
        </w:rPr>
        <w:t>?</w:t>
      </w:r>
    </w:p>
    <w:p w:rsidR="003B411A" w:rsidRDefault="009F0AE3">
      <w:pPr>
        <w:pStyle w:val="Text1"/>
        <w:ind w:left="0"/>
        <w:rPr>
          <w:b/>
          <w:noProof/>
        </w:rPr>
      </w:pPr>
      <w:r>
        <w:rPr>
          <w:b/>
          <w:noProof/>
        </w:rPr>
        <w:t>Relevance</w:t>
      </w:r>
    </w:p>
    <w:p w:rsidR="003B411A" w:rsidRDefault="009F0AE3">
      <w:pPr>
        <w:pStyle w:val="Text1"/>
        <w:numPr>
          <w:ilvl w:val="0"/>
          <w:numId w:val="47"/>
        </w:numPr>
        <w:rPr>
          <w:noProof/>
        </w:rPr>
      </w:pPr>
      <w:r>
        <w:rPr>
          <w:noProof/>
        </w:rPr>
        <w:t>To what extent is the overall Directive still relevant in 2017, 14 years after its first adoption and based on any possible evolution of stakeholders’ needs in the meantime?</w:t>
      </w:r>
    </w:p>
    <w:p w:rsidR="003B411A" w:rsidRDefault="009F0AE3">
      <w:pPr>
        <w:pStyle w:val="Text1"/>
        <w:numPr>
          <w:ilvl w:val="0"/>
          <w:numId w:val="47"/>
        </w:numPr>
        <w:rPr>
          <w:noProof/>
        </w:rPr>
      </w:pPr>
      <w:r>
        <w:rPr>
          <w:noProof/>
        </w:rPr>
        <w:t>Is the PSI Directive still relevant by ensuring the supply of PSI into</w:t>
      </w:r>
      <w:r>
        <w:rPr>
          <w:noProof/>
        </w:rPr>
        <w:t xml:space="preserve"> the EU single market for PSI?</w:t>
      </w:r>
    </w:p>
    <w:p w:rsidR="003B411A" w:rsidRDefault="009F0AE3">
      <w:pPr>
        <w:pStyle w:val="Text1"/>
        <w:numPr>
          <w:ilvl w:val="0"/>
          <w:numId w:val="47"/>
        </w:numPr>
        <w:rPr>
          <w:noProof/>
        </w:rPr>
      </w:pPr>
      <w:r>
        <w:rPr>
          <w:noProof/>
        </w:rPr>
        <w:t>Is the PSI Directive still relevant by ensuring sufficient usability (e.g. machine-readability) of data?</w:t>
      </w:r>
    </w:p>
    <w:p w:rsidR="003B411A" w:rsidRDefault="009F0AE3">
      <w:pPr>
        <w:pStyle w:val="Text1"/>
        <w:numPr>
          <w:ilvl w:val="0"/>
          <w:numId w:val="47"/>
        </w:numPr>
        <w:rPr>
          <w:noProof/>
        </w:rPr>
      </w:pPr>
      <w:r>
        <w:rPr>
          <w:noProof/>
        </w:rPr>
        <w:t>Is the PSI Directive still relevant by ensuring fair market access (non-discrimination) of all re-users?</w:t>
      </w:r>
    </w:p>
    <w:p w:rsidR="003B411A" w:rsidRDefault="009F0AE3">
      <w:pPr>
        <w:pStyle w:val="Text1"/>
        <w:numPr>
          <w:ilvl w:val="0"/>
          <w:numId w:val="47"/>
        </w:numPr>
        <w:rPr>
          <w:noProof/>
        </w:rPr>
      </w:pPr>
      <w:r>
        <w:rPr>
          <w:noProof/>
        </w:rPr>
        <w:t>Is the PSI Dire</w:t>
      </w:r>
      <w:r>
        <w:rPr>
          <w:noProof/>
        </w:rPr>
        <w:t>ctive still relevant by ensuring transparency and accountability of public sector bodies?</w:t>
      </w:r>
    </w:p>
    <w:p w:rsidR="003B411A" w:rsidRDefault="009F0AE3">
      <w:pPr>
        <w:pStyle w:val="Text1"/>
        <w:ind w:left="0"/>
        <w:rPr>
          <w:b/>
          <w:noProof/>
        </w:rPr>
      </w:pPr>
      <w:r>
        <w:rPr>
          <w:b/>
          <w:noProof/>
        </w:rPr>
        <w:t>Coherence</w:t>
      </w:r>
    </w:p>
    <w:p w:rsidR="003B411A" w:rsidRDefault="009F0AE3">
      <w:pPr>
        <w:pStyle w:val="Text1"/>
        <w:numPr>
          <w:ilvl w:val="0"/>
          <w:numId w:val="48"/>
        </w:numPr>
        <w:rPr>
          <w:noProof/>
        </w:rPr>
      </w:pPr>
      <w:r>
        <w:rPr>
          <w:noProof/>
        </w:rPr>
        <w:t>Is the PSI Directive well aligned with and complementary to EU legislation on the protection of personal data?</w:t>
      </w:r>
    </w:p>
    <w:p w:rsidR="003B411A" w:rsidRDefault="009F0AE3">
      <w:pPr>
        <w:pStyle w:val="Text1"/>
        <w:numPr>
          <w:ilvl w:val="0"/>
          <w:numId w:val="48"/>
        </w:numPr>
        <w:rPr>
          <w:noProof/>
        </w:rPr>
      </w:pPr>
      <w:r>
        <w:rPr>
          <w:noProof/>
        </w:rPr>
        <w:t>Is the PSI Directive well aligned with and co</w:t>
      </w:r>
      <w:r>
        <w:rPr>
          <w:noProof/>
        </w:rPr>
        <w:t>mplementary to the rules based on the INSPIRE Directive?</w:t>
      </w:r>
    </w:p>
    <w:p w:rsidR="003B411A" w:rsidRDefault="009F0AE3">
      <w:pPr>
        <w:pStyle w:val="Text1"/>
        <w:numPr>
          <w:ilvl w:val="0"/>
          <w:numId w:val="48"/>
        </w:numPr>
        <w:rPr>
          <w:noProof/>
        </w:rPr>
      </w:pPr>
      <w:r>
        <w:rPr>
          <w:noProof/>
        </w:rPr>
        <w:t>Is the PSI Directive well aligned with and complementary to the rules based on the PAEI Directive?</w:t>
      </w:r>
    </w:p>
    <w:p w:rsidR="003B411A" w:rsidRDefault="009F0AE3">
      <w:pPr>
        <w:pStyle w:val="Text1"/>
        <w:numPr>
          <w:ilvl w:val="0"/>
          <w:numId w:val="48"/>
        </w:numPr>
        <w:rPr>
          <w:noProof/>
        </w:rPr>
      </w:pPr>
      <w:r>
        <w:rPr>
          <w:noProof/>
        </w:rPr>
        <w:t>Is the PSI Directive well aligned with and complementary to the rules based on the Database Directiv</w:t>
      </w:r>
      <w:r>
        <w:rPr>
          <w:noProof/>
        </w:rPr>
        <w:t>e?</w:t>
      </w:r>
    </w:p>
    <w:p w:rsidR="003B411A" w:rsidRDefault="009F0AE3">
      <w:pPr>
        <w:pStyle w:val="Text1"/>
        <w:numPr>
          <w:ilvl w:val="0"/>
          <w:numId w:val="48"/>
        </w:numPr>
        <w:rPr>
          <w:noProof/>
        </w:rPr>
      </w:pPr>
      <w:r>
        <w:rPr>
          <w:noProof/>
        </w:rPr>
        <w:t>Is the PSI Directive well aligned with and complementary to the rules based on national access regimes (rules which limit access to certain documents on the grounds of national security, commercial confidentiality, etc.)?</w:t>
      </w:r>
    </w:p>
    <w:p w:rsidR="003B411A" w:rsidRDefault="009F0AE3">
      <w:pPr>
        <w:pStyle w:val="Text1"/>
        <w:numPr>
          <w:ilvl w:val="0"/>
          <w:numId w:val="48"/>
        </w:numPr>
        <w:rPr>
          <w:noProof/>
        </w:rPr>
      </w:pPr>
      <w:r>
        <w:rPr>
          <w:noProof/>
        </w:rPr>
        <w:t>Is the PSI Directive well align</w:t>
      </w:r>
      <w:r>
        <w:rPr>
          <w:noProof/>
        </w:rPr>
        <w:t>ed with and complementary to the EU copyright rules?</w:t>
      </w:r>
    </w:p>
    <w:p w:rsidR="003B411A" w:rsidRDefault="009F0AE3">
      <w:pPr>
        <w:pStyle w:val="Text1"/>
        <w:ind w:left="0"/>
        <w:rPr>
          <w:b/>
          <w:noProof/>
        </w:rPr>
      </w:pPr>
      <w:r>
        <w:rPr>
          <w:b/>
          <w:noProof/>
        </w:rPr>
        <w:t>EU added value</w:t>
      </w:r>
    </w:p>
    <w:p w:rsidR="003B411A" w:rsidRDefault="009F0AE3">
      <w:pPr>
        <w:pStyle w:val="Text1"/>
        <w:numPr>
          <w:ilvl w:val="0"/>
          <w:numId w:val="49"/>
        </w:numPr>
        <w:rPr>
          <w:noProof/>
        </w:rPr>
      </w:pPr>
      <w:r>
        <w:rPr>
          <w:noProof/>
        </w:rPr>
        <w:t>Has the PSI Directive played a role in encouraging the national authorities to open up more public sector data?</w:t>
      </w:r>
    </w:p>
    <w:p w:rsidR="003B411A" w:rsidRDefault="009F0AE3">
      <w:pPr>
        <w:pStyle w:val="Text1"/>
        <w:numPr>
          <w:ilvl w:val="0"/>
          <w:numId w:val="49"/>
        </w:numPr>
        <w:rPr>
          <w:noProof/>
        </w:rPr>
      </w:pPr>
      <w:r>
        <w:rPr>
          <w:noProof/>
        </w:rPr>
        <w:t>Has the PSI Directive facilitated access to PSI from countries other than th</w:t>
      </w:r>
      <w:r>
        <w:rPr>
          <w:noProof/>
        </w:rPr>
        <w:t>e one where the person concerned lives?</w:t>
      </w:r>
    </w:p>
    <w:p w:rsidR="003B411A" w:rsidRDefault="009F0AE3">
      <w:pPr>
        <w:pStyle w:val="Text1"/>
        <w:numPr>
          <w:ilvl w:val="0"/>
          <w:numId w:val="49"/>
        </w:numPr>
        <w:rPr>
          <w:noProof/>
        </w:rPr>
      </w:pPr>
      <w:r>
        <w:rPr>
          <w:noProof/>
        </w:rPr>
        <w:t>Is the PSI Directive conducive to the creation of an EU-wide market for products and services based on PSI?</w:t>
      </w:r>
    </w:p>
    <w:p w:rsidR="003B411A" w:rsidRDefault="009F0AE3">
      <w:pPr>
        <w:rPr>
          <w:rFonts w:ascii="Times New Roman" w:eastAsia="Times New Roman" w:hAnsi="Times New Roman" w:cs="Times New Roman"/>
          <w:noProof/>
          <w:sz w:val="24"/>
          <w:szCs w:val="20"/>
          <w:lang w:val="en-GB"/>
        </w:rPr>
      </w:pPr>
      <w:r>
        <w:rPr>
          <w:noProof/>
          <w:lang w:val="en-GB"/>
        </w:rPr>
        <w:br w:type="page"/>
      </w:r>
    </w:p>
    <w:p w:rsidR="003B411A" w:rsidRDefault="009F0AE3">
      <w:pPr>
        <w:pStyle w:val="Heading1"/>
        <w:rPr>
          <w:noProof/>
        </w:rPr>
      </w:pPr>
      <w:bookmarkStart w:id="38" w:name="_Toc504065551"/>
      <w:bookmarkStart w:id="39" w:name="_Toc505952417"/>
      <w:r>
        <w:rPr>
          <w:noProof/>
        </w:rPr>
        <w:t>ANNEX  2 – GLOSSARY</w:t>
      </w:r>
      <w:bookmarkEnd w:id="35"/>
      <w:bookmarkEnd w:id="38"/>
      <w:bookmarkEnd w:id="39"/>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AI</w:t>
      </w:r>
      <w:r>
        <w:rPr>
          <w:rFonts w:ascii="Times New Roman" w:hAnsi="Times New Roman" w:cs="Times New Roman"/>
          <w:noProof/>
          <w:sz w:val="24"/>
          <w:szCs w:val="24"/>
          <w:lang w:val="en-GB"/>
        </w:rPr>
        <w:t xml:space="preserve"> -  Artificial Intelligence, intelligence displayed by machines, applied when a mach</w:t>
      </w:r>
      <w:r>
        <w:rPr>
          <w:rFonts w:ascii="Times New Roman" w:hAnsi="Times New Roman" w:cs="Times New Roman"/>
          <w:noProof/>
          <w:sz w:val="24"/>
          <w:szCs w:val="24"/>
          <w:lang w:val="en-GB"/>
        </w:rPr>
        <w:t>ine mimics cognitive functions that humans associate with other human minds, such as learning and problem solving.</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API (Application Programming Interface)</w:t>
      </w:r>
      <w:r>
        <w:rPr>
          <w:rFonts w:ascii="Times New Roman" w:hAnsi="Times New Roman" w:cs="Times New Roman"/>
          <w:noProof/>
          <w:sz w:val="24"/>
          <w:szCs w:val="24"/>
          <w:lang w:val="en-GB"/>
        </w:rPr>
        <w:t xml:space="preserve"> - a set of technical protocols by means of which one piece of software asks another programme to perform a service. The service could be granting access to data or performing a specified function.</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Database Directive</w:t>
      </w:r>
      <w:r>
        <w:rPr>
          <w:rFonts w:ascii="Times New Roman" w:hAnsi="Times New Roman" w:cs="Times New Roman"/>
          <w:noProof/>
          <w:sz w:val="24"/>
          <w:szCs w:val="24"/>
          <w:lang w:val="en-GB"/>
        </w:rPr>
        <w:t xml:space="preserve"> - Directive 96/9/EC of the European Parliament and of the Council of 11 March 1996 on the legal protection of databases, which harmonizes the treatment of databases under copyright law and introduces the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right for the creators of databases whi</w:t>
      </w:r>
      <w:r>
        <w:rPr>
          <w:rFonts w:ascii="Times New Roman" w:hAnsi="Times New Roman" w:cs="Times New Roman"/>
          <w:noProof/>
          <w:sz w:val="24"/>
          <w:szCs w:val="24"/>
          <w:lang w:val="en-GB"/>
        </w:rPr>
        <w:t>ch do not qualify for copyright.</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PSI data lock-in</w:t>
      </w:r>
      <w:r>
        <w:rPr>
          <w:rFonts w:ascii="Times New Roman" w:hAnsi="Times New Roman" w:cs="Times New Roman"/>
          <w:noProof/>
          <w:sz w:val="24"/>
          <w:szCs w:val="24"/>
          <w:lang w:val="en-GB"/>
        </w:rPr>
        <w:t xml:space="preserve"> - arrangements where public sector bodies grant access to their datasets free of charge to one economic operator, for example in exchange for in-kind compensation, leading to a situation in which the re-use</w:t>
      </w:r>
      <w:r>
        <w:rPr>
          <w:rFonts w:ascii="Times New Roman" w:hAnsi="Times New Roman" w:cs="Times New Roman"/>
          <w:noProof/>
          <w:sz w:val="24"/>
          <w:szCs w:val="24"/>
          <w:lang w:val="en-GB"/>
        </w:rPr>
        <w:t xml:space="preserve"> of such data by this economic operator would take away the incentive for commercial re-use of the same dataset by other companies.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document</w:t>
      </w:r>
      <w:r>
        <w:rPr>
          <w:rFonts w:ascii="Times New Roman" w:hAnsi="Times New Roman" w:cs="Times New Roman"/>
          <w:noProof/>
          <w:sz w:val="24"/>
          <w:szCs w:val="24"/>
          <w:lang w:val="en-GB"/>
        </w:rPr>
        <w:t xml:space="preserve"> - any content whatever its medium (written on paper or stored in electronic form or as a sound, visual or audio-vis</w:t>
      </w:r>
      <w:r>
        <w:rPr>
          <w:rFonts w:ascii="Times New Roman" w:hAnsi="Times New Roman" w:cs="Times New Roman"/>
          <w:noProof/>
          <w:sz w:val="24"/>
          <w:szCs w:val="24"/>
          <w:lang w:val="en-GB"/>
        </w:rPr>
        <w:t>ual recording), or any part of such content; synonymous with data.</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dynamic data</w:t>
      </w:r>
      <w:r>
        <w:rPr>
          <w:rFonts w:ascii="Times New Roman" w:hAnsi="Times New Roman" w:cs="Times New Roman"/>
          <w:noProof/>
          <w:sz w:val="24"/>
          <w:szCs w:val="24"/>
          <w:lang w:val="en-GB"/>
        </w:rPr>
        <w:t xml:space="preserve"> - data from sensors (e.g. bus arrival times, meteorological data), whose economic value depends on its real-time availability.</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European Data Portal</w:t>
      </w:r>
      <w:r>
        <w:rPr>
          <w:rFonts w:ascii="Times New Roman" w:hAnsi="Times New Roman" w:cs="Times New Roman"/>
          <w:noProof/>
          <w:sz w:val="24"/>
          <w:szCs w:val="24"/>
          <w:lang w:val="en-GB"/>
        </w:rPr>
        <w:t xml:space="preserve"> - a portal that harvests the</w:t>
      </w:r>
      <w:r>
        <w:rPr>
          <w:rFonts w:ascii="Times New Roman" w:hAnsi="Times New Roman" w:cs="Times New Roman"/>
          <w:noProof/>
          <w:sz w:val="24"/>
          <w:szCs w:val="24"/>
          <w:lang w:val="en-GB"/>
        </w:rPr>
        <w:t xml:space="preserve"> metadata of PSI available on public data portals across European countries. Information regarding the provision of data and the benefits of re-using data is also included.</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formal open standard</w:t>
      </w:r>
      <w:r>
        <w:rPr>
          <w:rFonts w:ascii="Times New Roman" w:hAnsi="Times New Roman" w:cs="Times New Roman"/>
          <w:noProof/>
          <w:sz w:val="24"/>
          <w:szCs w:val="24"/>
          <w:lang w:val="en-GB"/>
        </w:rPr>
        <w:t xml:space="preserve"> - a standard which has been laid down in written form, detaili</w:t>
      </w:r>
      <w:r>
        <w:rPr>
          <w:rFonts w:ascii="Times New Roman" w:hAnsi="Times New Roman" w:cs="Times New Roman"/>
          <w:noProof/>
          <w:sz w:val="24"/>
          <w:szCs w:val="24"/>
          <w:lang w:val="en-GB"/>
        </w:rPr>
        <w:t>ng specifications for the requirements on how to ensure software interoperability.</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high-value datasets</w:t>
      </w:r>
      <w:r>
        <w:rPr>
          <w:rFonts w:ascii="Times New Roman" w:hAnsi="Times New Roman" w:cs="Times New Roman"/>
          <w:noProof/>
          <w:sz w:val="24"/>
          <w:szCs w:val="24"/>
          <w:lang w:val="en-GB"/>
        </w:rPr>
        <w:t xml:space="preserve"> - datasets which are particularly valuable assets for the economy and society at large. Access to and the re-use of such datasets can speed up the emerge</w:t>
      </w:r>
      <w:r>
        <w:rPr>
          <w:rFonts w:ascii="Times New Roman" w:hAnsi="Times New Roman" w:cs="Times New Roman"/>
          <w:noProof/>
          <w:sz w:val="24"/>
          <w:szCs w:val="24"/>
          <w:lang w:val="en-GB"/>
        </w:rPr>
        <w:t>nce of value-added information products and services, and also encourage participatory democracy.  G8 members have identified 14 high-value areas – from education to transport, and from health to crime and justice – which should help unlock the economic po</w:t>
      </w:r>
      <w:r>
        <w:rPr>
          <w:rFonts w:ascii="Times New Roman" w:hAnsi="Times New Roman" w:cs="Times New Roman"/>
          <w:noProof/>
          <w:sz w:val="24"/>
          <w:szCs w:val="24"/>
          <w:lang w:val="en-GB"/>
        </w:rPr>
        <w:t>tential of open data, support innovation and provide greater accountability.</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INSPIRE Directive</w:t>
      </w:r>
      <w:r>
        <w:rPr>
          <w:rFonts w:ascii="Times New Roman" w:hAnsi="Times New Roman" w:cs="Times New Roman"/>
          <w:noProof/>
          <w:sz w:val="24"/>
          <w:szCs w:val="24"/>
          <w:lang w:val="en-GB"/>
        </w:rPr>
        <w:t xml:space="preserve"> - Directive 2007/2/EC of the European Parliament and of the Council of 14 March 2007 establishing an Infrastructure for Spatial Information in the European Commu</w:t>
      </w:r>
      <w:r>
        <w:rPr>
          <w:rFonts w:ascii="Times New Roman" w:hAnsi="Times New Roman" w:cs="Times New Roman"/>
          <w:noProof/>
          <w:sz w:val="24"/>
          <w:szCs w:val="24"/>
          <w:lang w:val="en-GB"/>
        </w:rPr>
        <w:t>nity , which aims to create a European Union spatial data infrastructure for the purposes of EU environmental policies and policies or activities which may have an impact on the environment.</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IoT</w:t>
      </w:r>
      <w:r>
        <w:rPr>
          <w:rFonts w:ascii="Times New Roman" w:hAnsi="Times New Roman" w:cs="Times New Roman"/>
          <w:noProof/>
          <w:sz w:val="24"/>
          <w:szCs w:val="24"/>
          <w:lang w:val="en-GB"/>
        </w:rPr>
        <w:t xml:space="preserve"> - Internet of Things, network of physical devices, vehicles, </w:t>
      </w:r>
      <w:r>
        <w:rPr>
          <w:rFonts w:ascii="Times New Roman" w:hAnsi="Times New Roman" w:cs="Times New Roman"/>
          <w:noProof/>
          <w:sz w:val="24"/>
          <w:szCs w:val="24"/>
          <w:lang w:val="en-GB"/>
        </w:rPr>
        <w:t>home appliances and other items embedded with connectivity software which enables these objects to connect and exchange data.[</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machine-readable format</w:t>
      </w:r>
      <w:r>
        <w:rPr>
          <w:rFonts w:ascii="Times New Roman" w:hAnsi="Times New Roman" w:cs="Times New Roman"/>
          <w:noProof/>
          <w:sz w:val="24"/>
          <w:szCs w:val="24"/>
          <w:lang w:val="en-GB"/>
        </w:rPr>
        <w:t xml:space="preserve"> - a file format structured so that software applications can easily identify, recognize and extract speci</w:t>
      </w:r>
      <w:r>
        <w:rPr>
          <w:rFonts w:ascii="Times New Roman" w:hAnsi="Times New Roman" w:cs="Times New Roman"/>
          <w:noProof/>
          <w:sz w:val="24"/>
          <w:szCs w:val="24"/>
          <w:lang w:val="en-GB"/>
        </w:rPr>
        <w:t>fic data, including individual statements of fact, and their internal structure.</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marginal cost method</w:t>
      </w:r>
      <w:r>
        <w:rPr>
          <w:rFonts w:ascii="Times New Roman" w:hAnsi="Times New Roman" w:cs="Times New Roman"/>
          <w:noProof/>
          <w:sz w:val="24"/>
          <w:szCs w:val="24"/>
          <w:lang w:val="en-GB"/>
        </w:rPr>
        <w:t xml:space="preserve"> - a principle applying to all charging for public sector data re-use in the EU, with some exceptions: public sector bodies may charge no more than the mar</w:t>
      </w:r>
      <w:r>
        <w:rPr>
          <w:rFonts w:ascii="Times New Roman" w:hAnsi="Times New Roman" w:cs="Times New Roman"/>
          <w:noProof/>
          <w:sz w:val="24"/>
          <w:szCs w:val="24"/>
          <w:lang w:val="en-GB"/>
        </w:rPr>
        <w:t>ginal cost of reproducing, providing and disseminating the documents.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open data</w:t>
      </w:r>
      <w:r>
        <w:rPr>
          <w:rFonts w:ascii="Times New Roman" w:hAnsi="Times New Roman" w:cs="Times New Roman"/>
          <w:noProof/>
          <w:sz w:val="24"/>
          <w:szCs w:val="24"/>
          <w:lang w:val="en-GB"/>
        </w:rPr>
        <w:t xml:space="preserve"> - data that is freely available to everyone to access and re-use as they wish, without restrictions from copyright, patents or other mechanisms of control.</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open format</w:t>
      </w:r>
      <w:r>
        <w:rPr>
          <w:rFonts w:ascii="Times New Roman" w:hAnsi="Times New Roman" w:cs="Times New Roman"/>
          <w:noProof/>
          <w:sz w:val="24"/>
          <w:szCs w:val="24"/>
          <w:lang w:val="en-GB"/>
        </w:rPr>
        <w:t xml:space="preserve"> - a file</w:t>
      </w:r>
      <w:r>
        <w:rPr>
          <w:rFonts w:ascii="Times New Roman" w:hAnsi="Times New Roman" w:cs="Times New Roman"/>
          <w:noProof/>
          <w:sz w:val="24"/>
          <w:szCs w:val="24"/>
          <w:lang w:val="en-GB"/>
        </w:rPr>
        <w:t xml:space="preserve"> format that is platform-independent and made available to the public without any restriction that impedes the re-use of documents.</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public undertaking </w:t>
      </w:r>
      <w:r>
        <w:rPr>
          <w:rFonts w:ascii="Times New Roman" w:hAnsi="Times New Roman" w:cs="Times New Roman"/>
          <w:noProof/>
          <w:sz w:val="24"/>
          <w:szCs w:val="24"/>
          <w:lang w:val="en-GB"/>
        </w:rPr>
        <w:t>- any undertaking over which the contracting authorities may exercise directly or indirectly a dominant i</w:t>
      </w:r>
      <w:r>
        <w:rPr>
          <w:rFonts w:ascii="Times New Roman" w:hAnsi="Times New Roman" w:cs="Times New Roman"/>
          <w:noProof/>
          <w:sz w:val="24"/>
          <w:szCs w:val="24"/>
          <w:lang w:val="en-GB"/>
        </w:rPr>
        <w:t>nfluence by virtue of their ownership of it, their financial participation therein, or the rules which govern it.</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public sector body</w:t>
      </w:r>
      <w:r>
        <w:rPr>
          <w:rFonts w:ascii="Times New Roman" w:hAnsi="Times New Roman" w:cs="Times New Roman"/>
          <w:noProof/>
          <w:sz w:val="24"/>
          <w:szCs w:val="24"/>
          <w:lang w:val="en-GB"/>
        </w:rPr>
        <w:t xml:space="preserve"> - a state, regional or local authority, a body governed by public law or an association formed by one or several such autho</w:t>
      </w:r>
      <w:r>
        <w:rPr>
          <w:rFonts w:ascii="Times New Roman" w:hAnsi="Times New Roman" w:cs="Times New Roman"/>
          <w:noProof/>
          <w:sz w:val="24"/>
          <w:szCs w:val="24"/>
          <w:lang w:val="en-GB"/>
        </w:rPr>
        <w:t>rities or one or several such bodies governed by public law.</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re-use</w:t>
      </w:r>
      <w:r>
        <w:rPr>
          <w:rFonts w:ascii="Times New Roman" w:hAnsi="Times New Roman" w:cs="Times New Roman"/>
          <w:noProof/>
          <w:sz w:val="24"/>
          <w:szCs w:val="24"/>
          <w:lang w:val="en-GB"/>
        </w:rPr>
        <w:t xml:space="preserve"> - the use by persons or legal entities of documents held by public sector bodies, for commercial or non-commercial purposes other than the initial purpose within the public task for which </w:t>
      </w:r>
      <w:r>
        <w:rPr>
          <w:rFonts w:ascii="Times New Roman" w:hAnsi="Times New Roman" w:cs="Times New Roman"/>
          <w:noProof/>
          <w:sz w:val="24"/>
          <w:szCs w:val="24"/>
          <w:lang w:val="en-GB"/>
        </w:rPr>
        <w:t>the documents were produced.</w:t>
      </w:r>
    </w:p>
    <w:p w:rsidR="003B411A" w:rsidRDefault="009F0AE3">
      <w:pPr>
        <w:jc w:val="both"/>
        <w:rPr>
          <w:rFonts w:ascii="Times New Roman" w:hAnsi="Times New Roman" w:cs="Times New Roman"/>
          <w:noProof/>
          <w:sz w:val="24"/>
          <w:szCs w:val="24"/>
          <w:lang w:val="en-GB"/>
        </w:rPr>
      </w:pPr>
      <w:r>
        <w:rPr>
          <w:rFonts w:ascii="Times New Roman" w:hAnsi="Times New Roman" w:cs="Times New Roman"/>
          <w:b/>
          <w:i/>
          <w:noProof/>
          <w:sz w:val="24"/>
          <w:szCs w:val="24"/>
          <w:lang w:val="en-GB"/>
        </w:rPr>
        <w:t>sui generis</w:t>
      </w:r>
      <w:r>
        <w:rPr>
          <w:rFonts w:ascii="Times New Roman" w:hAnsi="Times New Roman" w:cs="Times New Roman"/>
          <w:b/>
          <w:noProof/>
          <w:sz w:val="24"/>
          <w:szCs w:val="24"/>
          <w:lang w:val="en-GB"/>
        </w:rPr>
        <w:t xml:space="preserve"> database right</w:t>
      </w:r>
      <w:r>
        <w:rPr>
          <w:rFonts w:ascii="Times New Roman" w:hAnsi="Times New Roman" w:cs="Times New Roman"/>
          <w:noProof/>
          <w:sz w:val="24"/>
          <w:szCs w:val="24"/>
          <w:lang w:val="en-GB"/>
        </w:rPr>
        <w:t xml:space="preserve"> - a </w:t>
      </w:r>
      <w:r>
        <w:rPr>
          <w:rFonts w:ascii="Times New Roman" w:hAnsi="Times New Roman" w:cs="Times New Roman"/>
          <w:i/>
          <w:noProof/>
          <w:sz w:val="24"/>
          <w:szCs w:val="24"/>
          <w:lang w:val="en-GB"/>
        </w:rPr>
        <w:t>sui generis</w:t>
      </w:r>
      <w:r>
        <w:rPr>
          <w:rFonts w:ascii="Times New Roman" w:hAnsi="Times New Roman" w:cs="Times New Roman"/>
          <w:noProof/>
          <w:sz w:val="24"/>
          <w:szCs w:val="24"/>
          <w:lang w:val="en-GB"/>
        </w:rPr>
        <w:t xml:space="preserve"> database right is a property right, comparable to but distinct from copyright, that exists to recognise the investment that is made into compiling a database, even when this does not i</w:t>
      </w:r>
      <w:r>
        <w:rPr>
          <w:rFonts w:ascii="Times New Roman" w:hAnsi="Times New Roman" w:cs="Times New Roman"/>
          <w:noProof/>
          <w:sz w:val="24"/>
          <w:szCs w:val="24"/>
          <w:lang w:val="en-GB"/>
        </w:rPr>
        <w:t>nvolve the creative aspect that is reflected by copyright. It is sometimes invoked by public sector bodies to justify their refusal to give access to their data.</w:t>
      </w:r>
    </w:p>
    <w:p w:rsidR="003B411A" w:rsidRDefault="009F0AE3">
      <w:pPr>
        <w:rPr>
          <w:rFonts w:ascii="Times New Roman" w:hAnsi="Times New Roman" w:cs="Times New Roman"/>
          <w:noProof/>
          <w:sz w:val="24"/>
          <w:szCs w:val="24"/>
          <w:lang w:val="en-GB"/>
        </w:rPr>
      </w:pPr>
      <w:r>
        <w:rPr>
          <w:rFonts w:ascii="Times New Roman" w:hAnsi="Times New Roman" w:cs="Times New Roman"/>
          <w:noProof/>
          <w:sz w:val="24"/>
          <w:szCs w:val="24"/>
          <w:lang w:val="en-GB"/>
        </w:rPr>
        <w:br w:type="page"/>
      </w:r>
    </w:p>
    <w:p w:rsidR="003B411A" w:rsidRDefault="009F0AE3">
      <w:pPr>
        <w:pStyle w:val="Heading1"/>
        <w:rPr>
          <w:noProof/>
        </w:rPr>
      </w:pPr>
      <w:bookmarkStart w:id="40" w:name="_Toc503544753"/>
      <w:bookmarkStart w:id="41" w:name="_Toc504065552"/>
      <w:bookmarkStart w:id="42" w:name="_Toc505952418"/>
      <w:r>
        <w:rPr>
          <w:noProof/>
        </w:rPr>
        <w:t xml:space="preserve">ANNEX 3 – LIST OF </w:t>
      </w:r>
      <w:bookmarkEnd w:id="40"/>
      <w:r>
        <w:rPr>
          <w:noProof/>
        </w:rPr>
        <w:t>LITERATURE USED</w:t>
      </w:r>
      <w:bookmarkEnd w:id="41"/>
      <w:bookmarkEnd w:id="42"/>
    </w:p>
    <w:p w:rsidR="003B411A" w:rsidRDefault="003B411A">
      <w:pPr>
        <w:rPr>
          <w:noProof/>
          <w:lang w:val="en-GB"/>
        </w:rPr>
      </w:pPr>
    </w:p>
    <w:p w:rsidR="003B411A" w:rsidRDefault="009F0AE3">
      <w:pPr>
        <w:pStyle w:val="ListParagraph"/>
        <w:numPr>
          <w:ilvl w:val="0"/>
          <w:numId w:val="36"/>
        </w:numPr>
        <w:spacing w:after="160" w:line="259" w:lineRule="auto"/>
        <w:ind w:left="567" w:hanging="567"/>
        <w:rPr>
          <w:noProof/>
          <w:lang w:val="en-US"/>
        </w:rPr>
      </w:pPr>
      <w:r>
        <w:rPr>
          <w:noProof/>
          <w:lang w:val="nl-NL"/>
        </w:rPr>
        <w:t xml:space="preserve">Merijn Backx, </w:t>
      </w:r>
      <w:r>
        <w:rPr>
          <w:i/>
          <w:noProof/>
          <w:lang w:val="nl-NL"/>
        </w:rPr>
        <w:t xml:space="preserve">Gebouwgegevens redden levens. </w:t>
      </w:r>
      <w:r>
        <w:rPr>
          <w:i/>
          <w:noProof/>
          <w:lang w:val="nl-NL"/>
        </w:rPr>
        <w:t>Toegankelijkheidseisen van gebouwgegevens in het kader van de openbare orde en veiligheid</w:t>
      </w:r>
      <w:r>
        <w:rPr>
          <w:noProof/>
          <w:lang w:val="nl-NL"/>
        </w:rPr>
        <w:t xml:space="preserve"> (scriptie Technische Universiteit Delft), 2003. </w:t>
      </w:r>
      <w:r>
        <w:rPr>
          <w:noProof/>
          <w:lang w:val="en-US"/>
        </w:rPr>
        <w:t>BDO 199.</w:t>
      </w:r>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noProof/>
          <w:lang w:val="nl-NL"/>
        </w:rPr>
      </w:pPr>
      <w:r>
        <w:rPr>
          <w:noProof/>
          <w:lang w:val="nl-NL"/>
        </w:rPr>
        <w:t xml:space="preserve">Bregt, A., L. Grus &amp; D. Eertink (2014). </w:t>
      </w:r>
      <w:r>
        <w:rPr>
          <w:i/>
          <w:noProof/>
          <w:lang w:val="nl-NL"/>
        </w:rPr>
        <w:t>Wat zijn de effecten van een open basisregistratie topografie na twe</w:t>
      </w:r>
      <w:r>
        <w:rPr>
          <w:i/>
          <w:noProof/>
          <w:lang w:val="nl-NL"/>
        </w:rPr>
        <w:t>e jaar?</w:t>
      </w:r>
      <w:r>
        <w:rPr>
          <w:noProof/>
          <w:lang w:val="nl-NL"/>
        </w:rPr>
        <w:t>,Wageningen University: p. 49.</w:t>
      </w:r>
    </w:p>
    <w:p w:rsidR="003B411A" w:rsidRDefault="003B411A">
      <w:pPr>
        <w:pStyle w:val="ListParagraph"/>
        <w:spacing w:after="160" w:line="259" w:lineRule="auto"/>
        <w:ind w:left="567"/>
        <w:rPr>
          <w:noProof/>
          <w:lang w:val="nl-NL"/>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DECA, Danish Enterprise and Construction Authority, (2010). </w:t>
      </w:r>
      <w:r>
        <w:rPr>
          <w:i/>
          <w:noProof/>
          <w:lang w:val="en-US"/>
        </w:rPr>
        <w:t>The value of Danish address data</w:t>
      </w:r>
      <w:r>
        <w:rPr>
          <w:noProof/>
          <w:lang w:val="en-US"/>
        </w:rPr>
        <w:t xml:space="preserve">, </w:t>
      </w:r>
      <w:hyperlink r:id="rId33" w:history="1">
        <w:r>
          <w:rPr>
            <w:rStyle w:val="Hyperlink"/>
            <w:noProof/>
            <w:lang w:val="en-US"/>
          </w:rPr>
          <w:t>http://</w:t>
        </w:r>
        <w:r>
          <w:rPr>
            <w:rStyle w:val="Hyperlink"/>
            <w:noProof/>
            <w:lang w:val="en-US"/>
          </w:rPr>
          <w:t>www.adresseinfo.dk/Portals/2/Benefit/Value_Assessment_Danish_Address_Data_UK_2010-07-07b.pdf</w:t>
        </w:r>
      </w:hyperlink>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DECA, Danish Enterprise and Construction Authority, (2017). </w:t>
      </w:r>
      <w:r>
        <w:rPr>
          <w:i/>
          <w:noProof/>
          <w:lang w:val="en-US"/>
        </w:rPr>
        <w:t>The impact of open geographical data – follow-up study</w:t>
      </w:r>
      <w:r>
        <w:rPr>
          <w:noProof/>
          <w:lang w:val="en-US"/>
        </w:rPr>
        <w:t xml:space="preserve">, </w:t>
      </w:r>
      <w:hyperlink r:id="rId34" w:history="1">
        <w:r>
          <w:rPr>
            <w:rStyle w:val="Hyperlink"/>
            <w:noProof/>
            <w:lang w:val="en-US"/>
          </w:rPr>
          <w:t>http://sdfe.dk/media/2917052/20170317-the-impact-of-the-open-geographical-data-management-summary-version-13-pwc-qrvk</w:t>
        </w:r>
        <w:r>
          <w:rPr>
            <w:rStyle w:val="Hyperlink"/>
            <w:noProof/>
            <w:lang w:val="en-US"/>
          </w:rPr>
          <w:t>vdr.pdf</w:t>
        </w:r>
      </w:hyperlink>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before="240" w:after="0" w:line="259" w:lineRule="auto"/>
        <w:ind w:left="567" w:hanging="567"/>
        <w:rPr>
          <w:noProof/>
          <w:lang w:val="en-US"/>
        </w:rPr>
      </w:pPr>
      <w:r>
        <w:rPr>
          <w:noProof/>
          <w:lang w:val="en-US"/>
        </w:rPr>
        <w:t xml:space="preserve">Deloitte/Tech24. (2011, October). </w:t>
      </w:r>
      <w:r>
        <w:rPr>
          <w:i/>
          <w:noProof/>
          <w:lang w:val="en-US"/>
        </w:rPr>
        <w:t>POPSIS Pricing Of Public Sector Information Study.</w:t>
      </w:r>
      <w:r>
        <w:rPr>
          <w:noProof/>
          <w:lang w:val="en-US"/>
        </w:rPr>
        <w:t xml:space="preserve"> Retrieved from </w:t>
      </w:r>
      <w:hyperlink r:id="rId35" w:history="1">
        <w:r>
          <w:rPr>
            <w:rStyle w:val="Hyperlink"/>
            <w:noProof/>
            <w:lang w:val="en-US"/>
          </w:rPr>
          <w:t>https://ec.europa.eu/digital-single-market/en/news/pricing-public-sector-information-study-popsis-models-supply-and-charging-public-sector</w:t>
        </w:r>
      </w:hyperlink>
    </w:p>
    <w:p w:rsidR="003B411A" w:rsidRDefault="003B411A">
      <w:pPr>
        <w:pStyle w:val="ListParagraph"/>
        <w:spacing w:before="240" w:after="0"/>
        <w:ind w:left="567" w:hanging="567"/>
        <w:rPr>
          <w:noProof/>
          <w:lang w:val="en-US"/>
        </w:rPr>
      </w:pPr>
    </w:p>
    <w:p w:rsidR="003B411A" w:rsidRDefault="009F0AE3">
      <w:pPr>
        <w:pStyle w:val="ListParagraph"/>
        <w:numPr>
          <w:ilvl w:val="0"/>
          <w:numId w:val="36"/>
        </w:numPr>
        <w:spacing w:after="160" w:line="259" w:lineRule="auto"/>
        <w:ind w:left="567" w:hanging="567"/>
        <w:rPr>
          <w:noProof/>
        </w:rPr>
      </w:pPr>
      <w:r>
        <w:rPr>
          <w:noProof/>
          <w:lang w:val="en-US"/>
        </w:rPr>
        <w:t xml:space="preserve">European Commission. (2014). </w:t>
      </w:r>
      <w:r>
        <w:rPr>
          <w:i/>
          <w:noProof/>
          <w:lang w:val="en-US"/>
        </w:rPr>
        <w:t>Study on eGovernment and the reduction of administrative burden, SMART 2012/006</w:t>
      </w:r>
      <w:r>
        <w:rPr>
          <w:i/>
          <w:noProof/>
          <w:lang w:val="en-US"/>
        </w:rPr>
        <w:t>1, Final Report,</w:t>
      </w:r>
      <w:r>
        <w:rPr>
          <w:noProof/>
          <w:lang w:val="en-US"/>
        </w:rPr>
        <w:t xml:space="preserve"> </w:t>
      </w:r>
      <w:hyperlink r:id="rId36" w:history="1">
        <w:r>
          <w:rPr>
            <w:noProof/>
          </w:rPr>
          <w:t>https://ec.europa.eu/digital-single-market/news/final-report-study-egovernment-and-reduction-</w:t>
        </w:r>
        <w:r>
          <w:rPr>
            <w:noProof/>
          </w:rPr>
          <w:t>administrative-burden-smart-20120061</w:t>
        </w:r>
      </w:hyperlink>
      <w:r>
        <w:rPr>
          <w:noProof/>
        </w:rPr>
        <w:t xml:space="preserve">  </w:t>
      </w:r>
    </w:p>
    <w:p w:rsidR="003B411A" w:rsidRDefault="003B411A">
      <w:pPr>
        <w:pStyle w:val="ListParagraph"/>
        <w:spacing w:after="160" w:line="259" w:lineRule="auto"/>
        <w:ind w:left="567"/>
        <w:rPr>
          <w:rFonts w:cs="Calibri"/>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European Commission. (2017, February 01). </w:t>
      </w:r>
      <w:r>
        <w:rPr>
          <w:i/>
          <w:noProof/>
          <w:lang w:val="en-US"/>
        </w:rPr>
        <w:t>European Data Market. SMART 2013/0063. Final Report</w:t>
      </w:r>
      <w:r>
        <w:rPr>
          <w:noProof/>
          <w:lang w:val="en-US"/>
        </w:rPr>
        <w:t xml:space="preserve">. Retrieved from </w:t>
      </w:r>
      <w:hyperlink r:id="rId37" w:history="1">
        <w:r>
          <w:rPr>
            <w:rStyle w:val="Hyperlink"/>
            <w:noProof/>
            <w:lang w:val="en-US"/>
          </w:rPr>
          <w:t>https://a2528ba5-a-c3c32646-s-sites.googlegroups.com/a/open-evidence.com/download/repository/SMART20130063_Final%20Report_030417_2.pdf?attachauth=ANoY7cqfQr79x6OowAjJUkJgS-</w:t>
        </w:r>
        <w:r>
          <w:rPr>
            <w:rStyle w:val="Hyperlink"/>
            <w:noProof/>
            <w:lang w:val="en-US"/>
          </w:rPr>
          <w:t>qZyc3dkemSFqn5LG_gZHt8nIJmQVPrRyUo5b4K17K5tCRBUFNSUo-xow8cw4_X5AhY_gOFF7LdqSlYvCG_HxdAVeHeEJYSA63vJLDnDTgdn7MZNkp8l6y6eGcUY-uNVcb1J9k1cFYoV-zbNauRXFw7fxoq8kKze10uSqUNhwUf6cpI6xxD6_xwdLqpvcMEvwhoCmDcL5F8NTz1UZmR2o4l2sV5kl6VfMzWyOMcvL90EtxlXCsG&amp;attredirects=</w:t>
        </w:r>
        <w:r>
          <w:rPr>
            <w:rStyle w:val="Hyperlink"/>
            <w:noProof/>
            <w:lang w:val="en-US"/>
          </w:rPr>
          <w:t>0</w:t>
        </w:r>
      </w:hyperlink>
      <w:r>
        <w:rPr>
          <w:noProof/>
          <w:lang w:val="en-US"/>
        </w:rPr>
        <w:t xml:space="preserve"> </w:t>
      </w:r>
    </w:p>
    <w:p w:rsidR="003B411A" w:rsidRDefault="003B411A">
      <w:pPr>
        <w:pStyle w:val="ListParagraph"/>
        <w:ind w:left="567" w:hanging="567"/>
        <w:rPr>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European Commission: </w:t>
      </w:r>
      <w:r>
        <w:rPr>
          <w:i/>
          <w:noProof/>
        </w:rPr>
        <w:t xml:space="preserve">Study to support the review of Directive 2003/98/EC on the re-use of public sector information, </w:t>
      </w:r>
      <w:r>
        <w:rPr>
          <w:noProof/>
        </w:rPr>
        <w:t>SMART 2017/0061, Deloitte, January 2018</w:t>
      </w:r>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rStyle w:val="Hyperlink"/>
          <w:noProof/>
          <w:color w:val="auto"/>
          <w:u w:val="none"/>
          <w:lang w:val="en-US"/>
        </w:rPr>
      </w:pPr>
      <w:r>
        <w:rPr>
          <w:noProof/>
          <w:lang w:val="en-US"/>
        </w:rPr>
        <w:t xml:space="preserve">European Data Portal: </w:t>
      </w:r>
      <w:r>
        <w:rPr>
          <w:i/>
          <w:noProof/>
        </w:rPr>
        <w:t xml:space="preserve">Open Data Maturity in Europe 2017 – Open Data for a European Data </w:t>
      </w:r>
      <w:r>
        <w:rPr>
          <w:i/>
          <w:noProof/>
        </w:rPr>
        <w:t>Economy</w:t>
      </w:r>
      <w:r>
        <w:rPr>
          <w:noProof/>
        </w:rPr>
        <w:t xml:space="preserve">, </w:t>
      </w:r>
      <w:hyperlink r:id="rId38" w:history="1">
        <w:r>
          <w:rPr>
            <w:rStyle w:val="Hyperlink"/>
            <w:noProof/>
            <w:lang w:val="en-US"/>
          </w:rPr>
          <w:t>https://www.europeandataportal.eu/sites/default/files/edp_landscaping_insight_report_n3_2017.pdf</w:t>
        </w:r>
      </w:hyperlink>
    </w:p>
    <w:p w:rsidR="003B411A" w:rsidRDefault="003B411A">
      <w:pPr>
        <w:pStyle w:val="ListParagraph"/>
        <w:spacing w:after="160" w:line="259" w:lineRule="auto"/>
        <w:ind w:left="567"/>
        <w:rPr>
          <w:rStyle w:val="Hyperlink"/>
          <w:noProof/>
          <w:color w:val="auto"/>
          <w:u w:val="none"/>
          <w:lang w:val="en-US"/>
        </w:rPr>
      </w:pPr>
    </w:p>
    <w:p w:rsidR="003B411A" w:rsidRDefault="009F0AE3">
      <w:pPr>
        <w:pStyle w:val="ListParagraph"/>
        <w:numPr>
          <w:ilvl w:val="0"/>
          <w:numId w:val="36"/>
        </w:numPr>
        <w:spacing w:after="160" w:line="259" w:lineRule="auto"/>
        <w:ind w:left="567" w:hanging="567"/>
        <w:rPr>
          <w:rStyle w:val="Hyperlink"/>
          <w:noProof/>
          <w:color w:val="auto"/>
          <w:u w:val="none"/>
          <w:lang w:val="en-US"/>
        </w:rPr>
      </w:pPr>
      <w:r>
        <w:rPr>
          <w:noProof/>
          <w:lang w:val="en-US"/>
        </w:rPr>
        <w:t xml:space="preserve">European Data Portal: </w:t>
      </w:r>
      <w:r>
        <w:rPr>
          <w:i/>
          <w:noProof/>
        </w:rPr>
        <w:t>Analytical Rep</w:t>
      </w:r>
      <w:r>
        <w:rPr>
          <w:i/>
          <w:noProof/>
        </w:rPr>
        <w:t>ort 9: The Economic Benefits of Open Data</w:t>
      </w:r>
      <w:r>
        <w:rPr>
          <w:noProof/>
        </w:rPr>
        <w:t>, December 2017.</w:t>
      </w:r>
      <w:r>
        <w:rPr>
          <w:noProof/>
          <w:lang w:val="en-US"/>
        </w:rPr>
        <w:t xml:space="preserve"> Retrieved from </w:t>
      </w:r>
      <w:hyperlink r:id="rId39" w:history="1">
        <w:r>
          <w:rPr>
            <w:rStyle w:val="Hyperlink"/>
            <w:noProof/>
          </w:rPr>
          <w:t>https://www.europeandataportal.eu/sites/default/files/ana</w:t>
        </w:r>
        <w:r>
          <w:rPr>
            <w:rStyle w:val="Hyperlink"/>
            <w:noProof/>
          </w:rPr>
          <w:t>lytical_report_n9_economic_benefits_of_open_data.pdf</w:t>
        </w:r>
      </w:hyperlink>
    </w:p>
    <w:p w:rsidR="003B411A" w:rsidRDefault="003B411A">
      <w:pPr>
        <w:pStyle w:val="ListParagraph"/>
        <w:spacing w:after="160" w:line="259" w:lineRule="auto"/>
        <w:ind w:left="567"/>
        <w:rPr>
          <w:rStyle w:val="Hyperlink"/>
          <w:noProof/>
          <w:color w:val="auto"/>
          <w:u w:val="none"/>
        </w:rPr>
      </w:pPr>
    </w:p>
    <w:p w:rsidR="003B411A" w:rsidRDefault="009F0AE3">
      <w:pPr>
        <w:pStyle w:val="ListParagraph"/>
        <w:numPr>
          <w:ilvl w:val="0"/>
          <w:numId w:val="36"/>
        </w:numPr>
        <w:spacing w:after="160" w:line="259" w:lineRule="auto"/>
        <w:ind w:left="567" w:hanging="567"/>
        <w:rPr>
          <w:noProof/>
          <w:lang w:val="fi-FI"/>
        </w:rPr>
      </w:pPr>
      <w:r>
        <w:rPr>
          <w:noProof/>
          <w:lang w:val="fi-FI"/>
        </w:rPr>
        <w:t xml:space="preserve">Finnish Prime Minister's Office (2017), </w:t>
      </w:r>
      <w:r>
        <w:rPr>
          <w:i/>
          <w:noProof/>
          <w:lang w:val="fi-FI"/>
        </w:rPr>
        <w:t xml:space="preserve">Avoimen datan yödyntäminen ja vaikuttavuus, </w:t>
      </w:r>
      <w:hyperlink r:id="rId40" w:history="1">
        <w:r>
          <w:rPr>
            <w:rStyle w:val="Hyperlink"/>
            <w:noProof/>
            <w:lang w:val="fi-FI"/>
          </w:rPr>
          <w:t>https://www.etla.fi/wp-content/uploads/VNK_2017</w:t>
        </w:r>
        <w:r>
          <w:rPr>
            <w:rStyle w:val="Hyperlink"/>
            <w:noProof/>
            <w:lang w:val="fi-FI"/>
          </w:rPr>
          <w:t>_40.pdf</w:t>
        </w:r>
      </w:hyperlink>
    </w:p>
    <w:p w:rsidR="003B411A" w:rsidRDefault="003B411A">
      <w:pPr>
        <w:pStyle w:val="ListParagraph"/>
        <w:spacing w:after="160" w:line="259" w:lineRule="auto"/>
        <w:ind w:left="567"/>
        <w:rPr>
          <w:noProof/>
          <w:lang w:val="fi-FI"/>
        </w:rPr>
      </w:pPr>
    </w:p>
    <w:p w:rsidR="003B411A" w:rsidRDefault="009F0AE3">
      <w:pPr>
        <w:pStyle w:val="ListParagraph"/>
        <w:numPr>
          <w:ilvl w:val="0"/>
          <w:numId w:val="36"/>
        </w:numPr>
        <w:spacing w:after="160" w:line="259" w:lineRule="auto"/>
        <w:ind w:left="567" w:hanging="567"/>
        <w:rPr>
          <w:noProof/>
          <w:lang w:val="nl-NL"/>
        </w:rPr>
      </w:pPr>
      <w:r>
        <w:rPr>
          <w:noProof/>
          <w:lang w:val="nl-NL"/>
        </w:rPr>
        <w:t xml:space="preserve">Grus, L., A. Bregt &amp; D. Eertink (2015). </w:t>
      </w:r>
      <w:r>
        <w:rPr>
          <w:i/>
          <w:noProof/>
          <w:lang w:val="nl-NL"/>
        </w:rPr>
        <w:t>De effecten van open data BRT na 3 jaar</w:t>
      </w:r>
      <w:r>
        <w:rPr>
          <w:noProof/>
          <w:lang w:val="nl-NL"/>
        </w:rPr>
        <w:t>, Wageningen University &amp; het Kadaster: 7.</w:t>
      </w:r>
    </w:p>
    <w:p w:rsidR="003B411A" w:rsidRDefault="003B411A">
      <w:pPr>
        <w:pStyle w:val="ListParagraph"/>
        <w:spacing w:after="160" w:line="259" w:lineRule="auto"/>
        <w:ind w:left="567"/>
        <w:rPr>
          <w:noProof/>
          <w:lang w:val="nl-NL"/>
        </w:rPr>
      </w:pPr>
    </w:p>
    <w:p w:rsidR="003B411A" w:rsidRDefault="009F0AE3">
      <w:pPr>
        <w:pStyle w:val="ListParagraph"/>
        <w:numPr>
          <w:ilvl w:val="0"/>
          <w:numId w:val="36"/>
        </w:numPr>
        <w:spacing w:after="160" w:line="259" w:lineRule="auto"/>
        <w:ind w:left="567" w:hanging="567"/>
        <w:rPr>
          <w:rStyle w:val="Hyperlink"/>
          <w:noProof/>
          <w:color w:val="auto"/>
          <w:u w:val="none"/>
          <w:lang w:val="en-US"/>
        </w:rPr>
      </w:pPr>
      <w:r>
        <w:rPr>
          <w:noProof/>
          <w:lang w:val="en-US"/>
        </w:rPr>
        <w:t xml:space="preserve">Houghton J., </w:t>
      </w:r>
      <w:r>
        <w:rPr>
          <w:i/>
          <w:noProof/>
          <w:lang w:val="en-US"/>
        </w:rPr>
        <w:t>Costs and benefits of Data Provision, Report to the Australia National Data Service</w:t>
      </w:r>
      <w:r>
        <w:rPr>
          <w:noProof/>
          <w:lang w:val="en-US"/>
        </w:rPr>
        <w:t>, Centre for Strategic Econo</w:t>
      </w:r>
      <w:r>
        <w:rPr>
          <w:noProof/>
          <w:lang w:val="en-US"/>
        </w:rPr>
        <w:t xml:space="preserve">mic Studies, Victoria University, September 2011, </w:t>
      </w:r>
      <w:hyperlink r:id="rId41" w:history="1">
        <w:r>
          <w:rPr>
            <w:rStyle w:val="Hyperlink"/>
            <w:noProof/>
            <w:lang w:val="en-US"/>
          </w:rPr>
          <w:t>http://www.ands.org.au/working-with-data/articulating-the-value-of-open-data</w:t>
        </w:r>
        <w:r>
          <w:rPr>
            <w:rStyle w:val="Hyperlink"/>
            <w:noProof/>
            <w:lang w:val="en-US"/>
          </w:rPr>
          <w:t>/costs-and-benefits-of-data-provision</w:t>
        </w:r>
      </w:hyperlink>
    </w:p>
    <w:p w:rsidR="003B411A" w:rsidRDefault="003B411A">
      <w:pPr>
        <w:pStyle w:val="ListParagraph"/>
        <w:spacing w:after="160" w:line="259" w:lineRule="auto"/>
        <w:ind w:left="567"/>
        <w:rPr>
          <w:rStyle w:val="Hyperlink"/>
          <w:noProof/>
          <w:color w:val="auto"/>
          <w:u w:val="none"/>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Harrison, T., &amp; Sayogo, D “</w:t>
      </w:r>
      <w:r>
        <w:rPr>
          <w:i/>
          <w:noProof/>
          <w:lang w:val="en-US"/>
        </w:rPr>
        <w:t>Transparency, participation and accountability practices in open government: A comparative study”</w:t>
      </w:r>
      <w:r>
        <w:rPr>
          <w:noProof/>
          <w:lang w:val="en-US"/>
        </w:rPr>
        <w:t>. Government Information Quarterly, 2014, 31, pp. 513–525.</w:t>
      </w:r>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jc w:val="left"/>
        <w:rPr>
          <w:noProof/>
          <w:lang w:val="en-US"/>
        </w:rPr>
      </w:pPr>
      <w:r>
        <w:rPr>
          <w:noProof/>
          <w:lang w:val="en-US"/>
        </w:rPr>
        <w:t xml:space="preserve">Katleen Janssen, </w:t>
      </w:r>
      <w:r>
        <w:rPr>
          <w:i/>
          <w:noProof/>
          <w:lang w:val="en-US"/>
        </w:rPr>
        <w:t xml:space="preserve">Inspire and the </w:t>
      </w:r>
      <w:r>
        <w:rPr>
          <w:i/>
          <w:noProof/>
          <w:lang w:val="en-US"/>
        </w:rPr>
        <w:t>PSI Directive: Public Tasks vs Commercial Activities?</w:t>
      </w:r>
      <w:r>
        <w:rPr>
          <w:noProof/>
          <w:lang w:val="en-US"/>
        </w:rPr>
        <w:t xml:space="preserve">, Interdisciplinary Centre for Law and ICT (ICRI), K.U.Leuven, Belgium, 2005. </w:t>
      </w:r>
      <w:hyperlink r:id="rId42" w:history="1">
        <w:r>
          <w:rPr>
            <w:rStyle w:val="Hyperlink"/>
            <w:noProof/>
            <w:lang w:val="en-US"/>
          </w:rPr>
          <w:t>https://www.law.kuleuven.be/citip/en/docs/publications/719inspire2f90.pdf</w:t>
        </w:r>
      </w:hyperlink>
    </w:p>
    <w:p w:rsidR="003B411A" w:rsidRDefault="003B411A">
      <w:pPr>
        <w:pStyle w:val="ListParagraph"/>
        <w:spacing w:after="160" w:line="259" w:lineRule="auto"/>
        <w:ind w:left="567"/>
        <w:jc w:val="left"/>
        <w:rPr>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Katleen Janssen, </w:t>
      </w:r>
      <w:r>
        <w:rPr>
          <w:i/>
          <w:noProof/>
          <w:lang w:val="en-US"/>
        </w:rPr>
        <w:t>“The influence of the PSI directive on open government data: An overview of recent developments”</w:t>
      </w:r>
      <w:r>
        <w:rPr>
          <w:noProof/>
          <w:lang w:val="en-US"/>
        </w:rPr>
        <w:t>, Government Information Quarterly, Volume 28, Issue 4, October 2011</w:t>
      </w:r>
      <w:r>
        <w:rPr>
          <w:noProof/>
          <w:lang w:val="en-US"/>
        </w:rPr>
        <w:t>, pp. 446-456.</w:t>
      </w:r>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Katleen Janssen &amp; Ton Zijlstra,</w:t>
      </w:r>
      <w:r>
        <w:rPr>
          <w:i/>
          <w:noProof/>
          <w:lang w:val="en-US"/>
        </w:rPr>
        <w:t xml:space="preserve"> The new PSI Directive – as good as it seems?</w:t>
      </w:r>
      <w:r>
        <w:rPr>
          <w:noProof/>
          <w:lang w:val="en-US"/>
        </w:rPr>
        <w:t xml:space="preserve">, 19 April 2013, , Open Knowledge International Blog, </w:t>
      </w:r>
      <w:hyperlink r:id="rId43" w:history="1">
        <w:r>
          <w:rPr>
            <w:rStyle w:val="Hyperlink"/>
            <w:noProof/>
            <w:lang w:val="en-US"/>
          </w:rPr>
          <w:t>https://blog.okfn.</w:t>
        </w:r>
        <w:r>
          <w:rPr>
            <w:rStyle w:val="Hyperlink"/>
            <w:noProof/>
            <w:lang w:val="en-US"/>
          </w:rPr>
          <w:t>org/2013/04/19/the-new-psi-directive-as-good-as-it-seems/</w:t>
        </w:r>
      </w:hyperlink>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rStyle w:val="Hyperlink"/>
          <w:noProof/>
          <w:color w:val="auto"/>
          <w:u w:val="none"/>
          <w:lang w:val="en-US"/>
        </w:rPr>
      </w:pPr>
      <w:r>
        <w:rPr>
          <w:noProof/>
          <w:lang w:val="en-US"/>
        </w:rPr>
        <w:t>Heli Koski,</w:t>
      </w:r>
      <w:r>
        <w:rPr>
          <w:i/>
          <w:noProof/>
          <w:lang w:val="en-US"/>
        </w:rPr>
        <w:t xml:space="preserve"> « Does Marginal Cost Pricing of Public Sector Information Spur Firms Growth ? »,</w:t>
      </w:r>
      <w:r>
        <w:rPr>
          <w:noProof/>
          <w:lang w:val="en-US"/>
        </w:rPr>
        <w:t xml:space="preserve"> The Research Institute of the Finnish Economy, 2011, </w:t>
      </w:r>
      <w:hyperlink r:id="rId44" w:history="1">
        <w:r>
          <w:rPr>
            <w:rStyle w:val="Hyperlink"/>
            <w:noProof/>
            <w:lang w:val="en-US"/>
          </w:rPr>
          <w:t>https://www.etla.fi/wp-content/uploads/2012/09/dp1260.pdf</w:t>
        </w:r>
      </w:hyperlink>
    </w:p>
    <w:p w:rsidR="003B411A" w:rsidRDefault="003B411A">
      <w:pPr>
        <w:pStyle w:val="ListParagraph"/>
        <w:spacing w:after="160" w:line="259" w:lineRule="auto"/>
        <w:ind w:left="567"/>
        <w:rPr>
          <w:rFonts w:cstheme="minorHAnsi"/>
          <w:noProof/>
          <w:lang w:val="en-US"/>
        </w:rPr>
      </w:pPr>
    </w:p>
    <w:p w:rsidR="003B411A" w:rsidRDefault="009F0AE3">
      <w:pPr>
        <w:pStyle w:val="ListParagraph"/>
        <w:numPr>
          <w:ilvl w:val="0"/>
          <w:numId w:val="36"/>
        </w:numPr>
        <w:spacing w:after="160" w:line="259" w:lineRule="auto"/>
        <w:ind w:left="567" w:hanging="567"/>
        <w:rPr>
          <w:noProof/>
        </w:rPr>
      </w:pPr>
      <w:r>
        <w:rPr>
          <w:noProof/>
          <w:lang w:val="en-US"/>
        </w:rPr>
        <w:t xml:space="preserve">National Observatory of Telecommunications and the Information Society (ONTSI), Public Corporate Entity Red.es, 2016, </w:t>
      </w:r>
      <w:r>
        <w:rPr>
          <w:i/>
          <w:noProof/>
          <w:lang w:val="en-US"/>
        </w:rPr>
        <w:t>Characterization of the Spanish Infomediary Sector. Exec</w:t>
      </w:r>
      <w:r>
        <w:rPr>
          <w:i/>
          <w:noProof/>
          <w:lang w:val="en-US"/>
        </w:rPr>
        <w:t>utive Summary</w:t>
      </w:r>
      <w:r>
        <w:rPr>
          <w:noProof/>
          <w:lang w:val="en-US"/>
        </w:rPr>
        <w:t xml:space="preserve">, </w:t>
      </w:r>
      <w:hyperlink r:id="rId45" w:history="1">
        <w:r>
          <w:rPr>
            <w:rStyle w:val="Hyperlink"/>
            <w:noProof/>
          </w:rPr>
          <w:t>http://www.ontsi.red.es/ontsi/sites/ontsi/files/Characterization%20of%20the%20</w:t>
        </w:r>
        <w:r>
          <w:rPr>
            <w:rStyle w:val="Hyperlink"/>
            <w:noProof/>
          </w:rPr>
          <w:t>Spanish%20Infomediary%20Sector.%20Executive%20Summary.%20Ed.2016.pdf</w:t>
        </w:r>
      </w:hyperlink>
    </w:p>
    <w:p w:rsidR="003B411A" w:rsidRDefault="003B411A">
      <w:pPr>
        <w:pStyle w:val="ListParagraph"/>
        <w:spacing w:after="160" w:line="259" w:lineRule="auto"/>
        <w:ind w:left="567"/>
        <w:rPr>
          <w:noProof/>
        </w:rPr>
      </w:pPr>
    </w:p>
    <w:p w:rsidR="003B411A" w:rsidRDefault="009F0AE3">
      <w:pPr>
        <w:pStyle w:val="ListParagraph"/>
        <w:numPr>
          <w:ilvl w:val="0"/>
          <w:numId w:val="36"/>
        </w:numPr>
        <w:spacing w:after="160" w:line="259" w:lineRule="auto"/>
        <w:ind w:left="567" w:hanging="567"/>
        <w:rPr>
          <w:noProof/>
          <w:lang w:val="en-US"/>
        </w:rPr>
      </w:pPr>
      <w:r>
        <w:rPr>
          <w:rFonts w:cs="Calibri"/>
          <w:noProof/>
          <w:lang w:val="en-US"/>
        </w:rPr>
        <w:t xml:space="preserve">Open Data Institute, </w:t>
      </w:r>
      <w:r>
        <w:rPr>
          <w:rFonts w:cs="Calibri"/>
          <w:i/>
          <w:noProof/>
          <w:lang w:val="en-US"/>
        </w:rPr>
        <w:t>Estimating the cost of a government open data initiative</w:t>
      </w:r>
      <w:r>
        <w:rPr>
          <w:rFonts w:cs="Calibri"/>
          <w:noProof/>
          <w:lang w:val="en-US"/>
        </w:rPr>
        <w:t xml:space="preserve">, 10 September 2014, </w:t>
      </w:r>
      <w:hyperlink r:id="rId46" w:history="1">
        <w:r>
          <w:rPr>
            <w:rStyle w:val="Hyperlink"/>
            <w:rFonts w:cs="Calibri"/>
            <w:noProof/>
            <w:lang w:val="en-US"/>
          </w:rPr>
          <w:t>https://theodi.org/blog/estimating-the-cost-of-a-government-open-data-initiative</w:t>
        </w:r>
      </w:hyperlink>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rStyle w:val="Hyperlink"/>
          <w:noProof/>
          <w:color w:val="auto"/>
          <w:u w:val="none"/>
          <w:lang w:val="en-US"/>
        </w:rPr>
      </w:pPr>
      <w:r>
        <w:rPr>
          <w:noProof/>
          <w:lang w:val="en-US"/>
        </w:rPr>
        <w:t xml:space="preserve">Open Data Institute: </w:t>
      </w:r>
      <w:r>
        <w:rPr>
          <w:i/>
          <w:noProof/>
          <w:lang w:val="en-US"/>
        </w:rPr>
        <w:t>Permission Granted, the Economic Value of Data Assets under alternative delivery regimes, A Lateral Economics Report for the Open Data Institute</w:t>
      </w:r>
      <w:r>
        <w:rPr>
          <w:noProof/>
          <w:lang w:val="en-US"/>
        </w:rPr>
        <w:t xml:space="preserve">, 2016, </w:t>
      </w:r>
      <w:hyperlink r:id="rId47" w:history="1">
        <w:r>
          <w:rPr>
            <w:rStyle w:val="Hyperlink"/>
            <w:noProof/>
            <w:lang w:val="en-US"/>
          </w:rPr>
          <w:t>https://theodi.org/research-economic-value-open-paid-data</w:t>
        </w:r>
      </w:hyperlink>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noProof/>
          <w:lang w:val="en-US"/>
        </w:rPr>
      </w:pPr>
      <w:r>
        <w:rPr>
          <w:rFonts w:cs="Calibri"/>
          <w:noProof/>
          <w:lang w:val="en-US"/>
        </w:rPr>
        <w:t xml:space="preserve">Open Data Institute, </w:t>
      </w:r>
      <w:r>
        <w:rPr>
          <w:rFonts w:cs="Calibri"/>
          <w:i/>
          <w:noProof/>
          <w:lang w:val="en-US"/>
        </w:rPr>
        <w:t>Exploring Open Data Quality</w:t>
      </w:r>
      <w:r>
        <w:rPr>
          <w:rFonts w:cs="Calibri"/>
          <w:noProof/>
          <w:lang w:val="en-US"/>
        </w:rPr>
        <w:t xml:space="preserve">, 26 October 2016, </w:t>
      </w:r>
      <w:hyperlink r:id="rId48" w:history="1">
        <w:r>
          <w:rPr>
            <w:rStyle w:val="Hyperlink"/>
            <w:rFonts w:cs="Calibri"/>
            <w:noProof/>
            <w:lang w:val="en-US"/>
          </w:rPr>
          <w:t>https://theodi.org/blog/exploring-open-data-quality</w:t>
        </w:r>
      </w:hyperlink>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noProof/>
          <w:lang w:val="en-US"/>
        </w:rPr>
      </w:pPr>
      <w:r>
        <w:rPr>
          <w:rFonts w:cs="Calibri"/>
          <w:noProof/>
          <w:lang w:val="en-US"/>
        </w:rPr>
        <w:t xml:space="preserve">Open Knowledge International Blog, </w:t>
      </w:r>
      <w:r>
        <w:rPr>
          <w:rFonts w:cs="Calibri"/>
          <w:i/>
          <w:noProof/>
          <w:lang w:val="en-US"/>
        </w:rPr>
        <w:t>Open Data Quality, the Next Shift in Open Data</w:t>
      </w:r>
      <w:r>
        <w:rPr>
          <w:rFonts w:cs="Calibri"/>
          <w:noProof/>
          <w:lang w:val="en-US"/>
        </w:rPr>
        <w:t xml:space="preserve">, 31 May 2017, </w:t>
      </w:r>
      <w:hyperlink r:id="rId49" w:history="1">
        <w:r>
          <w:rPr>
            <w:rStyle w:val="Hyperlink"/>
            <w:rFonts w:cs="Calibri"/>
            <w:noProof/>
            <w:lang w:val="en-US"/>
          </w:rPr>
          <w:t>https://blog.okfn.org/2017/05/31/open-data-quality-the-next-shift-in-open-data/</w:t>
        </w:r>
      </w:hyperlink>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Ruijer , Grimmelikhuijsen, Meijer, </w:t>
      </w:r>
      <w:r>
        <w:rPr>
          <w:i/>
          <w:noProof/>
          <w:lang w:val="en-US"/>
        </w:rPr>
        <w:t>Open data for democracy: Developing a theoreti</w:t>
      </w:r>
      <w:r>
        <w:rPr>
          <w:i/>
          <w:noProof/>
          <w:lang w:val="en-US"/>
        </w:rPr>
        <w:t>cal framework for open data use</w:t>
      </w:r>
      <w:r>
        <w:rPr>
          <w:noProof/>
          <w:lang w:val="en-US"/>
        </w:rPr>
        <w:t>, Government Information Quarterly, Volume 34, Issue 1, January 2017.</w:t>
      </w:r>
    </w:p>
    <w:p w:rsidR="003B411A" w:rsidRDefault="003B411A">
      <w:pPr>
        <w:pStyle w:val="ListParagraph"/>
        <w:spacing w:after="160" w:line="259" w:lineRule="auto"/>
        <w:ind w:left="567"/>
        <w:rPr>
          <w:rFonts w:cstheme="minorHAnsi"/>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Shakespeare, Stephan. (2013, May). </w:t>
      </w:r>
      <w:r>
        <w:rPr>
          <w:i/>
          <w:noProof/>
          <w:lang w:val="en-US"/>
        </w:rPr>
        <w:t>Shakespeare review: An Independent Review of Public Sector Information.</w:t>
      </w:r>
      <w:r>
        <w:rPr>
          <w:noProof/>
          <w:lang w:val="en-US"/>
        </w:rPr>
        <w:t xml:space="preserve"> Retrieved from </w:t>
      </w:r>
      <w:hyperlink r:id="rId50" w:history="1">
        <w:r>
          <w:rPr>
            <w:rStyle w:val="Hyperlink"/>
            <w:noProof/>
            <w:lang w:val="en-US"/>
          </w:rPr>
          <w:t>https://www.gov.uk/government/uploads/system/uploads/attachment_data/file/198752/13-744-shakespeare-re</w:t>
        </w:r>
        <w:r>
          <w:rPr>
            <w:rStyle w:val="Hyperlink"/>
            <w:noProof/>
            <w:lang w:val="en-US"/>
          </w:rPr>
          <w:t>view-of-public-sector-information.pdf</w:t>
        </w:r>
      </w:hyperlink>
    </w:p>
    <w:p w:rsidR="003B411A" w:rsidRDefault="003B411A">
      <w:pPr>
        <w:pStyle w:val="ListParagraph"/>
        <w:ind w:left="567" w:hanging="567"/>
        <w:rPr>
          <w:rFonts w:cstheme="minorHAnsi"/>
          <w:noProof/>
          <w:lang w:val="en-US"/>
        </w:rPr>
      </w:pPr>
    </w:p>
    <w:p w:rsidR="003B411A" w:rsidRDefault="009F0AE3">
      <w:pPr>
        <w:pStyle w:val="ListParagraph"/>
        <w:numPr>
          <w:ilvl w:val="0"/>
          <w:numId w:val="36"/>
        </w:numPr>
        <w:spacing w:after="160" w:line="259" w:lineRule="auto"/>
        <w:ind w:left="567" w:hanging="567"/>
        <w:rPr>
          <w:rStyle w:val="Hyperlink"/>
          <w:noProof/>
          <w:color w:val="auto"/>
          <w:u w:val="none"/>
          <w:lang w:val="en-US"/>
        </w:rPr>
      </w:pPr>
      <w:r>
        <w:rPr>
          <w:noProof/>
          <w:lang w:val="en-US"/>
        </w:rPr>
        <w:t xml:space="preserve">Bastiaan Van Loenen, Michel Groete, </w:t>
      </w:r>
      <w:r>
        <w:rPr>
          <w:i/>
          <w:noProof/>
          <w:lang w:val="en-US"/>
        </w:rPr>
        <w:t>“INSPIRE empowers re-use of Public Sector Information”</w:t>
      </w:r>
      <w:r>
        <w:rPr>
          <w:noProof/>
          <w:lang w:val="en-US"/>
        </w:rPr>
        <w:t xml:space="preserve">, 2014. </w:t>
      </w:r>
      <w:hyperlink r:id="rId51" w:history="1">
        <w:r>
          <w:rPr>
            <w:rStyle w:val="Hyperlink"/>
            <w:noProof/>
            <w:lang w:val="en-US"/>
          </w:rPr>
          <w:t>http://ijsdir.jrc.ec.europa.eu/index.p</w:t>
        </w:r>
        <w:r>
          <w:rPr>
            <w:rStyle w:val="Hyperlink"/>
            <w:noProof/>
            <w:lang w:val="en-US"/>
          </w:rPr>
          <w:t>hp/ijsdir/article/view/353</w:t>
        </w:r>
      </w:hyperlink>
    </w:p>
    <w:p w:rsidR="003B411A" w:rsidRDefault="003B411A">
      <w:pPr>
        <w:pStyle w:val="ListParagraph"/>
        <w:spacing w:after="160" w:line="259" w:lineRule="auto"/>
        <w:ind w:left="567"/>
        <w:rPr>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The World Bank. Scott, Andrew. (2014, June 25). </w:t>
      </w:r>
      <w:r>
        <w:rPr>
          <w:i/>
          <w:noProof/>
          <w:lang w:val="en-US"/>
        </w:rPr>
        <w:t>Open Data for Economic Growth.</w:t>
      </w:r>
      <w:r>
        <w:rPr>
          <w:noProof/>
          <w:lang w:val="en-US"/>
        </w:rPr>
        <w:t xml:space="preserve"> Retrieved from </w:t>
      </w:r>
      <w:hyperlink r:id="rId52" w:history="1">
        <w:r>
          <w:rPr>
            <w:rStyle w:val="Hyperlink"/>
            <w:noProof/>
            <w:lang w:val="en-US"/>
          </w:rPr>
          <w:t>http://www.worldbank.org/con</w:t>
        </w:r>
        <w:r>
          <w:rPr>
            <w:rStyle w:val="Hyperlink"/>
            <w:noProof/>
            <w:lang w:val="en-US"/>
          </w:rPr>
          <w:t>tent/dam/Worldbank/document/Open-Data-for-Economic-Growth.pdf</w:t>
        </w:r>
      </w:hyperlink>
    </w:p>
    <w:p w:rsidR="003B411A" w:rsidRDefault="003B411A">
      <w:pPr>
        <w:pStyle w:val="ListParagraph"/>
        <w:ind w:left="567" w:hanging="567"/>
        <w:rPr>
          <w:noProof/>
          <w:lang w:val="en-US"/>
        </w:rPr>
      </w:pPr>
    </w:p>
    <w:p w:rsidR="003B411A" w:rsidRDefault="009F0AE3">
      <w:pPr>
        <w:pStyle w:val="ListParagraph"/>
        <w:numPr>
          <w:ilvl w:val="0"/>
          <w:numId w:val="36"/>
        </w:numPr>
        <w:spacing w:after="160" w:line="259" w:lineRule="auto"/>
        <w:ind w:left="567" w:hanging="567"/>
        <w:rPr>
          <w:noProof/>
          <w:lang w:val="en-US"/>
        </w:rPr>
      </w:pPr>
      <w:r>
        <w:rPr>
          <w:noProof/>
          <w:lang w:val="en-US"/>
        </w:rPr>
        <w:t xml:space="preserve">The World Wide Web Foundation. (2017, May). </w:t>
      </w:r>
      <w:r>
        <w:rPr>
          <w:i/>
          <w:noProof/>
          <w:lang w:val="en-US"/>
        </w:rPr>
        <w:t>Open Data Barometer – Fourth edition.</w:t>
      </w:r>
      <w:r>
        <w:rPr>
          <w:noProof/>
          <w:lang w:val="en-US"/>
        </w:rPr>
        <w:t xml:space="preserve"> Retrieved from </w:t>
      </w:r>
      <w:hyperlink r:id="rId53" w:history="1">
        <w:r>
          <w:rPr>
            <w:rStyle w:val="Hyperlink"/>
            <w:noProof/>
            <w:lang w:val="en-US"/>
          </w:rPr>
          <w:t>http</w:t>
        </w:r>
        <w:r>
          <w:rPr>
            <w:rStyle w:val="Hyperlink"/>
            <w:noProof/>
            <w:lang w:val="en-US"/>
          </w:rPr>
          <w:t>://opendatabarometer.org/doc/4thEdition/ODB-4thEdition-GlobalReport.pdf</w:t>
        </w:r>
      </w:hyperlink>
    </w:p>
    <w:p w:rsidR="003B411A" w:rsidRDefault="003B411A">
      <w:pPr>
        <w:pStyle w:val="ListParagraph"/>
        <w:ind w:left="567" w:hanging="567"/>
        <w:rPr>
          <w:noProof/>
          <w:lang w:val="en-US"/>
        </w:rPr>
      </w:pPr>
    </w:p>
    <w:p w:rsidR="003B411A" w:rsidRDefault="009F0AE3">
      <w:pPr>
        <w:pStyle w:val="ListParagraph"/>
        <w:numPr>
          <w:ilvl w:val="0"/>
          <w:numId w:val="36"/>
        </w:numPr>
        <w:spacing w:after="160" w:line="259" w:lineRule="auto"/>
        <w:ind w:left="567" w:hanging="567"/>
        <w:rPr>
          <w:noProof/>
        </w:rPr>
      </w:pPr>
      <w:r>
        <w:rPr>
          <w:noProof/>
          <w:lang w:val="en-US"/>
        </w:rPr>
        <w:t>Frederika Welle Donker,</w:t>
      </w:r>
      <w:r>
        <w:rPr>
          <w:i/>
          <w:noProof/>
          <w:lang w:val="en-US"/>
        </w:rPr>
        <w:t xml:space="preserve"> Different PSI Access Policies and their impact</w:t>
      </w:r>
      <w:r>
        <w:rPr>
          <w:noProof/>
          <w:lang w:val="en-US"/>
        </w:rPr>
        <w:t xml:space="preserve"> in "The socio-economic effects of public sector information on Digital Networks: towards a Better Understanding </w:t>
      </w:r>
      <w:r>
        <w:rPr>
          <w:noProof/>
          <w:lang w:val="en-US"/>
        </w:rPr>
        <w:t xml:space="preserve">of Different Access and Re-use Policies: Workshop Summary", 2009, </w:t>
      </w:r>
      <w:hyperlink r:id="rId54" w:history="1">
        <w:r>
          <w:rPr>
            <w:rStyle w:val="Hyperlink"/>
            <w:noProof/>
            <w:lang w:val="en-US"/>
          </w:rPr>
          <w:t>https://www.nap.edu/catalog/12687/the-socioeconomic-effects-of-pu</w:t>
        </w:r>
        <w:r>
          <w:rPr>
            <w:rStyle w:val="Hyperlink"/>
            <w:noProof/>
            <w:lang w:val="en-US"/>
          </w:rPr>
          <w:t>blic-sector-information-on-digital-networks</w:t>
        </w:r>
      </w:hyperlink>
    </w:p>
    <w:p w:rsidR="003B411A" w:rsidRDefault="003B411A">
      <w:pPr>
        <w:keepNext/>
        <w:spacing w:after="480"/>
        <w:jc w:val="center"/>
        <w:rPr>
          <w:b/>
          <w:noProof/>
          <w:lang w:val="en-GB"/>
        </w:rPr>
      </w:pPr>
    </w:p>
    <w:sectPr w:rsidR="003B411A">
      <w:headerReference w:type="even" r:id="rId55"/>
      <w:headerReference w:type="default" r:id="rId56"/>
      <w:footerReference w:type="even" r:id="rId57"/>
      <w:footerReference w:type="default" r:id="rId58"/>
      <w:headerReference w:type="first" r:id="rId59"/>
      <w:footerReference w:type="first" r:id="rId60"/>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6EDC80" w15:done="0"/>
  <w15:commentEx w15:paraId="7F48BC78" w15:done="0"/>
  <w15:commentEx w15:paraId="5EB31D17" w15:done="0"/>
  <w15:commentEx w15:paraId="28C2D835" w15:done="0"/>
  <w15:commentEx w15:paraId="70CE75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11A" w:rsidRDefault="009F0AE3">
      <w:pPr>
        <w:spacing w:after="0" w:line="240" w:lineRule="auto"/>
      </w:pPr>
      <w:r>
        <w:separator/>
      </w:r>
    </w:p>
  </w:endnote>
  <w:endnote w:type="continuationSeparator" w:id="0">
    <w:p w:rsidR="003B411A" w:rsidRDefault="009F0AE3">
      <w:pPr>
        <w:spacing w:after="0" w:line="240" w:lineRule="auto"/>
      </w:pPr>
      <w:r>
        <w:continuationSeparator/>
      </w:r>
    </w:p>
  </w:endnote>
  <w:endnote w:type="continuationNotice" w:id="1">
    <w:p w:rsidR="003B411A" w:rsidRDefault="003B4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E3" w:rsidRPr="009F0AE3" w:rsidRDefault="009F0AE3" w:rsidP="009F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E3" w:rsidRPr="009F0AE3" w:rsidRDefault="009F0AE3" w:rsidP="009F0AE3">
    <w:pPr>
      <w:pStyle w:val="FooterCoverPage"/>
      <w:rPr>
        <w:rFonts w:ascii="Arial" w:hAnsi="Arial" w:cs="Arial"/>
        <w:b/>
        <w:sz w:val="48"/>
      </w:rPr>
    </w:pPr>
    <w:r w:rsidRPr="009F0AE3">
      <w:rPr>
        <w:rFonts w:ascii="Arial" w:hAnsi="Arial" w:cs="Arial"/>
        <w:b/>
        <w:sz w:val="48"/>
      </w:rPr>
      <w:t>EN</w:t>
    </w:r>
    <w:r w:rsidRPr="009F0AE3">
      <w:rPr>
        <w:rFonts w:ascii="Arial" w:hAnsi="Arial" w:cs="Arial"/>
        <w:b/>
        <w:sz w:val="48"/>
      </w:rPr>
      <w:tab/>
    </w:r>
    <w:r w:rsidRPr="009F0AE3">
      <w:rPr>
        <w:rFonts w:ascii="Arial" w:hAnsi="Arial" w:cs="Arial"/>
        <w:b/>
        <w:sz w:val="48"/>
      </w:rPr>
      <w:tab/>
    </w:r>
    <w:r w:rsidRPr="009F0AE3">
      <w:tab/>
    </w:r>
    <w:r w:rsidRPr="009F0AE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E3" w:rsidRPr="009F0AE3" w:rsidRDefault="009F0AE3" w:rsidP="009F0AE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3B41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9F0AE3">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18162"/>
      <w:docPartObj>
        <w:docPartGallery w:val="Page Numbers (Bottom of Page)"/>
        <w:docPartUnique/>
      </w:docPartObj>
    </w:sdtPr>
    <w:sdtEndPr>
      <w:rPr>
        <w:noProof/>
      </w:rPr>
    </w:sdtEndPr>
    <w:sdtContent>
      <w:p w:rsidR="003B411A" w:rsidRDefault="009F0A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B411A" w:rsidRDefault="003B411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3B411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9F0AE3">
    <w:pPr>
      <w:pStyle w:val="Footer"/>
      <w:jc w:val="center"/>
    </w:pPr>
    <w:r>
      <w:fldChar w:fldCharType="begin"/>
    </w:r>
    <w:r>
      <w:instrText>PAGE</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rsidR="003B411A" w:rsidRDefault="009F0AE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B411A" w:rsidRDefault="003B4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11A" w:rsidRDefault="009F0AE3">
      <w:pPr>
        <w:spacing w:after="0" w:line="240" w:lineRule="auto"/>
      </w:pPr>
      <w:r>
        <w:separator/>
      </w:r>
    </w:p>
  </w:footnote>
  <w:footnote w:type="continuationSeparator" w:id="0">
    <w:p w:rsidR="003B411A" w:rsidRDefault="009F0AE3">
      <w:pPr>
        <w:spacing w:after="0" w:line="240" w:lineRule="auto"/>
      </w:pPr>
      <w:r>
        <w:continuationSeparator/>
      </w:r>
    </w:p>
  </w:footnote>
  <w:footnote w:type="continuationNotice" w:id="1">
    <w:p w:rsidR="003B411A" w:rsidRDefault="003B411A">
      <w:pPr>
        <w:spacing w:after="0" w:line="240" w:lineRule="auto"/>
      </w:pPr>
    </w:p>
  </w:footnote>
  <w:footnote w:id="2">
    <w:p w:rsidR="003B411A" w:rsidRDefault="009F0AE3">
      <w:pPr>
        <w:pStyle w:val="FootnoteText"/>
        <w:ind w:left="142" w:hanging="142"/>
        <w:jc w:val="left"/>
      </w:pPr>
      <w:r>
        <w:rPr>
          <w:rStyle w:val="FootnoteReference"/>
        </w:rPr>
        <w:footnoteRef/>
      </w:r>
      <w:r>
        <w:t xml:space="preserve"> The Regulatory Fitness and Performance Programme (REFIT) is the Commission's programme for ensuring that EU legislation remains fit for purpose and delivers the results intended by EU law makers.</w:t>
      </w:r>
    </w:p>
  </w:footnote>
  <w:footnote w:id="3">
    <w:p w:rsidR="003B411A" w:rsidRDefault="009F0AE3">
      <w:pPr>
        <w:pStyle w:val="FootnoteText"/>
        <w:ind w:left="142" w:hanging="142"/>
      </w:pPr>
      <w:r>
        <w:rPr>
          <w:rStyle w:val="FootnoteReference"/>
        </w:rPr>
        <w:footnoteRef/>
      </w:r>
      <w:r>
        <w:t xml:space="preserve"> Directive 2003/98/EC of the European Parliament and of th</w:t>
      </w:r>
      <w:r>
        <w:t>e Council of 17 November 2003 on the re-use of public sector information, as amended by Directive 2013/37/EU of the European Parliament and of the Council of 26 June 2013.</w:t>
      </w:r>
    </w:p>
  </w:footnote>
  <w:footnote w:id="4">
    <w:p w:rsidR="003B411A" w:rsidRDefault="009F0AE3">
      <w:pPr>
        <w:pStyle w:val="FootnoteText"/>
      </w:pPr>
      <w:r>
        <w:rPr>
          <w:rStyle w:val="FootnoteReference"/>
        </w:rPr>
        <w:footnoteRef/>
      </w:r>
      <w:r>
        <w:t xml:space="preserve"> </w:t>
      </w:r>
      <w:hyperlink r:id="rId1" w:history="1">
        <w:r>
          <w:rPr>
            <w:rStyle w:val="Hyperlink"/>
          </w:rPr>
          <w:t>https://ec.europa.eu/info/better-regulation-guidelines-and-toolbox_en</w:t>
        </w:r>
      </w:hyperlink>
      <w:r>
        <w:rPr>
          <w:rStyle w:val="Hyperlink"/>
        </w:rPr>
        <w:t>.</w:t>
      </w:r>
    </w:p>
  </w:footnote>
  <w:footnote w:id="5">
    <w:p w:rsidR="003B411A" w:rsidRDefault="009F0AE3">
      <w:pPr>
        <w:pStyle w:val="FootnoteText"/>
      </w:pPr>
      <w:r>
        <w:rPr>
          <w:rStyle w:val="FootnoteReference"/>
        </w:rPr>
        <w:footnoteRef/>
      </w:r>
      <w:r>
        <w:t xml:space="preserve"> </w:t>
      </w:r>
      <w:hyperlink r:id="rId2" w:history="1">
        <w:r>
          <w:rPr>
            <w:rStyle w:val="Hyperlink"/>
          </w:rPr>
          <w:t>http://eur-lex.europa.eu/legal-content/EN/TXT/?uri=COM:2017:228:FIN</w:t>
        </w:r>
      </w:hyperlink>
      <w:r>
        <w:t>.</w:t>
      </w:r>
    </w:p>
  </w:footnote>
  <w:footnote w:id="6">
    <w:p w:rsidR="003B411A" w:rsidRDefault="009F0AE3">
      <w:pPr>
        <w:pStyle w:val="FootnoteText"/>
      </w:pPr>
      <w:r>
        <w:rPr>
          <w:rStyle w:val="FootnoteReference"/>
        </w:rPr>
        <w:footnoteRef/>
      </w:r>
      <w:r>
        <w:t xml:space="preserve"> COM(2018) 234.</w:t>
      </w:r>
    </w:p>
  </w:footnote>
  <w:footnote w:id="7">
    <w:p w:rsidR="003B411A" w:rsidRDefault="009F0AE3">
      <w:pPr>
        <w:pStyle w:val="FootnoteText"/>
      </w:pPr>
      <w:r>
        <w:rPr>
          <w:rStyle w:val="FootnoteReference"/>
        </w:rPr>
        <w:footnoteRef/>
      </w:r>
      <w:r>
        <w:t xml:space="preserve"> SWD(201</w:t>
      </w:r>
      <w:r>
        <w:t>8) 127.</w:t>
      </w:r>
    </w:p>
  </w:footnote>
  <w:footnote w:id="8">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Proposal for a Directive of the European Parliament and of the Council Amending Directive 2003/98/EC on re-use of public sector information, </w:t>
      </w:r>
      <w:r>
        <w:rPr>
          <w:rFonts w:cs="Calibri"/>
          <w:color w:val="444444"/>
          <w:shd w:val="clear" w:color="auto" w:fill="FFFFFF"/>
          <w:lang w:val="en-US"/>
        </w:rPr>
        <w:t xml:space="preserve">COM/2011/0877 final - 2011/0430 (COD), </w:t>
      </w:r>
      <w:hyperlink r:id="rId3" w:history="1">
        <w:r>
          <w:rPr>
            <w:rStyle w:val="Hyperlink"/>
            <w:rFonts w:cs="Calibri"/>
            <w:shd w:val="clear" w:color="auto" w:fill="FFFFFF"/>
            <w:lang w:val="en-US"/>
          </w:rPr>
          <w:t>http://eur-lex.europa.eu/legal-content/en/TXT/?uri=CELEX%3A52011PC0877</w:t>
        </w:r>
      </w:hyperlink>
      <w:r>
        <w:rPr>
          <w:rFonts w:cs="Calibri"/>
          <w:color w:val="444444"/>
          <w:shd w:val="clear" w:color="auto" w:fill="FFFFFF"/>
          <w:lang w:val="en-US"/>
        </w:rPr>
        <w:t>.</w:t>
      </w:r>
    </w:p>
  </w:footnote>
  <w:footnote w:id="9">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European Commission, “Guidelines for improving the synergy between the public and private sectors in the information market”, 1989, ftp://ftp.cordis.lu/pub/econt</w:t>
      </w:r>
      <w:r>
        <w:rPr>
          <w:rFonts w:cs="Calibri"/>
          <w:lang w:val="en-US"/>
        </w:rPr>
        <w:t xml:space="preserve">ent/ docs/1989 public sector guidelines en.pdf. </w:t>
      </w:r>
    </w:p>
  </w:footnote>
  <w:footnote w:id="10">
    <w:p w:rsidR="003B411A" w:rsidRDefault="009F0AE3">
      <w:pPr>
        <w:pStyle w:val="FootnoteText"/>
        <w:ind w:left="0" w:firstLine="0"/>
        <w:rPr>
          <w:rFonts w:cs="Calibri"/>
          <w:lang w:val="fr-BE"/>
        </w:rPr>
      </w:pPr>
      <w:r>
        <w:rPr>
          <w:rStyle w:val="FootnoteReference"/>
          <w:rFonts w:cs="Calibri"/>
        </w:rPr>
        <w:footnoteRef/>
      </w:r>
      <w:r>
        <w:rPr>
          <w:rFonts w:cs="Calibri"/>
          <w:lang w:val="en-US"/>
        </w:rPr>
        <w:t xml:space="preserve"> European Commission, “Public sector information: A key resource for Europe. </w:t>
      </w:r>
      <w:r>
        <w:rPr>
          <w:rFonts w:cs="Calibri"/>
          <w:lang w:val="fr-BE"/>
        </w:rPr>
        <w:t>Brussels: European Commission”, 1998 Report COM(98) 585 final, http://europa.eu.int/ISPO/docs/policy/ docs/COM(98)585/.</w:t>
      </w:r>
    </w:p>
  </w:footnote>
  <w:footnote w:id="11">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Directi</w:t>
      </w:r>
      <w:r>
        <w:rPr>
          <w:rFonts w:cs="Calibri"/>
          <w:lang w:val="en-US"/>
        </w:rPr>
        <w:t xml:space="preserve">ve 2013/37/EU of the European Parliament and of the Council of 26 June 2013 amending Directive 2003/98/EC on the re-use of public sector information, </w:t>
      </w:r>
      <w:hyperlink r:id="rId4" w:history="1">
        <w:r>
          <w:rPr>
            <w:rStyle w:val="Hyperlink"/>
            <w:rFonts w:cs="Calibri"/>
            <w:lang w:val="en-US"/>
          </w:rPr>
          <w:t>http://eur-lex.europa.eu/legal-content/EN/ALL/?uri=CELEX:32013L0037</w:t>
        </w:r>
      </w:hyperlink>
      <w:r>
        <w:rPr>
          <w:rFonts w:cs="Calibri"/>
          <w:lang w:val="en-US"/>
        </w:rPr>
        <w:t xml:space="preserve">. </w:t>
      </w:r>
    </w:p>
  </w:footnote>
  <w:footnote w:id="12">
    <w:p w:rsidR="003B411A" w:rsidRDefault="009F0AE3">
      <w:pPr>
        <w:pStyle w:val="FootnoteText"/>
        <w:ind w:left="0" w:firstLine="0"/>
      </w:pPr>
      <w:r>
        <w:rPr>
          <w:rStyle w:val="FootnoteReference"/>
        </w:rPr>
        <w:footnoteRef/>
      </w:r>
      <w:r>
        <w:t xml:space="preserve"> Communication from the Commission to the European Parliament, the Council, the European Economic and Social Committee and the Committee of the Regions A Digital Agenda for Europe/* COM</w:t>
      </w:r>
      <w:r>
        <w:t xml:space="preserve">/2010/0245 final, </w:t>
      </w:r>
      <w:hyperlink r:id="rId5" w:history="1">
        <w:r>
          <w:rPr>
            <w:rStyle w:val="Hyperlink"/>
          </w:rPr>
          <w:t>http://eur-lex.europa.eu/legal-content/EN/TXT/?uri=celex:52010DC0245</w:t>
        </w:r>
      </w:hyperlink>
      <w:r>
        <w:t xml:space="preserve">. </w:t>
      </w:r>
    </w:p>
  </w:footnote>
  <w:footnote w:id="13">
    <w:p w:rsidR="003B411A" w:rsidRDefault="009F0AE3">
      <w:pPr>
        <w:pStyle w:val="FootnoteText"/>
        <w:ind w:left="0" w:firstLine="0"/>
      </w:pPr>
      <w:r>
        <w:rPr>
          <w:rStyle w:val="FootnoteReference"/>
        </w:rPr>
        <w:footnoteRef/>
      </w:r>
      <w:r>
        <w:t xml:space="preserve"> EUROPE 2020 A strategy for smart, sustainable and inclusive growth, COM/2010/202</w:t>
      </w:r>
      <w:r>
        <w:t xml:space="preserve">0 final, </w:t>
      </w:r>
      <w:hyperlink r:id="rId6" w:history="1">
        <w:r>
          <w:rPr>
            <w:rStyle w:val="Hyperlink"/>
          </w:rPr>
          <w:t>http://eur-lex.europa.eu/legal-content/en/TXT/?uri=celex:52010DC2020</w:t>
        </w:r>
      </w:hyperlink>
      <w:r>
        <w:t xml:space="preserve">. </w:t>
      </w:r>
    </w:p>
  </w:footnote>
  <w:footnote w:id="14">
    <w:p w:rsidR="003B411A" w:rsidRDefault="009F0AE3">
      <w:pPr>
        <w:pStyle w:val="FootnoteText"/>
        <w:ind w:left="0" w:firstLine="0"/>
        <w:jc w:val="left"/>
      </w:pPr>
      <w:r>
        <w:rPr>
          <w:rStyle w:val="FootnoteReference"/>
        </w:rPr>
        <w:footnoteRef/>
      </w:r>
      <w:r>
        <w:t xml:space="preserve"> One of the key tools for monitoring these indicators are the annual Open Data Maturity re</w:t>
      </w:r>
      <w:r>
        <w:t xml:space="preserve">ports available on the European Data Portal (see also point 3 below), </w:t>
      </w:r>
      <w:hyperlink r:id="rId7" w:anchor="2017" w:history="1">
        <w:r>
          <w:rPr>
            <w:rStyle w:val="Hyperlink"/>
          </w:rPr>
          <w:t>https://www.europeandataportal.eu/en/dashboard#2017</w:t>
        </w:r>
      </w:hyperlink>
      <w:r>
        <w:rPr>
          <w:rStyle w:val="Hyperlink"/>
        </w:rPr>
        <w:t>.</w:t>
      </w:r>
      <w:r>
        <w:t xml:space="preserve"> </w:t>
      </w:r>
    </w:p>
  </w:footnote>
  <w:footnote w:id="15">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European Commission, Guidelines on recommended standard l</w:t>
      </w:r>
      <w:r>
        <w:rPr>
          <w:rFonts w:cs="Calibri"/>
          <w:lang w:val="en-US"/>
        </w:rPr>
        <w:t xml:space="preserve">icenses, datasets and charging for the re-use of documents, 2014: </w:t>
      </w:r>
      <w:hyperlink r:id="rId8" w:history="1">
        <w:r>
          <w:rPr>
            <w:rStyle w:val="Hyperlink"/>
            <w:rFonts w:cs="Calibri"/>
            <w:lang w:val="en-US"/>
          </w:rPr>
          <w:t>https://ec.europa.eu/digital-single</w:t>
        </w:r>
        <w:r>
          <w:rPr>
            <w:rStyle w:val="Hyperlink"/>
            <w:rFonts w:cs="Calibri"/>
            <w:lang w:val="en-US"/>
          </w:rPr>
          <w:t>-market/en/news/commission-notice-guidelines-recommended-standard-licences-datasets-and-charging-re-use</w:t>
        </w:r>
      </w:hyperlink>
      <w:r>
        <w:rPr>
          <w:rStyle w:val="Hyperlink"/>
          <w:rFonts w:cs="Calibri"/>
          <w:lang w:val="en-US"/>
        </w:rPr>
        <w:t>.</w:t>
      </w:r>
      <w:r>
        <w:rPr>
          <w:rFonts w:cs="Calibri"/>
          <w:lang w:val="en-US"/>
        </w:rPr>
        <w:t xml:space="preserve"> </w:t>
      </w:r>
    </w:p>
  </w:footnote>
  <w:footnote w:id="16">
    <w:p w:rsidR="003B411A" w:rsidRDefault="009F0AE3">
      <w:pPr>
        <w:pStyle w:val="FootnoteText"/>
        <w:ind w:left="0" w:firstLine="0"/>
        <w:jc w:val="left"/>
        <w:rPr>
          <w:rFonts w:cs="Calibri"/>
          <w:lang w:val="en-US"/>
        </w:rPr>
      </w:pPr>
      <w:r>
        <w:rPr>
          <w:rStyle w:val="FootnoteReference"/>
          <w:rFonts w:cs="Calibri"/>
        </w:rPr>
        <w:footnoteRef/>
      </w:r>
      <w:r>
        <w:rPr>
          <w:rFonts w:cs="Calibri"/>
          <w:lang w:val="en-US"/>
        </w:rPr>
        <w:t xml:space="preserve"> </w:t>
      </w:r>
      <w:hyperlink r:id="rId9" w:history="1">
        <w:r>
          <w:rPr>
            <w:rStyle w:val="Hyperlink"/>
            <w:rFonts w:cs="Calibri"/>
            <w:lang w:val="en-US"/>
          </w:rPr>
          <w:t>https://ec.europa.eu/info/research-and-innovation_en</w:t>
        </w:r>
      </w:hyperlink>
      <w:r>
        <w:rPr>
          <w:rFonts w:cs="Calibri"/>
          <w:lang w:val="en-US"/>
        </w:rPr>
        <w:t xml:space="preserve"> and </w:t>
      </w:r>
      <w:hyperlink r:id="rId10" w:history="1">
        <w:r>
          <w:rPr>
            <w:rStyle w:val="Hyperlink"/>
            <w:rFonts w:cs="Calibri"/>
            <w:lang w:val="en-US"/>
          </w:rPr>
          <w:t>http://ec.europa.eu/programmes/horizon2020/en/what-horizon-2020</w:t>
        </w:r>
      </w:hyperlink>
      <w:r>
        <w:rPr>
          <w:rStyle w:val="Hyperlink"/>
          <w:rFonts w:cs="Calibri"/>
          <w:lang w:val="en-US"/>
        </w:rPr>
        <w:t>.</w:t>
      </w:r>
      <w:r>
        <w:rPr>
          <w:rFonts w:cs="Calibri"/>
          <w:lang w:val="en-US"/>
        </w:rPr>
        <w:t xml:space="preserve"> </w:t>
      </w:r>
    </w:p>
  </w:footnote>
  <w:footnote w:id="17">
    <w:p w:rsidR="003B411A" w:rsidRDefault="009F0AE3">
      <w:pPr>
        <w:pStyle w:val="FootnoteText"/>
      </w:pPr>
      <w:r>
        <w:rPr>
          <w:rStyle w:val="FootnoteReference"/>
        </w:rPr>
        <w:footnoteRef/>
      </w:r>
      <w:r>
        <w:t xml:space="preserve"> Deloitte, Open Evidence, Wik Consult, Time Lex, Spark, Lisbon Council think tank for the 21</w:t>
      </w:r>
      <w:r>
        <w:rPr>
          <w:vertAlign w:val="superscript"/>
        </w:rPr>
        <w:t>st</w:t>
      </w:r>
      <w:r>
        <w:t xml:space="preserve"> century.</w:t>
      </w:r>
    </w:p>
  </w:footnote>
  <w:footnote w:id="18">
    <w:p w:rsidR="003B411A" w:rsidRDefault="009F0AE3">
      <w:pPr>
        <w:pStyle w:val="FootnoteText"/>
      </w:pPr>
      <w:r>
        <w:rPr>
          <w:rStyle w:val="FootnoteReference"/>
        </w:rPr>
        <w:footnoteRef/>
      </w:r>
      <w:r>
        <w:t xml:space="preserve"> Impact Assessment Support</w:t>
      </w:r>
      <w:r>
        <w:t xml:space="preserve"> Study, Deloitte, SMART 2017/0061: https://ec.europa.eu/digital-single-market/news-redirect/623420 </w:t>
      </w:r>
    </w:p>
  </w:footnote>
  <w:footnote w:id="19">
    <w:p w:rsidR="003B411A" w:rsidRDefault="009F0AE3">
      <w:pPr>
        <w:pStyle w:val="FootnoteText"/>
        <w:ind w:left="142" w:hanging="142"/>
      </w:pPr>
      <w:r>
        <w:rPr>
          <w:rStyle w:val="FootnoteReference"/>
        </w:rPr>
        <w:footnoteRef/>
      </w:r>
      <w:r>
        <w:t xml:space="preserve"> European Parliament, DG JUST, DG CNECT, DG GROW, DG COMP, Publication Office, DG ENER, DG MOVE, DG RTD, JRC, EDPS, EuDECo, Europeana, Kennisland, European</w:t>
      </w:r>
      <w:r>
        <w:t xml:space="preserve"> University Association.</w:t>
      </w:r>
    </w:p>
  </w:footnote>
  <w:footnote w:id="20">
    <w:p w:rsidR="003B411A" w:rsidRDefault="009F0AE3">
      <w:pPr>
        <w:pStyle w:val="FootnoteText"/>
        <w:spacing w:after="0"/>
      </w:pPr>
      <w:r>
        <w:rPr>
          <w:rStyle w:val="FootnoteReference"/>
        </w:rPr>
        <w:footnoteRef/>
      </w:r>
      <w:r>
        <w:t xml:space="preserve"> Interviews were conducted with the following types of stakeholders: </w:t>
      </w:r>
    </w:p>
    <w:p w:rsidR="003B411A" w:rsidRDefault="009F0AE3">
      <w:pPr>
        <w:pStyle w:val="FootnoteText"/>
        <w:spacing w:after="0"/>
        <w:ind w:hanging="215"/>
      </w:pPr>
      <w:r>
        <w:t>•</w:t>
      </w:r>
      <w:r>
        <w:tab/>
        <w:t>ministries and public bodies in charge of public sector data regulation and monitoring of implementation;</w:t>
      </w:r>
    </w:p>
    <w:p w:rsidR="003B411A" w:rsidRDefault="009F0AE3">
      <w:pPr>
        <w:pStyle w:val="FootnoteText"/>
        <w:spacing w:after="0"/>
        <w:ind w:hanging="215"/>
      </w:pPr>
      <w:r>
        <w:t>•</w:t>
      </w:r>
      <w:r>
        <w:tab/>
        <w:t>public bodies falling into the scope of the direct</w:t>
      </w:r>
      <w:r>
        <w:t>ive;</w:t>
      </w:r>
    </w:p>
    <w:p w:rsidR="003B411A" w:rsidRDefault="009F0AE3">
      <w:pPr>
        <w:pStyle w:val="FootnoteText"/>
        <w:spacing w:after="0"/>
        <w:ind w:hanging="215"/>
      </w:pPr>
      <w:r>
        <w:t>•</w:t>
      </w:r>
      <w:r>
        <w:tab/>
        <w:t>museums, libraries and archives;</w:t>
      </w:r>
    </w:p>
    <w:p w:rsidR="003B411A" w:rsidRDefault="009F0AE3">
      <w:pPr>
        <w:pStyle w:val="FootnoteText"/>
        <w:spacing w:after="0"/>
        <w:ind w:hanging="215"/>
      </w:pPr>
      <w:r>
        <w:t>•</w:t>
      </w:r>
      <w:r>
        <w:tab/>
        <w:t>public undertakings in utility domains;</w:t>
      </w:r>
    </w:p>
    <w:p w:rsidR="003B411A" w:rsidRDefault="009F0AE3">
      <w:pPr>
        <w:pStyle w:val="FootnoteText"/>
        <w:spacing w:after="0"/>
        <w:ind w:hanging="215"/>
      </w:pPr>
      <w:r>
        <w:t>•</w:t>
      </w:r>
      <w:r>
        <w:tab/>
        <w:t xml:space="preserve">universities and research centres; </w:t>
      </w:r>
    </w:p>
    <w:p w:rsidR="003B411A" w:rsidRDefault="009F0AE3">
      <w:pPr>
        <w:pStyle w:val="FootnoteText"/>
        <w:ind w:hanging="215"/>
      </w:pPr>
      <w:r>
        <w:t>•</w:t>
      </w:r>
      <w:r>
        <w:tab/>
        <w:t>re-users associations.</w:t>
      </w:r>
    </w:p>
  </w:footnote>
  <w:footnote w:id="21">
    <w:p w:rsidR="003B411A" w:rsidRDefault="009F0AE3">
      <w:pPr>
        <w:pStyle w:val="FootnoteText"/>
      </w:pPr>
      <w:r>
        <w:rPr>
          <w:rStyle w:val="FootnoteReference"/>
        </w:rPr>
        <w:footnoteRef/>
      </w:r>
      <w:r>
        <w:t xml:space="preserve"> </w:t>
      </w:r>
      <w:hyperlink r:id="rId11" w:history="1">
        <w:r>
          <w:rPr>
            <w:rStyle w:val="Hyperlink"/>
          </w:rPr>
          <w:t>https://www.europeandataportal.eu/sites/default/files/edp_landscaping_insight_report_n3_2017.pdf</w:t>
        </w:r>
      </w:hyperlink>
      <w:r>
        <w:t xml:space="preserve"> </w:t>
      </w:r>
    </w:p>
  </w:footnote>
  <w:footnote w:id="22">
    <w:p w:rsidR="003B411A" w:rsidRDefault="009F0AE3">
      <w:pPr>
        <w:pStyle w:val="FootnoteText"/>
      </w:pPr>
      <w:r>
        <w:rPr>
          <w:rStyle w:val="FootnoteReference"/>
        </w:rPr>
        <w:footnoteRef/>
      </w:r>
      <w:r>
        <w:t xml:space="preserve"> </w:t>
      </w:r>
      <w:hyperlink r:id="rId12" w:anchor="tab-overview" w:history="1">
        <w:r>
          <w:rPr>
            <w:rStyle w:val="Hyperlink"/>
          </w:rPr>
          <w:t>https://www.europeandataportal.eu/en/dashboard#tab-overview</w:t>
        </w:r>
      </w:hyperlink>
      <w:r>
        <w:t>.</w:t>
      </w:r>
    </w:p>
  </w:footnote>
  <w:footnote w:id="23">
    <w:p w:rsidR="003B411A" w:rsidRDefault="009F0AE3">
      <w:pPr>
        <w:pStyle w:val="FootnoteText"/>
        <w:ind w:left="142" w:hanging="142"/>
        <w:jc w:val="left"/>
      </w:pPr>
      <w:r>
        <w:rPr>
          <w:rStyle w:val="FootnoteReference"/>
        </w:rPr>
        <w:footnoteRef/>
      </w:r>
      <w:r>
        <w:t xml:space="preserve"> The European Data Portal is developed by the European Commission with the support of a consortium led by Capgemini</w:t>
      </w:r>
      <w:r>
        <w:t>, including INTRASOFT International, Fraunhofer Fokus, con terra, Sogeti, the Open Data Institute, Time.Lex and the University of Southampton.</w:t>
      </w:r>
    </w:p>
  </w:footnote>
  <w:footnote w:id="24">
    <w:p w:rsidR="003B411A" w:rsidRDefault="009F0AE3">
      <w:pPr>
        <w:pStyle w:val="FootnoteText"/>
        <w:ind w:left="0" w:firstLine="0"/>
        <w:rPr>
          <w:i/>
        </w:rPr>
      </w:pPr>
      <w:r>
        <w:rPr>
          <w:rStyle w:val="FootnoteReference"/>
        </w:rPr>
        <w:footnoteRef/>
      </w:r>
      <w:r>
        <w:t xml:space="preserve"> Art. 13.2 of the PSI Directive stipulates that </w:t>
      </w:r>
      <w:r>
        <w:rPr>
          <w:i/>
        </w:rPr>
        <w:t>"Member States shall submit a report every 3 years to the Commis</w:t>
      </w:r>
      <w:r>
        <w:rPr>
          <w:i/>
        </w:rPr>
        <w:t>sion on the availability of public sector information for re-use and the conditions under which it is made available and the redress practices."</w:t>
      </w:r>
    </w:p>
  </w:footnote>
  <w:footnote w:id="25">
    <w:p w:rsidR="003B411A" w:rsidRDefault="009F0AE3">
      <w:pPr>
        <w:pStyle w:val="FootnoteText"/>
        <w:ind w:left="0" w:firstLine="0"/>
      </w:pPr>
      <w:r>
        <w:rPr>
          <w:rStyle w:val="FootnoteReference"/>
        </w:rPr>
        <w:footnoteRef/>
      </w:r>
      <w:r>
        <w:t xml:space="preserve"> These consultations are separate and do not include the stakeholder interviews carried out by the external co</w:t>
      </w:r>
      <w:r>
        <w:t>ntractor for the above-mentioned study to support the review of the PSI Directive.</w:t>
      </w:r>
    </w:p>
  </w:footnote>
  <w:footnote w:id="26">
    <w:p w:rsidR="003B411A" w:rsidRDefault="009F0AE3">
      <w:pPr>
        <w:pStyle w:val="FootnoteText"/>
        <w:ind w:left="0" w:firstLine="0"/>
      </w:pPr>
      <w:r>
        <w:rPr>
          <w:rStyle w:val="FootnoteReference"/>
        </w:rPr>
        <w:footnoteRef/>
      </w:r>
      <w:r>
        <w:t xml:space="preserve"> A summary of all stakeholder consultation activities can be found in Annex 2 to the Impact Assessment on policy options for the future of the PSI Directive.</w:t>
      </w:r>
    </w:p>
  </w:footnote>
  <w:footnote w:id="27">
    <w:p w:rsidR="003B411A" w:rsidRDefault="009F0AE3">
      <w:pPr>
        <w:pStyle w:val="FootnoteText"/>
        <w:tabs>
          <w:tab w:val="left" w:pos="284"/>
        </w:tabs>
        <w:ind w:left="0" w:firstLine="0"/>
      </w:pPr>
      <w:r>
        <w:rPr>
          <w:rStyle w:val="FootnoteReference"/>
        </w:rPr>
        <w:footnoteRef/>
      </w:r>
      <w:r>
        <w:t xml:space="preserve"> </w:t>
      </w:r>
      <w:hyperlink r:id="rId13" w:history="1">
        <w:r>
          <w:rPr>
            <w:rStyle w:val="Hyperlink"/>
          </w:rPr>
          <w:t>http://ec.europa.eu/info/law/better-regulation/initiatives/ares-2017-4540429_en</w:t>
        </w:r>
      </w:hyperlink>
      <w:r>
        <w:rPr>
          <w:rStyle w:val="Hyperlink"/>
        </w:rPr>
        <w:t>.</w:t>
      </w:r>
    </w:p>
  </w:footnote>
  <w:footnote w:id="28">
    <w:p w:rsidR="003B411A" w:rsidRDefault="009F0AE3">
      <w:pPr>
        <w:pStyle w:val="FootnoteText"/>
        <w:ind w:left="0" w:firstLine="0"/>
        <w:jc w:val="left"/>
      </w:pPr>
      <w:r>
        <w:rPr>
          <w:rStyle w:val="FootnoteReference"/>
        </w:rPr>
        <w:footnoteRef/>
      </w:r>
      <w:r>
        <w:t xml:space="preserve"> </w:t>
      </w:r>
      <w:hyperlink r:id="rId14" w:history="1">
        <w:r>
          <w:rPr>
            <w:rStyle w:val="Hyperlink"/>
          </w:rPr>
          <w:t>https://ec.europa.eu/info/consultations/public-consultation-review-directive-re-use-public-sector-</w:t>
        </w:r>
        <w:r>
          <w:rPr>
            <w:rStyle w:val="Hyperlink"/>
          </w:rPr>
          <w:br/>
          <w:t>information-psi-directive_en</w:t>
        </w:r>
      </w:hyperlink>
      <w:r>
        <w:rPr>
          <w:rStyle w:val="Hyperlink"/>
        </w:rPr>
        <w:t>.</w:t>
      </w:r>
    </w:p>
  </w:footnote>
  <w:footnote w:id="29">
    <w:p w:rsidR="003B411A" w:rsidRDefault="009F0AE3">
      <w:pPr>
        <w:pStyle w:val="FootnoteText"/>
        <w:ind w:left="0" w:firstLine="0"/>
      </w:pPr>
      <w:r>
        <w:rPr>
          <w:rStyle w:val="FootnoteReference"/>
        </w:rPr>
        <w:footnoteRef/>
      </w:r>
      <w:r>
        <w:t xml:space="preserve"> E3PO consists of national, European and international federations, repr</w:t>
      </w:r>
      <w:r>
        <w:t xml:space="preserve">esenting sectoral and pluri-sectoral </w:t>
      </w:r>
      <w:r>
        <w:rPr>
          <w:bCs/>
        </w:rPr>
        <w:t>private</w:t>
      </w:r>
      <w:r>
        <w:t xml:space="preserve"> companies that are active in the operation of Services of General Economic Interest (SGEI) under contract concluded with public authorities following a competitive bid in the following sectors: motorways, water </w:t>
      </w:r>
      <w:r>
        <w:t>and sanitation, waste management, energy efficiency, public transport, catering.</w:t>
      </w:r>
    </w:p>
  </w:footnote>
  <w:footnote w:id="30">
    <w:p w:rsidR="003B411A" w:rsidRDefault="009F0AE3">
      <w:pPr>
        <w:pStyle w:val="FootnoteText"/>
      </w:pPr>
      <w:r>
        <w:rPr>
          <w:rStyle w:val="FootnoteReference"/>
        </w:rPr>
        <w:footnoteRef/>
      </w:r>
      <w:r>
        <w:t xml:space="preserve"> See Annex 3.</w:t>
      </w:r>
    </w:p>
  </w:footnote>
  <w:footnote w:id="31">
    <w:p w:rsidR="003B411A" w:rsidRDefault="009F0AE3">
      <w:pPr>
        <w:pStyle w:val="FootnoteText"/>
      </w:pPr>
      <w:r>
        <w:rPr>
          <w:rStyle w:val="FootnoteReference"/>
        </w:rPr>
        <w:footnoteRef/>
      </w:r>
      <w:r>
        <w:t xml:space="preserve"> Impact Assessment Support Study, Deloitte, SMART 2017/0061: </w:t>
      </w:r>
      <w:hyperlink r:id="rId15" w:history="1">
        <w:r>
          <w:rPr>
            <w:rStyle w:val="Hyperlink"/>
          </w:rPr>
          <w:t>https://ec.europa.</w:t>
        </w:r>
        <w:r>
          <w:rPr>
            <w:rStyle w:val="Hyperlink"/>
          </w:rPr>
          <w:t>eu/digital-single-market/news-redirect/623420</w:t>
        </w:r>
      </w:hyperlink>
      <w:r>
        <w:t xml:space="preserve">  </w:t>
      </w:r>
    </w:p>
  </w:footnote>
  <w:footnote w:id="32">
    <w:p w:rsidR="003B411A" w:rsidRDefault="009F0AE3">
      <w:pPr>
        <w:pStyle w:val="FootnoteText"/>
      </w:pPr>
      <w:r>
        <w:rPr>
          <w:rStyle w:val="FootnoteReference"/>
        </w:rPr>
        <w:footnoteRef/>
      </w:r>
      <w:r>
        <w:t xml:space="preserve"> </w:t>
      </w:r>
      <w:hyperlink r:id="rId16" w:history="1">
        <w:r>
          <w:rPr>
            <w:rStyle w:val="Hyperlink"/>
          </w:rPr>
          <w:t>https://www.europeandataportal.eu/en/dashboard</w:t>
        </w:r>
      </w:hyperlink>
      <w:r>
        <w:t>.</w:t>
      </w:r>
    </w:p>
  </w:footnote>
  <w:footnote w:id="33">
    <w:p w:rsidR="003B411A" w:rsidRDefault="009F0AE3">
      <w:pPr>
        <w:pStyle w:val="FootnoteText"/>
        <w:ind w:left="0" w:firstLine="0"/>
      </w:pPr>
      <w:r>
        <w:rPr>
          <w:rStyle w:val="FootnoteReference"/>
        </w:rPr>
        <w:footnoteRef/>
      </w:r>
      <w:r>
        <w:t xml:space="preserve"> Directive 2013/37/EU of the European Parliament and of the Council of 26 June 2013 amending D</w:t>
      </w:r>
      <w:r>
        <w:t>irective 2003/98/EC on the re-use of public sector information.</w:t>
      </w:r>
    </w:p>
  </w:footnote>
  <w:footnote w:id="34">
    <w:p w:rsidR="003B411A" w:rsidRDefault="009F0AE3">
      <w:pPr>
        <w:pStyle w:val="FootnoteText"/>
        <w:ind w:left="0" w:firstLine="0"/>
        <w:jc w:val="left"/>
        <w:rPr>
          <w:rFonts w:cs="Calibri"/>
          <w:lang w:val="en-US"/>
        </w:rPr>
      </w:pPr>
      <w:r>
        <w:rPr>
          <w:rStyle w:val="FootnoteReference"/>
          <w:rFonts w:cs="Calibri"/>
        </w:rPr>
        <w:footnoteRef/>
      </w:r>
      <w:r>
        <w:rPr>
          <w:rFonts w:cs="Calibri"/>
        </w:rPr>
        <w:t xml:space="preserve"> </w:t>
      </w:r>
      <w:hyperlink r:id="rId17" w:history="1">
        <w:r>
          <w:rPr>
            <w:rStyle w:val="Hyperlink"/>
            <w:rFonts w:cs="Calibri"/>
            <w:lang w:val="en-US"/>
          </w:rPr>
          <w:t>https://ec.europa.eu/digital-single-market/en/implementation-pu</w:t>
        </w:r>
        <w:r>
          <w:rPr>
            <w:rStyle w:val="Hyperlink"/>
            <w:rFonts w:cs="Calibri"/>
            <w:lang w:val="en-US"/>
          </w:rPr>
          <w:t>blic-sector-information-directive-member-states</w:t>
        </w:r>
      </w:hyperlink>
      <w:r>
        <w:rPr>
          <w:rStyle w:val="Hyperlink"/>
          <w:rFonts w:cs="Calibri"/>
          <w:lang w:val="en-US"/>
        </w:rPr>
        <w:t>.</w:t>
      </w:r>
    </w:p>
  </w:footnote>
  <w:footnote w:id="35">
    <w:p w:rsidR="003B411A" w:rsidRDefault="009F0AE3">
      <w:pPr>
        <w:pStyle w:val="FootnoteText"/>
        <w:rPr>
          <w:lang w:val="en-US"/>
        </w:rPr>
      </w:pPr>
      <w:r>
        <w:rPr>
          <w:rStyle w:val="FootnoteReference"/>
        </w:rPr>
        <w:footnoteRef/>
      </w:r>
      <w:r>
        <w:rPr>
          <w:lang w:val="en-US"/>
        </w:rPr>
        <w:t xml:space="preserve"> </w:t>
      </w:r>
      <w:hyperlink r:id="rId18" w:history="1">
        <w:r>
          <w:rPr>
            <w:rStyle w:val="Hyperlink"/>
            <w:lang w:val="en-US"/>
          </w:rPr>
          <w:t>https://opendatacharter.net/resource/g8-open-data-charter/</w:t>
        </w:r>
      </w:hyperlink>
      <w:r>
        <w:rPr>
          <w:rStyle w:val="Hyperlink"/>
          <w:lang w:val="en-US"/>
        </w:rPr>
        <w:t>.</w:t>
      </w:r>
    </w:p>
  </w:footnote>
  <w:footnote w:id="36">
    <w:p w:rsidR="003B411A" w:rsidRDefault="009F0AE3">
      <w:pPr>
        <w:pStyle w:val="FootnoteText"/>
        <w:ind w:left="0" w:firstLine="0"/>
        <w:jc w:val="left"/>
        <w:rPr>
          <w:lang w:val="fr-FR"/>
        </w:rPr>
      </w:pPr>
      <w:r>
        <w:rPr>
          <w:rStyle w:val="FootnoteReference"/>
        </w:rPr>
        <w:footnoteRef/>
      </w:r>
      <w:r>
        <w:rPr>
          <w:lang w:val="fr-FR"/>
        </w:rPr>
        <w:t xml:space="preserve"> Loi Pour une République numérique (Loi Lemaire), </w:t>
      </w:r>
      <w:hyperlink r:id="rId19" w:history="1">
        <w:r>
          <w:rPr>
            <w:rStyle w:val="Hyperlink"/>
            <w:lang w:val="fr-FR"/>
          </w:rPr>
          <w:t>https://www.legifrance.gouv.fr/affichLoiPubliee.do?idDocument=JORFDOLE000031589829&amp;type=general&amp;legislature=14</w:t>
        </w:r>
      </w:hyperlink>
      <w:r>
        <w:rPr>
          <w:rStyle w:val="Hyperlink"/>
          <w:lang w:val="fr-FR"/>
        </w:rPr>
        <w:t>.</w:t>
      </w:r>
      <w:r>
        <w:rPr>
          <w:lang w:val="fr-FR"/>
        </w:rPr>
        <w:t xml:space="preserve"> </w:t>
      </w:r>
    </w:p>
  </w:footnote>
  <w:footnote w:id="37">
    <w:p w:rsidR="003B411A" w:rsidRDefault="009F0AE3">
      <w:pPr>
        <w:pStyle w:val="FootnoteText"/>
        <w:ind w:left="0" w:firstLine="0"/>
        <w:jc w:val="left"/>
      </w:pPr>
      <w:r>
        <w:rPr>
          <w:rStyle w:val="FootnoteReference"/>
        </w:rPr>
        <w:footnoteRef/>
      </w:r>
      <w:r>
        <w:t xml:space="preserve"> Act on Transport</w:t>
      </w:r>
      <w:r>
        <w:t xml:space="preserve"> Services, </w:t>
      </w:r>
      <w:hyperlink r:id="rId20" w:history="1"/>
      <w:hyperlink r:id="rId21" w:history="1">
        <w:r>
          <w:rPr>
            <w:rStyle w:val="Hyperlink"/>
          </w:rPr>
          <w:t>https://www.lvm.fi/documents/20181/937315/Factsheet+57-2017+Act+on+Transport+Services.pdf/bd002762-a6a0-4867-bb49-5c1b86069</w:t>
        </w:r>
        <w:r>
          <w:rPr>
            <w:rStyle w:val="Hyperlink"/>
          </w:rPr>
          <w:t>380</w:t>
        </w:r>
      </w:hyperlink>
      <w:r>
        <w:rPr>
          <w:rStyle w:val="Hyperlink"/>
        </w:rPr>
        <w:t>.</w:t>
      </w:r>
    </w:p>
  </w:footnote>
  <w:footnote w:id="38">
    <w:p w:rsidR="003B411A" w:rsidRDefault="009F0AE3">
      <w:pPr>
        <w:pStyle w:val="FootnoteText"/>
        <w:ind w:left="0" w:firstLine="0"/>
        <w:jc w:val="left"/>
        <w:rPr>
          <w:rFonts w:cs="Calibri"/>
          <w:lang w:val="en-US"/>
        </w:rPr>
      </w:pPr>
      <w:r>
        <w:rPr>
          <w:rStyle w:val="FootnoteReference"/>
          <w:rFonts w:cs="Calibri"/>
        </w:rPr>
        <w:footnoteRef/>
      </w:r>
      <w:r>
        <w:rPr>
          <w:rFonts w:cs="Calibri"/>
          <w:lang w:val="en-US"/>
        </w:rPr>
        <w:t xml:space="preserve"> European Data Market Study, SMART 2013/0063, Final Report, IDC, Open Evidence, 2017, </w:t>
      </w:r>
      <w:hyperlink r:id="rId22" w:history="1">
        <w:r>
          <w:rPr>
            <w:rStyle w:val="Hyperlink"/>
            <w:rFonts w:cs="Calibri"/>
            <w:lang w:val="en-US"/>
          </w:rPr>
          <w:t>https://a2528ba5-a-c3c32646-s-sites.googlegroups.com/a/open-evidence.com/download/repository/SMART20130063_Final%20Report_030417_2.pdf?attachauth=ANoY7cpcDWFe5A8Sjp5mUlWmg4zXgvNf3W4MP144z3qNH26vy7kegeGO2yfvlHUu4QdijKdQoZzs25EN-1vI</w:t>
        </w:r>
        <w:r>
          <w:rPr>
            <w:rStyle w:val="Hyperlink"/>
            <w:rFonts w:cs="Calibri"/>
            <w:lang w:val="en-US"/>
          </w:rPr>
          <w:t>jdOyJgOiLzd72yZMh2tEX1QOUgWCUupJ3rburRjtWEQljXUnyLw5NoSU04bzNxjeWo4rsVL4kiVIPdfHrD_OnaMVs1zxZJkKZna29Pyfbj1MYXDsuRax_aRdTkECmMWB0kx43yCBM6CakPzkCz0sFHG75tE93VpnML_ed053nmYP1fS_nfY8IA2l&amp;attredirects=0</w:t>
        </w:r>
      </w:hyperlink>
      <w:r>
        <w:rPr>
          <w:rStyle w:val="Hyperlink"/>
          <w:rFonts w:cs="Calibri"/>
          <w:lang w:val="en-US"/>
        </w:rPr>
        <w:t>.</w:t>
      </w:r>
    </w:p>
  </w:footnote>
  <w:footnote w:id="39">
    <w:p w:rsidR="003B411A" w:rsidRDefault="009F0AE3">
      <w:pPr>
        <w:pStyle w:val="FootnoteText"/>
        <w:rPr>
          <w:lang w:val="en-US"/>
        </w:rPr>
      </w:pPr>
      <w:r>
        <w:rPr>
          <w:rStyle w:val="FootnoteReference"/>
        </w:rPr>
        <w:footnoteRef/>
      </w:r>
      <w:r>
        <w:t xml:space="preserve"> </w:t>
      </w:r>
      <w:hyperlink r:id="rId23" w:history="1">
        <w:r>
          <w:rPr>
            <w:rStyle w:val="Hyperlink"/>
            <w:lang w:val="en-US"/>
          </w:rPr>
          <w:t>https://opendataincubator.eu/files/2017/07/ODINE_Final-report_2.0.pdf</w:t>
        </w:r>
      </w:hyperlink>
      <w:r>
        <w:rPr>
          <w:rStyle w:val="Hyperlink"/>
          <w:lang w:val="en-US"/>
        </w:rPr>
        <w:t>.</w:t>
      </w:r>
      <w:r>
        <w:rPr>
          <w:lang w:val="en-US"/>
        </w:rPr>
        <w:t xml:space="preserve"> </w:t>
      </w:r>
    </w:p>
  </w:footnote>
  <w:footnote w:id="40">
    <w:p w:rsidR="003B411A" w:rsidRDefault="009F0AE3">
      <w:pPr>
        <w:pStyle w:val="FootnoteText"/>
        <w:ind w:left="0" w:firstLine="0"/>
        <w:jc w:val="left"/>
      </w:pPr>
      <w:r>
        <w:rPr>
          <w:rStyle w:val="FootnoteReference"/>
        </w:rPr>
        <w:footnoteRef/>
      </w:r>
      <w:r>
        <w:t xml:space="preserve"> D6.3 Business models, lessons learned and success stories, ODINE, p. 40, </w:t>
      </w:r>
      <w:hyperlink r:id="rId24" w:history="1">
        <w:r>
          <w:rPr>
            <w:rStyle w:val="Hyperlink"/>
          </w:rPr>
          <w:t>https://opendataincubator.eu/files/2016/01/D6.3-Final.pdf</w:t>
        </w:r>
      </w:hyperlink>
      <w:r>
        <w:t xml:space="preserve">. </w:t>
      </w:r>
    </w:p>
  </w:footnote>
  <w:footnote w:id="41">
    <w:p w:rsidR="003B411A" w:rsidRDefault="009F0AE3">
      <w:pPr>
        <w:pStyle w:val="FootnoteText"/>
      </w:pPr>
      <w:r>
        <w:rPr>
          <w:rStyle w:val="FootnoteReference"/>
        </w:rPr>
        <w:footnoteRef/>
      </w:r>
      <w:r>
        <w:t xml:space="preserve"> </w:t>
      </w:r>
      <w:hyperlink r:id="rId25" w:history="1">
        <w:r>
          <w:rPr>
            <w:rStyle w:val="Hyperlink"/>
          </w:rPr>
          <w:t>https://www.bikecitizens.net/</w:t>
        </w:r>
      </w:hyperlink>
      <w:r>
        <w:rPr>
          <w:rStyle w:val="Hyperlink"/>
        </w:rPr>
        <w:t>.</w:t>
      </w:r>
      <w:r>
        <w:t xml:space="preserve"> </w:t>
      </w:r>
    </w:p>
  </w:footnote>
  <w:footnote w:id="42">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Open Data Maturity in Europe, Open Data for a European Data Economy, European Data Portal, 2017, </w:t>
      </w:r>
      <w:hyperlink r:id="rId26" w:history="1">
        <w:r>
          <w:rPr>
            <w:rStyle w:val="Hyperlink"/>
            <w:rFonts w:cs="Calibri"/>
            <w:lang w:val="en-US"/>
          </w:rPr>
          <w:t>https://www.europeandataportal.eu/sites/default/files/edp_landscaping_insight_report_n3_2017.pdf</w:t>
        </w:r>
      </w:hyperlink>
      <w:r>
        <w:rPr>
          <w:rStyle w:val="Hyperlink"/>
          <w:rFonts w:cs="Calibri"/>
          <w:lang w:val="en-US"/>
        </w:rPr>
        <w:t>.</w:t>
      </w:r>
      <w:r>
        <w:rPr>
          <w:rFonts w:cs="Calibri"/>
          <w:lang w:val="en-US"/>
        </w:rPr>
        <w:t xml:space="preserve"> </w:t>
      </w:r>
    </w:p>
  </w:footnote>
  <w:footnote w:id="43">
    <w:p w:rsidR="003B411A" w:rsidRDefault="009F0AE3">
      <w:pPr>
        <w:pStyle w:val="FootnoteText"/>
        <w:ind w:left="0" w:firstLine="0"/>
      </w:pPr>
      <w:r>
        <w:rPr>
          <w:rStyle w:val="FootnoteReference"/>
        </w:rPr>
        <w:footnoteRef/>
      </w:r>
      <w:r>
        <w:t xml:space="preserve"> The full list of KPIs is available on p.107-109 of the 2017</w:t>
      </w:r>
      <w:r>
        <w:t xml:space="preserve"> report on Open Data Maturity in Europe, available on </w:t>
      </w:r>
      <w:hyperlink r:id="rId27" w:history="1">
        <w:r>
          <w:rPr>
            <w:rStyle w:val="Hyperlink"/>
          </w:rPr>
          <w:t>www.europeandataportal.eu/</w:t>
        </w:r>
      </w:hyperlink>
      <w:r>
        <w:rPr>
          <w:rStyle w:val="Hyperlink"/>
        </w:rPr>
        <w:t>.</w:t>
      </w:r>
      <w:r>
        <w:t xml:space="preserve"> </w:t>
      </w:r>
    </w:p>
  </w:footnote>
  <w:footnote w:id="44">
    <w:p w:rsidR="003B411A" w:rsidRDefault="009F0AE3">
      <w:pPr>
        <w:pStyle w:val="FootnoteText"/>
      </w:pPr>
      <w:r>
        <w:rPr>
          <w:rStyle w:val="FootnoteReference"/>
        </w:rPr>
        <w:footnoteRef/>
      </w:r>
      <w:r>
        <w:t xml:space="preserve"> </w:t>
      </w:r>
      <w:hyperlink r:id="rId28" w:anchor="2017" w:history="1">
        <w:r>
          <w:rPr>
            <w:rStyle w:val="Hyperlink"/>
            <w:lang w:val="uz-Cyrl-UZ"/>
          </w:rPr>
          <w:t>https://www.europeandataportal.eu/en/dashboard#2017</w:t>
        </w:r>
      </w:hyperlink>
      <w:r>
        <w:rPr>
          <w:rStyle w:val="Hyperlink"/>
        </w:rPr>
        <w:t>.</w:t>
      </w:r>
    </w:p>
  </w:footnote>
  <w:footnote w:id="45">
    <w:p w:rsidR="003B411A" w:rsidRDefault="009F0AE3">
      <w:pPr>
        <w:pStyle w:val="FootnoteText"/>
        <w:ind w:left="0" w:firstLine="0"/>
      </w:pPr>
      <w:r>
        <w:rPr>
          <w:rStyle w:val="FootnoteReference"/>
        </w:rPr>
        <w:footnoteRef/>
      </w:r>
      <w:r>
        <w:t xml:space="preserve"> </w:t>
      </w:r>
      <w:r>
        <w:rPr>
          <w:rFonts w:cs="Calibri"/>
          <w:lang w:val="en-US"/>
        </w:rPr>
        <w:t xml:space="preserve">Open Data Maturity in Europe 2017, Open Data for a European Data Economy, European Data Portal, 2017, </w:t>
      </w:r>
      <w:hyperlink r:id="rId29" w:history="1">
        <w:r>
          <w:rPr>
            <w:rStyle w:val="Hyperlink"/>
            <w:rFonts w:cs="Calibri"/>
            <w:lang w:val="en-US"/>
          </w:rPr>
          <w:t>https://www.europeandataportal.eu/sites/default/files/edp_landscaping_insight_report_n3_2017.pdf</w:t>
        </w:r>
      </w:hyperlink>
      <w:r>
        <w:rPr>
          <w:rStyle w:val="Hyperlink"/>
          <w:rFonts w:cs="Calibri"/>
          <w:lang w:val="en-US"/>
        </w:rPr>
        <w:t>.</w:t>
      </w:r>
    </w:p>
  </w:footnote>
  <w:footnote w:id="46">
    <w:p w:rsidR="003B411A" w:rsidRDefault="009F0AE3">
      <w:pPr>
        <w:pStyle w:val="FootnoteText"/>
        <w:ind w:left="0" w:firstLine="0"/>
      </w:pPr>
      <w:r>
        <w:rPr>
          <w:rStyle w:val="FootnoteReference"/>
        </w:rPr>
        <w:footnoteRef/>
      </w:r>
      <w:r>
        <w:t xml:space="preserve"> Another indication of this trend is the growing availability of Open Data on the European Data Portal, which currently gives access to over 80</w:t>
      </w:r>
      <w:r>
        <w:t>0,000 datasets covering a wide range of sectors.</w:t>
      </w:r>
    </w:p>
  </w:footnote>
  <w:footnote w:id="47">
    <w:p w:rsidR="003B411A" w:rsidRDefault="009F0AE3">
      <w:pPr>
        <w:pStyle w:val="FootnoteText"/>
        <w:rPr>
          <w:rFonts w:cs="Calibri"/>
          <w:lang w:val="en-US"/>
        </w:rPr>
      </w:pPr>
      <w:r>
        <w:rPr>
          <w:rStyle w:val="FootnoteReference"/>
          <w:rFonts w:cs="Calibri"/>
        </w:rPr>
        <w:footnoteRef/>
      </w:r>
      <w:r>
        <w:rPr>
          <w:rFonts w:cs="Calibri"/>
          <w:lang w:val="en-US"/>
        </w:rPr>
        <w:t xml:space="preserve"> Strategic interviews.</w:t>
      </w:r>
    </w:p>
  </w:footnote>
  <w:footnote w:id="48">
    <w:p w:rsidR="003B411A" w:rsidRDefault="009F0AE3">
      <w:pPr>
        <w:pStyle w:val="FootnoteText"/>
        <w:rPr>
          <w:rFonts w:cs="Calibri"/>
          <w:lang w:val="en-US"/>
        </w:rPr>
      </w:pPr>
      <w:r>
        <w:rPr>
          <w:rStyle w:val="FootnoteReference"/>
          <w:rFonts w:cs="Calibri"/>
        </w:rPr>
        <w:footnoteRef/>
      </w:r>
      <w:r>
        <w:rPr>
          <w:rFonts w:cs="Calibri"/>
          <w:lang w:val="en-US"/>
        </w:rPr>
        <w:t xml:space="preserve"> Ibid.</w:t>
      </w:r>
    </w:p>
  </w:footnote>
  <w:footnote w:id="49">
    <w:p w:rsidR="003B411A" w:rsidRDefault="009F0AE3">
      <w:pPr>
        <w:pStyle w:val="FootnoteText"/>
        <w:ind w:left="0" w:firstLine="0"/>
      </w:pPr>
      <w:r>
        <w:rPr>
          <w:rStyle w:val="FootnoteReference"/>
        </w:rPr>
        <w:footnoteRef/>
      </w:r>
      <w:r>
        <w:t xml:space="preserve"> Impact Assessment Support Study, Deloitte, SMART 2017/0061.</w:t>
      </w:r>
    </w:p>
  </w:footnote>
  <w:footnote w:id="50">
    <w:p w:rsidR="003B411A" w:rsidRDefault="009F0AE3">
      <w:pPr>
        <w:pStyle w:val="FootnoteText"/>
        <w:rPr>
          <w:rFonts w:cs="Calibri"/>
          <w:lang w:val="en-US"/>
        </w:rPr>
      </w:pPr>
      <w:r>
        <w:rPr>
          <w:rStyle w:val="FootnoteReference"/>
          <w:rFonts w:cs="Calibri"/>
        </w:rPr>
        <w:footnoteRef/>
      </w:r>
      <w:r>
        <w:rPr>
          <w:rFonts w:cs="Calibri"/>
          <w:lang w:val="en-US"/>
        </w:rPr>
        <w:t xml:space="preserve"> Minutes of the Member States PSI working group, 10 November 2017, unpublished document.</w:t>
      </w:r>
    </w:p>
  </w:footnote>
  <w:footnote w:id="51">
    <w:p w:rsidR="003B411A" w:rsidRDefault="009F0AE3">
      <w:pPr>
        <w:pStyle w:val="FootnoteText"/>
      </w:pPr>
      <w:r>
        <w:rPr>
          <w:rStyle w:val="FootnoteReference"/>
        </w:rPr>
        <w:footnoteRef/>
      </w:r>
      <w:r>
        <w:t xml:space="preserve"> Stakeholder dialogues</w:t>
      </w:r>
      <w:r>
        <w:t>.</w:t>
      </w:r>
    </w:p>
  </w:footnote>
  <w:footnote w:id="52">
    <w:p w:rsidR="003B411A" w:rsidRDefault="009F0AE3">
      <w:pPr>
        <w:pStyle w:val="FootnoteText"/>
        <w:ind w:left="0" w:firstLine="0"/>
      </w:pPr>
      <w:r>
        <w:rPr>
          <w:rStyle w:val="FootnoteReference"/>
        </w:rPr>
        <w:footnoteRef/>
      </w:r>
      <w:r>
        <w:t xml:space="preserve"> For example when the costs for certain datasets create a market barrier for certain players (e.g. in Belgium only two re-users have full access to business registers data as these cost more than EUR 75,000 per year).</w:t>
      </w:r>
    </w:p>
  </w:footnote>
  <w:footnote w:id="53">
    <w:p w:rsidR="003B411A" w:rsidRDefault="009F0AE3">
      <w:pPr>
        <w:pStyle w:val="FootnoteText"/>
      </w:pPr>
      <w:r>
        <w:rPr>
          <w:rStyle w:val="FootnoteReference"/>
        </w:rPr>
        <w:footnoteRef/>
      </w:r>
      <w:r>
        <w:t xml:space="preserve"> </w:t>
      </w:r>
      <w:hyperlink r:id="rId30" w:history="1">
        <w:r>
          <w:rPr>
            <w:rStyle w:val="Hyperlink"/>
          </w:rPr>
          <w:t>https://www.europeandataportal.eu/</w:t>
        </w:r>
      </w:hyperlink>
      <w:r>
        <w:rPr>
          <w:rStyle w:val="Hyperlink"/>
        </w:rPr>
        <w:t>.</w:t>
      </w:r>
      <w:r>
        <w:t xml:space="preserve"> </w:t>
      </w:r>
    </w:p>
  </w:footnote>
  <w:footnote w:id="54">
    <w:p w:rsidR="003B411A" w:rsidRDefault="009F0AE3">
      <w:pPr>
        <w:pStyle w:val="FootnoteText"/>
      </w:pPr>
      <w:r>
        <w:rPr>
          <w:rStyle w:val="FootnoteReference"/>
        </w:rPr>
        <w:footnoteRef/>
      </w:r>
      <w:r>
        <w:t xml:space="preserve"> </w:t>
      </w:r>
      <w:hyperlink r:id="rId31" w:history="1">
        <w:r>
          <w:rPr>
            <w:rStyle w:val="Hyperlink"/>
          </w:rPr>
          <w:t>https://okfn.org/</w:t>
        </w:r>
      </w:hyperlink>
      <w:r>
        <w:rPr>
          <w:rStyle w:val="Hyperlink"/>
        </w:rPr>
        <w:t>.</w:t>
      </w:r>
      <w:r>
        <w:t xml:space="preserve"> </w:t>
      </w:r>
    </w:p>
  </w:footnote>
  <w:footnote w:id="55">
    <w:p w:rsidR="003B411A" w:rsidRDefault="009F0AE3">
      <w:pPr>
        <w:pStyle w:val="FootnoteText"/>
      </w:pPr>
      <w:r>
        <w:rPr>
          <w:rStyle w:val="FootnoteReference"/>
        </w:rPr>
        <w:footnoteRef/>
      </w:r>
      <w:r>
        <w:t xml:space="preserve"> </w:t>
      </w:r>
      <w:hyperlink r:id="rId32" w:history="1">
        <w:r>
          <w:rPr>
            <w:rStyle w:val="Hyperlink"/>
          </w:rPr>
          <w:t>https://index.okfn.org/</w:t>
        </w:r>
      </w:hyperlink>
      <w:r>
        <w:rPr>
          <w:rStyle w:val="Hyperlink"/>
        </w:rPr>
        <w:t>.</w:t>
      </w:r>
      <w:r>
        <w:t xml:space="preserve"> </w:t>
      </w:r>
    </w:p>
  </w:footnote>
  <w:footnote w:id="56">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Europeana Usage Statistics 2017 – Q2, </w:t>
      </w:r>
      <w:hyperlink r:id="rId33" w:history="1">
        <w:r>
          <w:rPr>
            <w:rStyle w:val="Hyperlink"/>
            <w:rFonts w:cs="Calibri"/>
            <w:lang w:val="en-US"/>
          </w:rPr>
          <w:t>https://pro.europeana.eu/page/usage-statistics-2017-q2</w:t>
        </w:r>
      </w:hyperlink>
      <w:r>
        <w:rPr>
          <w:rFonts w:cs="Calibri"/>
          <w:lang w:val="en-US"/>
        </w:rPr>
        <w:t xml:space="preserve"> and evolution of availability of datasets of EDP, </w:t>
      </w:r>
      <w:hyperlink r:id="rId34" w:history="1">
        <w:r>
          <w:rPr>
            <w:rStyle w:val="Hyperlink"/>
            <w:rFonts w:cs="Calibri"/>
            <w:lang w:val="en-US"/>
          </w:rPr>
          <w:t>https://www.europeandataportal.eu/data</w:t>
        </w:r>
        <w:r>
          <w:rPr>
            <w:rStyle w:val="Hyperlink"/>
            <w:rFonts w:cs="Calibri"/>
            <w:lang w:val="en-US"/>
          </w:rPr>
          <w:t>/en/statistics/evolution</w:t>
        </w:r>
      </w:hyperlink>
      <w:r>
        <w:rPr>
          <w:rStyle w:val="Hyperlink"/>
          <w:rFonts w:cs="Calibri"/>
          <w:lang w:val="en-US"/>
        </w:rPr>
        <w:t>.</w:t>
      </w:r>
      <w:r>
        <w:rPr>
          <w:rFonts w:cs="Calibri"/>
          <w:lang w:val="en-US"/>
        </w:rPr>
        <w:t xml:space="preserve"> </w:t>
      </w:r>
    </w:p>
  </w:footnote>
  <w:footnote w:id="57">
    <w:p w:rsidR="003B411A" w:rsidRDefault="009F0AE3">
      <w:pPr>
        <w:pStyle w:val="FootnoteText"/>
        <w:ind w:left="0" w:firstLine="0"/>
      </w:pPr>
      <w:r>
        <w:rPr>
          <w:rStyle w:val="FootnoteReference"/>
        </w:rPr>
        <w:footnoteRef/>
      </w:r>
      <w:r>
        <w:t xml:space="preserve"> Direct economic value is the value generated by developing goods and services based on PSI. Indirect economic value refers to the value of goods and services that make use of those PSI-based goods or services.</w:t>
      </w:r>
    </w:p>
  </w:footnote>
  <w:footnote w:id="58">
    <w:p w:rsidR="003B411A" w:rsidRDefault="009F0AE3">
      <w:pPr>
        <w:pStyle w:val="FootnoteText"/>
        <w:ind w:left="0" w:firstLine="0"/>
      </w:pPr>
      <w:r>
        <w:rPr>
          <w:rStyle w:val="FootnoteReference"/>
        </w:rPr>
        <w:footnoteRef/>
      </w:r>
      <w:r>
        <w:t xml:space="preserve"> Impact Assessme</w:t>
      </w:r>
      <w:r>
        <w:t>nt Support Study, Deloitte, SMART 2017/0061.</w:t>
      </w:r>
    </w:p>
  </w:footnote>
  <w:footnote w:id="59">
    <w:p w:rsidR="003B411A" w:rsidRDefault="009F0AE3">
      <w:pPr>
        <w:pStyle w:val="FootnoteText"/>
        <w:ind w:left="0" w:firstLine="0"/>
      </w:pPr>
      <w:r>
        <w:rPr>
          <w:rStyle w:val="FootnoteReference"/>
        </w:rPr>
        <w:footnoteRef/>
      </w:r>
      <w:r>
        <w:t xml:space="preserve"> According to Eurostat, an activity is classified as knowledge intensive if employed tertiary educated persons represent more than 33 % of the total employment in that activity. See: </w:t>
      </w:r>
      <w:hyperlink r:id="rId35" w:history="1">
        <w:r>
          <w:rPr>
            <w:rStyle w:val="Hyperlink"/>
          </w:rPr>
          <w:t>http://ec.europa.eu/eurostat/statistics-explained/index.php/Glossary:Knowledge_Intensive_Activity_(KIA)</w:t>
        </w:r>
      </w:hyperlink>
      <w:r>
        <w:rPr>
          <w:rStyle w:val="Hyperlink"/>
        </w:rPr>
        <w:t>.</w:t>
      </w:r>
      <w:r>
        <w:t xml:space="preserve">  </w:t>
      </w:r>
    </w:p>
  </w:footnote>
  <w:footnote w:id="60">
    <w:p w:rsidR="003B411A" w:rsidRDefault="009F0AE3">
      <w:pPr>
        <w:pStyle w:val="FootnoteText"/>
      </w:pPr>
      <w:r>
        <w:rPr>
          <w:rStyle w:val="FootnoteReference"/>
        </w:rPr>
        <w:footnoteRef/>
      </w:r>
      <w:r>
        <w:t xml:space="preserve"> Impact Assessment Support Study, Deloitte, SMART 2017/0061.</w:t>
      </w:r>
    </w:p>
  </w:footnote>
  <w:footnote w:id="61">
    <w:p w:rsidR="003B411A" w:rsidRDefault="009F0AE3">
      <w:pPr>
        <w:pStyle w:val="FootnoteText"/>
      </w:pPr>
      <w:r>
        <w:rPr>
          <w:rStyle w:val="FootnoteReference"/>
        </w:rPr>
        <w:footnoteRef/>
      </w:r>
      <w:r>
        <w:t xml:space="preserve"> </w:t>
      </w:r>
      <w:hyperlink r:id="rId36" w:history="1">
        <w:r>
          <w:rPr>
            <w:rStyle w:val="Hyperlink"/>
          </w:rPr>
          <w:t>http://transmetrics.eu/</w:t>
        </w:r>
      </w:hyperlink>
      <w:r>
        <w:t xml:space="preserve">.  </w:t>
      </w:r>
    </w:p>
  </w:footnote>
  <w:footnote w:id="62">
    <w:p w:rsidR="003B411A" w:rsidRDefault="009F0AE3">
      <w:pPr>
        <w:pStyle w:val="FootnoteText"/>
      </w:pPr>
      <w:r>
        <w:rPr>
          <w:rStyle w:val="FootnoteReference"/>
        </w:rPr>
        <w:footnoteRef/>
      </w:r>
      <w:r>
        <w:t xml:space="preserve"> Data drawn from individual country reports compiled annually by the European Data Portal.</w:t>
      </w:r>
    </w:p>
  </w:footnote>
  <w:footnote w:id="63">
    <w:p w:rsidR="003B411A" w:rsidRDefault="009F0AE3">
      <w:pPr>
        <w:pStyle w:val="FootnoteText"/>
        <w:ind w:left="0" w:firstLine="0"/>
      </w:pPr>
      <w:r>
        <w:rPr>
          <w:rStyle w:val="FootnoteReference"/>
        </w:rPr>
        <w:footnoteRef/>
      </w:r>
      <w:r>
        <w:t xml:space="preserve"> Open Data Maturity in Europe, 20</w:t>
      </w:r>
      <w:r>
        <w:t xml:space="preserve">17, available at </w:t>
      </w:r>
      <w:hyperlink r:id="rId37" w:history="1">
        <w:r>
          <w:rPr>
            <w:rStyle w:val="Hyperlink"/>
          </w:rPr>
          <w:t>https://www.europeandataportal.eu/en/highlights/open-data-maturity-europe-2017</w:t>
        </w:r>
      </w:hyperlink>
      <w:r>
        <w:rPr>
          <w:rStyle w:val="Hyperlink"/>
        </w:rPr>
        <w:t>.</w:t>
      </w:r>
    </w:p>
  </w:footnote>
  <w:footnote w:id="64">
    <w:p w:rsidR="003B411A" w:rsidRDefault="009F0AE3">
      <w:pPr>
        <w:pStyle w:val="FootnoteText"/>
        <w:ind w:left="0" w:firstLine="0"/>
        <w:jc w:val="left"/>
        <w:rPr>
          <w:lang w:val="es-ES"/>
        </w:rPr>
      </w:pPr>
      <w:r>
        <w:rPr>
          <w:rStyle w:val="FootnoteReference"/>
        </w:rPr>
        <w:footnoteRef/>
      </w:r>
      <w:r>
        <w:rPr>
          <w:lang w:val="es-ES"/>
        </w:rPr>
        <w:t xml:space="preserve"> Estudios de Caracterización del Sector Infomediario, 2014, Red</w:t>
      </w:r>
      <w:r>
        <w:rPr>
          <w:lang w:val="es-ES"/>
        </w:rPr>
        <w:t xml:space="preserve">.es, available at </w:t>
      </w:r>
      <w:hyperlink r:id="rId38" w:history="1">
        <w:r>
          <w:rPr>
            <w:rStyle w:val="Hyperlink"/>
            <w:lang w:val="es-ES"/>
          </w:rPr>
          <w:t>http://datos.gob.es/es/documentacion/estudios-de-caracterizacion-del-sector-infomediario-2014</w:t>
        </w:r>
      </w:hyperlink>
      <w:r>
        <w:rPr>
          <w:rStyle w:val="Hyperlink"/>
          <w:lang w:val="es-ES"/>
        </w:rPr>
        <w:t>.</w:t>
      </w:r>
    </w:p>
  </w:footnote>
  <w:footnote w:id="65">
    <w:p w:rsidR="003B411A" w:rsidRDefault="009F0AE3">
      <w:pPr>
        <w:pStyle w:val="FootnoteText"/>
        <w:ind w:left="0" w:firstLine="0"/>
      </w:pPr>
      <w:r>
        <w:rPr>
          <w:rStyle w:val="FootnoteReference"/>
        </w:rPr>
        <w:footnoteRef/>
      </w:r>
      <w:r>
        <w:t xml:space="preserve"> Impact Assessment Support Study</w:t>
      </w:r>
      <w:r>
        <w:t>, Deloitte, SMART 2017/0061.</w:t>
      </w:r>
    </w:p>
  </w:footnote>
  <w:footnote w:id="66">
    <w:p w:rsidR="003B411A" w:rsidRDefault="009F0AE3">
      <w:pPr>
        <w:pStyle w:val="FootnoteText"/>
        <w:ind w:left="0" w:firstLine="0"/>
      </w:pPr>
      <w:r>
        <w:rPr>
          <w:rStyle w:val="FootnoteReference"/>
        </w:rPr>
        <w:footnoteRef/>
      </w:r>
      <w:r>
        <w:t xml:space="preserve"> Re-use of public sector information act – one year after coming into effect, 2017. Report by the Fundacja ePánstwo and the Centrum Cyfrowe. Available at </w:t>
      </w:r>
      <w:hyperlink r:id="rId39" w:history="1">
        <w:r>
          <w:rPr>
            <w:rStyle w:val="Hyperlink"/>
          </w:rPr>
          <w:t>https://centrumcyfrowe.pl/wp-content/uploads/2017/09/e-1.pdf</w:t>
        </w:r>
      </w:hyperlink>
      <w:r>
        <w:rPr>
          <w:rStyle w:val="Hyperlink"/>
        </w:rPr>
        <w:t>.</w:t>
      </w:r>
    </w:p>
  </w:footnote>
  <w:footnote w:id="67">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Article 7, Directive 2013/37/EU of the European Parliament and the Council of 26 June 2013 amending Directive 2003/98</w:t>
      </w:r>
      <w:r>
        <w:rPr>
          <w:rFonts w:cs="Calibri"/>
          <w:lang w:val="en-US"/>
        </w:rPr>
        <w:t xml:space="preserve">/EC on the re-use of public sector information, see: </w:t>
      </w:r>
      <w:hyperlink r:id="rId40" w:history="1">
        <w:r>
          <w:rPr>
            <w:rStyle w:val="Hyperlink"/>
            <w:rFonts w:cs="Calibri"/>
            <w:lang w:val="en-US"/>
          </w:rPr>
          <w:t>http://eur-lex.europa.eu/LexUriServ/LexUriServ.do?uri=OJ:L:2013:175:0001:0008:EN:PDF</w:t>
        </w:r>
      </w:hyperlink>
      <w:r>
        <w:rPr>
          <w:rStyle w:val="Hyperlink"/>
          <w:rFonts w:cs="Calibri"/>
          <w:lang w:val="en-US"/>
        </w:rPr>
        <w:t>.</w:t>
      </w:r>
      <w:r>
        <w:rPr>
          <w:rFonts w:cs="Calibri"/>
          <w:lang w:val="en-US"/>
        </w:rPr>
        <w:t xml:space="preserve"> </w:t>
      </w:r>
    </w:p>
  </w:footnote>
  <w:footnote w:id="68">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The new PSI D</w:t>
      </w:r>
      <w:r>
        <w:rPr>
          <w:rFonts w:cs="Calibri"/>
          <w:lang w:val="en-US"/>
        </w:rPr>
        <w:t xml:space="preserve">irective – as good as it seems?, 19 April 2013, Ton Zijlstra and Katleen Janssen, Open Knowledge International Blog, </w:t>
      </w:r>
      <w:hyperlink r:id="rId41" w:history="1">
        <w:r>
          <w:rPr>
            <w:rStyle w:val="Hyperlink"/>
            <w:rFonts w:cs="Calibri"/>
            <w:lang w:val="en-US"/>
          </w:rPr>
          <w:t>https://blog.okfn.org/2013/04/19/the-new-psi-di</w:t>
        </w:r>
        <w:r>
          <w:rPr>
            <w:rStyle w:val="Hyperlink"/>
            <w:rFonts w:cs="Calibri"/>
            <w:lang w:val="en-US"/>
          </w:rPr>
          <w:t>rective-as-good-as-it-seems/</w:t>
        </w:r>
      </w:hyperlink>
      <w:r>
        <w:rPr>
          <w:rStyle w:val="Hyperlink"/>
          <w:rFonts w:cs="Calibri"/>
          <w:lang w:val="en-US"/>
        </w:rPr>
        <w:t>.</w:t>
      </w:r>
      <w:r>
        <w:rPr>
          <w:rFonts w:cs="Calibri"/>
          <w:lang w:val="en-US"/>
        </w:rPr>
        <w:t xml:space="preserve"> </w:t>
      </w:r>
    </w:p>
  </w:footnote>
  <w:footnote w:id="69">
    <w:p w:rsidR="003B411A" w:rsidRDefault="009F0AE3">
      <w:pPr>
        <w:pStyle w:val="FootnoteText"/>
        <w:ind w:left="0" w:firstLine="0"/>
        <w:jc w:val="left"/>
      </w:pPr>
      <w:r>
        <w:rPr>
          <w:rStyle w:val="FootnoteReference"/>
        </w:rPr>
        <w:footnoteRef/>
      </w:r>
      <w:r>
        <w:t xml:space="preserve"> Such as the start-ups analysed in the ODINE project </w:t>
      </w:r>
      <w:hyperlink r:id="rId42" w:history="1">
        <w:r>
          <w:rPr>
            <w:rStyle w:val="Hyperlink"/>
            <w:lang w:val="en-US"/>
          </w:rPr>
          <w:t>https://opendataincubator.eu/files/2017/07/ODINE_Final-report_2.0.pdf</w:t>
        </w:r>
      </w:hyperlink>
      <w:r>
        <w:rPr>
          <w:rStyle w:val="Hyperlink"/>
          <w:lang w:val="en-US"/>
        </w:rPr>
        <w:t>.</w:t>
      </w:r>
    </w:p>
  </w:footnote>
  <w:footnote w:id="70">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See case stu</w:t>
      </w:r>
      <w:r>
        <w:rPr>
          <w:rFonts w:cs="Calibri"/>
          <w:lang w:val="en-US"/>
        </w:rPr>
        <w:t xml:space="preserve">dies on the Norwegian METNO case (meteorological data) and case study on the Dutch KNMI case (meteorological data),  Study on the Pricing of Public Sector Information – POPSI Study, October 2011, Deloitte, </w:t>
      </w:r>
      <w:hyperlink r:id="rId43" w:history="1">
        <w:r>
          <w:rPr>
            <w:rStyle w:val="Hyperlink"/>
            <w:rFonts w:cs="Calibri"/>
            <w:lang w:val="en-US"/>
          </w:rPr>
          <w:t>https://ec.europa.eu/digital-single-market/en/news/pricing-public-sector-information-study-popsis-models-supply-and-charging-public-sector</w:t>
        </w:r>
      </w:hyperlink>
      <w:r>
        <w:rPr>
          <w:rStyle w:val="Hyperlink"/>
          <w:rFonts w:cs="Calibri"/>
          <w:lang w:val="en-US"/>
        </w:rPr>
        <w:t>.</w:t>
      </w:r>
    </w:p>
  </w:footnote>
  <w:footnote w:id="71">
    <w:p w:rsidR="003B411A" w:rsidRDefault="009F0AE3">
      <w:pPr>
        <w:pStyle w:val="FootnoteText"/>
        <w:ind w:left="0" w:firstLine="0"/>
      </w:pPr>
      <w:r>
        <w:rPr>
          <w:rStyle w:val="FootnoteReference"/>
        </w:rPr>
        <w:footnoteRef/>
      </w:r>
      <w:r>
        <w:t xml:space="preserve"> </w:t>
      </w:r>
      <w:r>
        <w:rPr>
          <w:rFonts w:cs="Calibri"/>
          <w:lang w:val="en-US"/>
        </w:rPr>
        <w:t>Open Data</w:t>
      </w:r>
      <w:r>
        <w:rPr>
          <w:rFonts w:cs="Calibri"/>
          <w:lang w:val="en-US"/>
        </w:rPr>
        <w:t xml:space="preserve"> Maturity in Europe 2017, Open Data for a European Data Economy, European Data Portal, 2017, </w:t>
      </w:r>
      <w:hyperlink r:id="rId44" w:history="1">
        <w:r>
          <w:rPr>
            <w:rStyle w:val="Hyperlink"/>
            <w:rFonts w:cs="Calibri"/>
            <w:lang w:val="en-US"/>
          </w:rPr>
          <w:t>https://www.europeandataportal.eu/sites/default/files/edp_landscaping_insight_report_n3_2017.pdf</w:t>
        </w:r>
      </w:hyperlink>
      <w:r>
        <w:rPr>
          <w:rStyle w:val="Hyperlink"/>
          <w:rFonts w:cs="Calibri"/>
          <w:lang w:val="en-US"/>
        </w:rPr>
        <w:t>.</w:t>
      </w:r>
    </w:p>
  </w:footnote>
  <w:footnote w:id="72">
    <w:p w:rsidR="003B411A" w:rsidRDefault="009F0AE3">
      <w:pPr>
        <w:pStyle w:val="FootnoteText"/>
        <w:ind w:left="0" w:firstLine="0"/>
        <w:jc w:val="left"/>
      </w:pPr>
      <w:r>
        <w:rPr>
          <w:rStyle w:val="FootnoteReference"/>
        </w:rPr>
        <w:footnoteRef/>
      </w:r>
      <w:r>
        <w:t xml:space="preserve"> </w:t>
      </w:r>
      <w:hyperlink r:id="rId45" w:history="1">
        <w:r>
          <w:rPr>
            <w:rStyle w:val="Hyperlink"/>
          </w:rPr>
          <w:t>https://ec.europa.eu/di</w:t>
        </w:r>
        <w:r>
          <w:rPr>
            <w:rStyle w:val="Hyperlink"/>
          </w:rPr>
          <w:t>gital-single-market/en/news/summary-report-public-consultation-building-european-data-economy</w:t>
        </w:r>
      </w:hyperlink>
      <w:r>
        <w:rPr>
          <w:rStyle w:val="Hyperlink"/>
        </w:rPr>
        <w:t>.</w:t>
      </w:r>
    </w:p>
  </w:footnote>
  <w:footnote w:id="73">
    <w:p w:rsidR="003B411A" w:rsidRDefault="009F0AE3">
      <w:pPr>
        <w:pStyle w:val="FootnoteText"/>
        <w:rPr>
          <w:rFonts w:cs="Calibri"/>
          <w:lang w:val="en-US"/>
        </w:rPr>
      </w:pPr>
      <w:r>
        <w:rPr>
          <w:rStyle w:val="FootnoteReference"/>
          <w:rFonts w:cs="Calibri"/>
        </w:rPr>
        <w:footnoteRef/>
      </w:r>
      <w:r>
        <w:rPr>
          <w:rFonts w:cs="Calibri"/>
          <w:lang w:val="en-US"/>
        </w:rPr>
        <w:t xml:space="preserve"> Interview with OpenDataSoft, 13 December 2017.</w:t>
      </w:r>
    </w:p>
  </w:footnote>
  <w:footnote w:id="74">
    <w:p w:rsidR="003B411A" w:rsidRDefault="009F0AE3">
      <w:pPr>
        <w:pStyle w:val="FootnoteText"/>
        <w:ind w:left="0" w:firstLine="0"/>
        <w:jc w:val="left"/>
        <w:rPr>
          <w:rFonts w:cs="Calibri"/>
          <w:lang w:val="en-US"/>
        </w:rPr>
      </w:pPr>
      <w:r>
        <w:rPr>
          <w:rStyle w:val="FootnoteReference"/>
          <w:rFonts w:cs="Calibri"/>
        </w:rPr>
        <w:footnoteRef/>
      </w:r>
      <w:r>
        <w:rPr>
          <w:rFonts w:cs="Calibri"/>
          <w:lang w:val="en-US"/>
        </w:rPr>
        <w:t xml:space="preserve"> European Data Market Study, SMART 2013/0063, Final Report, IDC, Open Evidence, 2017, </w:t>
      </w:r>
      <w:hyperlink r:id="rId46" w:history="1">
        <w:r>
          <w:rPr>
            <w:rStyle w:val="Hyperlink"/>
            <w:rFonts w:cs="Calibri"/>
            <w:lang w:val="en-US"/>
          </w:rPr>
          <w:t>https://a2528ba5-a-c3c32646-s-sites.googlegroups.com/a/open-evidence.com/download/repositor</w:t>
        </w:r>
        <w:r>
          <w:rPr>
            <w:rStyle w:val="Hyperlink"/>
            <w:rFonts w:cs="Calibri"/>
            <w:lang w:val="en-US"/>
          </w:rPr>
          <w:t>y/SMART20130063_Final%20Report_030417_2.pdf?attachauth=ANoY7cpcDWFe5A8Sjp5mUlWmg4zXgvNf3W4MP144z3qNH26vy7kegeGO2yfvlHUu4QdijKdQoZzs25EN-1vIjdOyJgOiLzd72yZMh2tEX1QOUgWCUupJ3rburRjtWEQljXUnyLw5NoSU04bzNxjeWo4rsVL4kiVIPdfHrD_OnaMVs1zxZJkKZna29Pyfbj1MYXDsuRax_</w:t>
        </w:r>
        <w:r>
          <w:rPr>
            <w:rStyle w:val="Hyperlink"/>
            <w:rFonts w:cs="Calibri"/>
            <w:lang w:val="en-US"/>
          </w:rPr>
          <w:t>aRdTkECmMWB0kx43yCBM6CakPzkCz0sFHG75tE93VpnML_ed053nmYP1fS_nfY8IA2l&amp;attredirects=0</w:t>
        </w:r>
      </w:hyperlink>
      <w:r>
        <w:rPr>
          <w:rStyle w:val="Hyperlink"/>
          <w:rFonts w:cs="Calibri"/>
          <w:lang w:val="en-US"/>
        </w:rPr>
        <w:t>.</w:t>
      </w:r>
    </w:p>
  </w:footnote>
  <w:footnote w:id="75">
    <w:p w:rsidR="003B411A" w:rsidRDefault="009F0AE3">
      <w:pPr>
        <w:pStyle w:val="FootnoteText"/>
        <w:ind w:left="0" w:firstLine="0"/>
      </w:pPr>
      <w:r>
        <w:rPr>
          <w:rStyle w:val="FootnoteReference"/>
        </w:rPr>
        <w:footnoteRef/>
      </w:r>
      <w:r>
        <w:t xml:space="preserve"> Over the past ten years, different studies have raised different expectations as regards the potential value of Open Data. Generally speaking, the majority of studies per</w:t>
      </w:r>
      <w:r>
        <w:t>formed previously are ex-ante estimations. These are mostly established on the basis of surveys or research and provide a wide range of different calculations. Limited comprehensive and detailed ex-post evaluations of the materialised costs and benefits of</w:t>
      </w:r>
      <w:r>
        <w:t xml:space="preserve"> Open Data are available, and where available, they do not include macro-economic figures but are rather based on an individual organisation.</w:t>
      </w:r>
    </w:p>
  </w:footnote>
  <w:footnote w:id="76">
    <w:p w:rsidR="003B411A" w:rsidRDefault="009F0AE3">
      <w:pPr>
        <w:pStyle w:val="FootnoteText"/>
      </w:pPr>
      <w:r>
        <w:rPr>
          <w:rStyle w:val="FootnoteReference"/>
        </w:rPr>
        <w:footnoteRef/>
      </w:r>
      <w:r>
        <w:t xml:space="preserve"> </w:t>
      </w:r>
      <w:r>
        <w:rPr>
          <w:lang w:val="en-US"/>
        </w:rPr>
        <w:t xml:space="preserve">European Data Portal: </w:t>
      </w:r>
      <w:r>
        <w:rPr>
          <w:i/>
        </w:rPr>
        <w:t xml:space="preserve">Analytical Report 9: The Economic Benefits of Open Data, </w:t>
      </w:r>
      <w:r>
        <w:t>December 2017.</w:t>
      </w:r>
    </w:p>
  </w:footnote>
  <w:footnote w:id="77">
    <w:p w:rsidR="003B411A" w:rsidRDefault="009F0AE3">
      <w:pPr>
        <w:pStyle w:val="FootnoteText"/>
      </w:pPr>
      <w:r>
        <w:rPr>
          <w:rStyle w:val="FootnoteReference"/>
        </w:rPr>
        <w:footnoteRef/>
      </w:r>
      <w:r>
        <w:t xml:space="preserve"> </w:t>
      </w:r>
      <w:r>
        <w:rPr>
          <w:lang w:val="en-US"/>
        </w:rPr>
        <w:t>European Data Po</w:t>
      </w:r>
      <w:r>
        <w:rPr>
          <w:lang w:val="en-US"/>
        </w:rPr>
        <w:t xml:space="preserve">rtal: </w:t>
      </w:r>
      <w:r>
        <w:rPr>
          <w:i/>
        </w:rPr>
        <w:t xml:space="preserve">Analytical Report 9: The Economic Benefits of Open Data, </w:t>
      </w:r>
      <w:r>
        <w:t>December 2017.</w:t>
      </w:r>
    </w:p>
  </w:footnote>
  <w:footnote w:id="78">
    <w:p w:rsidR="003B411A" w:rsidRDefault="009F0AE3">
      <w:pPr>
        <w:pStyle w:val="FootnoteText"/>
        <w:ind w:left="0" w:firstLine="0"/>
      </w:pPr>
      <w:r>
        <w:rPr>
          <w:rStyle w:val="FootnoteReference"/>
        </w:rPr>
        <w:footnoteRef/>
      </w:r>
      <w:r>
        <w:t xml:space="preserve"> DECA [Danish Enterprise and Construction Authority] (2010). The value of Danish address data, </w:t>
      </w:r>
      <w:hyperlink r:id="rId47" w:history="1">
        <w:r>
          <w:rPr>
            <w:rStyle w:val="Hyperlink"/>
          </w:rPr>
          <w:t>http://www.adresseinfo.dk/Portals/2/Benefit/Value_Assessment_Danish_Address_Data_UK_2010-07-07b.pdf</w:t>
        </w:r>
      </w:hyperlink>
      <w:r>
        <w:rPr>
          <w:rStyle w:val="Hyperlink"/>
        </w:rPr>
        <w:t>.</w:t>
      </w:r>
    </w:p>
  </w:footnote>
  <w:footnote w:id="79">
    <w:p w:rsidR="003B411A" w:rsidRDefault="009F0AE3">
      <w:pPr>
        <w:pStyle w:val="FootnoteText"/>
        <w:ind w:left="0" w:firstLine="0"/>
        <w:jc w:val="left"/>
      </w:pPr>
      <w:r>
        <w:rPr>
          <w:rStyle w:val="FootnoteReference"/>
        </w:rPr>
        <w:footnoteRef/>
      </w:r>
      <w:r>
        <w:t xml:space="preserve"> DECA (2017). The impact of open geographical data – follow-up study, </w:t>
      </w:r>
      <w:hyperlink r:id="rId48" w:history="1">
        <w:r>
          <w:rPr>
            <w:rStyle w:val="Hyperlink"/>
          </w:rPr>
          <w:t>http://sdfe.dk/media/2917052/20170317-the-impact-of-the-open-geographical-data-management-summary-version-13-pwc-qrvkvdr.pdf</w:t>
        </w:r>
      </w:hyperlink>
      <w:r>
        <w:rPr>
          <w:rStyle w:val="Hyperlink"/>
        </w:rPr>
        <w:t>.</w:t>
      </w:r>
    </w:p>
  </w:footnote>
  <w:footnote w:id="80">
    <w:p w:rsidR="003B411A" w:rsidRDefault="009F0AE3">
      <w:pPr>
        <w:pStyle w:val="FootnoteText"/>
        <w:ind w:left="0" w:firstLine="0"/>
        <w:rPr>
          <w:lang w:val="nl-NL"/>
        </w:rPr>
      </w:pPr>
      <w:r>
        <w:rPr>
          <w:rStyle w:val="FootnoteReference"/>
        </w:rPr>
        <w:footnoteRef/>
      </w:r>
      <w:r>
        <w:rPr>
          <w:lang w:val="nl-NL"/>
        </w:rPr>
        <w:t xml:space="preserve"> Bregt, A., L. Grus &amp; D. Eertink (2014</w:t>
      </w:r>
      <w:r>
        <w:rPr>
          <w:lang w:val="nl-NL"/>
        </w:rPr>
        <w:t>). Wat zijn de effecten van een open basisregistratie topografie na twee jaar? Wageningen,Wageningen University: 49; Grus, L., A. Bregt &amp; D. Eertink (2015). De effecten van open data BRT na 3 jaar, Wageningen University &amp; het Kadaster: 7.</w:t>
      </w:r>
    </w:p>
  </w:footnote>
  <w:footnote w:id="81">
    <w:p w:rsidR="003B411A" w:rsidRDefault="009F0AE3">
      <w:pPr>
        <w:pStyle w:val="FootnoteText"/>
        <w:ind w:left="0" w:firstLine="0"/>
        <w:rPr>
          <w:lang w:val="nl-NL"/>
        </w:rPr>
      </w:pPr>
      <w:r>
        <w:rPr>
          <w:rStyle w:val="FootnoteReference"/>
        </w:rPr>
        <w:footnoteRef/>
      </w:r>
      <w:hyperlink r:id="rId49" w:history="1">
        <w:r>
          <w:rPr>
            <w:rStyle w:val="Hyperlink"/>
            <w:lang w:val="nl-NL"/>
          </w:rPr>
          <w:t>http://www.ontsi.red.es/ontsi/sites/ontsi/files/Characterization%20of%20the%20Spanish%20Infomediary%20Sector.</w:t>
        </w:r>
        <w:r>
          <w:rPr>
            <w:rStyle w:val="Hyperlink"/>
            <w:lang w:val="nl-NL"/>
          </w:rPr>
          <w:t>%20Executive%20Summary.%20Ed.2016.pdf</w:t>
        </w:r>
      </w:hyperlink>
      <w:r>
        <w:rPr>
          <w:rStyle w:val="Hyperlink"/>
          <w:lang w:val="nl-NL"/>
        </w:rPr>
        <w:t>.</w:t>
      </w:r>
    </w:p>
  </w:footnote>
  <w:footnote w:id="82">
    <w:p w:rsidR="003B411A" w:rsidRDefault="009F0AE3">
      <w:pPr>
        <w:pStyle w:val="FootnoteText"/>
        <w:ind w:left="0" w:firstLine="0"/>
      </w:pPr>
      <w:r>
        <w:rPr>
          <w:rStyle w:val="FootnoteReference"/>
        </w:rPr>
        <w:footnoteRef/>
      </w:r>
      <w:r>
        <w:rPr>
          <w:lang w:val="fi-FI"/>
        </w:rPr>
        <w:t xml:space="preserve"> Finnish Prime Minister's Office (2017), Avoimen datan hyödyntäminen ja vaikuttavuus. </w:t>
      </w:r>
      <w:r>
        <w:t xml:space="preserve">Available at </w:t>
      </w:r>
      <w:hyperlink r:id="rId50" w:history="1">
        <w:r>
          <w:rPr>
            <w:rStyle w:val="Hyperlink"/>
          </w:rPr>
          <w:t>https://www.etla.fi/wpcontent/uploads/VNK_2017_</w:t>
        </w:r>
        <w:r>
          <w:rPr>
            <w:rStyle w:val="Hyperlink"/>
          </w:rPr>
          <w:t>40.pdf</w:t>
        </w:r>
      </w:hyperlink>
      <w:r>
        <w:rPr>
          <w:rStyle w:val="Hyperlink"/>
        </w:rPr>
        <w:t>.</w:t>
      </w:r>
    </w:p>
  </w:footnote>
  <w:footnote w:id="83">
    <w:p w:rsidR="003B411A" w:rsidRDefault="009F0AE3">
      <w:pPr>
        <w:pStyle w:val="FootnoteText"/>
      </w:pPr>
      <w:r>
        <w:rPr>
          <w:rStyle w:val="FootnoteReference"/>
        </w:rPr>
        <w:footnoteRef/>
      </w:r>
      <w:r>
        <w:t xml:space="preserve"> </w:t>
      </w:r>
      <w:hyperlink r:id="rId51" w:history="1">
        <w:r>
          <w:rPr>
            <w:rStyle w:val="Hyperlink"/>
          </w:rPr>
          <w:t>https://www.europeandataportal.eu/en/using-data/use-cases</w:t>
        </w:r>
      </w:hyperlink>
      <w:r>
        <w:t xml:space="preserve">. </w:t>
      </w:r>
    </w:p>
  </w:footnote>
  <w:footnote w:id="84">
    <w:p w:rsidR="003B411A" w:rsidRDefault="009F0AE3">
      <w:pPr>
        <w:pStyle w:val="FootnoteText"/>
      </w:pPr>
      <w:r>
        <w:rPr>
          <w:rStyle w:val="FootnoteReference"/>
        </w:rPr>
        <w:footnoteRef/>
      </w:r>
      <w:r>
        <w:t xml:space="preserve"> </w:t>
      </w:r>
      <w:hyperlink r:id="rId52" w:history="1">
        <w:r>
          <w:rPr>
            <w:rStyle w:val="Hyperlink"/>
          </w:rPr>
          <w:t>https://medicat.io/</w:t>
        </w:r>
      </w:hyperlink>
      <w:r>
        <w:t xml:space="preserve">. </w:t>
      </w:r>
    </w:p>
  </w:footnote>
  <w:footnote w:id="85">
    <w:p w:rsidR="003B411A" w:rsidRDefault="009F0AE3">
      <w:pPr>
        <w:pStyle w:val="FootnoteText"/>
        <w:ind w:left="0" w:firstLine="0"/>
      </w:pPr>
      <w:r>
        <w:rPr>
          <w:rStyle w:val="FootnoteReference"/>
        </w:rPr>
        <w:footnoteRef/>
      </w:r>
      <w:r>
        <w:t xml:space="preserve"> Impact Assessment Support Study, Deloitte, SMART 2017/0061.</w:t>
      </w:r>
    </w:p>
  </w:footnote>
  <w:footnote w:id="86">
    <w:p w:rsidR="003B411A" w:rsidRDefault="009F0AE3">
      <w:pPr>
        <w:pStyle w:val="FootnoteText"/>
        <w:ind w:left="0" w:firstLine="0"/>
      </w:pPr>
      <w:r>
        <w:rPr>
          <w:rStyle w:val="FootnoteReference"/>
        </w:rPr>
        <w:footnoteRef/>
      </w:r>
      <w:r>
        <w:t xml:space="preserve"> Ibid.</w:t>
      </w:r>
    </w:p>
  </w:footnote>
  <w:footnote w:id="87">
    <w:p w:rsidR="003B411A" w:rsidRDefault="009F0AE3">
      <w:pPr>
        <w:pStyle w:val="FootnoteText"/>
        <w:ind w:left="0" w:firstLine="0"/>
      </w:pPr>
      <w:r>
        <w:rPr>
          <w:rStyle w:val="FootnoteReference"/>
        </w:rPr>
        <w:footnoteRef/>
      </w:r>
      <w:r>
        <w:t xml:space="preserve"> Ibid.</w:t>
      </w:r>
    </w:p>
  </w:footnote>
  <w:footnote w:id="88">
    <w:p w:rsidR="003B411A" w:rsidRDefault="009F0AE3">
      <w:pPr>
        <w:pStyle w:val="FootnoteText"/>
        <w:ind w:left="0" w:firstLine="0"/>
      </w:pPr>
      <w:r>
        <w:rPr>
          <w:rStyle w:val="FootnoteReference"/>
        </w:rPr>
        <w:footnoteRef/>
      </w:r>
      <w:r>
        <w:t xml:space="preserve"> Ibid.</w:t>
      </w:r>
    </w:p>
  </w:footnote>
  <w:footnote w:id="89">
    <w:p w:rsidR="003B411A" w:rsidRDefault="009F0AE3">
      <w:pPr>
        <w:pStyle w:val="FootnoteText"/>
        <w:ind w:left="0" w:firstLine="0"/>
      </w:pPr>
      <w:r>
        <w:rPr>
          <w:rStyle w:val="FootnoteReference"/>
        </w:rPr>
        <w:footnoteRef/>
      </w:r>
      <w:r>
        <w:t xml:space="preserve"> Ibid.</w:t>
      </w:r>
    </w:p>
  </w:footnote>
  <w:footnote w:id="90">
    <w:p w:rsidR="003B411A" w:rsidRDefault="009F0AE3">
      <w:pPr>
        <w:pStyle w:val="FootnoteText"/>
      </w:pPr>
      <w:r>
        <w:rPr>
          <w:rStyle w:val="FootnoteReference"/>
        </w:rPr>
        <w:footnoteRef/>
      </w:r>
      <w:r>
        <w:t xml:space="preserve"> Basic Data Programme, </w:t>
      </w:r>
      <w:hyperlink r:id="rId53" w:history="1">
        <w:r>
          <w:rPr>
            <w:rStyle w:val="Hyperlink"/>
          </w:rPr>
          <w:t>https://www.digst.dk/~/media/Files/English/Fact_she</w:t>
        </w:r>
        <w:r>
          <w:rPr>
            <w:rStyle w:val="Hyperlink"/>
          </w:rPr>
          <w:t>et_BasicData_pdf.pdf</w:t>
        </w:r>
      </w:hyperlink>
      <w:r>
        <w:t>.</w:t>
      </w:r>
    </w:p>
  </w:footnote>
  <w:footnote w:id="91">
    <w:p w:rsidR="003B411A" w:rsidRDefault="009F0AE3">
      <w:pPr>
        <w:pStyle w:val="FootnoteText"/>
        <w:ind w:left="0" w:firstLine="0"/>
        <w:jc w:val="left"/>
      </w:pPr>
      <w:r>
        <w:rPr>
          <w:rStyle w:val="FootnoteReference"/>
        </w:rPr>
        <w:footnoteRef/>
      </w:r>
      <w:r>
        <w:t xml:space="preserve"> Art. 6(2) of Directive 2003/98/EC, as amended by Directive 2013/37/EU, stipulates that </w:t>
      </w:r>
      <w:r>
        <w:rPr>
          <w:i/>
        </w:rPr>
        <w:t>"where charges are made for the re-use of documents, those charges shall be limited to the marginal costs incurred for their reproduction, provis</w:t>
      </w:r>
      <w:r>
        <w:rPr>
          <w:i/>
        </w:rPr>
        <w:t xml:space="preserve">ion and dissemination". </w:t>
      </w:r>
      <w:r>
        <w:rPr>
          <w:i/>
        </w:rPr>
        <w:br/>
      </w:r>
      <w:hyperlink r:id="rId54" w:history="1">
        <w:r>
          <w:rPr>
            <w:rStyle w:val="Hyperlink"/>
          </w:rPr>
          <w:t>http://eur-lex.europa.eu/legal-content/EN/TXT/?uri=CELEX:02003L0098-20130717</w:t>
        </w:r>
      </w:hyperlink>
    </w:p>
  </w:footnote>
  <w:footnote w:id="92">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Open Data Institute, Estimating the cost of a government open data initiative, 10 September 2014, </w:t>
      </w:r>
      <w:hyperlink r:id="rId55" w:history="1">
        <w:r>
          <w:rPr>
            <w:rStyle w:val="Hyperlink"/>
            <w:rFonts w:cs="Calibri"/>
            <w:lang w:val="en-US"/>
          </w:rPr>
          <w:t>https://theodi.org/blog/estimating-the-cost-of-a-government-</w:t>
        </w:r>
        <w:r>
          <w:rPr>
            <w:rStyle w:val="Hyperlink"/>
            <w:rFonts w:cs="Calibri"/>
            <w:lang w:val="en-US"/>
          </w:rPr>
          <w:t>open-data-initiative</w:t>
        </w:r>
      </w:hyperlink>
      <w:r>
        <w:rPr>
          <w:rStyle w:val="Hyperlink"/>
          <w:rFonts w:cs="Calibri"/>
          <w:lang w:val="en-US"/>
        </w:rPr>
        <w:t>.</w:t>
      </w:r>
    </w:p>
  </w:footnote>
  <w:footnote w:id="93">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Open Data Institute, Exploring Open Data Quality, 26 October 2016, </w:t>
      </w:r>
      <w:hyperlink r:id="rId56" w:history="1">
        <w:r>
          <w:rPr>
            <w:rStyle w:val="Hyperlink"/>
            <w:rFonts w:cs="Calibri"/>
            <w:lang w:val="en-US"/>
          </w:rPr>
          <w:t>https://theodi.org/blog/exploring-open-data-quality</w:t>
        </w:r>
      </w:hyperlink>
      <w:r>
        <w:rPr>
          <w:rStyle w:val="Hyperlink"/>
          <w:rFonts w:cs="Calibri"/>
          <w:lang w:val="en-US"/>
        </w:rPr>
        <w:t>.</w:t>
      </w:r>
    </w:p>
  </w:footnote>
  <w:footnote w:id="94">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Open Data Quality, the Next Shift in Open </w:t>
      </w:r>
      <w:r>
        <w:rPr>
          <w:rFonts w:cs="Calibri"/>
          <w:lang w:val="en-US"/>
        </w:rPr>
        <w:t xml:space="preserve">Data, 31 May 2017, </w:t>
      </w:r>
      <w:hyperlink r:id="rId57" w:history="1">
        <w:r>
          <w:rPr>
            <w:rStyle w:val="Hyperlink"/>
            <w:rFonts w:cs="Calibri"/>
            <w:lang w:val="en-US"/>
          </w:rPr>
          <w:t>https://blog.okfn.org/2017/05/31/open-data-quality-the-next-shift-in-open-data/</w:t>
        </w:r>
      </w:hyperlink>
      <w:r>
        <w:rPr>
          <w:rStyle w:val="Hyperlink"/>
          <w:rFonts w:cs="Calibri"/>
          <w:lang w:val="en-US"/>
        </w:rPr>
        <w:t>.</w:t>
      </w:r>
    </w:p>
  </w:footnote>
  <w:footnote w:id="95">
    <w:p w:rsidR="003B411A" w:rsidRDefault="009F0AE3">
      <w:pPr>
        <w:pStyle w:val="FootnoteText"/>
        <w:ind w:left="0" w:firstLine="0"/>
      </w:pPr>
      <w:r>
        <w:rPr>
          <w:rStyle w:val="FootnoteReference"/>
        </w:rPr>
        <w:footnoteRef/>
      </w:r>
      <w:r>
        <w:t xml:space="preserve"> Impact Assessment Support Study, Deloitte, SMART 2017/0061</w:t>
      </w:r>
      <w:r>
        <w:t>.</w:t>
      </w:r>
    </w:p>
  </w:footnote>
  <w:footnote w:id="96">
    <w:p w:rsidR="003B411A" w:rsidRDefault="009F0AE3">
      <w:pPr>
        <w:pStyle w:val="FootnoteText"/>
        <w:ind w:left="0" w:firstLine="0"/>
        <w:rPr>
          <w:lang w:val="es-ES"/>
        </w:rPr>
      </w:pPr>
      <w:r>
        <w:rPr>
          <w:rStyle w:val="FootnoteReference"/>
        </w:rPr>
        <w:footnoteRef/>
      </w:r>
      <w:r>
        <w:rPr>
          <w:lang w:val="es-ES"/>
        </w:rPr>
        <w:t xml:space="preserve"> Ibid.</w:t>
      </w:r>
    </w:p>
  </w:footnote>
  <w:footnote w:id="97">
    <w:p w:rsidR="003B411A" w:rsidRDefault="009F0AE3">
      <w:pPr>
        <w:pStyle w:val="FootnoteText"/>
        <w:ind w:left="0" w:firstLine="0"/>
        <w:jc w:val="left"/>
        <w:rPr>
          <w:lang w:val="es-ES"/>
        </w:rPr>
      </w:pPr>
      <w:r>
        <w:rPr>
          <w:rStyle w:val="FootnoteReference"/>
        </w:rPr>
        <w:footnoteRef/>
      </w:r>
      <w:r>
        <w:rPr>
          <w:lang w:val="es-ES"/>
        </w:rPr>
        <w:t xml:space="preserve"> </w:t>
      </w:r>
      <w:hyperlink r:id="rId58" w:history="1">
        <w:r>
          <w:rPr>
            <w:rStyle w:val="Hyperlink"/>
            <w:lang w:val="es-ES"/>
          </w:rPr>
          <w:t>https://vng.nl/onderwerpenindex/dienstverlening-en-informatiebelei</w:t>
        </w:r>
        <w:r>
          <w:rPr>
            <w:rStyle w:val="Hyperlink"/>
            <w:lang w:val="es-ES"/>
          </w:rPr>
          <w:t>d/dienstverlening-aan-inwoners-en-ondernemers/nieuws/aantal-who-verzoeken-is-beperkt-kosten-ook</w:t>
        </w:r>
      </w:hyperlink>
      <w:r>
        <w:rPr>
          <w:rStyle w:val="Hyperlink"/>
          <w:lang w:val="es-ES"/>
        </w:rPr>
        <w:t>.</w:t>
      </w:r>
      <w:r>
        <w:rPr>
          <w:lang w:val="es-ES"/>
        </w:rPr>
        <w:t xml:space="preserve"> </w:t>
      </w:r>
    </w:p>
  </w:footnote>
  <w:footnote w:id="98">
    <w:p w:rsidR="003B411A" w:rsidRDefault="009F0AE3">
      <w:pPr>
        <w:pStyle w:val="FootnoteText"/>
        <w:ind w:left="0" w:firstLine="0"/>
      </w:pPr>
      <w:r>
        <w:rPr>
          <w:rStyle w:val="FootnoteReference"/>
        </w:rPr>
        <w:footnoteRef/>
      </w:r>
      <w:r>
        <w:t xml:space="preserve"> </w:t>
      </w:r>
      <w:r>
        <w:rPr>
          <w:lang w:val="en-US"/>
        </w:rPr>
        <w:t xml:space="preserve">European Commission, Guidelines on recommended standard licenses, datasets and charging for the re-use of documents, 2014: </w:t>
      </w:r>
      <w:hyperlink r:id="rId59" w:history="1">
        <w:r>
          <w:rPr>
            <w:rStyle w:val="Hyperlink"/>
            <w:lang w:val="en-US"/>
          </w:rPr>
          <w:t>https://ec.europa.eu/digital-single-market/en/news/commission-notice-guidelines-recommended-standard-li</w:t>
        </w:r>
        <w:r>
          <w:rPr>
            <w:rStyle w:val="Hyperlink"/>
            <w:lang w:val="en-US"/>
          </w:rPr>
          <w:t>cences-datasets-and-charging-re-use</w:t>
        </w:r>
      </w:hyperlink>
      <w:r>
        <w:rPr>
          <w:rStyle w:val="Hyperlink"/>
          <w:lang w:val="en-US"/>
        </w:rPr>
        <w:t>.</w:t>
      </w:r>
    </w:p>
  </w:footnote>
  <w:footnote w:id="99">
    <w:p w:rsidR="003B411A" w:rsidRDefault="009F0AE3">
      <w:pPr>
        <w:pStyle w:val="FootnoteText"/>
      </w:pPr>
      <w:r>
        <w:rPr>
          <w:rStyle w:val="FootnoteReference"/>
        </w:rPr>
        <w:footnoteRef/>
      </w:r>
      <w:r>
        <w:t xml:space="preserve"> Stakeholder dialogues.</w:t>
      </w:r>
    </w:p>
  </w:footnote>
  <w:footnote w:id="100">
    <w:p w:rsidR="003B411A" w:rsidRDefault="009F0AE3">
      <w:pPr>
        <w:pStyle w:val="FootnoteText"/>
      </w:pPr>
      <w:r>
        <w:rPr>
          <w:rStyle w:val="FootnoteReference"/>
        </w:rPr>
        <w:footnoteRef/>
      </w:r>
      <w:r>
        <w:t xml:space="preserve"> Ibid.</w:t>
      </w:r>
    </w:p>
  </w:footnote>
  <w:footnote w:id="101">
    <w:p w:rsidR="003B411A" w:rsidRDefault="009F0AE3">
      <w:pPr>
        <w:pStyle w:val="FootnoteText"/>
        <w:ind w:left="0" w:firstLine="0"/>
        <w:rPr>
          <w:rFonts w:cs="Calibri"/>
        </w:rPr>
      </w:pPr>
      <w:r>
        <w:rPr>
          <w:rStyle w:val="FootnoteReference"/>
          <w:rFonts w:cs="Calibri"/>
        </w:rPr>
        <w:footnoteRef/>
      </w:r>
      <w:r>
        <w:rPr>
          <w:rFonts w:cs="Calibri"/>
        </w:rPr>
        <w:t xml:space="preserve"> See for example Bastiaan Van Loenen, Michel Groete, “INSPIRE empowers re-use of Public Sector Information”, 2014, </w:t>
      </w:r>
      <w:hyperlink r:id="rId60" w:history="1">
        <w:r>
          <w:rPr>
            <w:rStyle w:val="Hyperlink"/>
            <w:rFonts w:cs="Calibri"/>
          </w:rPr>
          <w:t>http://ijsdir.jrc.ec.europa.eu/index.php/ijsdir/article/view/353</w:t>
        </w:r>
      </w:hyperlink>
      <w:r>
        <w:rPr>
          <w:rStyle w:val="Hyperlink"/>
          <w:rFonts w:cs="Calibri"/>
        </w:rPr>
        <w:t>.</w:t>
      </w:r>
    </w:p>
  </w:footnote>
  <w:footnote w:id="102">
    <w:p w:rsidR="003B411A" w:rsidRDefault="009F0AE3">
      <w:pPr>
        <w:pStyle w:val="FootnoteText"/>
      </w:pPr>
      <w:r>
        <w:rPr>
          <w:rStyle w:val="FootnoteReference"/>
        </w:rPr>
        <w:footnoteRef/>
      </w:r>
      <w:r>
        <w:t xml:space="preserve"> Stakeholder dialogues.</w:t>
      </w:r>
    </w:p>
  </w:footnote>
  <w:footnote w:id="103">
    <w:p w:rsidR="003B411A" w:rsidRDefault="009F0AE3">
      <w:pPr>
        <w:pStyle w:val="FootnoteText"/>
        <w:ind w:left="0" w:firstLine="0"/>
        <w:jc w:val="left"/>
      </w:pPr>
      <w:r>
        <w:rPr>
          <w:rStyle w:val="FootnoteReference"/>
        </w:rPr>
        <w:footnoteRef/>
      </w:r>
      <w:r>
        <w:t xml:space="preserve"> 'Good practice in data and service sharing', </w:t>
      </w:r>
      <w:hyperlink r:id="rId61" w:history="1">
        <w:r>
          <w:rPr>
            <w:rStyle w:val="Hyperlink"/>
          </w:rPr>
          <w:t>http://inspire</w:t>
        </w:r>
        <w:r>
          <w:rPr>
            <w:rStyle w:val="Hyperlink"/>
          </w:rPr>
          <w:t>.ec.europa.eu/documents/good-practice-data-and-service-sharing</w:t>
        </w:r>
      </w:hyperlink>
      <w:r>
        <w:rPr>
          <w:rStyle w:val="Hyperlink"/>
        </w:rPr>
        <w:t>.</w:t>
      </w:r>
      <w:r>
        <w:t xml:space="preserve"> </w:t>
      </w:r>
    </w:p>
  </w:footnote>
  <w:footnote w:id="104">
    <w:p w:rsidR="003B411A" w:rsidRDefault="009F0AE3">
      <w:pPr>
        <w:pStyle w:val="FootnoteText"/>
        <w:rPr>
          <w:rFonts w:cs="Calibri"/>
          <w:lang w:val="en-US"/>
        </w:rPr>
      </w:pPr>
      <w:r>
        <w:rPr>
          <w:rStyle w:val="FootnoteReference"/>
          <w:rFonts w:cs="Calibri"/>
        </w:rPr>
        <w:footnoteRef/>
      </w:r>
      <w:r>
        <w:rPr>
          <w:rFonts w:cs="Calibri"/>
          <w:lang w:val="en-US"/>
        </w:rPr>
        <w:t xml:space="preserve"> Strategic interviews.</w:t>
      </w:r>
    </w:p>
  </w:footnote>
  <w:footnote w:id="105">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Katleen Janssen, “The influence of the PSI directive on open government data: An overview of recent developments”, Government Information Quarterly, Volume 28, Issue</w:t>
      </w:r>
      <w:r>
        <w:rPr>
          <w:rFonts w:cs="Calibri"/>
          <w:lang w:val="en-US"/>
        </w:rPr>
        <w:t xml:space="preserve"> 4, October 2011, pp 446-456.</w:t>
      </w:r>
    </w:p>
  </w:footnote>
  <w:footnote w:id="106">
    <w:p w:rsidR="003B411A" w:rsidRDefault="009F0AE3">
      <w:pPr>
        <w:pStyle w:val="FootnoteText"/>
        <w:rPr>
          <w:rFonts w:cs="Calibri"/>
          <w:lang w:val="en-US"/>
        </w:rPr>
      </w:pPr>
      <w:r>
        <w:rPr>
          <w:rStyle w:val="FootnoteReference"/>
          <w:rFonts w:cs="Calibri"/>
        </w:rPr>
        <w:footnoteRef/>
      </w:r>
      <w:r>
        <w:rPr>
          <w:rFonts w:cs="Calibri"/>
          <w:lang w:val="en-US"/>
        </w:rPr>
        <w:t xml:space="preserve"> Strategic interviews. </w:t>
      </w:r>
    </w:p>
  </w:footnote>
  <w:footnote w:id="107">
    <w:p w:rsidR="003B411A" w:rsidRDefault="009F0AE3">
      <w:pPr>
        <w:pStyle w:val="FootnoteText"/>
        <w:rPr>
          <w:rFonts w:cs="Calibri"/>
          <w:lang w:val="en-US"/>
        </w:rPr>
      </w:pPr>
      <w:r>
        <w:rPr>
          <w:rStyle w:val="FootnoteReference"/>
          <w:rFonts w:cs="Calibri"/>
        </w:rPr>
        <w:footnoteRef/>
      </w:r>
      <w:r>
        <w:rPr>
          <w:rFonts w:cs="Calibri"/>
          <w:lang w:val="en-US"/>
        </w:rPr>
        <w:t xml:space="preserve"> Ibid.</w:t>
      </w:r>
    </w:p>
  </w:footnote>
  <w:footnote w:id="108">
    <w:p w:rsidR="003B411A" w:rsidRDefault="009F0AE3">
      <w:pPr>
        <w:pStyle w:val="FootnoteText"/>
        <w:ind w:left="0" w:firstLine="0"/>
        <w:jc w:val="left"/>
        <w:rPr>
          <w:rFonts w:cs="Calibri"/>
          <w:lang w:val="en-US"/>
        </w:rPr>
      </w:pPr>
      <w:r>
        <w:rPr>
          <w:rStyle w:val="FootnoteReference"/>
          <w:rFonts w:cs="Calibri"/>
        </w:rPr>
        <w:footnoteRef/>
      </w:r>
      <w:r>
        <w:rPr>
          <w:rFonts w:cs="Calibri"/>
          <w:lang w:val="en-US"/>
        </w:rPr>
        <w:t xml:space="preserve"> Open Data Barometer, Global Report, Fourth Edition, 2017, </w:t>
      </w:r>
      <w:hyperlink r:id="rId62" w:history="1">
        <w:r>
          <w:rPr>
            <w:rStyle w:val="Hyperlink"/>
            <w:rFonts w:cs="Calibri"/>
            <w:lang w:val="en-US"/>
          </w:rPr>
          <w:t>http://opendatabarometer.org/doc/4thEditi</w:t>
        </w:r>
        <w:r>
          <w:rPr>
            <w:rStyle w:val="Hyperlink"/>
            <w:rFonts w:cs="Calibri"/>
            <w:lang w:val="en-US"/>
          </w:rPr>
          <w:t>on/ODB-4thEdition-GlobalReport.pdf</w:t>
        </w:r>
      </w:hyperlink>
      <w:r>
        <w:rPr>
          <w:rStyle w:val="Hyperlink"/>
          <w:rFonts w:cs="Calibri"/>
          <w:lang w:val="en-US"/>
        </w:rPr>
        <w:t>.</w:t>
      </w:r>
      <w:r>
        <w:rPr>
          <w:rFonts w:cs="Calibri"/>
          <w:lang w:val="en-US"/>
        </w:rPr>
        <w:t xml:space="preserve"> </w:t>
      </w:r>
    </w:p>
  </w:footnote>
  <w:footnote w:id="109">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Directive 2007/2/EC of the European Parliament and of the Council of 14 March 2007 establishing an Infrastructure for Spatial Information in the European Community (INSPIRE), </w:t>
      </w:r>
      <w:hyperlink r:id="rId63" w:history="1">
        <w:r>
          <w:rPr>
            <w:rStyle w:val="Hyperlink"/>
            <w:rFonts w:cs="Calibri"/>
            <w:lang w:val="en-US"/>
          </w:rPr>
          <w:t>http://eur-lex.europa.eu/legal-content/EN/ALL/?uri=CELEX:32007L0002</w:t>
        </w:r>
      </w:hyperlink>
      <w:r>
        <w:rPr>
          <w:rStyle w:val="Hyperlink"/>
          <w:rFonts w:cs="Calibri"/>
          <w:lang w:val="en-US"/>
        </w:rPr>
        <w:t>.</w:t>
      </w:r>
    </w:p>
  </w:footnote>
  <w:footnote w:id="110">
    <w:p w:rsidR="003B411A" w:rsidRDefault="009F0AE3">
      <w:pPr>
        <w:pStyle w:val="FootnoteText"/>
        <w:ind w:left="0" w:firstLine="0"/>
      </w:pPr>
      <w:r>
        <w:rPr>
          <w:rStyle w:val="FootnoteReference"/>
        </w:rPr>
        <w:footnoteRef/>
      </w:r>
      <w:r>
        <w:t xml:space="preserve"> Article 3 of the INSPIRE Directive: ‘spatial data’ means any data with a direct or indirect reference to a specific location or geographical ar</w:t>
      </w:r>
      <w:r>
        <w:t>ea.</w:t>
      </w:r>
    </w:p>
  </w:footnote>
  <w:footnote w:id="111">
    <w:p w:rsidR="003B411A" w:rsidRDefault="009F0AE3">
      <w:pPr>
        <w:pStyle w:val="FootnoteText"/>
        <w:ind w:left="0" w:firstLine="0"/>
      </w:pPr>
      <w:r>
        <w:rPr>
          <w:rStyle w:val="FootnoteReference"/>
        </w:rPr>
        <w:footnoteRef/>
      </w:r>
      <w:r>
        <w:t xml:space="preserve"> According to the Commission's Guidelines on recommended standard licences, datasets and charging for the re-use of documents, section 3.1, geospatial data, environmental data and Earth observation data can be said to be in highest demand from re-user</w:t>
      </w:r>
      <w:r>
        <w:t>s across the EU and could thus be given priority for being made available for re-use.</w:t>
      </w:r>
    </w:p>
  </w:footnote>
  <w:footnote w:id="112">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Katleen Janssen, “INSPIRE and re-use of PSI. A model for the sharing and trading of geographic data”, 2004, </w:t>
      </w:r>
      <w:hyperlink r:id="rId64" w:history="1">
        <w:r>
          <w:rPr>
            <w:rStyle w:val="Hyperlink"/>
            <w:rFonts w:cs="Calibri"/>
            <w:lang w:val="en-US"/>
          </w:rPr>
          <w:t>https://www.law.kuleuven.be/citip/en/docs/publications/508inspire-and-psi2f90.pdf</w:t>
        </w:r>
      </w:hyperlink>
      <w:r>
        <w:rPr>
          <w:rFonts w:cs="Calibri"/>
          <w:lang w:val="en-US"/>
        </w:rPr>
        <w:t>.</w:t>
      </w:r>
    </w:p>
  </w:footnote>
  <w:footnote w:id="113">
    <w:p w:rsidR="003B411A" w:rsidRDefault="009F0AE3">
      <w:pPr>
        <w:pStyle w:val="FootnoteText"/>
        <w:rPr>
          <w:rFonts w:cs="Calibri"/>
          <w:lang w:val="en-US"/>
        </w:rPr>
      </w:pPr>
      <w:r>
        <w:rPr>
          <w:rStyle w:val="FootnoteReference"/>
          <w:rFonts w:cs="Calibri"/>
        </w:rPr>
        <w:footnoteRef/>
      </w:r>
      <w:r>
        <w:rPr>
          <w:rFonts w:cs="Calibri"/>
          <w:lang w:val="en-US"/>
        </w:rPr>
        <w:t xml:space="preserve"> Strategic interviews.</w:t>
      </w:r>
    </w:p>
  </w:footnote>
  <w:footnote w:id="114">
    <w:p w:rsidR="003B411A" w:rsidRDefault="009F0AE3">
      <w:pPr>
        <w:pStyle w:val="FootnoteText"/>
        <w:rPr>
          <w:rFonts w:cs="Calibri"/>
          <w:lang w:val="en-US"/>
        </w:rPr>
      </w:pPr>
      <w:r>
        <w:rPr>
          <w:rStyle w:val="FootnoteReference"/>
          <w:rFonts w:cs="Calibri"/>
        </w:rPr>
        <w:footnoteRef/>
      </w:r>
      <w:r>
        <w:rPr>
          <w:rFonts w:cs="Calibri"/>
          <w:lang w:val="en-US"/>
        </w:rPr>
        <w:t xml:space="preserve"> Ibid.</w:t>
      </w:r>
    </w:p>
  </w:footnote>
  <w:footnote w:id="115">
    <w:p w:rsidR="003B411A" w:rsidRDefault="009F0AE3">
      <w:pPr>
        <w:pStyle w:val="FootnoteText"/>
      </w:pPr>
      <w:r>
        <w:rPr>
          <w:rStyle w:val="FootnoteReference"/>
        </w:rPr>
        <w:footnoteRef/>
      </w:r>
      <w:r>
        <w:t xml:space="preserve"> </w:t>
      </w:r>
      <w:hyperlink r:id="rId65" w:history="1">
        <w:r>
          <w:rPr>
            <w:rStyle w:val="Hyperlink"/>
          </w:rPr>
          <w:t>http://www.publicamundi.eu/wp-content/uploads/2013/09/D2.1.pdf</w:t>
        </w:r>
      </w:hyperlink>
      <w:r>
        <w:rPr>
          <w:rStyle w:val="Hyperlink"/>
        </w:rPr>
        <w:t>.</w:t>
      </w:r>
      <w:r>
        <w:t xml:space="preserve"> </w:t>
      </w:r>
    </w:p>
  </w:footnote>
  <w:footnote w:id="116">
    <w:p w:rsidR="003B411A" w:rsidRDefault="009F0AE3">
      <w:pPr>
        <w:pStyle w:val="FootnoteText"/>
        <w:ind w:left="0" w:firstLine="0"/>
      </w:pPr>
      <w:r>
        <w:rPr>
          <w:rStyle w:val="FootnoteReference"/>
        </w:rPr>
        <w:footnoteRef/>
      </w:r>
      <w:r>
        <w:t xml:space="preserve"> CKAN is not a standard, but a software platform, which is widely used for data catalogues in Europe. CKAN it is able to support different metadata standards, including the ones used in INSP</w:t>
      </w:r>
      <w:r>
        <w:t>IRE.</w:t>
      </w:r>
    </w:p>
  </w:footnote>
  <w:footnote w:id="117">
    <w:p w:rsidR="003B411A" w:rsidRDefault="009F0AE3">
      <w:pPr>
        <w:pStyle w:val="FootnoteText"/>
        <w:ind w:left="0" w:firstLine="0"/>
        <w:jc w:val="left"/>
        <w:rPr>
          <w:rFonts w:cs="Calibri"/>
        </w:rPr>
      </w:pPr>
      <w:r>
        <w:rPr>
          <w:rStyle w:val="FootnoteReference"/>
          <w:rFonts w:cs="Calibri"/>
        </w:rPr>
        <w:footnoteRef/>
      </w:r>
      <w:r>
        <w:rPr>
          <w:rFonts w:cs="Calibri"/>
        </w:rPr>
        <w:t xml:space="preserve"> Opinion 06/2013 on open data and public sector information (PSI) re-use (WP207), adopted on 5 June 2013; see </w:t>
      </w:r>
      <w:hyperlink r:id="rId66" w:history="1">
        <w:r>
          <w:rPr>
            <w:rStyle w:val="Hyperlink"/>
            <w:rFonts w:cs="Calibri"/>
          </w:rPr>
          <w:t>http://e</w:t>
        </w:r>
        <w:r>
          <w:rPr>
            <w:rStyle w:val="Hyperlink"/>
            <w:rFonts w:cs="Calibri"/>
          </w:rPr>
          <w:t>c.europa.eu/justice/data-protection/article-29/documentation/opinion-recommendation/files/2013/wp207_en.pdf</w:t>
        </w:r>
      </w:hyperlink>
      <w:r>
        <w:rPr>
          <w:rFonts w:cs="Calibri"/>
        </w:rPr>
        <w:t>.</w:t>
      </w:r>
    </w:p>
  </w:footnote>
  <w:footnote w:id="118">
    <w:p w:rsidR="003B411A" w:rsidRDefault="009F0AE3">
      <w:pPr>
        <w:pStyle w:val="FootnoteText"/>
        <w:ind w:left="0" w:firstLine="0"/>
        <w:jc w:val="left"/>
      </w:pPr>
      <w:r>
        <w:rPr>
          <w:rStyle w:val="FootnoteReference"/>
        </w:rPr>
        <w:footnoteRef/>
      </w:r>
      <w:r>
        <w:t xml:space="preserve"> Regulation (EU) 2016/679 of the European Parliament and of the Council of 27 April 2016 on the protection of natural persons with regard to the processing of personal data and on the free movement of such data, and repealing Directive 95/46/EC (General Da</w:t>
      </w:r>
      <w:r>
        <w:t xml:space="preserve">ta Protection Regulation), </w:t>
      </w:r>
      <w:hyperlink r:id="rId67" w:history="1">
        <w:r>
          <w:rPr>
            <w:rStyle w:val="Hyperlink"/>
          </w:rPr>
          <w:t>http://eur-lex.europa.eu/legal-content/en/TXT/?uri=CELEX%3A32016R0679</w:t>
        </w:r>
      </w:hyperlink>
      <w:r>
        <w:rPr>
          <w:rStyle w:val="Hyperlink"/>
        </w:rPr>
        <w:t>.</w:t>
      </w:r>
    </w:p>
  </w:footnote>
  <w:footnote w:id="119">
    <w:p w:rsidR="003B411A" w:rsidRDefault="009F0AE3">
      <w:pPr>
        <w:pStyle w:val="FootnoteText"/>
        <w:ind w:left="0" w:firstLine="0"/>
      </w:pPr>
      <w:r>
        <w:rPr>
          <w:rStyle w:val="FootnoteReference"/>
        </w:rPr>
        <w:footnoteRef/>
      </w:r>
      <w:r>
        <w:t xml:space="preserve"> Directive 96/9/EC of the European Parliament and of the Council of 11 </w:t>
      </w:r>
      <w:r>
        <w:t xml:space="preserve">March 1996 on the legal protection of databases, </w:t>
      </w:r>
      <w:hyperlink r:id="rId68" w:history="1">
        <w:r>
          <w:rPr>
            <w:rStyle w:val="Hyperlink"/>
          </w:rPr>
          <w:t>http://eur-lex.europa.eu/legal-content/en/TXT/?uri=CELEX%3A31996L0009</w:t>
        </w:r>
      </w:hyperlink>
      <w:r>
        <w:rPr>
          <w:rStyle w:val="Hyperlink"/>
        </w:rPr>
        <w:t>.</w:t>
      </w:r>
      <w:r>
        <w:t xml:space="preserve"> </w:t>
      </w:r>
    </w:p>
  </w:footnote>
  <w:footnote w:id="120">
    <w:p w:rsidR="003B411A" w:rsidRDefault="009F0AE3">
      <w:pPr>
        <w:pStyle w:val="FootnoteText"/>
        <w:rPr>
          <w:rFonts w:cs="Calibri"/>
          <w:lang w:val="en-US"/>
        </w:rPr>
      </w:pPr>
      <w:r>
        <w:rPr>
          <w:rStyle w:val="FootnoteReference"/>
          <w:rFonts w:cs="Calibri"/>
        </w:rPr>
        <w:footnoteRef/>
      </w:r>
      <w:r>
        <w:rPr>
          <w:rFonts w:cs="Calibri"/>
          <w:lang w:val="en-US"/>
        </w:rPr>
        <w:t xml:space="preserve"> </w:t>
      </w:r>
      <w:hyperlink r:id="rId69" w:history="1">
        <w:r>
          <w:rPr>
            <w:rFonts w:cs="Calibri"/>
            <w:lang w:val="en-US"/>
          </w:rPr>
          <w:t>http://ec.europa.eu/internal_market/copyright/prot-databases/index_en.htm</w:t>
        </w:r>
      </w:hyperlink>
      <w:r>
        <w:rPr>
          <w:rFonts w:cs="Calibri"/>
          <w:lang w:val="en-US"/>
        </w:rPr>
        <w:t xml:space="preserve">.  </w:t>
      </w:r>
    </w:p>
  </w:footnote>
  <w:footnote w:id="121">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Combined Evaluation Roadmap/Inception Impact Assessment, Review on the Directive on Re-use of Public Sector Information, European Comm</w:t>
      </w:r>
      <w:r>
        <w:rPr>
          <w:rFonts w:cs="Calibri"/>
          <w:lang w:val="en-US"/>
        </w:rPr>
        <w:t xml:space="preserve">ission, 2017, </w:t>
      </w:r>
      <w:hyperlink r:id="rId70" w:history="1">
        <w:r>
          <w:rPr>
            <w:rFonts w:cs="Calibri"/>
            <w:lang w:val="en-US"/>
          </w:rPr>
          <w:t>http://ec.europa.eu/info/law/better-regulation/initiative/112354/attachment/090166e5b523f50f_en</w:t>
        </w:r>
      </w:hyperlink>
      <w:r>
        <w:rPr>
          <w:rFonts w:cs="Calibri"/>
          <w:lang w:val="en-US"/>
        </w:rPr>
        <w:t xml:space="preserve">. </w:t>
      </w:r>
    </w:p>
  </w:footnote>
  <w:footnote w:id="122">
    <w:p w:rsidR="003B411A" w:rsidRDefault="009F0AE3">
      <w:pPr>
        <w:pStyle w:val="FootnoteText"/>
        <w:ind w:left="0" w:firstLine="0"/>
        <w:jc w:val="left"/>
        <w:rPr>
          <w:rFonts w:cs="Calibri"/>
          <w:lang w:val="en-US"/>
        </w:rPr>
      </w:pPr>
      <w:r>
        <w:rPr>
          <w:rStyle w:val="FootnoteReference"/>
          <w:rFonts w:cs="Calibri"/>
        </w:rPr>
        <w:footnoteRef/>
      </w:r>
      <w:r>
        <w:rPr>
          <w:rFonts w:cs="Calibri"/>
          <w:lang w:val="en-US"/>
        </w:rPr>
        <w:t xml:space="preserve"> DG Internal Market and Service</w:t>
      </w:r>
      <w:r>
        <w:rPr>
          <w:rFonts w:cs="Calibri"/>
          <w:lang w:val="en-US"/>
        </w:rPr>
        <w:t xml:space="preserve">s working paper, First evaluation of Directive 96/9/EC on the legal protection of databases, 12 December 2005, </w:t>
      </w:r>
      <w:hyperlink r:id="rId71" w:history="1">
        <w:r>
          <w:rPr>
            <w:rFonts w:cs="Calibri"/>
            <w:lang w:val="en-US"/>
          </w:rPr>
          <w:t>http://ec.europa.eu/internal_market/copyrig</w:t>
        </w:r>
        <w:r>
          <w:rPr>
            <w:rFonts w:cs="Calibri"/>
            <w:lang w:val="en-US"/>
          </w:rPr>
          <w:t>ht/docs/databases/evaluation_report_en.pdf</w:t>
        </w:r>
      </w:hyperlink>
      <w:r>
        <w:rPr>
          <w:rFonts w:cs="Calibri"/>
          <w:lang w:val="en-US"/>
        </w:rPr>
        <w:t xml:space="preserve">.   </w:t>
      </w:r>
    </w:p>
  </w:footnote>
  <w:footnote w:id="123">
    <w:p w:rsidR="003B411A" w:rsidRDefault="009F0AE3">
      <w:pPr>
        <w:pStyle w:val="FootnoteText"/>
        <w:rPr>
          <w:rFonts w:cs="Calibri"/>
          <w:lang w:val="en-US"/>
        </w:rPr>
      </w:pPr>
      <w:r>
        <w:rPr>
          <w:rStyle w:val="FootnoteReference"/>
          <w:rFonts w:cs="Calibri"/>
        </w:rPr>
        <w:footnoteRef/>
      </w:r>
      <w:r>
        <w:rPr>
          <w:rFonts w:cs="Calibri"/>
          <w:lang w:val="en-US"/>
        </w:rPr>
        <w:t xml:space="preserve"> Strategic interviews. </w:t>
      </w:r>
    </w:p>
  </w:footnote>
  <w:footnote w:id="124">
    <w:p w:rsidR="003B411A" w:rsidRDefault="009F0AE3">
      <w:pPr>
        <w:pStyle w:val="FootnoteText"/>
        <w:rPr>
          <w:b/>
        </w:rPr>
      </w:pPr>
      <w:r>
        <w:rPr>
          <w:rStyle w:val="FootnoteReference"/>
        </w:rPr>
        <w:footnoteRef/>
      </w:r>
      <w:r>
        <w:t xml:space="preserve"> See original PSI Directive: 2003/98/EC Recitals 22, 24. </w:t>
      </w:r>
    </w:p>
  </w:footnote>
  <w:footnote w:id="125">
    <w:p w:rsidR="003B411A" w:rsidRDefault="009F0AE3">
      <w:pPr>
        <w:pStyle w:val="FootnoteText"/>
        <w:ind w:left="0" w:firstLine="0"/>
        <w:jc w:val="left"/>
      </w:pPr>
      <w:r>
        <w:rPr>
          <w:rStyle w:val="FootnoteReference"/>
        </w:rPr>
        <w:footnoteRef/>
      </w:r>
      <w:r>
        <w:t xml:space="preserve"> Conseil d'État, case </w:t>
      </w:r>
      <w:r>
        <w:rPr>
          <w:bCs/>
        </w:rPr>
        <w:t xml:space="preserve">N° 389806 of 8 February 2017: </w:t>
      </w:r>
      <w:hyperlink r:id="rId72" w:history="1">
        <w:r>
          <w:rPr>
            <w:rStyle w:val="Hyperlink"/>
            <w:bCs/>
          </w:rPr>
          <w:t>https://www.legifrance.gouv.fr/affichJuriAdmin.do?oldAction=rechJuriAdmin&amp;idTexte=CETATEXT000034017890&amp;fastReqId=803371859&amp;fastPos=1</w:t>
        </w:r>
      </w:hyperlink>
      <w:r>
        <w:rPr>
          <w:rStyle w:val="Hyperlink"/>
          <w:bCs/>
        </w:rPr>
        <w:t xml:space="preserve">. </w:t>
      </w:r>
    </w:p>
  </w:footnote>
  <w:footnote w:id="126">
    <w:p w:rsidR="003B411A" w:rsidRDefault="009F0AE3">
      <w:pPr>
        <w:pStyle w:val="FootnoteText"/>
        <w:ind w:left="0" w:firstLine="0"/>
      </w:pPr>
      <w:r>
        <w:rPr>
          <w:rStyle w:val="FootnoteReference"/>
        </w:rPr>
        <w:footnoteRef/>
      </w:r>
      <w:r>
        <w:t xml:space="preserve"> </w:t>
      </w:r>
      <w:r>
        <w:rPr>
          <w:i/>
        </w:rPr>
        <w:t>Compass-Datenbank GmbH v Austria</w:t>
      </w:r>
      <w:r>
        <w:t xml:space="preserve">  (C-138/11, EU:2012) The case predates the last modification of the PSI Directive (2013/37/EU).</w:t>
      </w:r>
    </w:p>
  </w:footnote>
  <w:footnote w:id="127">
    <w:p w:rsidR="003B411A" w:rsidRDefault="009F0AE3">
      <w:pPr>
        <w:pStyle w:val="FootnoteText"/>
        <w:ind w:left="0" w:firstLine="0"/>
      </w:pPr>
      <w:r>
        <w:rPr>
          <w:rStyle w:val="FootnoteReference"/>
        </w:rPr>
        <w:footnoteRef/>
      </w:r>
      <w:r>
        <w:t xml:space="preserve"> In the absence of case law it is not clear whether the legal basis for re-use of public information is related to the PSI directive or not. Information gathe</w:t>
      </w:r>
      <w:r>
        <w:t>red from a stakeholder in the course of the public consultation on the evaluation of the Database Directive in 2017. Source: Free Knowledge Advocacy Group EU, Wikimedia.</w:t>
      </w:r>
    </w:p>
  </w:footnote>
  <w:footnote w:id="128">
    <w:p w:rsidR="003B411A" w:rsidRDefault="009F0AE3">
      <w:pPr>
        <w:pStyle w:val="FootnoteText"/>
        <w:ind w:left="0" w:firstLine="0"/>
      </w:pPr>
      <w:r>
        <w:rPr>
          <w:rStyle w:val="FootnoteReference"/>
        </w:rPr>
        <w:footnoteRef/>
      </w:r>
      <w:r>
        <w:t xml:space="preserve"> </w:t>
      </w:r>
      <w:hyperlink r:id="rId73" w:history="1">
        <w:r>
          <w:rPr>
            <w:rStyle w:val="Hyperlink"/>
          </w:rPr>
          <w:t>https://ec.europa.eu/info/consultations/public-consultation-database-directive-application-and-impact-0_en</w:t>
        </w:r>
      </w:hyperlink>
    </w:p>
  </w:footnote>
  <w:footnote w:id="129">
    <w:p w:rsidR="003B411A" w:rsidRDefault="009F0AE3">
      <w:pPr>
        <w:pStyle w:val="FootnoteText"/>
        <w:ind w:left="0" w:firstLine="0"/>
      </w:pPr>
      <w:r>
        <w:rPr>
          <w:rStyle w:val="FootnoteReference"/>
        </w:rPr>
        <w:footnoteRef/>
      </w:r>
      <w:r>
        <w:t xml:space="preserve"> The French </w:t>
      </w:r>
      <w:hyperlink r:id="rId74" w:history="1">
        <w:r>
          <w:rPr>
            <w:rStyle w:val="Hyperlink"/>
          </w:rPr>
          <w:t>Loi pour une République numérique</w:t>
        </w:r>
      </w:hyperlink>
      <w:r>
        <w:t xml:space="preserve"> (Loi Lemaire) has solved this interplay between the PSI and the Database Directives clearly stating that </w:t>
      </w:r>
      <w:r>
        <w:rPr>
          <w:i/>
        </w:rPr>
        <w:t>"Without prejudice to intellectual property right</w:t>
      </w:r>
      <w:r>
        <w:rPr>
          <w:i/>
        </w:rPr>
        <w:t>s held by third parties, the sui generis rights of public sector bodies as defined in Article 2, under Article 7§1 and §5 of the Database Directive, cannot hinder the re-use of the contents of the databases made available by these public sector bodies in a</w:t>
      </w:r>
      <w:r>
        <w:rPr>
          <w:i/>
        </w:rPr>
        <w:t>pplication of the rules of the PSI Directive"</w:t>
      </w:r>
      <w:r>
        <w:t>. This French law may be taken as an example.</w:t>
      </w:r>
    </w:p>
  </w:footnote>
  <w:footnote w:id="130">
    <w:p w:rsidR="003B411A" w:rsidRDefault="009F0AE3">
      <w:pPr>
        <w:pStyle w:val="FootnoteText"/>
        <w:ind w:left="0" w:firstLine="0"/>
      </w:pPr>
      <w:r>
        <w:rPr>
          <w:rStyle w:val="FootnoteReference"/>
        </w:rPr>
        <w:footnoteRef/>
      </w:r>
      <w:r>
        <w:t xml:space="preserve"> Directive (EU) 2016/943 of the European Parliament and of the Council of 8 June 2016 on the protection of undisclosed know-how and business information (trade secr</w:t>
      </w:r>
      <w:r>
        <w:t xml:space="preserve">ets) against their unlawful acquisition, use and disclosure, </w:t>
      </w:r>
      <w:hyperlink r:id="rId75" w:history="1">
        <w:r>
          <w:rPr>
            <w:rStyle w:val="Hyperlink"/>
          </w:rPr>
          <w:t>http://eur-lex.europa.eu/legal-content/EN/TXT/?uri=CELEX%3A32016L0943</w:t>
        </w:r>
      </w:hyperlink>
      <w:r>
        <w:rPr>
          <w:rStyle w:val="Hyperlink"/>
        </w:rPr>
        <w:t>.</w:t>
      </w:r>
      <w:r>
        <w:t xml:space="preserve"> </w:t>
      </w:r>
    </w:p>
  </w:footnote>
  <w:footnote w:id="131">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Article 1, Directive of the Europea</w:t>
      </w:r>
      <w:r>
        <w:rPr>
          <w:rFonts w:cs="Calibri"/>
          <w:lang w:val="en-US"/>
        </w:rPr>
        <w:t xml:space="preserve">n Parliament and the Council amending European Parliament and Council Directive 2003/98/EC on the Re-Use of public sector information, 2013, </w:t>
      </w:r>
      <w:hyperlink r:id="rId76" w:history="1">
        <w:r>
          <w:rPr>
            <w:rFonts w:cs="Calibri"/>
            <w:lang w:val="en-US"/>
          </w:rPr>
          <w:t>http://eur-lex.europa.eu/legal-</w:t>
        </w:r>
        <w:r>
          <w:rPr>
            <w:rFonts w:cs="Calibri"/>
            <w:lang w:val="en-US"/>
          </w:rPr>
          <w:t>content/en/TXT/?uri=CELEX:32013L0037</w:t>
        </w:r>
      </w:hyperlink>
      <w:r>
        <w:rPr>
          <w:rFonts w:cs="Calibri"/>
          <w:lang w:val="en-US"/>
        </w:rPr>
        <w:t xml:space="preserve">. </w:t>
      </w:r>
    </w:p>
  </w:footnote>
  <w:footnote w:id="132">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Strategic interview and minutes of the participatory workshop on Open Research Data within the context of the Public Sector and Information Re-use Directive.</w:t>
      </w:r>
    </w:p>
  </w:footnote>
  <w:footnote w:id="133">
    <w:p w:rsidR="003B411A" w:rsidRDefault="009F0AE3">
      <w:pPr>
        <w:pStyle w:val="FootnoteText"/>
        <w:ind w:left="0" w:firstLine="0"/>
      </w:pPr>
      <w:r>
        <w:rPr>
          <w:rStyle w:val="FootnoteReference"/>
        </w:rPr>
        <w:footnoteRef/>
      </w:r>
      <w:r>
        <w:t xml:space="preserve"> Directive 2012/28/EU of the European Parliament and of </w:t>
      </w:r>
      <w:r>
        <w:t xml:space="preserve">the Council of 25 October 2012 on certain permitted uses of orphan works, </w:t>
      </w:r>
      <w:hyperlink r:id="rId77" w:history="1">
        <w:r>
          <w:rPr>
            <w:rStyle w:val="Hyperlink"/>
          </w:rPr>
          <w:t>http://eur-lex.europa.eu/legal-content/EN/TXT/?uri=celex%3A32012L0028</w:t>
        </w:r>
      </w:hyperlink>
      <w:r>
        <w:rPr>
          <w:rStyle w:val="Hyperlink"/>
        </w:rPr>
        <w:t>.</w:t>
      </w:r>
      <w:r>
        <w:t xml:space="preserve"> </w:t>
      </w:r>
    </w:p>
  </w:footnote>
  <w:footnote w:id="134">
    <w:p w:rsidR="003B411A" w:rsidRDefault="009F0AE3">
      <w:pPr>
        <w:pStyle w:val="FootnoteText"/>
        <w:ind w:left="0" w:firstLine="0"/>
      </w:pPr>
      <w:r>
        <w:rPr>
          <w:rStyle w:val="FootnoteReference"/>
        </w:rPr>
        <w:footnoteRef/>
      </w:r>
      <w:r>
        <w:t xml:space="preserve"> Study to support the r</w:t>
      </w:r>
      <w:r>
        <w:t>eview of Directive 2003/98/EC on the re-use of public sector information, SMART 2017/0061.</w:t>
      </w:r>
    </w:p>
  </w:footnote>
  <w:footnote w:id="135">
    <w:p w:rsidR="003B411A" w:rsidRDefault="009F0AE3">
      <w:pPr>
        <w:pStyle w:val="FootnoteText"/>
        <w:ind w:left="0" w:firstLine="0"/>
        <w:jc w:val="left"/>
      </w:pPr>
      <w:r>
        <w:rPr>
          <w:rStyle w:val="FootnoteReference"/>
        </w:rPr>
        <w:footnoteRef/>
      </w:r>
      <w:r>
        <w:t xml:space="preserve"> An orphan work is a work for which none of the right holders is identified or, even if one or more of them is identified, none is located despite a diligent search</w:t>
      </w:r>
      <w:r>
        <w:t xml:space="preserve"> having been carried out and recorded in accordance with the relevant provisions of the Directive on orphan works.</w:t>
      </w:r>
    </w:p>
  </w:footnote>
  <w:footnote w:id="136">
    <w:p w:rsidR="003B411A" w:rsidRDefault="009F0AE3">
      <w:pPr>
        <w:pStyle w:val="FootnoteText"/>
        <w:ind w:left="0" w:firstLine="0"/>
        <w:rPr>
          <w:rFonts w:cs="Calibri"/>
          <w:lang w:val="en-US"/>
        </w:rPr>
      </w:pPr>
      <w:r>
        <w:rPr>
          <w:rStyle w:val="FootnoteReference"/>
          <w:rFonts w:cs="Calibri"/>
        </w:rPr>
        <w:footnoteRef/>
      </w:r>
      <w:r>
        <w:rPr>
          <w:rFonts w:cs="Calibri"/>
          <w:lang w:val="en-US"/>
        </w:rPr>
        <w:t xml:space="preserve"> Consolidated version of the Treaty on the Functioning of the European Union – Part Three: Union Policies and Internal Actions, TITLE VII: C</w:t>
      </w:r>
      <w:r>
        <w:rPr>
          <w:rFonts w:cs="Calibri"/>
          <w:lang w:val="en-US"/>
        </w:rPr>
        <w:t xml:space="preserve">ommon rules on competition, taxation and approximation of laws - Chapter 3: Approximation of laws - Article 114 (ex Article 95 TEC), </w:t>
      </w:r>
      <w:hyperlink r:id="rId78" w:history="1">
        <w:r>
          <w:rPr>
            <w:rStyle w:val="Hyperlink"/>
            <w:rFonts w:cs="Calibri"/>
            <w:lang w:val="en-US"/>
          </w:rPr>
          <w:t>http://eur-lex.europa.eu/legal-content/E</w:t>
        </w:r>
        <w:r>
          <w:rPr>
            <w:rStyle w:val="Hyperlink"/>
            <w:rFonts w:cs="Calibri"/>
            <w:lang w:val="en-US"/>
          </w:rPr>
          <w:t>N/ALL/?uri=CELEX:12008E114</w:t>
        </w:r>
      </w:hyperlink>
      <w:r>
        <w:rPr>
          <w:rStyle w:val="Hyperlink"/>
          <w:rFonts w:cs="Calibri"/>
          <w:lang w:val="en-US"/>
        </w:rPr>
        <w:t>.</w:t>
      </w:r>
      <w:r>
        <w:rPr>
          <w:rFonts w:cs="Calibri"/>
          <w:lang w:val="en-US"/>
        </w:rPr>
        <w:t xml:space="preserve"> </w:t>
      </w:r>
    </w:p>
  </w:footnote>
  <w:footnote w:id="137">
    <w:p w:rsidR="003B411A" w:rsidRDefault="009F0AE3">
      <w:pPr>
        <w:pStyle w:val="FootnoteText"/>
        <w:rPr>
          <w:rFonts w:cs="Calibri"/>
          <w:lang w:val="en-US"/>
        </w:rPr>
      </w:pPr>
      <w:r>
        <w:rPr>
          <w:rStyle w:val="FootnoteReference"/>
          <w:rFonts w:cs="Calibri"/>
        </w:rPr>
        <w:footnoteRef/>
      </w:r>
      <w:r>
        <w:rPr>
          <w:rFonts w:cs="Calibri"/>
          <w:lang w:val="en-US"/>
        </w:rPr>
        <w:t xml:space="preserve"> Strategic interviews.</w:t>
      </w:r>
    </w:p>
  </w:footnote>
  <w:footnote w:id="138">
    <w:p w:rsidR="003B411A" w:rsidRDefault="009F0AE3">
      <w:pPr>
        <w:pStyle w:val="FootnoteText"/>
      </w:pPr>
      <w:r>
        <w:rPr>
          <w:rStyle w:val="FootnoteReference"/>
        </w:rPr>
        <w:footnoteRef/>
      </w:r>
      <w:r>
        <w:t xml:space="preserve"> Strategic interviews.</w:t>
      </w:r>
    </w:p>
  </w:footnote>
  <w:footnote w:id="139">
    <w:p w:rsidR="003B411A" w:rsidRDefault="009F0AE3">
      <w:pPr>
        <w:pStyle w:val="FootnoteText"/>
        <w:ind w:left="0" w:firstLine="0"/>
      </w:pPr>
      <w:r>
        <w:rPr>
          <w:rStyle w:val="FootnoteReference"/>
        </w:rPr>
        <w:footnoteRef/>
      </w:r>
      <w:r>
        <w:t xml:space="preserve"> Europeana is a digital cultural heritage platform for Europe, providing access to over 50 million digitised items (books, music, artworks and more). The Europeana Foundation was</w:t>
      </w:r>
      <w:r>
        <w:t xml:space="preserve"> tasked by the European Commission to develop this platform. More information: </w:t>
      </w:r>
      <w:hyperlink r:id="rId79" w:history="1">
        <w:r>
          <w:rPr>
            <w:rStyle w:val="Hyperlink"/>
          </w:rPr>
          <w:t>https://www.europeana.eu/portal/en</w:t>
        </w:r>
      </w:hyperlink>
      <w:r>
        <w:t>.</w:t>
      </w:r>
    </w:p>
  </w:footnote>
  <w:footnote w:id="140">
    <w:p w:rsidR="003B411A" w:rsidRDefault="009F0AE3">
      <w:pPr>
        <w:pStyle w:val="FootnoteText"/>
      </w:pPr>
      <w:r>
        <w:rPr>
          <w:rStyle w:val="FootnoteReference"/>
        </w:rPr>
        <w:footnoteRef/>
      </w:r>
      <w:r>
        <w:t xml:space="preserve"> Strategic interviews.</w:t>
      </w:r>
    </w:p>
  </w:footnote>
  <w:footnote w:id="141">
    <w:p w:rsidR="003B411A" w:rsidRDefault="009F0AE3">
      <w:pPr>
        <w:pStyle w:val="FootnoteText"/>
      </w:pPr>
      <w:r>
        <w:rPr>
          <w:rStyle w:val="FootnoteReference"/>
        </w:rPr>
        <w:footnoteRef/>
      </w:r>
      <w:r>
        <w:t xml:space="preserve"> Policy action 4 of the Tallinn Declaration, </w:t>
      </w:r>
      <w:hyperlink r:id="rId80" w:history="1">
        <w:r>
          <w:rPr>
            <w:rStyle w:val="Hyperlink"/>
          </w:rPr>
          <w:t>https://ec.europa.eu/digital-single-market/en/news/ministerial-declaration-egovernment-tallinn-declaration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E3" w:rsidRPr="009F0AE3" w:rsidRDefault="009F0AE3" w:rsidP="009F0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E3" w:rsidRPr="009F0AE3" w:rsidRDefault="009F0AE3" w:rsidP="009F0AE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E3" w:rsidRPr="009F0AE3" w:rsidRDefault="009F0AE3" w:rsidP="009F0AE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3B41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3B41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3B41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3B41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3B41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1A" w:rsidRDefault="003B4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28F"/>
    <w:multiLevelType w:val="hybridMultilevel"/>
    <w:tmpl w:val="8014F616"/>
    <w:lvl w:ilvl="0" w:tplc="59742F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76D3"/>
    <w:multiLevelType w:val="hybridMultilevel"/>
    <w:tmpl w:val="C008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6939"/>
    <w:multiLevelType w:val="hybridMultilevel"/>
    <w:tmpl w:val="0EE8197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nsid w:val="0A7842BC"/>
    <w:multiLevelType w:val="hybridMultilevel"/>
    <w:tmpl w:val="4A0884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nsid w:val="0B9A48D2"/>
    <w:multiLevelType w:val="hybridMultilevel"/>
    <w:tmpl w:val="E59C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C46A9D"/>
    <w:multiLevelType w:val="hybridMultilevel"/>
    <w:tmpl w:val="8EC24902"/>
    <w:lvl w:ilvl="0" w:tplc="872E674A">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A58AF"/>
    <w:multiLevelType w:val="hybridMultilevel"/>
    <w:tmpl w:val="FB34B27E"/>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11B43"/>
    <w:multiLevelType w:val="hybridMultilevel"/>
    <w:tmpl w:val="1C50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A24E7A"/>
    <w:multiLevelType w:val="hybridMultilevel"/>
    <w:tmpl w:val="B4386BF2"/>
    <w:lvl w:ilvl="0" w:tplc="C554B40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073007"/>
    <w:multiLevelType w:val="hybridMultilevel"/>
    <w:tmpl w:val="4D52BFF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186920A3"/>
    <w:multiLevelType w:val="hybridMultilevel"/>
    <w:tmpl w:val="8268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F94DC0"/>
    <w:multiLevelType w:val="hybridMultilevel"/>
    <w:tmpl w:val="CA2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903335"/>
    <w:multiLevelType w:val="hybridMultilevel"/>
    <w:tmpl w:val="908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D97D83"/>
    <w:multiLevelType w:val="hybridMultilevel"/>
    <w:tmpl w:val="A11E8F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88637A"/>
    <w:multiLevelType w:val="hybridMultilevel"/>
    <w:tmpl w:val="1D4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F7580D"/>
    <w:multiLevelType w:val="multilevel"/>
    <w:tmpl w:val="42808AA2"/>
    <w:lvl w:ilvl="0">
      <w:start w:val="1"/>
      <w:numFmt w:val="bullet"/>
      <w:lvlText w:val=""/>
      <w:lvlJc w:val="left"/>
      <w:pPr>
        <w:ind w:left="567" w:hanging="283"/>
      </w:pPr>
      <w:rPr>
        <w:rFonts w:ascii="Symbol" w:hAnsi="Symbol" w:hint="default"/>
        <w:color w:val="auto"/>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17">
    <w:nsid w:val="2D415C0F"/>
    <w:multiLevelType w:val="hybridMultilevel"/>
    <w:tmpl w:val="CBA6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0E2769"/>
    <w:multiLevelType w:val="hybridMultilevel"/>
    <w:tmpl w:val="329C0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1276408"/>
    <w:multiLevelType w:val="hybridMultilevel"/>
    <w:tmpl w:val="AE64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3A4234"/>
    <w:multiLevelType w:val="hybridMultilevel"/>
    <w:tmpl w:val="F59AC966"/>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45C47"/>
    <w:multiLevelType w:val="hybridMultilevel"/>
    <w:tmpl w:val="9A7E50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38804637"/>
    <w:multiLevelType w:val="hybridMultilevel"/>
    <w:tmpl w:val="D26E5C8E"/>
    <w:lvl w:ilvl="0" w:tplc="872E674A">
      <w:start w:val="1"/>
      <w:numFmt w:val="bullet"/>
      <w:lvlText w:val=""/>
      <w:lvlJc w:val="left"/>
      <w:pPr>
        <w:ind w:left="720" w:hanging="360"/>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DC16BE"/>
    <w:multiLevelType w:val="hybridMultilevel"/>
    <w:tmpl w:val="3FB42B42"/>
    <w:lvl w:ilvl="0" w:tplc="5B0C562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9663B2E"/>
    <w:multiLevelType w:val="hybridMultilevel"/>
    <w:tmpl w:val="1DAA7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F6409"/>
    <w:multiLevelType w:val="hybridMultilevel"/>
    <w:tmpl w:val="0B0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3CF012E9"/>
    <w:multiLevelType w:val="multilevel"/>
    <w:tmpl w:val="73FE5190"/>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29">
    <w:nsid w:val="3DAE0228"/>
    <w:multiLevelType w:val="hybridMultilevel"/>
    <w:tmpl w:val="D01E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7554E9"/>
    <w:multiLevelType w:val="hybridMultilevel"/>
    <w:tmpl w:val="3DA42C76"/>
    <w:lvl w:ilvl="0" w:tplc="0F70A9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5A0E9C"/>
    <w:multiLevelType w:val="hybridMultilevel"/>
    <w:tmpl w:val="67A245E8"/>
    <w:lvl w:ilvl="0" w:tplc="08090001">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7F2528"/>
    <w:multiLevelType w:val="hybridMultilevel"/>
    <w:tmpl w:val="571055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5209B8"/>
    <w:multiLevelType w:val="hybridMultilevel"/>
    <w:tmpl w:val="4F5259F0"/>
    <w:lvl w:ilvl="0" w:tplc="B4281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F57BDB"/>
    <w:multiLevelType w:val="hybridMultilevel"/>
    <w:tmpl w:val="B12A1BDA"/>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072987"/>
    <w:multiLevelType w:val="multilevel"/>
    <w:tmpl w:val="C1487538"/>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36">
    <w:nsid w:val="53010585"/>
    <w:multiLevelType w:val="hybridMultilevel"/>
    <w:tmpl w:val="015EB2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3134616"/>
    <w:multiLevelType w:val="hybridMultilevel"/>
    <w:tmpl w:val="AECAFA92"/>
    <w:lvl w:ilvl="0" w:tplc="872E674A">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B22AA9"/>
    <w:multiLevelType w:val="hybridMultilevel"/>
    <w:tmpl w:val="BA7A6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D3C2548">
      <w:numFmt w:val="bullet"/>
      <w:lvlText w:val="•"/>
      <w:lvlJc w:val="left"/>
      <w:pPr>
        <w:ind w:left="2340" w:hanging="360"/>
      </w:pPr>
      <w:rPr>
        <w:rFonts w:ascii="Times New Roman" w:eastAsiaTheme="minorHAns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41A1FC6"/>
    <w:multiLevelType w:val="hybridMultilevel"/>
    <w:tmpl w:val="6508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AEF53E3"/>
    <w:multiLevelType w:val="hybridMultilevel"/>
    <w:tmpl w:val="EDB03378"/>
    <w:lvl w:ilvl="0" w:tplc="872E674A">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336092"/>
    <w:multiLevelType w:val="hybridMultilevel"/>
    <w:tmpl w:val="0BB4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73E09C2"/>
    <w:multiLevelType w:val="hybridMultilevel"/>
    <w:tmpl w:val="355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8ED2554"/>
    <w:multiLevelType w:val="hybridMultilevel"/>
    <w:tmpl w:val="4688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162CEF"/>
    <w:multiLevelType w:val="multilevel"/>
    <w:tmpl w:val="ADFE72FE"/>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46">
    <w:nsid w:val="6E2C5B8E"/>
    <w:multiLevelType w:val="hybridMultilevel"/>
    <w:tmpl w:val="5168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A4B5B3F"/>
    <w:multiLevelType w:val="hybridMultilevel"/>
    <w:tmpl w:val="895034AE"/>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0A03A6"/>
    <w:multiLevelType w:val="hybridMultilevel"/>
    <w:tmpl w:val="516CF3E6"/>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6C15AA"/>
    <w:multiLevelType w:val="hybridMultilevel"/>
    <w:tmpl w:val="BFD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C7D13A2"/>
    <w:multiLevelType w:val="hybridMultilevel"/>
    <w:tmpl w:val="DA18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CE64503"/>
    <w:multiLevelType w:val="hybridMultilevel"/>
    <w:tmpl w:val="70A0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2"/>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8"/>
  </w:num>
  <w:num w:numId="7">
    <w:abstractNumId w:val="4"/>
  </w:num>
  <w:num w:numId="8">
    <w:abstractNumId w:val="11"/>
  </w:num>
  <w:num w:numId="9">
    <w:abstractNumId w:val="3"/>
  </w:num>
  <w:num w:numId="10">
    <w:abstractNumId w:val="15"/>
  </w:num>
  <w:num w:numId="11">
    <w:abstractNumId w:val="8"/>
  </w:num>
  <w:num w:numId="12">
    <w:abstractNumId w:val="49"/>
  </w:num>
  <w:num w:numId="13">
    <w:abstractNumId w:val="37"/>
  </w:num>
  <w:num w:numId="14">
    <w:abstractNumId w:val="48"/>
  </w:num>
  <w:num w:numId="15">
    <w:abstractNumId w:val="20"/>
  </w:num>
  <w:num w:numId="16">
    <w:abstractNumId w:val="47"/>
  </w:num>
  <w:num w:numId="17">
    <w:abstractNumId w:val="34"/>
  </w:num>
  <w:num w:numId="18">
    <w:abstractNumId w:val="23"/>
  </w:num>
  <w:num w:numId="19">
    <w:abstractNumId w:val="5"/>
  </w:num>
  <w:num w:numId="20">
    <w:abstractNumId w:val="33"/>
  </w:num>
  <w:num w:numId="21">
    <w:abstractNumId w:val="30"/>
  </w:num>
  <w:num w:numId="22">
    <w:abstractNumId w:val="40"/>
  </w:num>
  <w:num w:numId="23">
    <w:abstractNumId w:val="0"/>
  </w:num>
  <w:num w:numId="24">
    <w:abstractNumId w:val="6"/>
  </w:num>
  <w:num w:numId="25">
    <w:abstractNumId w:val="28"/>
  </w:num>
  <w:num w:numId="26">
    <w:abstractNumId w:val="19"/>
  </w:num>
  <w:num w:numId="27">
    <w:abstractNumId w:val="51"/>
  </w:num>
  <w:num w:numId="28">
    <w:abstractNumId w:val="10"/>
  </w:num>
  <w:num w:numId="29">
    <w:abstractNumId w:val="1"/>
  </w:num>
  <w:num w:numId="30">
    <w:abstractNumId w:val="9"/>
  </w:num>
  <w:num w:numId="31">
    <w:abstractNumId w:val="43"/>
  </w:num>
  <w:num w:numId="32">
    <w:abstractNumId w:val="50"/>
  </w:num>
  <w:num w:numId="33">
    <w:abstractNumId w:val="45"/>
  </w:num>
  <w:num w:numId="34">
    <w:abstractNumId w:val="44"/>
  </w:num>
  <w:num w:numId="35">
    <w:abstractNumId w:val="39"/>
  </w:num>
  <w:num w:numId="36">
    <w:abstractNumId w:val="21"/>
  </w:num>
  <w:num w:numId="37">
    <w:abstractNumId w:val="31"/>
  </w:num>
  <w:num w:numId="38">
    <w:abstractNumId w:val="46"/>
  </w:num>
  <w:num w:numId="39">
    <w:abstractNumId w:val="18"/>
  </w:num>
  <w:num w:numId="40">
    <w:abstractNumId w:val="35"/>
  </w:num>
  <w:num w:numId="41">
    <w:abstractNumId w:val="26"/>
  </w:num>
  <w:num w:numId="42">
    <w:abstractNumId w:val="16"/>
  </w:num>
  <w:num w:numId="43">
    <w:abstractNumId w:val="24"/>
  </w:num>
  <w:num w:numId="44">
    <w:abstractNumId w:val="14"/>
  </w:num>
  <w:num w:numId="45">
    <w:abstractNumId w:val="17"/>
  </w:num>
  <w:num w:numId="46">
    <w:abstractNumId w:val="12"/>
  </w:num>
  <w:num w:numId="47">
    <w:abstractNumId w:val="7"/>
  </w:num>
  <w:num w:numId="48">
    <w:abstractNumId w:val="41"/>
  </w:num>
  <w:num w:numId="49">
    <w:abstractNumId w:val="29"/>
  </w:num>
  <w:num w:numId="50">
    <w:abstractNumId w:val="2"/>
  </w:num>
  <w:num w:numId="51">
    <w:abstractNumId w:val="32"/>
  </w:num>
  <w:num w:numId="52">
    <w:abstractNumId w:val="36"/>
  </w:num>
  <w:num w:numId="53">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DENKAMP Johan (CNECT)">
    <w15:presenceInfo w15:providerId="None" w15:userId="BODENKAMP Johan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4E047AA-9DC0-472C-932F-1FBADB167041"/>
    <w:docVar w:name="LW_COVERPAGE_TYPE" w:val="1"/>
    <w:docVar w:name="LW_CROSSREFERENCE" w:val="{COM(2018) 234 final}_x000d__x000a_{SWD(2018) 129 final}"/>
    <w:docVar w:name="LW_DocType" w:val="NORMAL"/>
    <w:docVar w:name="LW_EMISSION" w:val="25.4.2018"/>
    <w:docVar w:name="LW_EMISSION_ISODATE" w:val="2018-04-25"/>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w:docVar w:name="LW_TYPE.DOC.CP" w:val="COMMISSION STAFF WORKING DOCUMENT"/>
    <w:docVar w:name="LW_TYPEACTEPRINCIPAL.CP" w:val="Proposal for a Directive of the European Parliament and of the Council on the re-use of public sector information"/>
  </w:docVars>
  <w:rsids>
    <w:rsidRoot w:val="003B411A"/>
    <w:rsid w:val="003B411A"/>
    <w:rsid w:val="009F0AE3"/>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Car,Fotnotstext1,9 p"/>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BVI fnr,FR"/>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Normal bullet 2,Medium Grid 1 - Accent 21,List Paragraph11,FooterText,Paragraphe de liste1,Bullet list,Bullet 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List Char,List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before="120" w:line="240" w:lineRule="auto"/>
      <w:jc w:val="center"/>
    </w:pPr>
    <w:rPr>
      <w:rFonts w:ascii="Calibri" w:eastAsiaTheme="minorEastAsia" w:hAnsi="Calibri"/>
      <w:i/>
      <w:iCs/>
      <w:color w:val="4F81BD" w:themeColor="accent1"/>
      <w:sz w:val="20"/>
      <w:szCs w:val="18"/>
      <w:lang w:val="nl-B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after="160" w:line="240" w:lineRule="exact"/>
    </w:pPr>
    <w:rPr>
      <w:sz w:val="20"/>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pPr>
      <w:spacing w:after="0" w:line="240" w:lineRule="auto"/>
    </w:pPr>
    <w:rPr>
      <w:rFonts w:eastAsiaTheme="minorEastAsia"/>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yperlink1">
    <w:name w:val="Hyperlink1"/>
    <w:basedOn w:val="DefaultParagraphFont"/>
    <w:uiPriority w:val="99"/>
    <w:rPr>
      <w:color w:val="0097A9"/>
      <w:u w:val="single"/>
    </w:rPr>
  </w:style>
  <w:style w:type="table" w:customStyle="1" w:styleId="ListTable2-Accent11">
    <w:name w:val="List Table 2 - Accent 11"/>
    <w:basedOn w:val="TableNormal"/>
    <w:next w:val="TableNormal"/>
    <w:uiPriority w:val="47"/>
    <w:pPr>
      <w:spacing w:after="0" w:line="240" w:lineRule="auto"/>
    </w:pPr>
    <w:rPr>
      <w:rFonts w:eastAsiaTheme="minorEastAsia"/>
      <w:lang w:val="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loitte51">
    <w:name w:val="Deloitte51"/>
    <w:basedOn w:val="TableNormal"/>
    <w:next w:val="TableGrid"/>
    <w:uiPriority w:val="39"/>
    <w:pPr>
      <w:spacing w:after="0" w:line="240" w:lineRule="auto"/>
    </w:pPr>
    <w:rPr>
      <w:rFonts w:eastAsiaTheme="minorEastAsia"/>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pBdr>
        <w:top w:val="nil"/>
        <w:left w:val="nil"/>
        <w:bottom w:val="nil"/>
        <w:right w:val="nil"/>
        <w:between w:val="nil"/>
      </w:pBdr>
      <w:spacing w:after="0"/>
    </w:pPr>
    <w:rPr>
      <w:rFonts w:ascii="Arial" w:eastAsia="Arial" w:hAnsi="Arial" w:cs="Arial"/>
      <w:color w:val="000000"/>
      <w:lang w:val="uz-Cyrl-UZ"/>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lang w:val="en-GB"/>
    </w:rPr>
  </w:style>
  <w:style w:type="paragraph" w:customStyle="1" w:styleId="BodY">
    <w:name w:val="BodY"/>
    <w:basedOn w:val="Normal"/>
    <w:link w:val="BodYChar"/>
    <w:autoRedefine/>
    <w:qFormat/>
    <w:pPr>
      <w:tabs>
        <w:tab w:val="left" w:pos="993"/>
      </w:tabs>
      <w:spacing w:after="120" w:line="360" w:lineRule="auto"/>
      <w:jc w:val="both"/>
    </w:pPr>
    <w:rPr>
      <w:rFonts w:ascii="Times New Roman" w:eastAsia="Times New Roman" w:hAnsi="Times New Roman" w:cs="Times New Roman"/>
      <w:sz w:val="24"/>
      <w:szCs w:val="16"/>
      <w:lang w:val="en-GB" w:eastAsia="nl-BE"/>
    </w:rPr>
  </w:style>
  <w:style w:type="character" w:customStyle="1" w:styleId="BodYChar">
    <w:name w:val="BodY Char"/>
    <w:link w:val="BodY"/>
    <w:rPr>
      <w:rFonts w:ascii="Times New Roman" w:eastAsia="Times New Roman" w:hAnsi="Times New Roman" w:cs="Times New Roman"/>
      <w:sz w:val="24"/>
      <w:szCs w:val="16"/>
      <w:lang w:val="en-GB" w:eastAsia="nl-B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Car,Fotnotstext1,9 p"/>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BVI fnr,FR"/>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Normal bullet 2,Medium Grid 1 - Accent 21,List Paragraph11,FooterText,Paragraphe de liste1,Bullet list,Bullet 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List Char,List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before="120" w:line="240" w:lineRule="auto"/>
      <w:jc w:val="center"/>
    </w:pPr>
    <w:rPr>
      <w:rFonts w:ascii="Calibri" w:eastAsiaTheme="minorEastAsia" w:hAnsi="Calibri"/>
      <w:i/>
      <w:iCs/>
      <w:color w:val="4F81BD" w:themeColor="accent1"/>
      <w:sz w:val="20"/>
      <w:szCs w:val="18"/>
      <w:lang w:val="nl-B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after="160" w:line="240" w:lineRule="exact"/>
    </w:pPr>
    <w:rPr>
      <w:sz w:val="20"/>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pPr>
      <w:spacing w:after="0" w:line="240" w:lineRule="auto"/>
    </w:pPr>
    <w:rPr>
      <w:rFonts w:eastAsiaTheme="minorEastAsia"/>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yperlink1">
    <w:name w:val="Hyperlink1"/>
    <w:basedOn w:val="DefaultParagraphFont"/>
    <w:uiPriority w:val="99"/>
    <w:rPr>
      <w:color w:val="0097A9"/>
      <w:u w:val="single"/>
    </w:rPr>
  </w:style>
  <w:style w:type="table" w:customStyle="1" w:styleId="ListTable2-Accent11">
    <w:name w:val="List Table 2 - Accent 11"/>
    <w:basedOn w:val="TableNormal"/>
    <w:next w:val="TableNormal"/>
    <w:uiPriority w:val="47"/>
    <w:pPr>
      <w:spacing w:after="0" w:line="240" w:lineRule="auto"/>
    </w:pPr>
    <w:rPr>
      <w:rFonts w:eastAsiaTheme="minorEastAsia"/>
      <w:lang w:val="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loitte51">
    <w:name w:val="Deloitte51"/>
    <w:basedOn w:val="TableNormal"/>
    <w:next w:val="TableGrid"/>
    <w:uiPriority w:val="39"/>
    <w:pPr>
      <w:spacing w:after="0" w:line="240" w:lineRule="auto"/>
    </w:pPr>
    <w:rPr>
      <w:rFonts w:eastAsiaTheme="minorEastAsia"/>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pBdr>
        <w:top w:val="nil"/>
        <w:left w:val="nil"/>
        <w:bottom w:val="nil"/>
        <w:right w:val="nil"/>
        <w:between w:val="nil"/>
      </w:pBdr>
      <w:spacing w:after="0"/>
    </w:pPr>
    <w:rPr>
      <w:rFonts w:ascii="Arial" w:eastAsia="Arial" w:hAnsi="Arial" w:cs="Arial"/>
      <w:color w:val="000000"/>
      <w:lang w:val="uz-Cyrl-UZ"/>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lang w:val="en-GB"/>
    </w:rPr>
  </w:style>
  <w:style w:type="paragraph" w:customStyle="1" w:styleId="BodY">
    <w:name w:val="BodY"/>
    <w:basedOn w:val="Normal"/>
    <w:link w:val="BodYChar"/>
    <w:autoRedefine/>
    <w:qFormat/>
    <w:pPr>
      <w:tabs>
        <w:tab w:val="left" w:pos="993"/>
      </w:tabs>
      <w:spacing w:after="120" w:line="360" w:lineRule="auto"/>
      <w:jc w:val="both"/>
    </w:pPr>
    <w:rPr>
      <w:rFonts w:ascii="Times New Roman" w:eastAsia="Times New Roman" w:hAnsi="Times New Roman" w:cs="Times New Roman"/>
      <w:sz w:val="24"/>
      <w:szCs w:val="16"/>
      <w:lang w:val="en-GB" w:eastAsia="nl-BE"/>
    </w:rPr>
  </w:style>
  <w:style w:type="character" w:customStyle="1" w:styleId="BodYChar">
    <w:name w:val="BodY Char"/>
    <w:link w:val="BodY"/>
    <w:rPr>
      <w:rFonts w:ascii="Times New Roman" w:eastAsia="Times New Roman" w:hAnsi="Times New Roman" w:cs="Times New Roman"/>
      <w:sz w:val="24"/>
      <w:szCs w:val="16"/>
      <w:lang w:val="en-GB" w:eastAsia="nl-B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94913">
      <w:bodyDiv w:val="1"/>
      <w:marLeft w:val="0"/>
      <w:marRight w:val="0"/>
      <w:marTop w:val="0"/>
      <w:marBottom w:val="0"/>
      <w:divBdr>
        <w:top w:val="none" w:sz="0" w:space="0" w:color="auto"/>
        <w:left w:val="none" w:sz="0" w:space="0" w:color="auto"/>
        <w:bottom w:val="none" w:sz="0" w:space="0" w:color="auto"/>
        <w:right w:val="none" w:sz="0" w:space="0" w:color="auto"/>
      </w:divBdr>
      <w:divsChild>
        <w:div w:id="1976622">
          <w:marLeft w:val="0"/>
          <w:marRight w:val="0"/>
          <w:marTop w:val="0"/>
          <w:marBottom w:val="0"/>
          <w:divBdr>
            <w:top w:val="none" w:sz="0" w:space="0" w:color="auto"/>
            <w:left w:val="none" w:sz="0" w:space="0" w:color="auto"/>
            <w:bottom w:val="none" w:sz="0" w:space="0" w:color="auto"/>
            <w:right w:val="none" w:sz="0" w:space="0" w:color="auto"/>
          </w:divBdr>
          <w:divsChild>
            <w:div w:id="387535651">
              <w:marLeft w:val="0"/>
              <w:marRight w:val="0"/>
              <w:marTop w:val="0"/>
              <w:marBottom w:val="0"/>
              <w:divBdr>
                <w:top w:val="none" w:sz="0" w:space="0" w:color="auto"/>
                <w:left w:val="none" w:sz="0" w:space="0" w:color="auto"/>
                <w:bottom w:val="none" w:sz="0" w:space="0" w:color="auto"/>
                <w:right w:val="none" w:sz="0" w:space="0" w:color="auto"/>
              </w:divBdr>
              <w:divsChild>
                <w:div w:id="926891340">
                  <w:marLeft w:val="0"/>
                  <w:marRight w:val="0"/>
                  <w:marTop w:val="0"/>
                  <w:marBottom w:val="0"/>
                  <w:divBdr>
                    <w:top w:val="none" w:sz="0" w:space="0" w:color="auto"/>
                    <w:left w:val="none" w:sz="0" w:space="0" w:color="auto"/>
                    <w:bottom w:val="none" w:sz="0" w:space="0" w:color="auto"/>
                    <w:right w:val="none" w:sz="0" w:space="0" w:color="auto"/>
                  </w:divBdr>
                  <w:divsChild>
                    <w:div w:id="901529099">
                      <w:marLeft w:val="1"/>
                      <w:marRight w:val="1"/>
                      <w:marTop w:val="0"/>
                      <w:marBottom w:val="0"/>
                      <w:divBdr>
                        <w:top w:val="none" w:sz="0" w:space="0" w:color="auto"/>
                        <w:left w:val="none" w:sz="0" w:space="0" w:color="auto"/>
                        <w:bottom w:val="none" w:sz="0" w:space="0" w:color="auto"/>
                        <w:right w:val="none" w:sz="0" w:space="0" w:color="auto"/>
                      </w:divBdr>
                      <w:divsChild>
                        <w:div w:id="1489441851">
                          <w:marLeft w:val="0"/>
                          <w:marRight w:val="0"/>
                          <w:marTop w:val="0"/>
                          <w:marBottom w:val="0"/>
                          <w:divBdr>
                            <w:top w:val="none" w:sz="0" w:space="0" w:color="auto"/>
                            <w:left w:val="none" w:sz="0" w:space="0" w:color="auto"/>
                            <w:bottom w:val="none" w:sz="0" w:space="0" w:color="auto"/>
                            <w:right w:val="none" w:sz="0" w:space="0" w:color="auto"/>
                          </w:divBdr>
                          <w:divsChild>
                            <w:div w:id="1035539760">
                              <w:marLeft w:val="0"/>
                              <w:marRight w:val="0"/>
                              <w:marTop w:val="0"/>
                              <w:marBottom w:val="360"/>
                              <w:divBdr>
                                <w:top w:val="none" w:sz="0" w:space="0" w:color="auto"/>
                                <w:left w:val="none" w:sz="0" w:space="0" w:color="auto"/>
                                <w:bottom w:val="none" w:sz="0" w:space="0" w:color="auto"/>
                                <w:right w:val="none" w:sz="0" w:space="0" w:color="auto"/>
                              </w:divBdr>
                              <w:divsChild>
                                <w:div w:id="1853565866">
                                  <w:marLeft w:val="0"/>
                                  <w:marRight w:val="0"/>
                                  <w:marTop w:val="0"/>
                                  <w:marBottom w:val="0"/>
                                  <w:divBdr>
                                    <w:top w:val="none" w:sz="0" w:space="0" w:color="auto"/>
                                    <w:left w:val="none" w:sz="0" w:space="0" w:color="auto"/>
                                    <w:bottom w:val="none" w:sz="0" w:space="0" w:color="auto"/>
                                    <w:right w:val="none" w:sz="0" w:space="0" w:color="auto"/>
                                  </w:divBdr>
                                  <w:divsChild>
                                    <w:div w:id="903490522">
                                      <w:marLeft w:val="0"/>
                                      <w:marRight w:val="0"/>
                                      <w:marTop w:val="0"/>
                                      <w:marBottom w:val="0"/>
                                      <w:divBdr>
                                        <w:top w:val="none" w:sz="0" w:space="0" w:color="auto"/>
                                        <w:left w:val="none" w:sz="0" w:space="0" w:color="auto"/>
                                        <w:bottom w:val="none" w:sz="0" w:space="0" w:color="auto"/>
                                        <w:right w:val="none" w:sz="0" w:space="0" w:color="auto"/>
                                      </w:divBdr>
                                      <w:divsChild>
                                        <w:div w:id="35933528">
                                          <w:marLeft w:val="0"/>
                                          <w:marRight w:val="0"/>
                                          <w:marTop w:val="0"/>
                                          <w:marBottom w:val="0"/>
                                          <w:divBdr>
                                            <w:top w:val="none" w:sz="0" w:space="0" w:color="auto"/>
                                            <w:left w:val="none" w:sz="0" w:space="0" w:color="auto"/>
                                            <w:bottom w:val="none" w:sz="0" w:space="0" w:color="auto"/>
                                            <w:right w:val="none" w:sz="0" w:space="0" w:color="auto"/>
                                          </w:divBdr>
                                          <w:divsChild>
                                            <w:div w:id="207953825">
                                              <w:marLeft w:val="0"/>
                                              <w:marRight w:val="0"/>
                                              <w:marTop w:val="0"/>
                                              <w:marBottom w:val="0"/>
                                              <w:divBdr>
                                                <w:top w:val="none" w:sz="0" w:space="0" w:color="auto"/>
                                                <w:left w:val="none" w:sz="0" w:space="0" w:color="auto"/>
                                                <w:bottom w:val="none" w:sz="0" w:space="0" w:color="auto"/>
                                                <w:right w:val="none" w:sz="0" w:space="0" w:color="auto"/>
                                              </w:divBdr>
                                              <w:divsChild>
                                                <w:div w:id="1185828166">
                                                  <w:marLeft w:val="0"/>
                                                  <w:marRight w:val="0"/>
                                                  <w:marTop w:val="0"/>
                                                  <w:marBottom w:val="0"/>
                                                  <w:divBdr>
                                                    <w:top w:val="none" w:sz="0" w:space="0" w:color="auto"/>
                                                    <w:left w:val="none" w:sz="0" w:space="0" w:color="auto"/>
                                                    <w:bottom w:val="none" w:sz="0" w:space="0" w:color="auto"/>
                                                    <w:right w:val="none" w:sz="0" w:space="0" w:color="auto"/>
                                                  </w:divBdr>
                                                  <w:divsChild>
                                                    <w:div w:id="1221210934">
                                                      <w:marLeft w:val="0"/>
                                                      <w:marRight w:val="0"/>
                                                      <w:marTop w:val="0"/>
                                                      <w:marBottom w:val="0"/>
                                                      <w:divBdr>
                                                        <w:top w:val="none" w:sz="0" w:space="0" w:color="auto"/>
                                                        <w:left w:val="none" w:sz="0" w:space="0" w:color="auto"/>
                                                        <w:bottom w:val="none" w:sz="0" w:space="0" w:color="auto"/>
                                                        <w:right w:val="none" w:sz="0" w:space="0" w:color="auto"/>
                                                      </w:divBdr>
                                                      <w:divsChild>
                                                        <w:div w:id="541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011856">
      <w:bodyDiv w:val="1"/>
      <w:marLeft w:val="0"/>
      <w:marRight w:val="0"/>
      <w:marTop w:val="0"/>
      <w:marBottom w:val="0"/>
      <w:divBdr>
        <w:top w:val="none" w:sz="0" w:space="0" w:color="auto"/>
        <w:left w:val="none" w:sz="0" w:space="0" w:color="auto"/>
        <w:bottom w:val="none" w:sz="0" w:space="0" w:color="auto"/>
        <w:right w:val="none" w:sz="0" w:space="0" w:color="auto"/>
      </w:divBdr>
    </w:div>
    <w:div w:id="1870339606">
      <w:bodyDiv w:val="1"/>
      <w:marLeft w:val="0"/>
      <w:marRight w:val="0"/>
      <w:marTop w:val="0"/>
      <w:marBottom w:val="0"/>
      <w:divBdr>
        <w:top w:val="none" w:sz="0" w:space="0" w:color="auto"/>
        <w:left w:val="none" w:sz="0" w:space="0" w:color="auto"/>
        <w:bottom w:val="none" w:sz="0" w:space="0" w:color="auto"/>
        <w:right w:val="none" w:sz="0" w:space="0" w:color="auto"/>
      </w:divBdr>
    </w:div>
    <w:div w:id="2128501330">
      <w:bodyDiv w:val="1"/>
      <w:marLeft w:val="0"/>
      <w:marRight w:val="0"/>
      <w:marTop w:val="0"/>
      <w:marBottom w:val="0"/>
      <w:divBdr>
        <w:top w:val="none" w:sz="0" w:space="0" w:color="auto"/>
        <w:left w:val="none" w:sz="0" w:space="0" w:color="auto"/>
        <w:bottom w:val="none" w:sz="0" w:space="0" w:color="auto"/>
        <w:right w:val="none" w:sz="0" w:space="0" w:color="auto"/>
      </w:divBdr>
      <w:divsChild>
        <w:div w:id="1389958619">
          <w:marLeft w:val="0"/>
          <w:marRight w:val="0"/>
          <w:marTop w:val="0"/>
          <w:marBottom w:val="0"/>
          <w:divBdr>
            <w:top w:val="none" w:sz="0" w:space="0" w:color="auto"/>
            <w:left w:val="none" w:sz="0" w:space="0" w:color="auto"/>
            <w:bottom w:val="none" w:sz="0" w:space="0" w:color="auto"/>
            <w:right w:val="none" w:sz="0" w:space="0" w:color="auto"/>
          </w:divBdr>
          <w:divsChild>
            <w:div w:id="394008156">
              <w:marLeft w:val="0"/>
              <w:marRight w:val="0"/>
              <w:marTop w:val="0"/>
              <w:marBottom w:val="0"/>
              <w:divBdr>
                <w:top w:val="none" w:sz="0" w:space="0" w:color="auto"/>
                <w:left w:val="none" w:sz="0" w:space="0" w:color="auto"/>
                <w:bottom w:val="none" w:sz="0" w:space="0" w:color="auto"/>
                <w:right w:val="none" w:sz="0" w:space="0" w:color="auto"/>
              </w:divBdr>
              <w:divsChild>
                <w:div w:id="2097558405">
                  <w:marLeft w:val="0"/>
                  <w:marRight w:val="0"/>
                  <w:marTop w:val="0"/>
                  <w:marBottom w:val="0"/>
                  <w:divBdr>
                    <w:top w:val="none" w:sz="0" w:space="0" w:color="auto"/>
                    <w:left w:val="none" w:sz="0" w:space="0" w:color="auto"/>
                    <w:bottom w:val="none" w:sz="0" w:space="0" w:color="auto"/>
                    <w:right w:val="none" w:sz="0" w:space="0" w:color="auto"/>
                  </w:divBdr>
                  <w:divsChild>
                    <w:div w:id="2112163594">
                      <w:marLeft w:val="1"/>
                      <w:marRight w:val="1"/>
                      <w:marTop w:val="0"/>
                      <w:marBottom w:val="0"/>
                      <w:divBdr>
                        <w:top w:val="none" w:sz="0" w:space="0" w:color="auto"/>
                        <w:left w:val="none" w:sz="0" w:space="0" w:color="auto"/>
                        <w:bottom w:val="none" w:sz="0" w:space="0" w:color="auto"/>
                        <w:right w:val="none" w:sz="0" w:space="0" w:color="auto"/>
                      </w:divBdr>
                      <w:divsChild>
                        <w:div w:id="1836803075">
                          <w:marLeft w:val="0"/>
                          <w:marRight w:val="0"/>
                          <w:marTop w:val="0"/>
                          <w:marBottom w:val="0"/>
                          <w:divBdr>
                            <w:top w:val="none" w:sz="0" w:space="0" w:color="auto"/>
                            <w:left w:val="none" w:sz="0" w:space="0" w:color="auto"/>
                            <w:bottom w:val="none" w:sz="0" w:space="0" w:color="auto"/>
                            <w:right w:val="none" w:sz="0" w:space="0" w:color="auto"/>
                          </w:divBdr>
                          <w:divsChild>
                            <w:div w:id="464466393">
                              <w:marLeft w:val="0"/>
                              <w:marRight w:val="0"/>
                              <w:marTop w:val="0"/>
                              <w:marBottom w:val="360"/>
                              <w:divBdr>
                                <w:top w:val="none" w:sz="0" w:space="0" w:color="auto"/>
                                <w:left w:val="none" w:sz="0" w:space="0" w:color="auto"/>
                                <w:bottom w:val="none" w:sz="0" w:space="0" w:color="auto"/>
                                <w:right w:val="none" w:sz="0" w:space="0" w:color="auto"/>
                              </w:divBdr>
                              <w:divsChild>
                                <w:div w:id="1389953782">
                                  <w:marLeft w:val="0"/>
                                  <w:marRight w:val="0"/>
                                  <w:marTop w:val="0"/>
                                  <w:marBottom w:val="0"/>
                                  <w:divBdr>
                                    <w:top w:val="none" w:sz="0" w:space="0" w:color="auto"/>
                                    <w:left w:val="none" w:sz="0" w:space="0" w:color="auto"/>
                                    <w:bottom w:val="none" w:sz="0" w:space="0" w:color="auto"/>
                                    <w:right w:val="none" w:sz="0" w:space="0" w:color="auto"/>
                                  </w:divBdr>
                                  <w:divsChild>
                                    <w:div w:id="1127964767">
                                      <w:marLeft w:val="0"/>
                                      <w:marRight w:val="0"/>
                                      <w:marTop w:val="0"/>
                                      <w:marBottom w:val="0"/>
                                      <w:divBdr>
                                        <w:top w:val="none" w:sz="0" w:space="0" w:color="auto"/>
                                        <w:left w:val="none" w:sz="0" w:space="0" w:color="auto"/>
                                        <w:bottom w:val="none" w:sz="0" w:space="0" w:color="auto"/>
                                        <w:right w:val="none" w:sz="0" w:space="0" w:color="auto"/>
                                      </w:divBdr>
                                      <w:divsChild>
                                        <w:div w:id="936982517">
                                          <w:marLeft w:val="0"/>
                                          <w:marRight w:val="0"/>
                                          <w:marTop w:val="0"/>
                                          <w:marBottom w:val="0"/>
                                          <w:divBdr>
                                            <w:top w:val="none" w:sz="0" w:space="0" w:color="auto"/>
                                            <w:left w:val="none" w:sz="0" w:space="0" w:color="auto"/>
                                            <w:bottom w:val="none" w:sz="0" w:space="0" w:color="auto"/>
                                            <w:right w:val="none" w:sz="0" w:space="0" w:color="auto"/>
                                          </w:divBdr>
                                          <w:divsChild>
                                            <w:div w:id="1012218508">
                                              <w:marLeft w:val="0"/>
                                              <w:marRight w:val="0"/>
                                              <w:marTop w:val="0"/>
                                              <w:marBottom w:val="0"/>
                                              <w:divBdr>
                                                <w:top w:val="none" w:sz="0" w:space="0" w:color="auto"/>
                                                <w:left w:val="none" w:sz="0" w:space="0" w:color="auto"/>
                                                <w:bottom w:val="none" w:sz="0" w:space="0" w:color="auto"/>
                                                <w:right w:val="none" w:sz="0" w:space="0" w:color="auto"/>
                                              </w:divBdr>
                                              <w:divsChild>
                                                <w:div w:id="1746603901">
                                                  <w:marLeft w:val="0"/>
                                                  <w:marRight w:val="0"/>
                                                  <w:marTop w:val="0"/>
                                                  <w:marBottom w:val="0"/>
                                                  <w:divBdr>
                                                    <w:top w:val="none" w:sz="0" w:space="0" w:color="auto"/>
                                                    <w:left w:val="none" w:sz="0" w:space="0" w:color="auto"/>
                                                    <w:bottom w:val="none" w:sz="0" w:space="0" w:color="auto"/>
                                                    <w:right w:val="none" w:sz="0" w:space="0" w:color="auto"/>
                                                  </w:divBdr>
                                                  <w:divsChild>
                                                    <w:div w:id="336544485">
                                                      <w:marLeft w:val="0"/>
                                                      <w:marRight w:val="0"/>
                                                      <w:marTop w:val="0"/>
                                                      <w:marBottom w:val="0"/>
                                                      <w:divBdr>
                                                        <w:top w:val="none" w:sz="0" w:space="0" w:color="auto"/>
                                                        <w:left w:val="none" w:sz="0" w:space="0" w:color="auto"/>
                                                        <w:bottom w:val="none" w:sz="0" w:space="0" w:color="auto"/>
                                                        <w:right w:val="none" w:sz="0" w:space="0" w:color="auto"/>
                                                      </w:divBdr>
                                                      <w:divsChild>
                                                        <w:div w:id="12545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2.jpeg"/><Relationship Id="rId39" Type="http://schemas.openxmlformats.org/officeDocument/2006/relationships/hyperlink" Target="https://www.europeandataportal.eu/sites/default/files/analytical_report_n9_economic_benefits_of_open_data.pdf" TargetMode="External"/><Relationship Id="rId21" Type="http://schemas.openxmlformats.org/officeDocument/2006/relationships/header" Target="header5.xml"/><Relationship Id="rId34" Type="http://schemas.openxmlformats.org/officeDocument/2006/relationships/hyperlink" Target="http://sdfe.dk/media/2917052/20170317-the-impact-of-the-open-geographical-data-management-summary-version-13-pwc-qrvkvdr.pdf" TargetMode="External"/><Relationship Id="rId42" Type="http://schemas.openxmlformats.org/officeDocument/2006/relationships/hyperlink" Target="https://www.law.kuleuven.be/citip/en/docs/publications/719inspire2f90.pdf" TargetMode="External"/><Relationship Id="rId47" Type="http://schemas.openxmlformats.org/officeDocument/2006/relationships/hyperlink" Target="https://theodi.org/research-economic-value-open-paid-data" TargetMode="External"/><Relationship Id="rId50" Type="http://schemas.openxmlformats.org/officeDocument/2006/relationships/hyperlink" Target="https://www.gov.uk/government/uploads/system/uploads/attachment_data/file/198752/13-744-shakespeare-review-of-public-sector-information.pdf" TargetMode="External"/><Relationship Id="rId55" Type="http://schemas.openxmlformats.org/officeDocument/2006/relationships/header" Target="header7.xm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5.png"/><Relationship Id="rId41" Type="http://schemas.openxmlformats.org/officeDocument/2006/relationships/hyperlink" Target="http://www.ands.org.au/working-with-data/articulating-the-value-of-open-data/costs-and-benefits-of-data-provision" TargetMode="External"/><Relationship Id="rId54" Type="http://schemas.openxmlformats.org/officeDocument/2006/relationships/hyperlink" Target="https://www.nap.edu/catalog/12687/the-socioeconomic-effects-of-public-sector-information-on-digital-network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chart" Target="charts/chart3.xml"/><Relationship Id="rId37" Type="http://schemas.openxmlformats.org/officeDocument/2006/relationships/hyperlink" Target="https://a2528ba5-a-c3c32646-s-sites.googlegroups.com/a/open-evidence.com/download/repository/SMART20130063_Final%20Report_030417_2.pdf?attachauth=ANoY7cqfQr79x6OowAjJUkJgS-qZyc3dkemSFqn5LG_gZHt8nIJmQVPrRyUo5b4K17K5tCRBUFNSUo-xow8cw4_X5AhY_gOFF7LdqSlYvCG_HxdAVeHeEJYSA63vJLDnDTgdn7MZNkp8l6y6eGcUY-uNVcb1J9k1cFYoV-zbNauRXFw7fxoq8kKze10uSqUNhwUf6cpI6xxD6_xwdLqpvcMEvwhoCmDcL5F8NTz1UZmR2o4l2sV5kl6VfMzWyOMcvL90EtxlXCsG&amp;attredirects=0" TargetMode="External"/><Relationship Id="rId40" Type="http://schemas.openxmlformats.org/officeDocument/2006/relationships/hyperlink" Target="https://www.etla.fi/wp-content/uploads/VNK_2017_40.pdf" TargetMode="External"/><Relationship Id="rId45" Type="http://schemas.openxmlformats.org/officeDocument/2006/relationships/hyperlink" Target="http://www.ontsi.red.es/ontsi/sites/ontsi/files/Characterization%20of%20the%20Spanish%20Infomediary%20Sector.%20Executive%20Summary.%20Ed.2016.pdf" TargetMode="External"/><Relationship Id="rId53" Type="http://schemas.openxmlformats.org/officeDocument/2006/relationships/hyperlink" Target="http://opendatabarometer.org/doc/4thEdition/ODB-4thEdition-GlobalReport.pdf" TargetMode="External"/><Relationship Id="rId58"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4.png"/><Relationship Id="rId36" Type="http://schemas.openxmlformats.org/officeDocument/2006/relationships/hyperlink" Target="https://ec.europa.eu/digital-single-market/news/final-report-study-egovernment-and-reduction-administrative-burden-smart-20120061" TargetMode="External"/><Relationship Id="rId49" Type="http://schemas.openxmlformats.org/officeDocument/2006/relationships/hyperlink" Target="https://blog.okfn.org/2017/05/31/open-data-quality-the-next-shift-in-open-data/" TargetMode="External"/><Relationship Id="rId57" Type="http://schemas.openxmlformats.org/officeDocument/2006/relationships/footer" Target="footer7.xm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chart" Target="charts/chart2.xml"/><Relationship Id="rId44" Type="http://schemas.openxmlformats.org/officeDocument/2006/relationships/hyperlink" Target="https://www.etla.fi/wp-content/uploads/2012/09/dp1260.pdf" TargetMode="External"/><Relationship Id="rId52" Type="http://schemas.openxmlformats.org/officeDocument/2006/relationships/hyperlink" Target="http://www.worldbank.org/content/dam/Worldbank/document/Open-Data-for-Economic-Growth.pdf" TargetMode="External"/><Relationship Id="rId60"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chart" Target="charts/chart1.xml"/><Relationship Id="rId35" Type="http://schemas.openxmlformats.org/officeDocument/2006/relationships/hyperlink" Target="https://ec.europa.eu/digital-single-market/en/news/pricing-public-sector-information-study-popsis-models-supply-and-charging-public-sector" TargetMode="External"/><Relationship Id="rId43" Type="http://schemas.openxmlformats.org/officeDocument/2006/relationships/hyperlink" Target="https://blog.okfn.org/2013/04/19/the-new-psi-directive-as-good-as-it-seems/" TargetMode="External"/><Relationship Id="rId48" Type="http://schemas.openxmlformats.org/officeDocument/2006/relationships/hyperlink" Target="https://theodi.org/blog/exploring-open-data-quality" TargetMode="External"/><Relationship Id="rId56" Type="http://schemas.openxmlformats.org/officeDocument/2006/relationships/header" Target="header8.xml"/><Relationship Id="rId64" Type="http://schemas.microsoft.com/office/2011/relationships/commentsExtended" Target="commentsExtended.xml"/><Relationship Id="rId8" Type="http://schemas.microsoft.com/office/2007/relationships/stylesWithEffects" Target="stylesWithEffects.xml"/><Relationship Id="rId51" Type="http://schemas.openxmlformats.org/officeDocument/2006/relationships/hyperlink" Target="http://ijsdir.jrc.ec.europa.eu/index.php/ijsdir/article/view/353"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adresseinfo.dk/Portals/2/Benefit/Value_Assessment_Danish_Address_Data_UK_2010-07-07b.pdf" TargetMode="External"/><Relationship Id="rId38" Type="http://schemas.openxmlformats.org/officeDocument/2006/relationships/hyperlink" Target="https://www.europeandataportal.eu/sites/default/files/edp_landscaping_insight_report_n3_2017.pdf" TargetMode="External"/><Relationship Id="rId46" Type="http://schemas.openxmlformats.org/officeDocument/2006/relationships/hyperlink" Target="https://theodi.org/blog/estimating-the-cost-of-a-government-open-data-initiative" TargetMode="External"/><Relationship Id="rId59" Type="http://schemas.openxmlformats.org/officeDocument/2006/relationships/header" Target="header9.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info/law/better-regulation/initiatives/ares-2017-4540429_en" TargetMode="External"/><Relationship Id="rId18" Type="http://schemas.openxmlformats.org/officeDocument/2006/relationships/hyperlink" Target="https://opendatacharter.net/resource/g8-open-data-charter/" TargetMode="External"/><Relationship Id="rId26" Type="http://schemas.openxmlformats.org/officeDocument/2006/relationships/hyperlink" Target="https://www.europeandataportal.eu/sites/default/files/edp_landscaping_insight_report_n3_2017.pdf" TargetMode="External"/><Relationship Id="rId39" Type="http://schemas.openxmlformats.org/officeDocument/2006/relationships/hyperlink" Target="https://centrumcyfrowe.pl/wp-content/uploads/2017/09/e-1.pdf" TargetMode="External"/><Relationship Id="rId21" Type="http://schemas.openxmlformats.org/officeDocument/2006/relationships/hyperlink" Target="https://www.lvm.fi/documents/20181/937315/Factsheet+57-2017+Act+on+Transport+Services.pdf/bd002762-a6a0-4867-bb49-5c1b86069380" TargetMode="External"/><Relationship Id="rId34" Type="http://schemas.openxmlformats.org/officeDocument/2006/relationships/hyperlink" Target="https://www.europeandataportal.eu/data/en/statistics/evolution" TargetMode="External"/><Relationship Id="rId42" Type="http://schemas.openxmlformats.org/officeDocument/2006/relationships/hyperlink" Target="https://opendataincubator.eu/files/2017/07/ODINE_Final-report_2.0.pdf" TargetMode="External"/><Relationship Id="rId47" Type="http://schemas.openxmlformats.org/officeDocument/2006/relationships/hyperlink" Target="http://www.adresseinfo.dk/Portals/2/Benefit/Value_Assessment_Danish_Address_Data_UK_2010-07-07b.pdf" TargetMode="External"/><Relationship Id="rId50" Type="http://schemas.openxmlformats.org/officeDocument/2006/relationships/hyperlink" Target="https://www.etla.fi/wpcontent/uploads/VNK_2017_40.pdf" TargetMode="External"/><Relationship Id="rId55" Type="http://schemas.openxmlformats.org/officeDocument/2006/relationships/hyperlink" Target="https://theodi.org/blog/estimating-the-cost-of-a-government-open-data-initiative" TargetMode="External"/><Relationship Id="rId63" Type="http://schemas.openxmlformats.org/officeDocument/2006/relationships/hyperlink" Target="http://eur-lex.europa.eu/legal-content/EN/ALL/?uri=CELEX:32007L0002" TargetMode="External"/><Relationship Id="rId68" Type="http://schemas.openxmlformats.org/officeDocument/2006/relationships/hyperlink" Target="http://eur-lex.europa.eu/legal-content/en/TXT/?uri=CELEX%3A31996L0009" TargetMode="External"/><Relationship Id="rId76" Type="http://schemas.openxmlformats.org/officeDocument/2006/relationships/hyperlink" Target="http://eur-lex.europa.eu/legal-content/en/TXT/?uri=CELEX:32013L0037" TargetMode="External"/><Relationship Id="rId7" Type="http://schemas.openxmlformats.org/officeDocument/2006/relationships/hyperlink" Target="https://www.europeandataportal.eu/en/dashboard" TargetMode="External"/><Relationship Id="rId71" Type="http://schemas.openxmlformats.org/officeDocument/2006/relationships/hyperlink" Target="http://ec.europa.eu/internal_market/copyright/docs/databases/evaluation_report_en.pdf" TargetMode="External"/><Relationship Id="rId2" Type="http://schemas.openxmlformats.org/officeDocument/2006/relationships/hyperlink" Target="http://eur-lex.europa.eu/legal-content/EN/TXT/?uri=COM:2017:228:FIN" TargetMode="External"/><Relationship Id="rId16" Type="http://schemas.openxmlformats.org/officeDocument/2006/relationships/hyperlink" Target="https://www.europeandataportal.eu/en/dashboard" TargetMode="External"/><Relationship Id="rId29" Type="http://schemas.openxmlformats.org/officeDocument/2006/relationships/hyperlink" Target="https://www.europeandataportal.eu/sites/default/files/edp_landscaping_insight_report_n3_2017.pdf" TargetMode="External"/><Relationship Id="rId11" Type="http://schemas.openxmlformats.org/officeDocument/2006/relationships/hyperlink" Target="https://www.europeandataportal.eu/sites/default/files/edp_landscaping_insight_report_n3_2017.pdf" TargetMode="External"/><Relationship Id="rId24" Type="http://schemas.openxmlformats.org/officeDocument/2006/relationships/hyperlink" Target="https://opendataincubator.eu/files/2016/01/D6.3-Final.pdf" TargetMode="External"/><Relationship Id="rId32" Type="http://schemas.openxmlformats.org/officeDocument/2006/relationships/hyperlink" Target="https://index.okfn.org/" TargetMode="External"/><Relationship Id="rId37" Type="http://schemas.openxmlformats.org/officeDocument/2006/relationships/hyperlink" Target="https://www.europeandataportal.eu/en/highlights/open-data-maturity-europe-2017" TargetMode="External"/><Relationship Id="rId40" Type="http://schemas.openxmlformats.org/officeDocument/2006/relationships/hyperlink" Target="http://eur-lex.europa.eu/LexUriServ/LexUriServ.do?uri=OJ:L:2013:175:0001:0008:EN:PDF" TargetMode="External"/><Relationship Id="rId45" Type="http://schemas.openxmlformats.org/officeDocument/2006/relationships/hyperlink" Target="https://ec.europa.eu/digital-single-market/en/news/summary-report-public-consultation-building-european-data-economy" TargetMode="External"/><Relationship Id="rId53" Type="http://schemas.openxmlformats.org/officeDocument/2006/relationships/hyperlink" Target="https://www.digst.dk/~/media/Files/English/Fact_sheet_BasicData_pdf.pdf" TargetMode="External"/><Relationship Id="rId58" Type="http://schemas.openxmlformats.org/officeDocument/2006/relationships/hyperlink" Target="https://vng.nl/onderwerpenindex/dienstverlening-en-informatiebeleid/dienstverlening-aan-inwoners-en-ondernemers/nieuws/aantal-who-verzoeken-is-beperkt-kosten-ook" TargetMode="External"/><Relationship Id="rId66" Type="http://schemas.openxmlformats.org/officeDocument/2006/relationships/hyperlink" Target="http://ec.europa.eu/justice/data-protection/article-29/documentation/opinion-recommendation/files/2013/wp207_en.pdf" TargetMode="External"/><Relationship Id="rId74" Type="http://schemas.openxmlformats.org/officeDocument/2006/relationships/hyperlink" Target="https://www.legifrance.gouv.fr/affichTexte.do;jsessionid=405DBF9B78A1CDE714A9165081545523.tplgfr35s_1?cidTexte=JORFTEXT000033202746&amp;categorieLien=id" TargetMode="External"/><Relationship Id="rId79" Type="http://schemas.openxmlformats.org/officeDocument/2006/relationships/hyperlink" Target="https://www.europeana.eu/portal/en" TargetMode="External"/><Relationship Id="rId5" Type="http://schemas.openxmlformats.org/officeDocument/2006/relationships/hyperlink" Target="http://eur-lex.europa.eu/legal-content/EN/TXT/?uri=celex:52010DC0245" TargetMode="External"/><Relationship Id="rId61" Type="http://schemas.openxmlformats.org/officeDocument/2006/relationships/hyperlink" Target="http://inspire.ec.europa.eu/documents/good-practice-data-and-service-sharing" TargetMode="External"/><Relationship Id="rId10" Type="http://schemas.openxmlformats.org/officeDocument/2006/relationships/hyperlink" Target="http://ec.europa.eu/programmes/horizon2020/en/what-horizon-2020" TargetMode="External"/><Relationship Id="rId19" Type="http://schemas.openxmlformats.org/officeDocument/2006/relationships/hyperlink" Target="https://www.legifrance.gouv.fr/affichLoiPubliee.do?idDocument=JORFDOLE000031589829&amp;type=general&amp;legislature=14" TargetMode="External"/><Relationship Id="rId31" Type="http://schemas.openxmlformats.org/officeDocument/2006/relationships/hyperlink" Target="https://okfn.org/" TargetMode="External"/><Relationship Id="rId44" Type="http://schemas.openxmlformats.org/officeDocument/2006/relationships/hyperlink" Target="https://www.europeandataportal.eu/sites/default/files/edp_landscaping_insight_report_n3_2017.pdf" TargetMode="External"/><Relationship Id="rId52" Type="http://schemas.openxmlformats.org/officeDocument/2006/relationships/hyperlink" Target="https://medicat.io/" TargetMode="External"/><Relationship Id="rId60" Type="http://schemas.openxmlformats.org/officeDocument/2006/relationships/hyperlink" Target="http://ijsdir.jrc.ec.europa.eu/index.php/ijsdir/article/view/353" TargetMode="External"/><Relationship Id="rId65" Type="http://schemas.openxmlformats.org/officeDocument/2006/relationships/hyperlink" Target="http://www.publicamundi.eu/wp-content/uploads/2013/09/D2.1.pdf" TargetMode="External"/><Relationship Id="rId73" Type="http://schemas.openxmlformats.org/officeDocument/2006/relationships/hyperlink" Target="https://ec.europa.eu/info/consultations/public-consultation-database-directive-application-and-impact-0_en" TargetMode="External"/><Relationship Id="rId78" Type="http://schemas.openxmlformats.org/officeDocument/2006/relationships/hyperlink" Target="http://eur-lex.europa.eu/legal-content/EN/ALL/?uri=CELEX:12008E114" TargetMode="External"/><Relationship Id="rId4" Type="http://schemas.openxmlformats.org/officeDocument/2006/relationships/hyperlink" Target="http://eur-lex.europa.eu/legal-content/EN/ALL/?uri=CELEX:32013L0037" TargetMode="External"/><Relationship Id="rId9" Type="http://schemas.openxmlformats.org/officeDocument/2006/relationships/hyperlink" Target="https://ec.europa.eu/info/research-and-innovation_en" TargetMode="External"/><Relationship Id="rId14" Type="http://schemas.openxmlformats.org/officeDocument/2006/relationships/hyperlink" Target="https://ec.europa.eu/info/consultations/public-consultation-review-directive-re-use-public-sector-information-psi-directive_en" TargetMode="External"/><Relationship Id="rId22" Type="http://schemas.openxmlformats.org/officeDocument/2006/relationships/hyperlink" Target="https://a2528ba5-a-c3c32646-s-sites.googlegroups.com/a/open-evidence.com/download/repository/SMART20130063_Final%20Report_030417_2.pdf?attachauth=ANoY7cpcDWFe5A8Sjp5mUlWmg4zXgvNf3W4MP144z3qNH26vy7kegeGO2yfvlHUu4QdijKdQoZzs25EN-1vIjdOyJgOiLzd72yZMh2tEX1QOUgWCUupJ3rburRjtWEQljXUnyLw5NoSU04bzNxjeWo4rsVL4kiVIPdfHrD_OnaMVs1zxZJkKZna29Pyfbj1MYXDsuRax_aRdTkECmMWB0kx43yCBM6CakPzkCz0sFHG75tE93VpnML_ed053nmYP1fS_nfY8IA2l&amp;attredirects=0" TargetMode="External"/><Relationship Id="rId27" Type="http://schemas.openxmlformats.org/officeDocument/2006/relationships/hyperlink" Target="http://www.europeandataportal.eu/" TargetMode="External"/><Relationship Id="rId30" Type="http://schemas.openxmlformats.org/officeDocument/2006/relationships/hyperlink" Target="https://www.europeandataportal.eu/" TargetMode="External"/><Relationship Id="rId35" Type="http://schemas.openxmlformats.org/officeDocument/2006/relationships/hyperlink" Target="http://ec.europa.eu/eurostat/statistics-explained/index.php/Glossary:Knowledge_Intensive_Activity_(KIA)" TargetMode="External"/><Relationship Id="rId43" Type="http://schemas.openxmlformats.org/officeDocument/2006/relationships/hyperlink" Target="https://ec.europa.eu/digital-single-market/en/news/pricing-public-sector-information-study-popsis-models-supply-and-charging-public-sector" TargetMode="External"/><Relationship Id="rId48" Type="http://schemas.openxmlformats.org/officeDocument/2006/relationships/hyperlink" Target="http://sdfe.dk/media/2917052/20170317-the-impact-of-the-open-geographical-data-management-summary-version-13-pwc-qrvkvdr.pdf" TargetMode="External"/><Relationship Id="rId56" Type="http://schemas.openxmlformats.org/officeDocument/2006/relationships/hyperlink" Target="https://theodi.org/blog/exploring-open-data-quality" TargetMode="External"/><Relationship Id="rId64" Type="http://schemas.openxmlformats.org/officeDocument/2006/relationships/hyperlink" Target="https://www.law.kuleuven.be/citip/en/docs/publications/508inspire-and-psi2f90.pdf" TargetMode="External"/><Relationship Id="rId69" Type="http://schemas.openxmlformats.org/officeDocument/2006/relationships/hyperlink" Target="http://ec.europa.eu/internal_market/copyright/prot-databases/index_en.htm" TargetMode="External"/><Relationship Id="rId77" Type="http://schemas.openxmlformats.org/officeDocument/2006/relationships/hyperlink" Target="http://eur-lex.europa.eu/legal-content/EN/TXT/?uri=celex%3A32012L0028" TargetMode="External"/><Relationship Id="rId8" Type="http://schemas.openxmlformats.org/officeDocument/2006/relationships/hyperlink" Target="https://ec.europa.eu/digital-single-market/en/news/commission-notice-guidelines-recommended-standard-licences-datasets-and-charging-re-use" TargetMode="External"/><Relationship Id="rId51" Type="http://schemas.openxmlformats.org/officeDocument/2006/relationships/hyperlink" Target="https://www.europeandataportal.eu/en/using-data/use-cases" TargetMode="External"/><Relationship Id="rId72" Type="http://schemas.openxmlformats.org/officeDocument/2006/relationships/hyperlink" Target="https://www.legifrance.gouv.fr/affichJuriAdmin.do?oldAction=rechJuriAdmin&amp;idTexte=CETATEXT000034017890&amp;fastReqId=803371859&amp;fastPos=1" TargetMode="External"/><Relationship Id="rId80" Type="http://schemas.openxmlformats.org/officeDocument/2006/relationships/hyperlink" Target="https://ec.europa.eu/digital-single-market/en/news/ministerial-declaration-egovernment-tallinn-declaration" TargetMode="External"/><Relationship Id="rId3" Type="http://schemas.openxmlformats.org/officeDocument/2006/relationships/hyperlink" Target="http://eur-lex.europa.eu/legal-content/en/TXT/?uri=CELEX%3A52011PC0877" TargetMode="External"/><Relationship Id="rId12" Type="http://schemas.openxmlformats.org/officeDocument/2006/relationships/hyperlink" Target="https://www.europeandataportal.eu/en/dashboard" TargetMode="External"/><Relationship Id="rId17" Type="http://schemas.openxmlformats.org/officeDocument/2006/relationships/hyperlink" Target="https://ec.europa.eu/digital-single-market/en/implementation-public-sector-information-directive-member-states" TargetMode="External"/><Relationship Id="rId25" Type="http://schemas.openxmlformats.org/officeDocument/2006/relationships/hyperlink" Target="https://www.bikecitizens.net/" TargetMode="External"/><Relationship Id="rId33" Type="http://schemas.openxmlformats.org/officeDocument/2006/relationships/hyperlink" Target="https://pro.europeana.eu/page/usage-statistics-2017-q2" TargetMode="External"/><Relationship Id="rId38" Type="http://schemas.openxmlformats.org/officeDocument/2006/relationships/hyperlink" Target="http://datos.gob.es/es/documentacion/estudios-de-caracterizacion-del-sector-infomediario-2014" TargetMode="External"/><Relationship Id="rId46" Type="http://schemas.openxmlformats.org/officeDocument/2006/relationships/hyperlink" Target="https://a2528ba5-a-c3c32646-s-sites.googlegroups.com/a/open-evidence.com/download/repository/SMART20130063_Final%20Report_030417_2.pdf?attachauth=ANoY7cpcDWFe5A8Sjp5mUlWmg4zXgvNf3W4MP144z3qNH26vy7kegeGO2yfvlHUu4QdijKdQoZzs25EN-1vIjdOyJgOiLzd72yZMh2tEX1QOUgWCUupJ3rburRjtWEQljXUnyLw5NoSU04bzNxjeWo4rsVL4kiVIPdfHrD_OnaMVs1zxZJkKZna29Pyfbj1MYXDsuRax_aRdTkECmMWB0kx43yCBM6CakPzkCz0sFHG75tE93VpnML_ed053nmYP1fS_nfY8IA2l&amp;attredirects=0" TargetMode="External"/><Relationship Id="rId59" Type="http://schemas.openxmlformats.org/officeDocument/2006/relationships/hyperlink" Target="https://ec.europa.eu/digital-single-market/en/news/commission-notice-guidelines-recommended-standard-licences-datasets-and-charging-re-use" TargetMode="External"/><Relationship Id="rId67" Type="http://schemas.openxmlformats.org/officeDocument/2006/relationships/hyperlink" Target="http://eur-lex.europa.eu/legal-content/en/TXT/?uri=CELEX%3A32016R0679" TargetMode="External"/><Relationship Id="rId20" Type="http://schemas.openxmlformats.org/officeDocument/2006/relationships/hyperlink" Target="https://www.lvm.fi/en/-/good-and-flexible-transport-services-through-a-new-act-933155?utm_source=POLITICO.EU&amp;utm_campaign=d68add07e7-EMAIL_CAMPAIGN_2017_12_04&amp;utm_medium=email&amp;utm_term=0_10959edeb5-d68add07e7-190041537" TargetMode="External"/><Relationship Id="rId41" Type="http://schemas.openxmlformats.org/officeDocument/2006/relationships/hyperlink" Target="https://blog.okfn.org/2013/04/19/the-new-psi-directive-as-good-as-it-seems/" TargetMode="External"/><Relationship Id="rId54" Type="http://schemas.openxmlformats.org/officeDocument/2006/relationships/hyperlink" Target="http://eur-lex.europa.eu/legal-content/EN/TXT/?uri=CELEX:02003L0098-20130717" TargetMode="External"/><Relationship Id="rId62" Type="http://schemas.openxmlformats.org/officeDocument/2006/relationships/hyperlink" Target="http://opendatabarometer.org/doc/4thEdition/ODB-4thEdition-GlobalReport.pdf" TargetMode="External"/><Relationship Id="rId70" Type="http://schemas.openxmlformats.org/officeDocument/2006/relationships/hyperlink" Target="http://ec.europa.eu/info/law/better-regulation/initiative/112354/attachment/090166e5b523f50f_en" TargetMode="External"/><Relationship Id="rId75" Type="http://schemas.openxmlformats.org/officeDocument/2006/relationships/hyperlink" Target="http://eur-lex.europa.eu/legal-content/EN/TXT/?uri=CELEX%3A32016L0943" TargetMode="External"/><Relationship Id="rId1" Type="http://schemas.openxmlformats.org/officeDocument/2006/relationships/hyperlink" Target="https://ec.europa.eu/info/better-regulation-guidelines-and-toolbox_en" TargetMode="External"/><Relationship Id="rId6" Type="http://schemas.openxmlformats.org/officeDocument/2006/relationships/hyperlink" Target="http://eur-lex.europa.eu/legal-content/en/TXT/?uri=celex:52010DC2020" TargetMode="External"/><Relationship Id="rId15" Type="http://schemas.openxmlformats.org/officeDocument/2006/relationships/hyperlink" Target="https://ec.europa.eu/digital-single-market/news-redirect/623420" TargetMode="External"/><Relationship Id="rId23" Type="http://schemas.openxmlformats.org/officeDocument/2006/relationships/hyperlink" Target="https://opendataincubator.eu/files/2017/07/ODINE_Final-report_2.0.pdf" TargetMode="External"/><Relationship Id="rId28" Type="http://schemas.openxmlformats.org/officeDocument/2006/relationships/hyperlink" Target="https://www.europeandataportal.eu/en/dashboard" TargetMode="External"/><Relationship Id="rId36" Type="http://schemas.openxmlformats.org/officeDocument/2006/relationships/hyperlink" Target="http://transmetrics.eu/" TargetMode="External"/><Relationship Id="rId49" Type="http://schemas.openxmlformats.org/officeDocument/2006/relationships/hyperlink" Target="http://www.ontsi.red.es/ontsi/sites/ontsi/files/Characterization%20of%20the%20Spanish%20Infomediary%20Sector.%20Executive%20Summary.%20Ed.2016.pdf" TargetMode="External"/><Relationship Id="rId57" Type="http://schemas.openxmlformats.org/officeDocument/2006/relationships/hyperlink" Target="https://blog.okfn.org/2017/05/31/open-data-quality-the-next-shift-in-open-dat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file:///C:\Users\flinz\Desktop\Projekte\DG%20CNECT%20PSI%20Directive\PSI%20Quantification\PSI_Quantification_v0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'Economic value'!$A$1</c:f>
              <c:strCache>
                <c:ptCount val="1"/>
                <c:pt idx="0">
                  <c:v>Direct Economic Value</c:v>
                </c:pt>
              </c:strCache>
            </c:strRef>
          </c:tx>
          <c:marker>
            <c:symbol val="none"/>
          </c:marker>
          <c:cat>
            <c:numRef>
              <c:f>'Economic value'!$B$2:$V$2</c:f>
              <c:numCache>
                <c:formatCode>General</c:formatCode>
                <c:ptCount val="8"/>
                <c:pt idx="0">
                  <c:v>2010</c:v>
                </c:pt>
                <c:pt idx="1">
                  <c:v>2011</c:v>
                </c:pt>
                <c:pt idx="2">
                  <c:v>2012</c:v>
                </c:pt>
                <c:pt idx="3">
                  <c:v>2013</c:v>
                </c:pt>
                <c:pt idx="4">
                  <c:v>2014</c:v>
                </c:pt>
                <c:pt idx="5">
                  <c:v>2015</c:v>
                </c:pt>
                <c:pt idx="6">
                  <c:v>2016</c:v>
                </c:pt>
                <c:pt idx="7">
                  <c:v>2017</c:v>
                </c:pt>
              </c:numCache>
              <c:extLst xmlns:c16r2="http://schemas.microsoft.com/office/drawing/2015/06/chart"/>
            </c:numRef>
          </c:cat>
          <c:val>
            <c:numRef>
              <c:f>'Economic value'!$B$31:$V$31</c:f>
              <c:numCache>
                <c:formatCode>_-* #,##0\ [$€-407]_-;\-* #,##0\ [$€-407]_-;_-* "-"??\ [$€-407]_-;_-@_-</c:formatCode>
                <c:ptCount val="8"/>
                <c:pt idx="0">
                  <c:v>31266970475.804043</c:v>
                </c:pt>
                <c:pt idx="1">
                  <c:v>33548251583.480728</c:v>
                </c:pt>
                <c:pt idx="2">
                  <c:v>35995978093.863449</c:v>
                </c:pt>
                <c:pt idx="3">
                  <c:v>38622294092.128151</c:v>
                </c:pt>
                <c:pt idx="4">
                  <c:v>41440229712.583862</c:v>
                </c:pt>
                <c:pt idx="5">
                  <c:v>44463765786.034195</c:v>
                </c:pt>
                <c:pt idx="6">
                  <c:v>46300394360.3013</c:v>
                </c:pt>
                <c:pt idx="7">
                  <c:v>48873942502.33448</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704E-4B3C-8D7F-1F5F91DE6E72}"/>
            </c:ext>
          </c:extLst>
        </c:ser>
        <c:ser>
          <c:idx val="1"/>
          <c:order val="1"/>
          <c:tx>
            <c:strRef>
              <c:f>'Economic value'!$A$49</c:f>
              <c:strCache>
                <c:ptCount val="1"/>
                <c:pt idx="0">
                  <c:v>Indirect Economic Value</c:v>
                </c:pt>
              </c:strCache>
            </c:strRef>
          </c:tx>
          <c:marker>
            <c:symbol val="none"/>
          </c:marker>
          <c:cat>
            <c:numRef>
              <c:f>'Economic value'!$B$2:$V$2</c:f>
              <c:numCache>
                <c:formatCode>General</c:formatCode>
                <c:ptCount val="8"/>
                <c:pt idx="0">
                  <c:v>2010</c:v>
                </c:pt>
                <c:pt idx="1">
                  <c:v>2011</c:v>
                </c:pt>
                <c:pt idx="2">
                  <c:v>2012</c:v>
                </c:pt>
                <c:pt idx="3">
                  <c:v>2013</c:v>
                </c:pt>
                <c:pt idx="4">
                  <c:v>2014</c:v>
                </c:pt>
                <c:pt idx="5">
                  <c:v>2015</c:v>
                </c:pt>
                <c:pt idx="6">
                  <c:v>2016</c:v>
                </c:pt>
                <c:pt idx="7">
                  <c:v>2017</c:v>
                </c:pt>
              </c:numCache>
              <c:extLst xmlns:c16r2="http://schemas.microsoft.com/office/drawing/2015/06/chart"/>
            </c:numRef>
          </c:cat>
          <c:val>
            <c:numRef>
              <c:f>'Economic value'!$B$79:$V$79</c:f>
              <c:numCache>
                <c:formatCode>_-* #,##0\ [$€-407]_-;\-* #,##0\ [$€-407]_-;_-* "-"??\ [$€-407]_-;_-@_-</c:formatCode>
                <c:ptCount val="8"/>
                <c:pt idx="0">
                  <c:v>109434396665.31412</c:v>
                </c:pt>
                <c:pt idx="1">
                  <c:v>117418880542.18254</c:v>
                </c:pt>
                <c:pt idx="2">
                  <c:v>125985923328.52205</c:v>
                </c:pt>
                <c:pt idx="3">
                  <c:v>135178029322.44855</c:v>
                </c:pt>
                <c:pt idx="4">
                  <c:v>145040803994.04352</c:v>
                </c:pt>
                <c:pt idx="5">
                  <c:v>155623180251.11963</c:v>
                </c:pt>
                <c:pt idx="6">
                  <c:v>162051380261.05453</c:v>
                </c:pt>
                <c:pt idx="7">
                  <c:v>171058798758.17068</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1-704E-4B3C-8D7F-1F5F91DE6E72}"/>
            </c:ext>
          </c:extLst>
        </c:ser>
        <c:ser>
          <c:idx val="2"/>
          <c:order val="2"/>
          <c:tx>
            <c:strRef>
              <c:f>'Economic value'!$A$100</c:f>
              <c:strCache>
                <c:ptCount val="1"/>
                <c:pt idx="0">
                  <c:v>Total Economic Value</c:v>
                </c:pt>
              </c:strCache>
            </c:strRef>
          </c:tx>
          <c:marker>
            <c:symbol val="none"/>
          </c:marker>
          <c:cat>
            <c:numRef>
              <c:f>'Economic value'!$B$2:$V$2</c:f>
              <c:numCache>
                <c:formatCode>General</c:formatCode>
                <c:ptCount val="8"/>
                <c:pt idx="0">
                  <c:v>2010</c:v>
                </c:pt>
                <c:pt idx="1">
                  <c:v>2011</c:v>
                </c:pt>
                <c:pt idx="2">
                  <c:v>2012</c:v>
                </c:pt>
                <c:pt idx="3">
                  <c:v>2013</c:v>
                </c:pt>
                <c:pt idx="4">
                  <c:v>2014</c:v>
                </c:pt>
                <c:pt idx="5">
                  <c:v>2015</c:v>
                </c:pt>
                <c:pt idx="6">
                  <c:v>2016</c:v>
                </c:pt>
                <c:pt idx="7">
                  <c:v>2017</c:v>
                </c:pt>
              </c:numCache>
              <c:extLst xmlns:c16r2="http://schemas.microsoft.com/office/drawing/2015/06/chart"/>
            </c:numRef>
          </c:cat>
          <c:val>
            <c:numRef>
              <c:f>'Economic value'!$B$130:$V$130</c:f>
              <c:numCache>
                <c:formatCode>_-* #,##0\ [$€-407]_-;\-* #,##0\ [$€-407]_-;_-* "-"??\ [$€-407]_-;_-@_-</c:formatCode>
                <c:ptCount val="8"/>
                <c:pt idx="0">
                  <c:v>140701367141.11819</c:v>
                </c:pt>
                <c:pt idx="1">
                  <c:v>150967132125.66327</c:v>
                </c:pt>
                <c:pt idx="2">
                  <c:v>161981901422.3855</c:v>
                </c:pt>
                <c:pt idx="3">
                  <c:v>173800323414.57675</c:v>
                </c:pt>
                <c:pt idx="4">
                  <c:v>186481033706.62738</c:v>
                </c:pt>
                <c:pt idx="5">
                  <c:v>200086946037.15384</c:v>
                </c:pt>
                <c:pt idx="6">
                  <c:v>208351774621.3558</c:v>
                </c:pt>
                <c:pt idx="7">
                  <c:v>219932741260.50519</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2-704E-4B3C-8D7F-1F5F91DE6E72}"/>
            </c:ext>
          </c:extLst>
        </c:ser>
        <c:dLbls>
          <c:showLegendKey val="0"/>
          <c:showVal val="0"/>
          <c:showCatName val="0"/>
          <c:showSerName val="0"/>
          <c:showPercent val="0"/>
          <c:showBubbleSize val="0"/>
        </c:dLbls>
        <c:marker val="1"/>
        <c:smooth val="0"/>
        <c:axId val="66455808"/>
        <c:axId val="86204416"/>
      </c:lineChart>
      <c:catAx>
        <c:axId val="6645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04416"/>
        <c:crosses val="autoZero"/>
        <c:auto val="1"/>
        <c:lblAlgn val="ctr"/>
        <c:lblOffset val="100"/>
        <c:noMultiLvlLbl val="0"/>
      </c:catAx>
      <c:valAx>
        <c:axId val="862044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 [$€-407]_-;\-* #,##0\ [$€-407]_-;_-* &quot;-&quot;??\ [$€-407]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55808"/>
        <c:crosses val="autoZero"/>
        <c:crossBetween val="between"/>
        <c:dispUnits>
          <c:builtInUnit val="billions"/>
          <c:dispUnitsLbl/>
        </c:dispUnits>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'Government Cost savings'!$A$36</c:f>
              <c:strCache>
                <c:ptCount val="1"/>
                <c:pt idx="0">
                  <c:v>Government expenditure</c:v>
                </c:pt>
              </c:strCache>
            </c:strRef>
          </c:tx>
          <c:spPr>
            <a:ln w="28575" cap="rnd">
              <a:solidFill>
                <a:schemeClr val="accent1"/>
              </a:solidFill>
              <a:prstDash val="sysDash"/>
              <a:round/>
            </a:ln>
            <a:effectLst/>
          </c:spPr>
          <c:marker>
            <c:symbol val="none"/>
          </c:marker>
          <c:cat>
            <c:numRef>
              <c:f>'Government Cost savings'!$B$37:$V$37</c:f>
              <c:numCache>
                <c:formatCode>General</c:formatCode>
                <c:ptCount val="8"/>
                <c:pt idx="0">
                  <c:v>2010</c:v>
                </c:pt>
                <c:pt idx="1">
                  <c:v>2011</c:v>
                </c:pt>
                <c:pt idx="2">
                  <c:v>2012</c:v>
                </c:pt>
                <c:pt idx="3">
                  <c:v>2013</c:v>
                </c:pt>
                <c:pt idx="4">
                  <c:v>2014</c:v>
                </c:pt>
                <c:pt idx="5">
                  <c:v>2015</c:v>
                </c:pt>
                <c:pt idx="6">
                  <c:v>2016</c:v>
                </c:pt>
                <c:pt idx="7">
                  <c:v>2017</c:v>
                </c:pt>
              </c:numCache>
              <c:extLst xmlns:c16r2="http://schemas.microsoft.com/office/drawing/2015/06/chart"/>
            </c:numRef>
          </c:cat>
          <c:val>
            <c:numRef>
              <c:f>'Government Cost savings'!$B$66:$V$66</c:f>
              <c:numCache>
                <c:formatCode>_-* #,##0\ [$€-407]_-;\-* #,##0\ [$€-407]_-;_-* "-"??\ [$€-407]_-;_-@_-</c:formatCode>
                <c:ptCount val="8"/>
                <c:pt idx="0">
                  <c:v>5494741725938.499</c:v>
                </c:pt>
                <c:pt idx="1">
                  <c:v>5623958907012.8242</c:v>
                </c:pt>
                <c:pt idx="2">
                  <c:v>5756759248883.1348</c:v>
                </c:pt>
                <c:pt idx="3">
                  <c:v>5893252167019.2568</c:v>
                </c:pt>
                <c:pt idx="4">
                  <c:v>6033551004125.791</c:v>
                </c:pt>
                <c:pt idx="5">
                  <c:v>6177773199999.998</c:v>
                </c:pt>
                <c:pt idx="6">
                  <c:v>6321995395874.2031</c:v>
                </c:pt>
                <c:pt idx="7">
                  <c:v>6470140950516.085</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0915-4D5E-8FF5-DFF6F728E61A}"/>
            </c:ext>
          </c:extLst>
        </c:ser>
        <c:ser>
          <c:idx val="2"/>
          <c:order val="2"/>
          <c:tx>
            <c:strRef>
              <c:f>'Government Additional revenue'!$A$33</c:f>
              <c:strCache>
                <c:ptCount val="1"/>
                <c:pt idx="0">
                  <c:v>Government revenue</c:v>
                </c:pt>
              </c:strCache>
            </c:strRef>
          </c:tx>
          <c:spPr>
            <a:ln w="28575" cap="rnd">
              <a:solidFill>
                <a:schemeClr val="accent3"/>
              </a:solidFill>
              <a:prstDash val="sysDash"/>
              <a:round/>
            </a:ln>
            <a:effectLst/>
          </c:spPr>
          <c:marker>
            <c:symbol val="none"/>
          </c:marker>
          <c:cat>
            <c:numRef>
              <c:f>'Government Cost savings'!$B$37:$V$37</c:f>
              <c:numCache>
                <c:formatCode>General</c:formatCode>
                <c:ptCount val="8"/>
                <c:pt idx="0">
                  <c:v>2010</c:v>
                </c:pt>
                <c:pt idx="1">
                  <c:v>2011</c:v>
                </c:pt>
                <c:pt idx="2">
                  <c:v>2012</c:v>
                </c:pt>
                <c:pt idx="3">
                  <c:v>2013</c:v>
                </c:pt>
                <c:pt idx="4">
                  <c:v>2014</c:v>
                </c:pt>
                <c:pt idx="5">
                  <c:v>2015</c:v>
                </c:pt>
                <c:pt idx="6">
                  <c:v>2016</c:v>
                </c:pt>
                <c:pt idx="7">
                  <c:v>2017</c:v>
                </c:pt>
              </c:numCache>
              <c:extLst xmlns:c16r2="http://schemas.microsoft.com/office/drawing/2015/06/chart"/>
            </c:numRef>
          </c:cat>
          <c:val>
            <c:numRef>
              <c:f>'Government Additional revenue'!$B$63:$V$63</c:f>
              <c:numCache>
                <c:formatCode>_-* #,##0\ [$€-407]_-;\-* #,##0\ [$€-407]_-;_-* "-"??\ [$€-407]_-;_-@_-</c:formatCode>
                <c:ptCount val="8"/>
                <c:pt idx="0">
                  <c:v>5469718351057.291</c:v>
                </c:pt>
                <c:pt idx="1">
                  <c:v>5538980208877.084</c:v>
                </c:pt>
                <c:pt idx="2">
                  <c:v>5610711082031.3506</c:v>
                </c:pt>
                <c:pt idx="3">
                  <c:v>5684965381115.4062</c:v>
                </c:pt>
                <c:pt idx="4">
                  <c:v>5761800703884.9385</c:v>
                </c:pt>
                <c:pt idx="5">
                  <c:v>5843923200000</c:v>
                </c:pt>
                <c:pt idx="6">
                  <c:v>5923461478137.6699</c:v>
                </c:pt>
                <c:pt idx="7">
                  <c:v>6005645000526.7949</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1-0915-4D5E-8FF5-DFF6F728E61A}"/>
            </c:ext>
          </c:extLst>
        </c:ser>
        <c:dLbls>
          <c:showLegendKey val="0"/>
          <c:showVal val="0"/>
          <c:showCatName val="0"/>
          <c:showSerName val="0"/>
          <c:showPercent val="0"/>
          <c:showBubbleSize val="0"/>
        </c:dLbls>
        <c:marker val="1"/>
        <c:smooth val="0"/>
        <c:axId val="121952896"/>
        <c:axId val="145161216"/>
      </c:lineChart>
      <c:lineChart>
        <c:grouping val="standard"/>
        <c:varyColors val="0"/>
        <c:ser>
          <c:idx val="1"/>
          <c:order val="1"/>
          <c:tx>
            <c:strRef>
              <c:f>Costs!$A$1</c:f>
              <c:strCache>
                <c:ptCount val="1"/>
                <c:pt idx="0">
                  <c:v>Total costs for all public stakeholders affected</c:v>
                </c:pt>
              </c:strCache>
            </c:strRef>
          </c:tx>
          <c:spPr>
            <a:ln w="28575" cap="rnd">
              <a:solidFill>
                <a:schemeClr val="accent5"/>
              </a:solidFill>
              <a:round/>
            </a:ln>
            <a:effectLst/>
          </c:spPr>
          <c:marker>
            <c:symbol val="none"/>
          </c:marker>
          <c:cat>
            <c:strLit>
              <c:ptCount val="8"/>
              <c:pt idx="0">
                <c:v> 1   </c:v>
              </c:pt>
              <c:pt idx="1">
                <c:v> 2   </c:v>
              </c:pt>
              <c:pt idx="2">
                <c:v> 3   </c:v>
              </c:pt>
              <c:pt idx="3">
                <c:v> 4   </c:v>
              </c:pt>
              <c:pt idx="4">
                <c:v> 5   </c:v>
              </c:pt>
              <c:pt idx="5">
                <c:v> 6   </c:v>
              </c:pt>
              <c:pt idx="6">
                <c:v> 7   </c:v>
              </c:pt>
              <c:pt idx="7">
                <c:v> 8   </c:v>
              </c:pt>
              <c:extLst>
                <c:ext xmlns:c15="http://schemas.microsoft.com/office/drawing/2012/chart" uri="{02D57815-91ED-43cb-92C2-25804820EDAC}">
                  <c15:autoCat val="1"/>
                </c:ext>
              </c:extLst>
            </c:strLit>
          </c:cat>
          <c:val>
            <c:numRef>
              <c:f>Costs!$B$31:$V$31</c:f>
              <c:numCache>
                <c:formatCode>_-* #,##0\ _€_-;\-* #,##0\ _€_-;_-* "-"??\ _€_-;_-@_-</c:formatCode>
                <c:ptCount val="8"/>
                <c:pt idx="0">
                  <c:v>9753689364.7516022</c:v>
                </c:pt>
                <c:pt idx="1">
                  <c:v>9802702879.1473427</c:v>
                </c:pt>
                <c:pt idx="2">
                  <c:v>9851962692.6103935</c:v>
                </c:pt>
                <c:pt idx="3">
                  <c:v>9901470042.8245144</c:v>
                </c:pt>
                <c:pt idx="4">
                  <c:v>9951226173.6929779</c:v>
                </c:pt>
                <c:pt idx="5">
                  <c:v>10001231558.713272</c:v>
                </c:pt>
                <c:pt idx="6">
                  <c:v>9566324613.7208576</c:v>
                </c:pt>
                <c:pt idx="7">
                  <c:v>9383484498.8781204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2-0915-4D5E-8FF5-DFF6F728E61A}"/>
            </c:ext>
          </c:extLst>
        </c:ser>
        <c:dLbls>
          <c:showLegendKey val="0"/>
          <c:showVal val="0"/>
          <c:showCatName val="0"/>
          <c:showSerName val="0"/>
          <c:showPercent val="0"/>
          <c:showBubbleSize val="0"/>
        </c:dLbls>
        <c:marker val="1"/>
        <c:smooth val="0"/>
        <c:axId val="163144448"/>
        <c:axId val="159327360"/>
      </c:lineChart>
      <c:catAx>
        <c:axId val="12195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61216"/>
        <c:crosses val="autoZero"/>
        <c:auto val="1"/>
        <c:lblAlgn val="ctr"/>
        <c:lblOffset val="100"/>
        <c:noMultiLvlLbl val="0"/>
      </c:catAx>
      <c:valAx>
        <c:axId val="145161216"/>
        <c:scaling>
          <c:orientation val="minMax"/>
        </c:scaling>
        <c:delete val="0"/>
        <c:axPos val="l"/>
        <c:majorGridlines>
          <c:spPr>
            <a:ln w="9525" cap="flat" cmpd="sng" algn="ctr">
              <a:solidFill>
                <a:schemeClr val="tx1">
                  <a:lumMod val="15000"/>
                  <a:lumOff val="85000"/>
                </a:schemeClr>
              </a:solidFill>
              <a:round/>
            </a:ln>
            <a:effectLst/>
          </c:spPr>
        </c:majorGridlines>
        <c:numFmt formatCode="_-* #,##0\ [$€-407]_-;\-* #,##0\ [$€-407]_-;_-* &quot;-&quot;??\ [$€-407]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952896"/>
        <c:crosses val="autoZero"/>
        <c:crossBetween val="between"/>
        <c:majorUnit val="1000000000000"/>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Government Revenue &amp; Expenditure in Billions</a:t>
                  </a:r>
                </a:p>
              </c:rich>
            </c:tx>
            <c:spPr>
              <a:noFill/>
              <a:ln>
                <a:noFill/>
              </a:ln>
              <a:effectLst/>
            </c:spPr>
          </c:dispUnitsLbl>
        </c:dispUnits>
      </c:valAx>
      <c:valAx>
        <c:axId val="159327360"/>
        <c:scaling>
          <c:orientation val="minMax"/>
        </c:scaling>
        <c:delete val="0"/>
        <c:axPos val="r"/>
        <c:numFmt formatCode="_-* #,##0.0\ &quot;€&quot;_-;\-* #,##0.0\ &quot;€&quot;_-;_-* &quot;-&quot;?\ &quot;€&quot;_-;_-@_-"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44448"/>
        <c:crosses val="max"/>
        <c:crossBetween val="between"/>
        <c:majorUnit val="200000000"/>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Total</a:t>
                  </a:r>
                  <a:r>
                    <a:rPr lang="de-DE" baseline="0"/>
                    <a:t> costs to open PSI for all stakeholders in B</a:t>
                  </a:r>
                  <a:r>
                    <a:rPr lang="de-DE"/>
                    <a:t>illions</a:t>
                  </a:r>
                </a:p>
              </c:rich>
            </c:tx>
            <c:spPr>
              <a:noFill/>
              <a:ln>
                <a:noFill/>
              </a:ln>
              <a:effectLst/>
            </c:spPr>
          </c:dispUnitsLbl>
        </c:dispUnits>
      </c:valAx>
      <c:catAx>
        <c:axId val="163144448"/>
        <c:scaling>
          <c:orientation val="minMax"/>
        </c:scaling>
        <c:delete val="1"/>
        <c:axPos val="b"/>
        <c:numFmt formatCode="General" sourceLinked="1"/>
        <c:majorTickMark val="out"/>
        <c:minorTickMark val="none"/>
        <c:tickLblPos val="nextTo"/>
        <c:crossAx val="1593273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'Cost-Benefit comparison'!$A$6</c:f>
              <c:strCache>
                <c:ptCount val="1"/>
                <c:pt idx="0">
                  <c:v>Economic benefits of opening PSI</c:v>
                </c:pt>
              </c:strCache>
            </c:strRef>
          </c:tx>
          <c:spPr>
            <a:ln w="28575" cap="rnd">
              <a:solidFill>
                <a:schemeClr val="accent1"/>
              </a:solidFill>
              <a:round/>
            </a:ln>
            <a:effectLst/>
          </c:spPr>
          <c:marker>
            <c:symbol val="none"/>
          </c:marker>
          <c:cat>
            <c:numRef>
              <c:f>'Cost-Benefit comparison'!$B$2:$I$2</c:f>
              <c:numCache>
                <c:formatCode>General</c:formatCode>
                <c:ptCount val="8"/>
                <c:pt idx="0">
                  <c:v>2010</c:v>
                </c:pt>
                <c:pt idx="1">
                  <c:v>2011</c:v>
                </c:pt>
                <c:pt idx="2">
                  <c:v>2012</c:v>
                </c:pt>
                <c:pt idx="3">
                  <c:v>2013</c:v>
                </c:pt>
                <c:pt idx="4">
                  <c:v>2014</c:v>
                </c:pt>
                <c:pt idx="5">
                  <c:v>2015</c:v>
                </c:pt>
                <c:pt idx="6">
                  <c:v>2016</c:v>
                </c:pt>
                <c:pt idx="7">
                  <c:v>2017</c:v>
                </c:pt>
              </c:numCache>
            </c:numRef>
          </c:cat>
          <c:val>
            <c:numRef>
              <c:f>'Cost-Benefit comparison'!$B$6:$I$6</c:f>
              <c:numCache>
                <c:formatCode>_-* #,##0\ [$€-407]_-;\-* #,##0\ [$€-407]_-;_-* "-"??\ [$€-407]_-;_-@_-</c:formatCode>
                <c:ptCount val="8"/>
                <c:pt idx="0">
                  <c:v>142589383974.12756</c:v>
                </c:pt>
                <c:pt idx="1">
                  <c:v>152865668853.27451</c:v>
                </c:pt>
                <c:pt idx="2">
                  <c:v>163891214576.48996</c:v>
                </c:pt>
                <c:pt idx="3">
                  <c:v>175720674993.93271</c:v>
                </c:pt>
                <c:pt idx="4">
                  <c:v>188412691495.64444</c:v>
                </c:pt>
                <c:pt idx="5">
                  <c:v>202030448461.15384</c:v>
                </c:pt>
                <c:pt idx="6">
                  <c:v>229999696471.11804</c:v>
                </c:pt>
                <c:pt idx="7">
                  <c:v>248563094481.83279</c:v>
                </c:pt>
              </c:numCache>
            </c:numRef>
          </c:val>
          <c:smooth val="0"/>
          <c:extLst xmlns:c16r2="http://schemas.microsoft.com/office/drawing/2015/06/chart">
            <c:ext xmlns:c16="http://schemas.microsoft.com/office/drawing/2014/chart" uri="{C3380CC4-5D6E-409C-BE32-E72D297353CC}">
              <c16:uniqueId val="{00000000-0AD8-4CF3-9E6C-5816D2F75296}"/>
            </c:ext>
          </c:extLst>
        </c:ser>
        <c:dLbls>
          <c:showLegendKey val="0"/>
          <c:showVal val="0"/>
          <c:showCatName val="0"/>
          <c:showSerName val="0"/>
          <c:showPercent val="0"/>
          <c:showBubbleSize val="0"/>
        </c:dLbls>
        <c:marker val="1"/>
        <c:smooth val="0"/>
        <c:axId val="334260864"/>
        <c:axId val="347769856"/>
      </c:lineChart>
      <c:lineChart>
        <c:grouping val="standard"/>
        <c:varyColors val="0"/>
        <c:ser>
          <c:idx val="1"/>
          <c:order val="1"/>
          <c:tx>
            <c:strRef>
              <c:f>'Cost-Benefit comparison'!$A$7</c:f>
              <c:strCache>
                <c:ptCount val="1"/>
                <c:pt idx="0">
                  <c:v>Costs to open PSI</c:v>
                </c:pt>
              </c:strCache>
            </c:strRef>
          </c:tx>
          <c:spPr>
            <a:ln w="28575" cap="rnd">
              <a:solidFill>
                <a:schemeClr val="accent2"/>
              </a:solidFill>
              <a:round/>
            </a:ln>
            <a:effectLst/>
          </c:spPr>
          <c:marker>
            <c:symbol val="none"/>
          </c:marker>
          <c:cat>
            <c:numRef>
              <c:f>'Cost-Benefit comparison'!$B$2:$I$2</c:f>
              <c:numCache>
                <c:formatCode>General</c:formatCode>
                <c:ptCount val="8"/>
                <c:pt idx="0">
                  <c:v>2010</c:v>
                </c:pt>
                <c:pt idx="1">
                  <c:v>2011</c:v>
                </c:pt>
                <c:pt idx="2">
                  <c:v>2012</c:v>
                </c:pt>
                <c:pt idx="3">
                  <c:v>2013</c:v>
                </c:pt>
                <c:pt idx="4">
                  <c:v>2014</c:v>
                </c:pt>
                <c:pt idx="5">
                  <c:v>2015</c:v>
                </c:pt>
                <c:pt idx="6">
                  <c:v>2016</c:v>
                </c:pt>
                <c:pt idx="7">
                  <c:v>2017</c:v>
                </c:pt>
              </c:numCache>
            </c:numRef>
          </c:cat>
          <c:val>
            <c:numRef>
              <c:f>'Cost-Benefit comparison'!$B$7:$I$7</c:f>
              <c:numCache>
                <c:formatCode>_-* #,##0\ [$€-407]_-;\-* #,##0\ [$€-407]_-;_-* "-"??\ [$€-407]_-;_-@_-</c:formatCode>
                <c:ptCount val="8"/>
                <c:pt idx="0">
                  <c:v>9753689364.7516022</c:v>
                </c:pt>
                <c:pt idx="1">
                  <c:v>9802702879.1473427</c:v>
                </c:pt>
                <c:pt idx="2">
                  <c:v>9851962692.6103935</c:v>
                </c:pt>
                <c:pt idx="3">
                  <c:v>9901470042.8245144</c:v>
                </c:pt>
                <c:pt idx="4">
                  <c:v>9951226173.6929779</c:v>
                </c:pt>
                <c:pt idx="5">
                  <c:v>10001231558.713272</c:v>
                </c:pt>
                <c:pt idx="6">
                  <c:v>9566324613.7208576</c:v>
                </c:pt>
                <c:pt idx="7">
                  <c:v>9383484498.8781204</c:v>
                </c:pt>
              </c:numCache>
            </c:numRef>
          </c:val>
          <c:smooth val="0"/>
          <c:extLst xmlns:c16r2="http://schemas.microsoft.com/office/drawing/2015/06/chart">
            <c:ext xmlns:c16="http://schemas.microsoft.com/office/drawing/2014/chart" uri="{C3380CC4-5D6E-409C-BE32-E72D297353CC}">
              <c16:uniqueId val="{00000001-0AD8-4CF3-9E6C-5816D2F75296}"/>
            </c:ext>
          </c:extLst>
        </c:ser>
        <c:dLbls>
          <c:showLegendKey val="0"/>
          <c:showVal val="0"/>
          <c:showCatName val="0"/>
          <c:showSerName val="0"/>
          <c:showPercent val="0"/>
          <c:showBubbleSize val="0"/>
        </c:dLbls>
        <c:marker val="1"/>
        <c:smooth val="0"/>
        <c:axId val="369656576"/>
        <c:axId val="347941504"/>
      </c:lineChart>
      <c:catAx>
        <c:axId val="33426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769856"/>
        <c:crosses val="autoZero"/>
        <c:auto val="1"/>
        <c:lblAlgn val="ctr"/>
        <c:lblOffset val="100"/>
        <c:noMultiLvlLbl val="0"/>
      </c:catAx>
      <c:valAx>
        <c:axId val="347769856"/>
        <c:scaling>
          <c:orientation val="minMax"/>
          <c:min val="100000000000"/>
        </c:scaling>
        <c:delete val="0"/>
        <c:axPos val="l"/>
        <c:majorGridlines>
          <c:spPr>
            <a:ln w="9525" cap="flat" cmpd="sng" algn="ctr">
              <a:solidFill>
                <a:schemeClr val="tx1">
                  <a:lumMod val="15000"/>
                  <a:lumOff val="85000"/>
                </a:schemeClr>
              </a:solidFill>
              <a:round/>
            </a:ln>
            <a:effectLst/>
          </c:spPr>
        </c:majorGridlines>
        <c:numFmt formatCode="_-* #,##0\ [$€-407]_-;\-* #,##0\ [$€-407]_-;_-* &quot;-&quot;??\ [$€-407]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75000"/>
                  </a:schemeClr>
                </a:solidFill>
                <a:latin typeface="+mn-lt"/>
                <a:ea typeface="+mn-ea"/>
                <a:cs typeface="+mn-cs"/>
              </a:defRPr>
            </a:pPr>
            <a:endParaRPr lang="en-US"/>
          </a:p>
        </c:txPr>
        <c:crossAx val="334260864"/>
        <c:crosses val="autoZero"/>
        <c:crossBetween val="between"/>
        <c:majorUnit val="50000000000"/>
        <c:dispUnits>
          <c:builtInUnit val="billions"/>
          <c:dispUnitsLbl>
            <c:tx>
              <c:rich>
                <a:bodyPr rot="-5400000" spcFirstLastPara="1" vertOverflow="ellipsis" vert="horz" wrap="square" anchor="ctr" anchorCtr="1"/>
                <a:lstStyle/>
                <a:p>
                  <a:pPr>
                    <a:defRPr sz="1000" b="0" i="0" u="none" strike="noStrike" kern="1200" baseline="0">
                      <a:solidFill>
                        <a:schemeClr val="accent1">
                          <a:lumMod val="75000"/>
                        </a:schemeClr>
                      </a:solidFill>
                      <a:latin typeface="+mn-lt"/>
                      <a:ea typeface="+mn-ea"/>
                      <a:cs typeface="+mn-cs"/>
                    </a:defRPr>
                  </a:pPr>
                  <a:r>
                    <a:rPr lang="de-DE">
                      <a:solidFill>
                        <a:schemeClr val="accent1">
                          <a:lumMod val="75000"/>
                        </a:schemeClr>
                      </a:solidFill>
                    </a:rPr>
                    <a:t>Billions</a:t>
                  </a:r>
                </a:p>
              </c:rich>
            </c:tx>
            <c:spPr>
              <a:noFill/>
              <a:ln>
                <a:noFill/>
              </a:ln>
              <a:effectLst/>
            </c:spPr>
          </c:dispUnitsLbl>
        </c:dispUnits>
      </c:valAx>
      <c:valAx>
        <c:axId val="347941504"/>
        <c:scaling>
          <c:orientation val="minMax"/>
          <c:min val="9300000000"/>
        </c:scaling>
        <c:delete val="0"/>
        <c:axPos val="r"/>
        <c:numFmt formatCode="_-* #,##0.0\ [$€-407]_-;\-* #,##0.0\ [$€-407]_-;_-* &quot;-&quot;?\ [$€-407]_-;_-@_-"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656576"/>
        <c:crosses val="max"/>
        <c:crossBetween val="between"/>
        <c:majorUnit val="250000000"/>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catAx>
        <c:axId val="369656576"/>
        <c:scaling>
          <c:orientation val="minMax"/>
        </c:scaling>
        <c:delete val="1"/>
        <c:axPos val="b"/>
        <c:numFmt formatCode="General" sourceLinked="1"/>
        <c:majorTickMark val="out"/>
        <c:minorTickMark val="none"/>
        <c:tickLblPos val="nextTo"/>
        <c:crossAx val="3479415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UVNUSV5RWJH5-815657195-513</_dlc_DocId>
    <_dlc_DocIdUrl xmlns="866aabb8-7ec2-447a-a7ff-f911015037e7">
      <Url>https://myintracomm-collab.ec.europa.eu/dg/CONNECT/directorateG/UnitG1/_layouts/15/DocIdRedir.aspx?ID=UVNUSV5RWJH5-815657195-513</Url>
      <Description>UVNUSV5RWJH5-815657195-513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792A-65AF-46C7-ABC4-4AE197DEFA7E}">
  <ds:schemaRefs>
    <ds:schemaRef ds:uri="8a4779a7-a821-41bc-9264-6a7285c3b1da"/>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866aabb8-7ec2-447a-a7ff-f911015037e7"/>
    <ds:schemaRef ds:uri="http://purl.org/dc/dcmitype/"/>
  </ds:schemaRefs>
</ds:datastoreItem>
</file>

<file path=customXml/itemProps2.xml><?xml version="1.0" encoding="utf-8"?>
<ds:datastoreItem xmlns:ds="http://schemas.openxmlformats.org/officeDocument/2006/customXml" ds:itemID="{D572F000-0BFD-435B-864D-2D5A04003E35}">
  <ds:schemaRefs>
    <ds:schemaRef ds:uri="http://schemas.microsoft.com/sharepoint/events"/>
  </ds:schemaRefs>
</ds:datastoreItem>
</file>

<file path=customXml/itemProps3.xml><?xml version="1.0" encoding="utf-8"?>
<ds:datastoreItem xmlns:ds="http://schemas.openxmlformats.org/officeDocument/2006/customXml" ds:itemID="{8C18A3F7-8628-4A5B-891D-24E4CD247D12}">
  <ds:schemaRefs>
    <ds:schemaRef ds:uri="http://schemas.microsoft.com/sharepoint/v3/contenttype/forms"/>
  </ds:schemaRefs>
</ds:datastoreItem>
</file>

<file path=customXml/itemProps4.xml><?xml version="1.0" encoding="utf-8"?>
<ds:datastoreItem xmlns:ds="http://schemas.openxmlformats.org/officeDocument/2006/customXml" ds:itemID="{86322B97-455F-4A15-8A50-A626B625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2875E8-0B53-4144-B7BB-8FA25010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15126</Words>
  <Characters>83651</Characters>
  <Application>Microsoft Office Word</Application>
  <DocSecurity>0</DocSecurity>
  <Lines>1467</Lines>
  <Paragraphs>451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Evaluation Report 2013 PSI Directive</vt:lpstr>
      <vt:lpstr>Evaluation Report 2013 PSI Directive</vt:lpstr>
    </vt:vector>
  </TitlesOfParts>
  <Manager/>
  <Company/>
  <LinksUpToDate>false</LinksUpToDate>
  <CharactersWithSpaces>98326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2013 PSI Directive</dc:title>
  <dc:creator/>
  <cp:lastModifiedBy>PAREDES ECHAURI Cristina (CAB-ALMUNIA)</cp:lastModifiedBy>
  <cp:revision>18</cp:revision>
  <cp:lastPrinted>2018-04-20T10:34:00Z</cp:lastPrinted>
  <dcterms:created xsi:type="dcterms:W3CDTF">2018-04-20T10:33:00Z</dcterms:created>
  <dcterms:modified xsi:type="dcterms:W3CDTF">2018-04-24T12:03:00Z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ontentTypeId">
    <vt:lpwstr>0x010100258AA79CEB83498886A3A086811232500033CE8E76DF1EC14FB803D6FF12E6DEFF</vt:lpwstr>
  </property>
  <property fmtid="{D5CDD505-2E9C-101B-9397-08002B2CF9AE}" pid="5" name="_dlc_DocIdItemGuid">
    <vt:lpwstr>9ede6a5a-e4aa-4cc0-9130-c9eaf2fa142f</vt:lpwstr>
  </property>
  <property fmtid="{D5CDD505-2E9C-101B-9397-08002B2CF9AE}" pid="6" name="Level of sensitivity">
    <vt:lpwstr>Standard treatment</vt:lpwstr>
  </property>
  <property fmtid="{D5CDD505-2E9C-101B-9397-08002B2CF9AE}" pid="7" name="DocStatus">
    <vt:lpwstr>Green</vt:lpwstr>
  </property>
</Properties>
</file>